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61" w:rsidRPr="000F344C" w:rsidRDefault="00710D61" w:rsidP="00710D61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2"/>
          <w:szCs w:val="22"/>
        </w:rPr>
        <w:t>U</w:t>
      </w:r>
      <w:r w:rsidRPr="000F344C">
        <w:rPr>
          <w:rFonts w:ascii="Times New Roman" w:hAnsi="Times New Roman" w:cs="Times New Roman"/>
          <w:b/>
          <w:color w:val="auto"/>
          <w:sz w:val="22"/>
          <w:szCs w:val="22"/>
        </w:rPr>
        <w:t>zasadnienie</w:t>
      </w:r>
    </w:p>
    <w:p w:rsidR="00710D61" w:rsidRPr="000F344C" w:rsidRDefault="00710D61" w:rsidP="00710D61">
      <w:pPr>
        <w:spacing w:line="240" w:lineRule="auto"/>
        <w:ind w:firstLine="720"/>
        <w:rPr>
          <w:rFonts w:ascii="Times New Roman" w:hAnsi="Times New Roman" w:cs="Times New Roman"/>
          <w:color w:val="auto"/>
          <w:sz w:val="22"/>
          <w:szCs w:val="22"/>
        </w:rPr>
      </w:pPr>
    </w:p>
    <w:p w:rsidR="00B5696B" w:rsidRDefault="00B5696B" w:rsidP="00B5696B">
      <w:pPr>
        <w:pStyle w:val="h1maintyt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710D61" w:rsidRPr="005E3E35" w:rsidRDefault="00710D61" w:rsidP="008C629C">
      <w:pPr>
        <w:pStyle w:val="h1maintyt"/>
        <w:spacing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E3E35">
        <w:rPr>
          <w:rFonts w:ascii="Times New Roman" w:hAnsi="Times New Roman" w:cs="Times New Roman"/>
          <w:b w:val="0"/>
          <w:color w:val="auto"/>
          <w:sz w:val="24"/>
          <w:szCs w:val="24"/>
        </w:rPr>
        <w:t>Zmiana rozporządzenia Ministra Spraw Wewnętrznych i Administracji z dnia 30 sierpnia 2010 r. w sprawie opiniowania służbowego policjantów (Dz. U. z 2013 r. poz. 883,</w:t>
      </w:r>
      <w:r w:rsidR="00B620F6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5E3E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z późn. zm.) jest spowodowana utworzeniem w Policji służby kontrterrorystycznej, składającej się z </w:t>
      </w:r>
      <w:r w:rsidR="00B5696B" w:rsidRPr="005E3E35">
        <w:rPr>
          <w:rFonts w:ascii="Times New Roman" w:hAnsi="Times New Roman" w:cs="Times New Roman"/>
          <w:b w:val="0"/>
          <w:sz w:val="24"/>
          <w:szCs w:val="24"/>
        </w:rPr>
        <w:t xml:space="preserve">Centralnego Pododdziału </w:t>
      </w:r>
      <w:r w:rsidRPr="005E3E35">
        <w:rPr>
          <w:rFonts w:ascii="Times New Roman" w:hAnsi="Times New Roman" w:cs="Times New Roman"/>
          <w:b w:val="0"/>
          <w:sz w:val="24"/>
          <w:szCs w:val="24"/>
        </w:rPr>
        <w:t>Kontrterrorystycznego Policji „BOA”</w:t>
      </w:r>
      <w:r w:rsidR="006E5148">
        <w:rPr>
          <w:rFonts w:ascii="Times New Roman" w:hAnsi="Times New Roman" w:cs="Times New Roman"/>
          <w:b w:val="0"/>
          <w:sz w:val="24"/>
          <w:szCs w:val="24"/>
        </w:rPr>
        <w:br/>
      </w:r>
      <w:r w:rsidRPr="005E3E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i samodzielnych pododdziałów kontrterrorystycznych Policji.  </w:t>
      </w:r>
    </w:p>
    <w:p w:rsidR="00710D61" w:rsidRPr="005E3E35" w:rsidRDefault="00710D61" w:rsidP="008C629C">
      <w:pPr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5E3E35">
        <w:rPr>
          <w:rFonts w:ascii="Times New Roman" w:hAnsi="Times New Roman" w:cs="Times New Roman"/>
          <w:color w:val="auto"/>
          <w:sz w:val="24"/>
          <w:szCs w:val="24"/>
        </w:rPr>
        <w:t xml:space="preserve">Zgodnie z art. 5c ust. 2 i 3 ustawy z dnia 6 kwietnia 1990 r. o Policji (Dz. U. z 2017 r. </w:t>
      </w:r>
      <w:r w:rsidRPr="005E3E35">
        <w:rPr>
          <w:rFonts w:ascii="Times New Roman" w:hAnsi="Times New Roman" w:cs="Times New Roman"/>
          <w:color w:val="auto"/>
          <w:sz w:val="24"/>
          <w:szCs w:val="24"/>
        </w:rPr>
        <w:br/>
        <w:t xml:space="preserve">poz. 2067, z późn. zm.), obowiązującym od dnia </w:t>
      </w:r>
      <w:r w:rsidR="00B471B7">
        <w:rPr>
          <w:rFonts w:ascii="Times New Roman" w:hAnsi="Times New Roman" w:cs="Times New Roman"/>
          <w:color w:val="auto"/>
          <w:sz w:val="24"/>
          <w:szCs w:val="24"/>
        </w:rPr>
        <w:t xml:space="preserve">5 kwietnia 2019 r. </w:t>
      </w:r>
      <w:r w:rsidRPr="005E3E35">
        <w:rPr>
          <w:rFonts w:ascii="Times New Roman" w:hAnsi="Times New Roman" w:cs="Times New Roman"/>
          <w:sz w:val="24"/>
          <w:szCs w:val="24"/>
        </w:rPr>
        <w:t xml:space="preserve">Centralny Pododdział Kontrterrorystyczny Policji „BOA” </w:t>
      </w:r>
      <w:r w:rsidRPr="005E3E35">
        <w:rPr>
          <w:rFonts w:ascii="Times New Roman" w:hAnsi="Times New Roman" w:cs="Times New Roman"/>
          <w:color w:val="auto"/>
          <w:sz w:val="24"/>
          <w:szCs w:val="24"/>
        </w:rPr>
        <w:t>jest jednostką organizacyjną Policji podległą bezpośrednio Komendantowi Głównemu Policji, natomiast samodzielne pododdziały kontrterrorystyczne Policji podlegają bezpośrednio właściwym miejscowo komendantom wojewódzkim Policji lub Komendantowi Stołecznemu Policji.</w:t>
      </w:r>
    </w:p>
    <w:p w:rsidR="00710D61" w:rsidRPr="005E3E35" w:rsidRDefault="00710D61" w:rsidP="008C629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3E35">
        <w:rPr>
          <w:rFonts w:ascii="Times New Roman" w:hAnsi="Times New Roman" w:cs="Times New Roman"/>
          <w:color w:val="auto"/>
          <w:sz w:val="24"/>
          <w:szCs w:val="24"/>
        </w:rPr>
        <w:t xml:space="preserve">Wydanie rozporządzenia Ministra Spraw Wewnętrznych i Administracji zmieniającego rozporządzenie w sprawie opiniowania służbowego policjantów ma na celu umożliwienie Komendantowi Głównemu Policji </w:t>
      </w:r>
      <w:r w:rsidRPr="005E3E35">
        <w:rPr>
          <w:rFonts w:ascii="Times New Roman" w:hAnsi="Times New Roman" w:cs="Times New Roman"/>
          <w:sz w:val="24"/>
          <w:szCs w:val="24"/>
        </w:rPr>
        <w:t>opiniowania</w:t>
      </w:r>
      <w:r w:rsidRPr="005E3E35">
        <w:rPr>
          <w:rFonts w:ascii="Times New Roman" w:hAnsi="Times New Roman" w:cs="Times New Roman"/>
          <w:color w:val="auto"/>
          <w:sz w:val="24"/>
          <w:szCs w:val="24"/>
        </w:rPr>
        <w:t xml:space="preserve"> dowódcy </w:t>
      </w:r>
      <w:r w:rsidRPr="005E3E35">
        <w:rPr>
          <w:rFonts w:ascii="Times New Roman" w:hAnsi="Times New Roman" w:cs="Times New Roman"/>
          <w:sz w:val="24"/>
          <w:szCs w:val="24"/>
        </w:rPr>
        <w:t xml:space="preserve">Centralnego Pododdziału Kontrterrorystycznego Policji „BOA”, a </w:t>
      </w:r>
      <w:r w:rsidRPr="005E3E35">
        <w:rPr>
          <w:rFonts w:ascii="Times New Roman" w:hAnsi="Times New Roman" w:cs="Times New Roman"/>
          <w:color w:val="auto"/>
          <w:sz w:val="24"/>
          <w:szCs w:val="24"/>
        </w:rPr>
        <w:t xml:space="preserve">dowódcy </w:t>
      </w:r>
      <w:r w:rsidRPr="005E3E35">
        <w:rPr>
          <w:rFonts w:ascii="Times New Roman" w:hAnsi="Times New Roman" w:cs="Times New Roman"/>
          <w:sz w:val="24"/>
          <w:szCs w:val="24"/>
        </w:rPr>
        <w:t xml:space="preserve">Centralnego Pododdziału Kontrterrorystycznego Policji „BOA” – podległych mu policjantów. Jednocześnie zachodzi konieczność wskazania, że do rozpatrzenia odwołania od opinii służbowej wydanej przez </w:t>
      </w:r>
      <w:r w:rsidRPr="005E3E35">
        <w:rPr>
          <w:rFonts w:ascii="Times New Roman" w:hAnsi="Times New Roman" w:cs="Times New Roman"/>
          <w:color w:val="auto"/>
          <w:sz w:val="24"/>
          <w:szCs w:val="24"/>
        </w:rPr>
        <w:t xml:space="preserve">dowódcę </w:t>
      </w:r>
      <w:r w:rsidRPr="005E3E35">
        <w:rPr>
          <w:rFonts w:ascii="Times New Roman" w:hAnsi="Times New Roman" w:cs="Times New Roman"/>
          <w:sz w:val="24"/>
          <w:szCs w:val="24"/>
        </w:rPr>
        <w:t>Centralnego Pododdziału Kontrterrorystycznego Policji „BOA” będzie właściwy Komendant Główny Policji.</w:t>
      </w:r>
    </w:p>
    <w:p w:rsidR="00710D61" w:rsidRPr="005E3E35" w:rsidRDefault="00710D61" w:rsidP="008C629C">
      <w:pPr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5E3E35">
        <w:rPr>
          <w:rFonts w:ascii="Times New Roman" w:hAnsi="Times New Roman" w:cs="Times New Roman"/>
          <w:color w:val="auto"/>
          <w:sz w:val="24"/>
          <w:szCs w:val="24"/>
        </w:rPr>
        <w:t>Przełożonym właściwym do wydania opinii służbowej w stosunku do dowódcy samodzielnego pododdziału kontrterrorystycznego Policji będzie komendant wojewódzki (Stołeczny) Policji, a w stosunku do policjantów samodzielnego pododdziału kontrterrorystycznego Policji – ich dowódca. O</w:t>
      </w:r>
      <w:r w:rsidRPr="005E3E35">
        <w:rPr>
          <w:rFonts w:ascii="Times New Roman" w:hAnsi="Times New Roman" w:cs="Times New Roman"/>
          <w:sz w:val="24"/>
          <w:szCs w:val="24"/>
        </w:rPr>
        <w:t xml:space="preserve">dwołanie od opinii służbowej wydanej przez </w:t>
      </w:r>
      <w:r w:rsidRPr="005E3E35">
        <w:rPr>
          <w:rFonts w:ascii="Times New Roman" w:hAnsi="Times New Roman" w:cs="Times New Roman"/>
          <w:color w:val="auto"/>
          <w:sz w:val="24"/>
          <w:szCs w:val="24"/>
        </w:rPr>
        <w:t xml:space="preserve">komendanta wojewódzkiego (Stołecznego) Policji będzie rozpatrywane przez Komendanta Głównego Policji, a odwołanie </w:t>
      </w:r>
      <w:r w:rsidRPr="005E3E35">
        <w:rPr>
          <w:rFonts w:ascii="Times New Roman" w:hAnsi="Times New Roman" w:cs="Times New Roman"/>
          <w:sz w:val="24"/>
          <w:szCs w:val="24"/>
        </w:rPr>
        <w:t xml:space="preserve">od opinii służbowej wydanej przez dowódcę </w:t>
      </w:r>
      <w:r w:rsidRPr="005E3E35">
        <w:rPr>
          <w:rFonts w:ascii="Times New Roman" w:hAnsi="Times New Roman" w:cs="Times New Roman"/>
          <w:color w:val="auto"/>
          <w:sz w:val="24"/>
          <w:szCs w:val="24"/>
        </w:rPr>
        <w:t>samodzielnego pododdziału kontrterrorystycznego Policji – komendanta wojewódzkiego (Stołecznego) Policji.</w:t>
      </w:r>
      <w:r w:rsidRPr="005E3E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D61" w:rsidRDefault="00710D61" w:rsidP="008C629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3E35">
        <w:rPr>
          <w:rFonts w:ascii="Times New Roman" w:hAnsi="Times New Roman" w:cs="Times New Roman"/>
          <w:color w:val="auto"/>
          <w:sz w:val="24"/>
          <w:szCs w:val="24"/>
        </w:rPr>
        <w:t xml:space="preserve">Zmiany dotyczące przesunięcia terminu opiniowania służbowego policjanta wynikają </w:t>
      </w:r>
      <w:r w:rsidR="005E3E35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5E3E35">
        <w:rPr>
          <w:rFonts w:ascii="Times New Roman" w:hAnsi="Times New Roman" w:cs="Times New Roman"/>
          <w:color w:val="auto"/>
          <w:sz w:val="24"/>
          <w:szCs w:val="24"/>
        </w:rPr>
        <w:t xml:space="preserve">z potrzeby dostosowania przepisów niniejszego rozporządzenia do obowiązujących przepisów </w:t>
      </w:r>
      <w:r w:rsidRPr="005E3E35">
        <w:rPr>
          <w:rFonts w:ascii="Times New Roman" w:hAnsi="Times New Roman" w:cs="Times New Roman"/>
          <w:sz w:val="24"/>
          <w:szCs w:val="24"/>
        </w:rPr>
        <w:t xml:space="preserve">ustawy z dnia 26 czerwca 1974 r. – Kodeks pracy (Dz. U. z 2018 r. poz. 917, z późn. zm.), zgodnie z którymi policjantom przysługuje prawo do urlopu na warunkach urlopu macierzyńskiego, urlopu rodzicielskiego i urlopu ojcowskiego. W związku z powyższym jest zasadne wprowadzenie możliwości przesunięcia terminu opiniowania służbowego policjanta </w:t>
      </w:r>
      <w:r w:rsidR="005E3E35">
        <w:rPr>
          <w:rFonts w:ascii="Times New Roman" w:hAnsi="Times New Roman" w:cs="Times New Roman"/>
          <w:sz w:val="24"/>
          <w:szCs w:val="24"/>
        </w:rPr>
        <w:br/>
      </w:r>
      <w:r w:rsidRPr="005E3E35">
        <w:rPr>
          <w:rFonts w:ascii="Times New Roman" w:hAnsi="Times New Roman" w:cs="Times New Roman"/>
          <w:sz w:val="24"/>
          <w:szCs w:val="24"/>
        </w:rPr>
        <w:t>o wymienione okresy.</w:t>
      </w:r>
    </w:p>
    <w:p w:rsidR="008C629C" w:rsidRPr="005E3E35" w:rsidRDefault="008C629C" w:rsidP="008C629C">
      <w:pPr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Przewidywany termin wejścia w życie rozporządzenia </w:t>
      </w:r>
      <w:r w:rsidR="00B471B7">
        <w:rPr>
          <w:rFonts w:ascii="Times New Roman" w:hAnsi="Times New Roman" w:cs="Times New Roman"/>
          <w:sz w:val="24"/>
          <w:szCs w:val="24"/>
        </w:rPr>
        <w:t xml:space="preserve">jest </w:t>
      </w:r>
      <w:r>
        <w:rPr>
          <w:rFonts w:ascii="Times New Roman" w:hAnsi="Times New Roman" w:cs="Times New Roman"/>
          <w:sz w:val="24"/>
          <w:szCs w:val="24"/>
        </w:rPr>
        <w:t xml:space="preserve">skorelowany z wejściem w życie przepisów dotyczących </w:t>
      </w:r>
      <w:r w:rsidRPr="005E3E35">
        <w:rPr>
          <w:rFonts w:ascii="Times New Roman" w:hAnsi="Times New Roman" w:cs="Times New Roman"/>
          <w:sz w:val="24"/>
          <w:szCs w:val="24"/>
        </w:rPr>
        <w:t>Centralnego Pododdziału Kontrterrorystycznego Policji „BOA”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0D61" w:rsidRPr="005E3E35" w:rsidRDefault="00710D61" w:rsidP="008C629C">
      <w:pPr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5E3E35">
        <w:rPr>
          <w:rFonts w:ascii="Times New Roman" w:hAnsi="Times New Roman" w:cs="Times New Roman"/>
          <w:sz w:val="24"/>
          <w:szCs w:val="24"/>
        </w:rPr>
        <w:t>Projektowane zmiany rozporządzenia nie są objęte prawem Unii Europejskiej.</w:t>
      </w:r>
    </w:p>
    <w:p w:rsidR="00710D61" w:rsidRPr="005E3E35" w:rsidRDefault="00710D61" w:rsidP="008C629C">
      <w:pPr>
        <w:pStyle w:val="Teksttreci0"/>
        <w:shd w:val="clear" w:color="auto" w:fill="auto"/>
        <w:spacing w:before="0" w:after="0" w:line="240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 w:rsidRPr="005E3E35">
        <w:rPr>
          <w:rFonts w:ascii="Times New Roman" w:hAnsi="Times New Roman" w:cs="Times New Roman"/>
          <w:sz w:val="24"/>
          <w:szCs w:val="24"/>
        </w:rPr>
        <w:t>Projekt rozporządzenia nie podlega obowiązkowi</w:t>
      </w:r>
      <w:r w:rsidRPr="005E3E35">
        <w:rPr>
          <w:rFonts w:ascii="Times New Roman" w:hAnsi="Times New Roman"/>
          <w:sz w:val="24"/>
          <w:szCs w:val="24"/>
        </w:rPr>
        <w:t xml:space="preserve"> przedstawienia właściwym organom i instytucjom Unii Europejskiej, w tym Europejskiemu Bankowi Centralnemu, w celu uzyskania opinii, dokonania powiadomienia, konsultacji albo uzgodnienia.</w:t>
      </w:r>
    </w:p>
    <w:p w:rsidR="00710D61" w:rsidRPr="005E3E35" w:rsidRDefault="008C629C" w:rsidP="00B5696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710D61" w:rsidRPr="005E3E35">
        <w:rPr>
          <w:rFonts w:ascii="Times New Roman" w:hAnsi="Times New Roman" w:cs="Times New Roman"/>
          <w:color w:val="auto"/>
          <w:sz w:val="24"/>
          <w:szCs w:val="24"/>
        </w:rPr>
        <w:t xml:space="preserve">Projektowane rozporządzenie nie zawiera przepisów technicznych w rozumieniu przepisów rozporządzenia Rady Ministrów z dnia 23 grudnia 2002 r. w sprawie sposobu funkcjonowania krajowego systemu notyfikacji norm i aktów prawnych (Dz. U. poz. </w:t>
      </w:r>
      <w:r w:rsidR="00B5696B" w:rsidRPr="005E3E35">
        <w:rPr>
          <w:rFonts w:ascii="Times New Roman" w:hAnsi="Times New Roman" w:cs="Times New Roman"/>
          <w:color w:val="auto"/>
          <w:sz w:val="24"/>
          <w:szCs w:val="24"/>
        </w:rPr>
        <w:t>2039,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="00B5696B" w:rsidRPr="005E3E35">
        <w:rPr>
          <w:rFonts w:ascii="Times New Roman" w:hAnsi="Times New Roman" w:cs="Times New Roman"/>
          <w:color w:val="auto"/>
          <w:sz w:val="24"/>
          <w:szCs w:val="24"/>
        </w:rPr>
        <w:t xml:space="preserve">z późn. zm.) i w związku </w:t>
      </w:r>
      <w:r w:rsidR="00710D61" w:rsidRPr="005E3E35">
        <w:rPr>
          <w:rFonts w:ascii="Times New Roman" w:hAnsi="Times New Roman" w:cs="Times New Roman"/>
          <w:color w:val="auto"/>
          <w:sz w:val="24"/>
          <w:szCs w:val="24"/>
        </w:rPr>
        <w:t>z tym nie podlega procedurze notyfikacji.</w:t>
      </w:r>
    </w:p>
    <w:p w:rsidR="005A3CCD" w:rsidRPr="00D92DFE" w:rsidRDefault="00710D61" w:rsidP="008C629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2DFE">
        <w:rPr>
          <w:rFonts w:ascii="Times New Roman" w:hAnsi="Times New Roman" w:cs="Times New Roman"/>
          <w:sz w:val="24"/>
          <w:szCs w:val="24"/>
        </w:rPr>
        <w:t xml:space="preserve">Stosownie do wymogów art. 5 ustawy z dnia 7 lipca 2005 r. o działalności lobbingowej w procesie stanowienia prawa (Dz. U. z 2017 r. poz. 248) projekt rozporządzenia został udostępniony w Biuletynie Informacji Publicznej na stronie podmiotowej Ministra Spraw Wewnętrznych i Administracji. Ponadto zgodnie z § 52 ust. 1 uchwały nr 190 Rady Ministrów z dnia 29 października 2013 r. </w:t>
      </w:r>
      <w:r w:rsidR="00D92DFE">
        <w:rPr>
          <w:rFonts w:ascii="Times New Roman" w:hAnsi="Times New Roman" w:cs="Times New Roman"/>
          <w:sz w:val="24"/>
          <w:szCs w:val="24"/>
        </w:rPr>
        <w:t xml:space="preserve">- </w:t>
      </w:r>
      <w:r w:rsidRPr="00D92DFE">
        <w:rPr>
          <w:rFonts w:ascii="Times New Roman" w:hAnsi="Times New Roman" w:cs="Times New Roman"/>
          <w:sz w:val="24"/>
          <w:szCs w:val="24"/>
        </w:rPr>
        <w:t>Regulamin pracy Rady Ministrów (M. P. z 2016 r. poz. 1006, z późn. zm.) projekt został zamieszczony w Biuletynie Informacji Publicznej na stronie podmiotowej Rządowego Centrum Legislacji w serwisie Rządowy Proces Legislacyjny.</w:t>
      </w:r>
      <w:r w:rsidR="00B5696B" w:rsidRPr="00D92DFE">
        <w:rPr>
          <w:rFonts w:ascii="Times New Roman" w:hAnsi="Times New Roman" w:cs="Times New Roman"/>
          <w:sz w:val="24"/>
          <w:szCs w:val="24"/>
        </w:rPr>
        <w:t xml:space="preserve"> </w:t>
      </w:r>
      <w:r w:rsidR="00D92DFE" w:rsidRPr="00D92DFE">
        <w:rPr>
          <w:rFonts w:ascii="Times New Roman" w:hAnsi="Times New Roman" w:cs="Times New Roman"/>
          <w:sz w:val="24"/>
          <w:szCs w:val="24"/>
        </w:rPr>
        <w:t>W trybie ww. ustawy nie odnotowano zgłoszeń zainteresowanych podmiotów.</w:t>
      </w:r>
    </w:p>
    <w:p w:rsidR="00D92DFE" w:rsidRPr="00D92DFE" w:rsidRDefault="00D92DFE" w:rsidP="00D92DFE">
      <w:pPr>
        <w:spacing w:line="276" w:lineRule="auto"/>
        <w:ind w:firstLine="539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D92DFE">
        <w:rPr>
          <w:rFonts w:ascii="Times New Roman" w:hAnsi="Times New Roman" w:cs="Times New Roman"/>
          <w:sz w:val="24"/>
          <w:szCs w:val="24"/>
        </w:rPr>
        <w:lastRenderedPageBreak/>
        <w:t>Projekt został przekazany, zgodnie z § 32 ust. 2 uchwały nr 190 z dnia 29 października 2013 r. – Regulamin pracy Rady Ministrów (M.P. z 2016 r. poz. 1006, z późn. zm.) do koordynatora oceny skutków regulacji w Kancelarii Prezesa Rady Ministrów z prośbą o zaopiniowanie w tym zakresie. W wyznaczonym terminie opinia nie wpłynęła.</w:t>
      </w:r>
    </w:p>
    <w:p w:rsidR="00D92DFE" w:rsidRDefault="00D92DFE" w:rsidP="008C629C">
      <w:pPr>
        <w:spacing w:line="240" w:lineRule="auto"/>
        <w:ind w:firstLine="708"/>
        <w:rPr>
          <w:sz w:val="24"/>
          <w:szCs w:val="24"/>
        </w:rPr>
      </w:pPr>
    </w:p>
    <w:p w:rsidR="00D92DFE" w:rsidRDefault="00D92DFE" w:rsidP="008C629C">
      <w:pPr>
        <w:spacing w:line="240" w:lineRule="auto"/>
        <w:ind w:firstLine="708"/>
        <w:rPr>
          <w:sz w:val="24"/>
          <w:szCs w:val="24"/>
        </w:rPr>
      </w:pPr>
    </w:p>
    <w:p w:rsidR="00D92DFE" w:rsidRDefault="00D92DFE" w:rsidP="008C629C">
      <w:pPr>
        <w:spacing w:line="240" w:lineRule="auto"/>
        <w:ind w:firstLine="708"/>
        <w:rPr>
          <w:sz w:val="24"/>
          <w:szCs w:val="24"/>
        </w:rPr>
      </w:pPr>
    </w:p>
    <w:p w:rsidR="00D92DFE" w:rsidRDefault="00D92DFE" w:rsidP="008C629C">
      <w:pPr>
        <w:spacing w:line="240" w:lineRule="auto"/>
        <w:ind w:firstLine="708"/>
        <w:rPr>
          <w:sz w:val="24"/>
          <w:szCs w:val="24"/>
        </w:rPr>
      </w:pPr>
    </w:p>
    <w:p w:rsidR="00D92DFE" w:rsidRDefault="00D92DFE" w:rsidP="008C629C">
      <w:pPr>
        <w:spacing w:line="240" w:lineRule="auto"/>
        <w:ind w:firstLine="708"/>
        <w:rPr>
          <w:sz w:val="24"/>
          <w:szCs w:val="24"/>
        </w:rPr>
      </w:pPr>
    </w:p>
    <w:p w:rsidR="00D92DFE" w:rsidRDefault="00D92DFE" w:rsidP="008C629C">
      <w:pPr>
        <w:spacing w:line="240" w:lineRule="auto"/>
        <w:ind w:firstLine="708"/>
        <w:rPr>
          <w:sz w:val="24"/>
          <w:szCs w:val="24"/>
        </w:rPr>
      </w:pPr>
    </w:p>
    <w:p w:rsidR="00D92DFE" w:rsidRDefault="00D92DFE" w:rsidP="008C629C">
      <w:pPr>
        <w:spacing w:line="240" w:lineRule="auto"/>
        <w:ind w:firstLine="708"/>
        <w:rPr>
          <w:sz w:val="24"/>
          <w:szCs w:val="24"/>
        </w:rPr>
      </w:pPr>
    </w:p>
    <w:p w:rsidR="00D92DFE" w:rsidRDefault="00D92DFE" w:rsidP="008C629C">
      <w:pPr>
        <w:spacing w:line="240" w:lineRule="auto"/>
        <w:ind w:firstLine="708"/>
        <w:rPr>
          <w:sz w:val="24"/>
          <w:szCs w:val="24"/>
        </w:rPr>
      </w:pPr>
    </w:p>
    <w:p w:rsidR="00D92DFE" w:rsidRDefault="00D92DFE" w:rsidP="008C629C">
      <w:pPr>
        <w:spacing w:line="240" w:lineRule="auto"/>
        <w:ind w:firstLine="708"/>
        <w:rPr>
          <w:sz w:val="24"/>
          <w:szCs w:val="24"/>
        </w:rPr>
      </w:pPr>
    </w:p>
    <w:p w:rsidR="00D92DFE" w:rsidRDefault="00D92DFE" w:rsidP="008C629C">
      <w:pPr>
        <w:spacing w:line="240" w:lineRule="auto"/>
        <w:ind w:firstLine="708"/>
        <w:rPr>
          <w:sz w:val="24"/>
          <w:szCs w:val="24"/>
        </w:rPr>
      </w:pPr>
    </w:p>
    <w:p w:rsidR="00D92DFE" w:rsidRDefault="00D92DFE" w:rsidP="008C629C">
      <w:pPr>
        <w:spacing w:line="240" w:lineRule="auto"/>
        <w:ind w:firstLine="708"/>
        <w:rPr>
          <w:sz w:val="24"/>
          <w:szCs w:val="24"/>
        </w:rPr>
      </w:pPr>
    </w:p>
    <w:p w:rsidR="00D92DFE" w:rsidRDefault="00D92DFE" w:rsidP="008C629C">
      <w:pPr>
        <w:spacing w:line="240" w:lineRule="auto"/>
        <w:ind w:firstLine="708"/>
        <w:rPr>
          <w:sz w:val="24"/>
          <w:szCs w:val="24"/>
        </w:rPr>
      </w:pPr>
    </w:p>
    <w:p w:rsidR="00D92DFE" w:rsidRDefault="00D92DFE" w:rsidP="008C629C">
      <w:pPr>
        <w:spacing w:line="240" w:lineRule="auto"/>
        <w:ind w:firstLine="708"/>
        <w:rPr>
          <w:sz w:val="24"/>
          <w:szCs w:val="24"/>
        </w:rPr>
      </w:pPr>
    </w:p>
    <w:p w:rsidR="00D92DFE" w:rsidRDefault="00D92DFE" w:rsidP="008C629C">
      <w:pPr>
        <w:spacing w:line="240" w:lineRule="auto"/>
        <w:ind w:firstLine="708"/>
        <w:rPr>
          <w:sz w:val="24"/>
          <w:szCs w:val="24"/>
        </w:rPr>
      </w:pPr>
    </w:p>
    <w:p w:rsidR="00D92DFE" w:rsidRDefault="00D92DFE" w:rsidP="008C629C">
      <w:pPr>
        <w:spacing w:line="240" w:lineRule="auto"/>
        <w:ind w:firstLine="708"/>
        <w:rPr>
          <w:sz w:val="24"/>
          <w:szCs w:val="24"/>
        </w:rPr>
      </w:pPr>
    </w:p>
    <w:p w:rsidR="00D92DFE" w:rsidRDefault="00D92DFE" w:rsidP="008C629C">
      <w:pPr>
        <w:spacing w:line="240" w:lineRule="auto"/>
        <w:ind w:firstLine="708"/>
        <w:rPr>
          <w:sz w:val="24"/>
          <w:szCs w:val="24"/>
        </w:rPr>
      </w:pPr>
    </w:p>
    <w:p w:rsidR="00D92DFE" w:rsidRDefault="00D92DFE" w:rsidP="008C629C">
      <w:pPr>
        <w:spacing w:line="240" w:lineRule="auto"/>
        <w:ind w:firstLine="708"/>
        <w:rPr>
          <w:sz w:val="24"/>
          <w:szCs w:val="24"/>
        </w:rPr>
      </w:pPr>
    </w:p>
    <w:p w:rsidR="00D92DFE" w:rsidRDefault="00D92DFE" w:rsidP="008C629C">
      <w:pPr>
        <w:spacing w:line="240" w:lineRule="auto"/>
        <w:ind w:firstLine="708"/>
        <w:rPr>
          <w:sz w:val="24"/>
          <w:szCs w:val="24"/>
        </w:rPr>
      </w:pPr>
    </w:p>
    <w:p w:rsidR="00D92DFE" w:rsidRDefault="00D92DFE" w:rsidP="008C629C">
      <w:pPr>
        <w:spacing w:line="240" w:lineRule="auto"/>
        <w:ind w:firstLine="708"/>
        <w:rPr>
          <w:sz w:val="24"/>
          <w:szCs w:val="24"/>
        </w:rPr>
      </w:pPr>
    </w:p>
    <w:p w:rsidR="00D92DFE" w:rsidRDefault="00D92DFE" w:rsidP="008C629C">
      <w:pPr>
        <w:spacing w:line="240" w:lineRule="auto"/>
        <w:ind w:firstLine="708"/>
        <w:rPr>
          <w:sz w:val="24"/>
          <w:szCs w:val="24"/>
        </w:rPr>
      </w:pPr>
    </w:p>
    <w:p w:rsidR="00D92DFE" w:rsidRDefault="00D92DFE" w:rsidP="008C629C">
      <w:pPr>
        <w:spacing w:line="240" w:lineRule="auto"/>
        <w:ind w:firstLine="708"/>
        <w:rPr>
          <w:sz w:val="24"/>
          <w:szCs w:val="24"/>
        </w:rPr>
      </w:pPr>
    </w:p>
    <w:p w:rsidR="00D92DFE" w:rsidRDefault="00D92DFE" w:rsidP="008C629C">
      <w:pPr>
        <w:spacing w:line="240" w:lineRule="auto"/>
        <w:ind w:firstLine="708"/>
        <w:rPr>
          <w:sz w:val="24"/>
          <w:szCs w:val="24"/>
        </w:rPr>
      </w:pPr>
    </w:p>
    <w:p w:rsidR="00D92DFE" w:rsidRDefault="00D92DFE" w:rsidP="008C629C">
      <w:pPr>
        <w:spacing w:line="240" w:lineRule="auto"/>
        <w:ind w:firstLine="708"/>
        <w:rPr>
          <w:sz w:val="24"/>
          <w:szCs w:val="24"/>
        </w:rPr>
      </w:pPr>
    </w:p>
    <w:p w:rsidR="00D92DFE" w:rsidRDefault="00D92DFE" w:rsidP="008C629C">
      <w:pPr>
        <w:spacing w:line="240" w:lineRule="auto"/>
        <w:ind w:firstLine="708"/>
        <w:rPr>
          <w:sz w:val="24"/>
          <w:szCs w:val="24"/>
        </w:rPr>
      </w:pPr>
    </w:p>
    <w:p w:rsidR="00D92DFE" w:rsidRDefault="00D92DFE" w:rsidP="008C629C">
      <w:pPr>
        <w:spacing w:line="240" w:lineRule="auto"/>
        <w:ind w:firstLine="708"/>
        <w:rPr>
          <w:sz w:val="24"/>
          <w:szCs w:val="24"/>
        </w:rPr>
      </w:pPr>
    </w:p>
    <w:p w:rsidR="00D92DFE" w:rsidRDefault="00D92DFE" w:rsidP="008C629C">
      <w:pPr>
        <w:spacing w:line="240" w:lineRule="auto"/>
        <w:ind w:firstLine="708"/>
        <w:rPr>
          <w:sz w:val="24"/>
          <w:szCs w:val="24"/>
        </w:rPr>
      </w:pPr>
    </w:p>
    <w:p w:rsidR="00D92DFE" w:rsidRDefault="00D92DFE" w:rsidP="008C629C">
      <w:pPr>
        <w:spacing w:line="240" w:lineRule="auto"/>
        <w:ind w:firstLine="708"/>
        <w:rPr>
          <w:sz w:val="24"/>
          <w:szCs w:val="24"/>
        </w:rPr>
      </w:pPr>
    </w:p>
    <w:p w:rsidR="00D92DFE" w:rsidRDefault="00D92DFE" w:rsidP="008C629C">
      <w:pPr>
        <w:spacing w:line="240" w:lineRule="auto"/>
        <w:ind w:firstLine="708"/>
        <w:rPr>
          <w:sz w:val="24"/>
          <w:szCs w:val="24"/>
        </w:rPr>
      </w:pPr>
    </w:p>
    <w:p w:rsidR="00D92DFE" w:rsidRDefault="00D92DFE" w:rsidP="008C629C">
      <w:pPr>
        <w:spacing w:line="240" w:lineRule="auto"/>
        <w:ind w:firstLine="708"/>
        <w:rPr>
          <w:sz w:val="24"/>
          <w:szCs w:val="24"/>
        </w:rPr>
      </w:pPr>
    </w:p>
    <w:p w:rsidR="00D92DFE" w:rsidRDefault="00D92DFE" w:rsidP="008C629C">
      <w:pPr>
        <w:spacing w:line="240" w:lineRule="auto"/>
        <w:ind w:firstLine="708"/>
        <w:rPr>
          <w:sz w:val="24"/>
          <w:szCs w:val="24"/>
        </w:rPr>
      </w:pPr>
    </w:p>
    <w:p w:rsidR="00D92DFE" w:rsidRDefault="00D92DFE" w:rsidP="008C629C">
      <w:pPr>
        <w:spacing w:line="240" w:lineRule="auto"/>
        <w:ind w:firstLine="708"/>
        <w:rPr>
          <w:sz w:val="24"/>
          <w:szCs w:val="24"/>
        </w:rPr>
      </w:pPr>
    </w:p>
    <w:p w:rsidR="00D92DFE" w:rsidRDefault="00D92DFE" w:rsidP="008C629C">
      <w:pPr>
        <w:spacing w:line="240" w:lineRule="auto"/>
        <w:ind w:firstLine="708"/>
        <w:rPr>
          <w:sz w:val="24"/>
          <w:szCs w:val="24"/>
        </w:rPr>
      </w:pPr>
    </w:p>
    <w:p w:rsidR="00D92DFE" w:rsidRDefault="00D92DFE" w:rsidP="008C629C">
      <w:pPr>
        <w:spacing w:line="240" w:lineRule="auto"/>
        <w:ind w:firstLine="708"/>
        <w:rPr>
          <w:sz w:val="24"/>
          <w:szCs w:val="24"/>
        </w:rPr>
      </w:pPr>
    </w:p>
    <w:p w:rsidR="00D92DFE" w:rsidRDefault="00D92DFE" w:rsidP="008C629C">
      <w:pPr>
        <w:spacing w:line="240" w:lineRule="auto"/>
        <w:ind w:firstLine="708"/>
        <w:rPr>
          <w:sz w:val="24"/>
          <w:szCs w:val="24"/>
        </w:rPr>
      </w:pPr>
    </w:p>
    <w:p w:rsidR="00D92DFE" w:rsidRDefault="00D92DFE" w:rsidP="008C629C">
      <w:pPr>
        <w:spacing w:line="240" w:lineRule="auto"/>
        <w:ind w:firstLine="708"/>
        <w:rPr>
          <w:sz w:val="24"/>
          <w:szCs w:val="24"/>
        </w:rPr>
      </w:pPr>
    </w:p>
    <w:p w:rsidR="00D92DFE" w:rsidRDefault="00D92DFE" w:rsidP="008C629C">
      <w:pPr>
        <w:spacing w:line="240" w:lineRule="auto"/>
        <w:ind w:firstLine="708"/>
        <w:rPr>
          <w:sz w:val="24"/>
          <w:szCs w:val="24"/>
        </w:rPr>
      </w:pPr>
    </w:p>
    <w:p w:rsidR="00D92DFE" w:rsidRDefault="00D92DFE" w:rsidP="008C629C">
      <w:pPr>
        <w:spacing w:line="240" w:lineRule="auto"/>
        <w:ind w:firstLine="708"/>
        <w:rPr>
          <w:sz w:val="24"/>
          <w:szCs w:val="24"/>
        </w:rPr>
      </w:pPr>
    </w:p>
    <w:p w:rsidR="00D92DFE" w:rsidRDefault="00D92DFE" w:rsidP="008C629C">
      <w:pPr>
        <w:spacing w:line="240" w:lineRule="auto"/>
        <w:ind w:firstLine="708"/>
        <w:rPr>
          <w:sz w:val="24"/>
          <w:szCs w:val="24"/>
        </w:rPr>
      </w:pPr>
    </w:p>
    <w:p w:rsidR="00D92DFE" w:rsidRDefault="00D92DFE" w:rsidP="008C629C">
      <w:pPr>
        <w:spacing w:line="240" w:lineRule="auto"/>
        <w:ind w:firstLine="708"/>
        <w:rPr>
          <w:sz w:val="24"/>
          <w:szCs w:val="24"/>
        </w:rPr>
      </w:pPr>
    </w:p>
    <w:p w:rsidR="00D92DFE" w:rsidRDefault="00D92DFE" w:rsidP="008C629C">
      <w:pPr>
        <w:spacing w:line="240" w:lineRule="auto"/>
        <w:ind w:firstLine="708"/>
        <w:rPr>
          <w:sz w:val="24"/>
          <w:szCs w:val="24"/>
        </w:rPr>
      </w:pPr>
    </w:p>
    <w:p w:rsidR="00D92DFE" w:rsidRDefault="00D92DFE" w:rsidP="008C629C">
      <w:pPr>
        <w:spacing w:line="240" w:lineRule="auto"/>
        <w:ind w:firstLine="708"/>
        <w:rPr>
          <w:sz w:val="24"/>
          <w:szCs w:val="24"/>
        </w:rPr>
      </w:pPr>
    </w:p>
    <w:p w:rsidR="00D92DFE" w:rsidRDefault="00D92DFE" w:rsidP="008C629C">
      <w:pPr>
        <w:spacing w:line="240" w:lineRule="auto"/>
        <w:ind w:firstLine="708"/>
        <w:rPr>
          <w:sz w:val="24"/>
          <w:szCs w:val="24"/>
        </w:rPr>
      </w:pPr>
    </w:p>
    <w:p w:rsidR="00D92DFE" w:rsidRDefault="00D92DFE" w:rsidP="008C629C">
      <w:pPr>
        <w:spacing w:line="240" w:lineRule="auto"/>
        <w:ind w:firstLine="708"/>
        <w:rPr>
          <w:sz w:val="24"/>
          <w:szCs w:val="24"/>
        </w:rPr>
      </w:pPr>
    </w:p>
    <w:p w:rsidR="00D92DFE" w:rsidRDefault="00D92DFE" w:rsidP="008C629C">
      <w:pPr>
        <w:spacing w:line="240" w:lineRule="auto"/>
        <w:ind w:firstLine="708"/>
        <w:rPr>
          <w:sz w:val="24"/>
          <w:szCs w:val="24"/>
        </w:rPr>
      </w:pPr>
    </w:p>
    <w:p w:rsidR="00D92DFE" w:rsidRDefault="00D92DFE" w:rsidP="008C629C">
      <w:pPr>
        <w:spacing w:line="240" w:lineRule="auto"/>
        <w:ind w:firstLine="708"/>
        <w:rPr>
          <w:sz w:val="24"/>
          <w:szCs w:val="24"/>
        </w:rPr>
      </w:pPr>
    </w:p>
    <w:p w:rsidR="00D92DFE" w:rsidRDefault="00D92DFE" w:rsidP="008C629C">
      <w:pPr>
        <w:spacing w:line="240" w:lineRule="auto"/>
        <w:ind w:firstLine="708"/>
        <w:rPr>
          <w:sz w:val="24"/>
          <w:szCs w:val="24"/>
        </w:rPr>
      </w:pPr>
    </w:p>
    <w:p w:rsidR="00D92DFE" w:rsidRDefault="00D92DFE" w:rsidP="008C629C">
      <w:pPr>
        <w:spacing w:line="240" w:lineRule="auto"/>
        <w:ind w:firstLine="708"/>
        <w:rPr>
          <w:sz w:val="24"/>
          <w:szCs w:val="24"/>
        </w:rPr>
      </w:pPr>
    </w:p>
    <w:p w:rsidR="00D92DFE" w:rsidRDefault="00D92DFE" w:rsidP="008C629C">
      <w:pPr>
        <w:spacing w:line="240" w:lineRule="auto"/>
        <w:ind w:firstLine="708"/>
        <w:rPr>
          <w:sz w:val="24"/>
          <w:szCs w:val="24"/>
        </w:rPr>
      </w:pPr>
    </w:p>
    <w:p w:rsidR="00D92DFE" w:rsidRDefault="00D92DFE" w:rsidP="008C629C">
      <w:pPr>
        <w:spacing w:line="240" w:lineRule="auto"/>
        <w:ind w:firstLine="708"/>
        <w:rPr>
          <w:sz w:val="24"/>
          <w:szCs w:val="24"/>
        </w:rPr>
      </w:pPr>
    </w:p>
    <w:p w:rsidR="00D92DFE" w:rsidRDefault="00D92DFE" w:rsidP="008C629C">
      <w:pPr>
        <w:spacing w:line="240" w:lineRule="auto"/>
        <w:ind w:firstLine="708"/>
        <w:rPr>
          <w:sz w:val="24"/>
          <w:szCs w:val="24"/>
        </w:rPr>
      </w:pPr>
    </w:p>
    <w:p w:rsidR="005A3CCD" w:rsidRPr="005A3CCD" w:rsidRDefault="005A3CCD" w:rsidP="005A3CCD">
      <w:pPr>
        <w:spacing w:line="240" w:lineRule="auto"/>
        <w:rPr>
          <w:sz w:val="20"/>
          <w:szCs w:val="20"/>
        </w:rPr>
      </w:pPr>
    </w:p>
    <w:tbl>
      <w:tblPr>
        <w:tblW w:w="10937" w:type="dxa"/>
        <w:tblInd w:w="-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25"/>
        <w:gridCol w:w="4312"/>
      </w:tblGrid>
      <w:tr w:rsidR="005A3CCD" w:rsidRPr="005A3CCD" w:rsidTr="005A3CCD">
        <w:trPr>
          <w:trHeight w:val="1611"/>
        </w:trPr>
        <w:tc>
          <w:tcPr>
            <w:tcW w:w="6625" w:type="dxa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before="120" w:line="240" w:lineRule="auto"/>
              <w:ind w:hanging="4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bookmarkStart w:id="1" w:name="t1"/>
            <w:r w:rsidRPr="005A3CCD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Nazwa projektu</w:t>
            </w: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</w:pPr>
            <w:r w:rsidRPr="005A3CCD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 xml:space="preserve">Rozporządzenie </w:t>
            </w:r>
            <w:r w:rsidRPr="005A3C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Ministra Spraw Wewnętrznych i Administracji zmieniające rozporządzenie w sprawie opiniowania służbowego policjantów </w:t>
            </w:r>
            <w:r w:rsidRPr="005A3C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br/>
            </w: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before="120" w:line="240" w:lineRule="auto"/>
              <w:ind w:hanging="45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5A3CCD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Ministerstwo wiodące i ministerstwa współpracujące</w:t>
            </w:r>
          </w:p>
          <w:bookmarkEnd w:id="1"/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ind w:hanging="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Ministerstwo Spraw Wewnętrznych i Administracji </w:t>
            </w: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ind w:hanging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Osoba odpowiedzialna za projekt w randze Ministra, Sekretarza Stanu lub Podsekretarza Stanu  </w:t>
            </w: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Jarosław Zieliński – Sekretarz Stanu w Ministerstwie Spraw Wewnętrznych i Administracji    </w:t>
            </w: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before="120" w:line="240" w:lineRule="auto"/>
              <w:ind w:hanging="45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Kontakt do opiekuna merytorycznego projektu</w:t>
            </w: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Mariusz Cichomski</w:t>
            </w: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Dyrektor Departamentu Porządku Publicznego</w:t>
            </w: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Ministerstwa Spraw Wewnętrznych i Administracji</w:t>
            </w: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5A3C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tel. 22 601 40 70, e-mail: dpp.koordynacja@mswia.gov.pl</w:t>
            </w:r>
          </w:p>
        </w:tc>
        <w:tc>
          <w:tcPr>
            <w:tcW w:w="4312" w:type="dxa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12"/>
                <w:szCs w:val="12"/>
                <w:lang w:val="en-US" w:eastAsia="en-US"/>
              </w:rPr>
            </w:pP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Data sporządzenia</w:t>
            </w:r>
            <w:r w:rsidRPr="005A3CCD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br/>
            </w:r>
            <w:r w:rsidR="00D92D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14 stycznia 2019</w:t>
            </w:r>
            <w:r w:rsidRPr="005A3C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r.</w:t>
            </w: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Źródło: </w:t>
            </w:r>
            <w:bookmarkStart w:id="2" w:name="Lista1"/>
          </w:p>
          <w:bookmarkEnd w:id="2"/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art. 35 ust. 3 ustawy z dnia 6 kwietnia 1990 r. </w:t>
            </w:r>
            <w:r w:rsidRPr="005A3C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br/>
              <w:t xml:space="preserve">o Policji (Dz. U. z 2017 r. poz. 2067, z późn. zm.) w związku z ustawą z dnia 9 listopada 2018 r. o zmianie ustawy o Policji oraz niektórych innych ustaw (Dz. U. </w:t>
            </w:r>
            <w:r w:rsidR="00D92D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z 2019 r. poz. 15</w:t>
            </w:r>
            <w:r w:rsidRPr="005A3C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)</w:t>
            </w: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before="12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Nr w wykazie prac MSWiA:  419</w:t>
            </w:r>
          </w:p>
          <w:p w:rsidR="005A3CCD" w:rsidRPr="005A3CCD" w:rsidRDefault="005A3CCD" w:rsidP="005A3CCD">
            <w:pPr>
              <w:widowControl/>
              <w:tabs>
                <w:tab w:val="left" w:pos="1005"/>
              </w:tabs>
              <w:autoSpaceDE/>
              <w:autoSpaceDN/>
              <w:adjustRightInd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5A3CCD" w:rsidRPr="005A3CCD" w:rsidTr="005A3CCD">
        <w:trPr>
          <w:trHeight w:val="142"/>
        </w:trPr>
        <w:tc>
          <w:tcPr>
            <w:tcW w:w="10937" w:type="dxa"/>
            <w:gridSpan w:val="2"/>
            <w:shd w:val="clear" w:color="auto" w:fill="99CC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32"/>
                <w:szCs w:val="3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b/>
                <w:color w:val="FFFFFF"/>
                <w:sz w:val="32"/>
                <w:szCs w:val="32"/>
                <w:lang w:eastAsia="en-US"/>
              </w:rPr>
              <w:t>OCENA SKUTKÓW REGULACJI</w:t>
            </w:r>
          </w:p>
        </w:tc>
      </w:tr>
      <w:tr w:rsidR="005A3CCD" w:rsidRPr="005A3CCD" w:rsidTr="005A3CCD">
        <w:trPr>
          <w:trHeight w:val="333"/>
        </w:trPr>
        <w:tc>
          <w:tcPr>
            <w:tcW w:w="10937" w:type="dxa"/>
            <w:gridSpan w:val="2"/>
            <w:shd w:val="clear" w:color="auto" w:fill="99CCFF"/>
            <w:vAlign w:val="center"/>
          </w:tcPr>
          <w:p w:rsidR="005A3CCD" w:rsidRPr="005A3CCD" w:rsidRDefault="005A3CCD" w:rsidP="005A3CC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Jaki problem jest rozwiązywany?</w:t>
            </w:r>
            <w:bookmarkStart w:id="3" w:name="Wybór1"/>
            <w:bookmarkEnd w:id="3"/>
          </w:p>
        </w:tc>
      </w:tr>
      <w:tr w:rsidR="005A3CCD" w:rsidRPr="005A3CCD" w:rsidTr="005A3CCD">
        <w:trPr>
          <w:trHeight w:val="142"/>
        </w:trPr>
        <w:tc>
          <w:tcPr>
            <w:tcW w:w="10937" w:type="dxa"/>
            <w:gridSpan w:val="2"/>
            <w:shd w:val="clear" w:color="auto" w:fill="FFFFFF"/>
          </w:tcPr>
          <w:p w:rsidR="005A3CCD" w:rsidRPr="005A3CCD" w:rsidRDefault="005A3CCD" w:rsidP="005A3CC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5A3CCD" w:rsidRPr="005A3CCD" w:rsidRDefault="005A3CCD" w:rsidP="005A3CC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A3CC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Na podstawie przepisów ustawy z dnia 9 listopada 2018 r. o zmianie ustawy o Policji oraz niektórych innych ustaw </w:t>
            </w:r>
            <w:r w:rsidRPr="005A3CC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br/>
              <w:t xml:space="preserve">(Dz. U. </w:t>
            </w:r>
            <w:r w:rsidR="00B471B7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z 2019 r. </w:t>
            </w:r>
            <w:r w:rsidRPr="005A3CC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poz. </w:t>
            </w:r>
            <w:r w:rsidR="00B471B7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15</w:t>
            </w:r>
            <w:r w:rsidRPr="005A3CC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) w Policji została utworzona służba </w:t>
            </w:r>
            <w:proofErr w:type="spellStart"/>
            <w:r w:rsidRPr="005A3CC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kontrterrorystyczna</w:t>
            </w:r>
            <w:proofErr w:type="spellEnd"/>
            <w:r w:rsidRPr="005A3CC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, składająca się z Centralnego Pododdziału Kontrterrorystycznego Policji „BOA” oraz samodzielnych pododdziałów kontrterrorystycznych Policji.  </w:t>
            </w: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Zgodnie z art. 5c ust. 2 i 3 ustawy z dnia 6 kwietnia 1990 r. o Policji (Dz. U. z 2017 r. poz. 2067, z późn. zm.), obowiązującym od dnia </w:t>
            </w:r>
            <w:r w:rsidR="00B47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5 kwietnia 2019 r.</w:t>
            </w:r>
            <w:r w:rsidRPr="005A3C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, Centralny Pododdział Kontrterrorystyczny Policji „BOA” jest jednostką organizacyjną Policji podległą bezpośrednio Komendantowi Głównemu Policji, natomiast samodzielne pododdziały kontrterrorystyczne Policji podlegają bezpośrednio właściwym miejscowo komendantom wojewódzkim Policji lub Komendantowi Stołecznemu Policji.</w:t>
            </w: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W związku z powyższym zachodzi potrzeba nowelizacji rozporządzenia Ministra Spraw Wewnętrznych i Administracji </w:t>
            </w:r>
            <w:r w:rsidRPr="005A3C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br/>
              <w:t xml:space="preserve">z dnia 30 sierpnia 2010 r. w sprawie opiniowania służbowego policjantów (Dz. U. z 2013 r. poz. 883, z późn. zm.) </w:t>
            </w:r>
            <w:r w:rsidRPr="005A3C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br/>
              <w:t>w zakresie umożliwienia opiniowania służbowego policjantów Centralnego Pododdziału Kontrterrorystycznego Policji „BOA”.</w:t>
            </w: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Ponadto dostrzeżono konieczność wprowadzenia zmian dotyczących przesunięcia terminu opiniowania służbowego policjanta. Wynikają one z potrzeby dostosowania przepisów niniejszego rozporządzenia do obowiązujących przepisów ustawy z dnia 26 czerwca 1974 r. – Kodeks pracy (Dz. U. z 2018 r. poz. 917, z późn. zm.), zgodnie z którymi policjantom przysługuje prawo do urlopu na warunkach urlopu macierzyńskiego, urlopu rodzicielskiego i urlopu ojcowskiego. </w:t>
            </w:r>
          </w:p>
        </w:tc>
      </w:tr>
      <w:tr w:rsidR="005A3CCD" w:rsidRPr="005A3CCD" w:rsidTr="005A3CCD">
        <w:trPr>
          <w:trHeight w:val="142"/>
        </w:trPr>
        <w:tc>
          <w:tcPr>
            <w:tcW w:w="10937" w:type="dxa"/>
            <w:gridSpan w:val="2"/>
            <w:shd w:val="clear" w:color="auto" w:fill="99CCFF"/>
            <w:vAlign w:val="center"/>
          </w:tcPr>
          <w:p w:rsidR="005A3CCD" w:rsidRPr="005A3CCD" w:rsidRDefault="005A3CCD" w:rsidP="005A3CC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  <w:lang w:eastAsia="en-US"/>
              </w:rPr>
              <w:t>Rekomendowane rozwiązanie, w tym planowane narzędzia interwencji, i oczekiwany efekt</w:t>
            </w:r>
          </w:p>
        </w:tc>
      </w:tr>
      <w:tr w:rsidR="005A3CCD" w:rsidRPr="005A3CCD" w:rsidTr="005A3CCD">
        <w:trPr>
          <w:trHeight w:val="142"/>
        </w:trPr>
        <w:tc>
          <w:tcPr>
            <w:tcW w:w="10937" w:type="dxa"/>
            <w:gridSpan w:val="2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Wydanie rozporządzenia Ministra Spraw Wewnętrznych i Administracji zmieniającego rozporządzenie w sprawie opiniowania służbowego policjantów w celu dostosowania dotychczasowych przepisów do nowych regulacji prawnych. </w:t>
            </w: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Na podstawie projektowanych przepisów Komendant Główny Policji będzie uprawiony do opiniowania dowódcy Centralnego Pododdziału Kontrterrorystycznego Policji „BOA”, a dowódca Centralnego Pododdziału Kontrterrorystycznego Policji „BOA” – podległych mu policjantów. Do rozpatrzenia odwołania od opinii służbowej wydanej przez dowódcę Centralnego Pododdziału Kontrterrorystycznego Policji „BOA” będzie właściwy Komendant Główny Policji.</w:t>
            </w: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en-US"/>
              </w:rPr>
              <w:t xml:space="preserve">Ponadto wprowadzono możliwość przesunięcia terminu </w:t>
            </w:r>
            <w:r w:rsidRPr="005A3C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opiniowania służbowego policjanta o okres urlopu na warunkach urlopu macierzyńskiego, urlopu rodzicielskiego i urlopu ojcowskiego.</w:t>
            </w:r>
          </w:p>
        </w:tc>
      </w:tr>
      <w:tr w:rsidR="005A3CCD" w:rsidRPr="005A3CCD" w:rsidTr="005A3CCD">
        <w:trPr>
          <w:trHeight w:val="307"/>
        </w:trPr>
        <w:tc>
          <w:tcPr>
            <w:tcW w:w="10937" w:type="dxa"/>
            <w:gridSpan w:val="2"/>
            <w:shd w:val="clear" w:color="auto" w:fill="99CCFF"/>
            <w:vAlign w:val="center"/>
          </w:tcPr>
          <w:p w:rsidR="005A3CCD" w:rsidRPr="005A3CCD" w:rsidRDefault="005A3CCD" w:rsidP="005A3CC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2"/>
                <w:szCs w:val="22"/>
                <w:lang w:eastAsia="en-US"/>
              </w:rPr>
              <w:t>Jak problem został rozwiązany w innych krajach, w szczególności krajach członkowskich OECD/UE</w:t>
            </w:r>
            <w:r w:rsidRPr="005A3CC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?</w:t>
            </w:r>
            <w:r w:rsidRPr="005A3CCD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A3CCD" w:rsidRPr="005A3CCD" w:rsidTr="005A3CCD">
        <w:trPr>
          <w:trHeight w:val="142"/>
        </w:trPr>
        <w:tc>
          <w:tcPr>
            <w:tcW w:w="10937" w:type="dxa"/>
            <w:gridSpan w:val="2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en-US"/>
              </w:rPr>
            </w:pP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eastAsia="en-US"/>
              </w:rPr>
              <w:t xml:space="preserve">Z uwagi na charakter projektowanej regulacji odstąpiono od analizy </w:t>
            </w:r>
            <w:proofErr w:type="spellStart"/>
            <w:r w:rsidRPr="005A3CCD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eastAsia="en-US"/>
              </w:rPr>
              <w:t>prawnoporównawczej</w:t>
            </w:r>
            <w:proofErr w:type="spellEnd"/>
            <w:r w:rsidRPr="005A3CCD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eastAsia="en-US"/>
              </w:rPr>
              <w:t xml:space="preserve"> z rozwiązaniami w innych krajach.</w:t>
            </w:r>
          </w:p>
        </w:tc>
      </w:tr>
    </w:tbl>
    <w:p w:rsidR="005A3CCD" w:rsidRDefault="005A3CCD">
      <w:r>
        <w:br w:type="page"/>
      </w:r>
    </w:p>
    <w:tbl>
      <w:tblPr>
        <w:tblW w:w="10947" w:type="dxa"/>
        <w:tblInd w:w="-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2"/>
        <w:gridCol w:w="645"/>
        <w:gridCol w:w="741"/>
        <w:gridCol w:w="149"/>
        <w:gridCol w:w="414"/>
        <w:gridCol w:w="155"/>
        <w:gridCol w:w="187"/>
        <w:gridCol w:w="383"/>
        <w:gridCol w:w="554"/>
        <w:gridCol w:w="16"/>
        <w:gridCol w:w="269"/>
        <w:gridCol w:w="141"/>
        <w:gridCol w:w="159"/>
        <w:gridCol w:w="353"/>
        <w:gridCol w:w="217"/>
        <w:gridCol w:w="570"/>
        <w:gridCol w:w="151"/>
        <w:gridCol w:w="419"/>
        <w:gridCol w:w="113"/>
        <w:gridCol w:w="286"/>
        <w:gridCol w:w="119"/>
        <w:gridCol w:w="51"/>
        <w:gridCol w:w="570"/>
        <w:gridCol w:w="317"/>
        <w:gridCol w:w="253"/>
        <w:gridCol w:w="570"/>
        <w:gridCol w:w="115"/>
        <w:gridCol w:w="1428"/>
        <w:gridCol w:w="10"/>
      </w:tblGrid>
      <w:tr w:rsidR="005A3CCD" w:rsidRPr="005A3CCD" w:rsidTr="005A3CCD">
        <w:trPr>
          <w:gridAfter w:val="1"/>
          <w:wAfter w:w="10" w:type="dxa"/>
          <w:trHeight w:val="359"/>
        </w:trPr>
        <w:tc>
          <w:tcPr>
            <w:tcW w:w="10937" w:type="dxa"/>
            <w:gridSpan w:val="28"/>
            <w:shd w:val="clear" w:color="auto" w:fill="99CCFF"/>
            <w:vAlign w:val="center"/>
          </w:tcPr>
          <w:p w:rsidR="005A3CCD" w:rsidRPr="005A3CCD" w:rsidRDefault="005A3CCD" w:rsidP="005A3CC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Podmioty, na które oddziałuje projekt</w:t>
            </w:r>
          </w:p>
        </w:tc>
      </w:tr>
      <w:tr w:rsidR="005A3CCD" w:rsidRPr="005A3CCD" w:rsidTr="005A3CCD">
        <w:trPr>
          <w:gridAfter w:val="1"/>
          <w:wAfter w:w="10" w:type="dxa"/>
          <w:trHeight w:val="142"/>
        </w:trPr>
        <w:tc>
          <w:tcPr>
            <w:tcW w:w="2978" w:type="dxa"/>
            <w:gridSpan w:val="3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before="4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en-US"/>
              </w:rPr>
              <w:t>Grupa</w:t>
            </w:r>
          </w:p>
        </w:tc>
        <w:tc>
          <w:tcPr>
            <w:tcW w:w="2268" w:type="dxa"/>
            <w:gridSpan w:val="9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before="4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en-US"/>
              </w:rPr>
              <w:t>Wielkość</w:t>
            </w:r>
          </w:p>
        </w:tc>
        <w:tc>
          <w:tcPr>
            <w:tcW w:w="2268" w:type="dxa"/>
            <w:gridSpan w:val="8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before="4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en-US"/>
              </w:rPr>
              <w:t>Źródło danych</w:t>
            </w:r>
            <w:r w:rsidRPr="005A3CCD" w:rsidDel="00260F33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3" w:type="dxa"/>
            <w:gridSpan w:val="8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before="4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en-US"/>
              </w:rPr>
              <w:t>Oddziaływanie</w:t>
            </w:r>
          </w:p>
        </w:tc>
      </w:tr>
      <w:tr w:rsidR="005A3CCD" w:rsidRPr="005A3CCD" w:rsidTr="00B471B7">
        <w:trPr>
          <w:gridAfter w:val="1"/>
          <w:wAfter w:w="10" w:type="dxa"/>
          <w:trHeight w:val="867"/>
        </w:trPr>
        <w:tc>
          <w:tcPr>
            <w:tcW w:w="2978" w:type="dxa"/>
            <w:gridSpan w:val="3"/>
          </w:tcPr>
          <w:p w:rsidR="00B471B7" w:rsidRDefault="00B471B7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Funkcjonariusze Policji</w:t>
            </w:r>
          </w:p>
        </w:tc>
        <w:tc>
          <w:tcPr>
            <w:tcW w:w="2268" w:type="dxa"/>
            <w:gridSpan w:val="9"/>
          </w:tcPr>
          <w:p w:rsidR="00B471B7" w:rsidRDefault="00B471B7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97 755</w:t>
            </w: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8"/>
          </w:tcPr>
          <w:p w:rsidR="00B471B7" w:rsidRDefault="00B471B7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eastAsia="en-US"/>
              </w:rPr>
            </w:pP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eastAsia="en-US"/>
              </w:rPr>
              <w:t xml:space="preserve">Meldunek o stanie kadr Policji na dzień </w:t>
            </w:r>
            <w:r w:rsidRPr="005A3CCD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eastAsia="en-US"/>
              </w:rPr>
              <w:br/>
              <w:t>1 października 2018 r.</w:t>
            </w:r>
          </w:p>
        </w:tc>
        <w:tc>
          <w:tcPr>
            <w:tcW w:w="3423" w:type="dxa"/>
            <w:gridSpan w:val="8"/>
          </w:tcPr>
          <w:p w:rsidR="00B471B7" w:rsidRDefault="00B471B7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Opiniowanie służbowe policjantów </w:t>
            </w: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eastAsia="en-US"/>
              </w:rPr>
            </w:pPr>
          </w:p>
        </w:tc>
      </w:tr>
      <w:tr w:rsidR="005A3CCD" w:rsidRPr="005A3CCD" w:rsidTr="005A3CCD">
        <w:trPr>
          <w:gridAfter w:val="1"/>
          <w:wAfter w:w="10" w:type="dxa"/>
          <w:trHeight w:val="302"/>
        </w:trPr>
        <w:tc>
          <w:tcPr>
            <w:tcW w:w="10937" w:type="dxa"/>
            <w:gridSpan w:val="28"/>
            <w:shd w:val="clear" w:color="auto" w:fill="99CCFF"/>
            <w:vAlign w:val="center"/>
          </w:tcPr>
          <w:p w:rsidR="005A3CCD" w:rsidRPr="005A3CCD" w:rsidRDefault="005A3CCD" w:rsidP="005A3CC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Informacje na temat zakresu, czasu trwania i podsumowanie wyników konsultacji</w:t>
            </w:r>
          </w:p>
        </w:tc>
      </w:tr>
      <w:tr w:rsidR="005A3CCD" w:rsidRPr="005A3CCD" w:rsidTr="005A3CCD">
        <w:trPr>
          <w:gridAfter w:val="1"/>
          <w:wAfter w:w="10" w:type="dxa"/>
          <w:trHeight w:val="342"/>
        </w:trPr>
        <w:tc>
          <w:tcPr>
            <w:tcW w:w="10937" w:type="dxa"/>
            <w:gridSpan w:val="28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5A3CCD" w:rsidRPr="005A3CCD" w:rsidRDefault="005A3CCD" w:rsidP="00D92DF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Projekt rozporządzenia został udostępniony w Biuletynie Informacji Publicznej na stronie podmiotowej Ministra Spraw Wewnętrznych i Administracji, stosownie do wymogów art. 5 ustawy z dnia 7 lipca 2005 r. o działalności lobbingowej w procesie stanowienia prawa (Dz. U. z 2017 r. poz. 248). </w:t>
            </w:r>
            <w:r w:rsidR="00B47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W trybie tym uwag i zgłoszeń nie wniesiono. </w:t>
            </w:r>
            <w:r w:rsidRPr="005A3C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Ponadto</w:t>
            </w:r>
            <w:r w:rsidR="00B47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zgodnie z § 52 ust. 1 uchwały </w:t>
            </w:r>
            <w:r w:rsidRPr="005A3C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nr 190 Rady Ministrów z dnia 29 października 2013 r. </w:t>
            </w:r>
            <w:r w:rsidR="00D92D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- </w:t>
            </w:r>
            <w:r w:rsidRPr="005A3C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Regulamin pracy Rady Ministr</w:t>
            </w:r>
            <w:r w:rsidR="00B47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ów (M. P. z 2016 r. poz. 1006, </w:t>
            </w:r>
            <w:r w:rsidRPr="005A3C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z późn. zm.) projekt został zamieszczony w Biuletynie Informacji Publicznej na stronie podmiotowej Rządowego Centrum Legislacji w serwisie Rządowy Proces Legislacyjny.</w:t>
            </w:r>
            <w:r w:rsidR="00B47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A3CCD" w:rsidRPr="005A3CCD" w:rsidTr="005A3CCD">
        <w:trPr>
          <w:gridAfter w:val="1"/>
          <w:wAfter w:w="10" w:type="dxa"/>
          <w:trHeight w:val="363"/>
        </w:trPr>
        <w:tc>
          <w:tcPr>
            <w:tcW w:w="10937" w:type="dxa"/>
            <w:gridSpan w:val="28"/>
            <w:shd w:val="clear" w:color="auto" w:fill="99CCFF"/>
            <w:vAlign w:val="center"/>
          </w:tcPr>
          <w:p w:rsidR="005A3CCD" w:rsidRPr="005A3CCD" w:rsidRDefault="005A3CCD" w:rsidP="005A3CC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 Wpływ na sektor finansów publicznych</w:t>
            </w:r>
          </w:p>
        </w:tc>
      </w:tr>
      <w:tr w:rsidR="005A3CCD" w:rsidRPr="005A3CCD" w:rsidTr="005A3CCD">
        <w:trPr>
          <w:gridAfter w:val="1"/>
          <w:wAfter w:w="10" w:type="dxa"/>
          <w:trHeight w:val="142"/>
        </w:trPr>
        <w:tc>
          <w:tcPr>
            <w:tcW w:w="3127" w:type="dxa"/>
            <w:gridSpan w:val="4"/>
            <w:vMerge w:val="restart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before="40" w:after="40" w:line="276" w:lineRule="auto"/>
              <w:jc w:val="lef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(ceny stałe z 2016 r.)</w:t>
            </w:r>
          </w:p>
        </w:tc>
        <w:tc>
          <w:tcPr>
            <w:tcW w:w="7810" w:type="dxa"/>
            <w:gridSpan w:val="24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before="40" w:after="40" w:line="240" w:lineRule="auto"/>
              <w:jc w:val="left"/>
              <w:rPr>
                <w:rFonts w:ascii="Times New Roman" w:eastAsia="Times New Roman" w:hAnsi="Times New Roman" w:cs="Times New Roman"/>
                <w:i/>
                <w:spacing w:val="-2"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Skutki w okresie 10 lat od wejścia w życie zmian [mln zł]</w:t>
            </w:r>
          </w:p>
        </w:tc>
      </w:tr>
      <w:tr w:rsidR="005A3CCD" w:rsidRPr="005A3CCD" w:rsidTr="005A3CCD">
        <w:trPr>
          <w:gridAfter w:val="1"/>
          <w:wAfter w:w="10" w:type="dxa"/>
          <w:trHeight w:val="142"/>
        </w:trPr>
        <w:tc>
          <w:tcPr>
            <w:tcW w:w="3127" w:type="dxa"/>
            <w:gridSpan w:val="4"/>
            <w:vMerge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before="40" w:after="40" w:line="240" w:lineRule="auto"/>
              <w:jc w:val="lef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en-US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569" w:type="dxa"/>
            <w:gridSpan w:val="4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570" w:type="dxa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543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i/>
                <w:spacing w:val="-2"/>
                <w:sz w:val="21"/>
                <w:szCs w:val="21"/>
                <w:lang w:eastAsia="en-US"/>
              </w:rPr>
              <w:t>Łącznie (0-10)</w:t>
            </w:r>
          </w:p>
        </w:tc>
      </w:tr>
      <w:tr w:rsidR="005A3CCD" w:rsidRPr="005A3CCD" w:rsidTr="005A3CCD">
        <w:trPr>
          <w:trHeight w:val="321"/>
        </w:trPr>
        <w:tc>
          <w:tcPr>
            <w:tcW w:w="3127" w:type="dxa"/>
            <w:gridSpan w:val="4"/>
            <w:shd w:val="clear" w:color="auto" w:fill="FFFFFF"/>
            <w:vAlign w:val="center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n-US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569" w:type="dxa"/>
            <w:gridSpan w:val="4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553" w:type="dxa"/>
            <w:gridSpan w:val="3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en-US"/>
              </w:rPr>
            </w:pPr>
          </w:p>
        </w:tc>
      </w:tr>
      <w:tr w:rsidR="005A3CCD" w:rsidRPr="005A3CCD" w:rsidTr="005A3CCD">
        <w:trPr>
          <w:trHeight w:val="321"/>
        </w:trPr>
        <w:tc>
          <w:tcPr>
            <w:tcW w:w="3127" w:type="dxa"/>
            <w:gridSpan w:val="4"/>
            <w:shd w:val="clear" w:color="auto" w:fill="FFFFFF"/>
            <w:vAlign w:val="center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gridSpan w:val="4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gridSpan w:val="3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5A3CCD" w:rsidRPr="005A3CCD" w:rsidTr="005A3CCD">
        <w:trPr>
          <w:trHeight w:val="344"/>
        </w:trPr>
        <w:tc>
          <w:tcPr>
            <w:tcW w:w="3127" w:type="dxa"/>
            <w:gridSpan w:val="4"/>
            <w:shd w:val="clear" w:color="auto" w:fill="FFFFFF"/>
            <w:vAlign w:val="center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gridSpan w:val="4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gridSpan w:val="3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A3CCD" w:rsidRPr="005A3CCD" w:rsidTr="005A3CCD">
        <w:trPr>
          <w:trHeight w:val="344"/>
        </w:trPr>
        <w:tc>
          <w:tcPr>
            <w:tcW w:w="3127" w:type="dxa"/>
            <w:gridSpan w:val="4"/>
            <w:shd w:val="clear" w:color="auto" w:fill="FFFFFF"/>
            <w:vAlign w:val="center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gridSpan w:val="4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gridSpan w:val="3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A3CCD" w:rsidRPr="005A3CCD" w:rsidTr="005A3CCD">
        <w:trPr>
          <w:trHeight w:val="330"/>
        </w:trPr>
        <w:tc>
          <w:tcPr>
            <w:tcW w:w="3127" w:type="dxa"/>
            <w:gridSpan w:val="4"/>
            <w:shd w:val="clear" w:color="auto" w:fill="FFFFFF"/>
            <w:vAlign w:val="center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n-US"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gridSpan w:val="4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  <w:gridSpan w:val="3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A3CCD" w:rsidRPr="005A3CCD" w:rsidTr="005A3CCD">
        <w:trPr>
          <w:trHeight w:val="330"/>
        </w:trPr>
        <w:tc>
          <w:tcPr>
            <w:tcW w:w="3127" w:type="dxa"/>
            <w:gridSpan w:val="4"/>
            <w:shd w:val="clear" w:color="auto" w:fill="FFFFFF"/>
            <w:vAlign w:val="center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gridSpan w:val="4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  <w:gridSpan w:val="3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A3CCD" w:rsidRPr="005A3CCD" w:rsidTr="005A3CCD">
        <w:trPr>
          <w:trHeight w:val="351"/>
        </w:trPr>
        <w:tc>
          <w:tcPr>
            <w:tcW w:w="3127" w:type="dxa"/>
            <w:gridSpan w:val="4"/>
            <w:shd w:val="clear" w:color="auto" w:fill="FFFFFF"/>
            <w:vAlign w:val="center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gridSpan w:val="4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gridSpan w:val="3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A3CCD" w:rsidRPr="005A3CCD" w:rsidTr="005A3CCD">
        <w:trPr>
          <w:trHeight w:val="351"/>
        </w:trPr>
        <w:tc>
          <w:tcPr>
            <w:tcW w:w="3127" w:type="dxa"/>
            <w:gridSpan w:val="4"/>
            <w:shd w:val="clear" w:color="auto" w:fill="FFFFFF"/>
            <w:vAlign w:val="center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gridSpan w:val="4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gridSpan w:val="3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A3CCD" w:rsidRPr="005A3CCD" w:rsidTr="005A3CCD">
        <w:trPr>
          <w:trHeight w:val="360"/>
        </w:trPr>
        <w:tc>
          <w:tcPr>
            <w:tcW w:w="3127" w:type="dxa"/>
            <w:gridSpan w:val="4"/>
            <w:shd w:val="clear" w:color="auto" w:fill="FFFFFF"/>
            <w:vAlign w:val="center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n-US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gridSpan w:val="4"/>
            <w:shd w:val="clear" w:color="auto" w:fill="FFFFFF"/>
            <w:vAlign w:val="center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  <w:gridSpan w:val="3"/>
            <w:shd w:val="clear" w:color="auto" w:fill="FFFFFF"/>
            <w:vAlign w:val="center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A3CCD" w:rsidRPr="005A3CCD" w:rsidTr="005A3CCD">
        <w:trPr>
          <w:trHeight w:val="360"/>
        </w:trPr>
        <w:tc>
          <w:tcPr>
            <w:tcW w:w="3127" w:type="dxa"/>
            <w:gridSpan w:val="4"/>
            <w:shd w:val="clear" w:color="auto" w:fill="FFFFFF"/>
            <w:vAlign w:val="center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gridSpan w:val="4"/>
            <w:shd w:val="clear" w:color="auto" w:fill="FFFFFF"/>
            <w:vAlign w:val="center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  <w:gridSpan w:val="3"/>
            <w:shd w:val="clear" w:color="auto" w:fill="FFFFFF"/>
            <w:vAlign w:val="center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A3CCD" w:rsidRPr="005A3CCD" w:rsidTr="005A3CCD">
        <w:trPr>
          <w:trHeight w:val="357"/>
        </w:trPr>
        <w:tc>
          <w:tcPr>
            <w:tcW w:w="3127" w:type="dxa"/>
            <w:gridSpan w:val="4"/>
            <w:shd w:val="clear" w:color="auto" w:fill="FFFFFF"/>
            <w:vAlign w:val="center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gridSpan w:val="4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gridSpan w:val="3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A3CCD" w:rsidRPr="005A3CCD" w:rsidTr="005A3CCD">
        <w:trPr>
          <w:trHeight w:val="357"/>
        </w:trPr>
        <w:tc>
          <w:tcPr>
            <w:tcW w:w="3127" w:type="dxa"/>
            <w:gridSpan w:val="4"/>
            <w:shd w:val="clear" w:color="auto" w:fill="FFFFFF"/>
            <w:vAlign w:val="center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gridSpan w:val="4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gridSpan w:val="3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A3CCD" w:rsidRPr="005A3CCD" w:rsidTr="005A3CCD">
        <w:trPr>
          <w:gridAfter w:val="1"/>
          <w:wAfter w:w="10" w:type="dxa"/>
          <w:trHeight w:val="348"/>
        </w:trPr>
        <w:tc>
          <w:tcPr>
            <w:tcW w:w="2237" w:type="dxa"/>
            <w:gridSpan w:val="2"/>
            <w:shd w:val="clear" w:color="auto" w:fill="FFFFFF"/>
            <w:vAlign w:val="center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Źródła finansowania </w:t>
            </w:r>
          </w:p>
        </w:tc>
        <w:tc>
          <w:tcPr>
            <w:tcW w:w="8700" w:type="dxa"/>
            <w:gridSpan w:val="26"/>
            <w:shd w:val="clear" w:color="auto" w:fill="FFFFFF"/>
            <w:vAlign w:val="bottom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2"/>
                <w:szCs w:val="21"/>
                <w:lang w:eastAsia="en-US"/>
              </w:rPr>
            </w:pPr>
          </w:p>
        </w:tc>
      </w:tr>
      <w:tr w:rsidR="005A3CCD" w:rsidRPr="005A3CCD" w:rsidTr="005A3CCD">
        <w:trPr>
          <w:gridAfter w:val="1"/>
          <w:wAfter w:w="10" w:type="dxa"/>
          <w:trHeight w:val="1347"/>
        </w:trPr>
        <w:tc>
          <w:tcPr>
            <w:tcW w:w="2237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Dodatkowe informacje, w tym wskazanie źródeł danych i przyjętych do obliczeń założeń</w:t>
            </w:r>
          </w:p>
        </w:tc>
        <w:tc>
          <w:tcPr>
            <w:tcW w:w="8700" w:type="dxa"/>
            <w:gridSpan w:val="26"/>
            <w:shd w:val="clear" w:color="auto" w:fill="FFFFFF"/>
          </w:tcPr>
          <w:p w:rsidR="005A3CCD" w:rsidRPr="005A3CCD" w:rsidRDefault="005A3CCD" w:rsidP="005A3CCD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color w:val="auto"/>
                <w:sz w:val="22"/>
                <w:szCs w:val="21"/>
                <w:lang w:eastAsia="en-US"/>
              </w:rPr>
              <w:t>Projektowane rozporządzenie nie spowoduje dodatkowych skutków finansowych dla sektora finansów publicznych, w tym budżetu państwa oraz budżetów jednostek samorządu terytorialnego.</w:t>
            </w:r>
          </w:p>
          <w:p w:rsidR="005A3CCD" w:rsidRPr="005A3CCD" w:rsidRDefault="005A3CCD" w:rsidP="005A3CCD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1"/>
                <w:lang w:eastAsia="en-US"/>
              </w:rPr>
            </w:pPr>
          </w:p>
          <w:p w:rsidR="005A3CCD" w:rsidRPr="005A3CCD" w:rsidRDefault="005A3CCD" w:rsidP="005A3CCD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2"/>
                <w:szCs w:val="21"/>
                <w:lang w:eastAsia="en-US"/>
              </w:rPr>
            </w:pPr>
          </w:p>
        </w:tc>
      </w:tr>
      <w:tr w:rsidR="005A3CCD" w:rsidRPr="005A3CCD" w:rsidTr="005A3CCD">
        <w:trPr>
          <w:gridAfter w:val="1"/>
          <w:wAfter w:w="10" w:type="dxa"/>
          <w:trHeight w:val="691"/>
        </w:trPr>
        <w:tc>
          <w:tcPr>
            <w:tcW w:w="10937" w:type="dxa"/>
            <w:gridSpan w:val="28"/>
            <w:shd w:val="clear" w:color="auto" w:fill="99CCFF"/>
          </w:tcPr>
          <w:p w:rsidR="005A3CCD" w:rsidRPr="005A3CCD" w:rsidRDefault="005A3CCD" w:rsidP="005A3CC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20" w:after="120" w:line="240" w:lineRule="auto"/>
              <w:jc w:val="left"/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  <w:lang w:eastAsia="en-US"/>
              </w:rPr>
              <w:t xml:space="preserve">Wpływ na </w:t>
            </w:r>
            <w:r w:rsidRPr="005A3CC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5A3CCD" w:rsidRPr="005A3CCD" w:rsidTr="005A3CCD">
        <w:trPr>
          <w:gridAfter w:val="1"/>
          <w:wAfter w:w="10" w:type="dxa"/>
          <w:trHeight w:val="142"/>
        </w:trPr>
        <w:tc>
          <w:tcPr>
            <w:tcW w:w="10937" w:type="dxa"/>
            <w:gridSpan w:val="28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en-US"/>
              </w:rPr>
              <w:t>Skutki</w:t>
            </w:r>
          </w:p>
        </w:tc>
      </w:tr>
      <w:tr w:rsidR="005A3CCD" w:rsidRPr="005A3CCD" w:rsidTr="005A3CCD">
        <w:trPr>
          <w:gridAfter w:val="1"/>
          <w:wAfter w:w="10" w:type="dxa"/>
          <w:trHeight w:val="142"/>
        </w:trPr>
        <w:tc>
          <w:tcPr>
            <w:tcW w:w="3883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Czas w latach od wejścia w życie zmian</w:t>
            </w:r>
          </w:p>
        </w:tc>
        <w:tc>
          <w:tcPr>
            <w:tcW w:w="93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938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93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93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93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93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i/>
                <w:spacing w:val="-2"/>
                <w:sz w:val="21"/>
                <w:szCs w:val="21"/>
                <w:lang w:eastAsia="en-US"/>
              </w:rPr>
              <w:t>Łącznie</w:t>
            </w:r>
            <w:r w:rsidRPr="005A3CCD" w:rsidDel="0073273A">
              <w:rPr>
                <w:rFonts w:ascii="Times New Roman" w:eastAsia="Times New Roman" w:hAnsi="Times New Roman" w:cs="Times New Roman"/>
                <w:i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5A3CCD">
              <w:rPr>
                <w:rFonts w:ascii="Times New Roman" w:eastAsia="Times New Roman" w:hAnsi="Times New Roman" w:cs="Times New Roman"/>
                <w:i/>
                <w:spacing w:val="-2"/>
                <w:sz w:val="21"/>
                <w:szCs w:val="21"/>
                <w:lang w:eastAsia="en-US"/>
              </w:rPr>
              <w:t>(0-10)</w:t>
            </w:r>
          </w:p>
        </w:tc>
      </w:tr>
      <w:tr w:rsidR="005A3CCD" w:rsidRPr="005A3CCD" w:rsidTr="005A3CCD">
        <w:trPr>
          <w:gridAfter w:val="1"/>
          <w:wAfter w:w="10" w:type="dxa"/>
          <w:trHeight w:val="142"/>
        </w:trPr>
        <w:tc>
          <w:tcPr>
            <w:tcW w:w="1592" w:type="dxa"/>
            <w:vMerge w:val="restart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W ujęciu pieniężnym</w:t>
            </w: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auto"/>
                <w:spacing w:val="-2"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color w:val="auto"/>
                <w:spacing w:val="-2"/>
                <w:sz w:val="21"/>
                <w:szCs w:val="21"/>
                <w:lang w:eastAsia="en-US"/>
              </w:rPr>
              <w:t xml:space="preserve">(w mln zł, </w:t>
            </w: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color w:val="auto"/>
                <w:spacing w:val="-2"/>
                <w:sz w:val="21"/>
                <w:szCs w:val="21"/>
                <w:lang w:eastAsia="en-US"/>
              </w:rPr>
              <w:t>ceny stałe z …… r.)</w:t>
            </w:r>
          </w:p>
        </w:tc>
        <w:tc>
          <w:tcPr>
            <w:tcW w:w="2291" w:type="dxa"/>
            <w:gridSpan w:val="6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37" w:type="dxa"/>
            <w:gridSpan w:val="4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28" w:type="dxa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en-US"/>
              </w:rPr>
            </w:pPr>
          </w:p>
        </w:tc>
      </w:tr>
      <w:tr w:rsidR="005A3CCD" w:rsidRPr="005A3CCD" w:rsidTr="005A3CCD">
        <w:trPr>
          <w:gridAfter w:val="1"/>
          <w:wAfter w:w="10" w:type="dxa"/>
          <w:trHeight w:val="142"/>
        </w:trPr>
        <w:tc>
          <w:tcPr>
            <w:tcW w:w="1592" w:type="dxa"/>
            <w:vMerge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291" w:type="dxa"/>
            <w:gridSpan w:val="6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37" w:type="dxa"/>
            <w:gridSpan w:val="4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28" w:type="dxa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en-US"/>
              </w:rPr>
            </w:pPr>
          </w:p>
        </w:tc>
      </w:tr>
      <w:tr w:rsidR="005A3CCD" w:rsidRPr="005A3CCD" w:rsidTr="005A3CCD">
        <w:trPr>
          <w:gridAfter w:val="1"/>
          <w:wAfter w:w="10" w:type="dxa"/>
          <w:trHeight w:val="142"/>
        </w:trPr>
        <w:tc>
          <w:tcPr>
            <w:tcW w:w="1592" w:type="dxa"/>
            <w:vMerge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291" w:type="dxa"/>
            <w:gridSpan w:val="6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en-US"/>
              </w:rPr>
              <w:t>rodzina, obywatele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37" w:type="dxa"/>
            <w:gridSpan w:val="4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28" w:type="dxa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en-US"/>
              </w:rPr>
            </w:pPr>
          </w:p>
        </w:tc>
      </w:tr>
      <w:tr w:rsidR="005A3CCD" w:rsidRPr="005A3CCD" w:rsidTr="005A3CCD">
        <w:trPr>
          <w:gridAfter w:val="1"/>
          <w:wAfter w:w="10" w:type="dxa"/>
          <w:trHeight w:val="142"/>
        </w:trPr>
        <w:tc>
          <w:tcPr>
            <w:tcW w:w="159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W ujęciu niepieniężnym</w:t>
            </w:r>
          </w:p>
        </w:tc>
        <w:tc>
          <w:tcPr>
            <w:tcW w:w="2291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duże przedsiębiorstwa</w:t>
            </w:r>
          </w:p>
        </w:tc>
        <w:tc>
          <w:tcPr>
            <w:tcW w:w="7054" w:type="dxa"/>
            <w:gridSpan w:val="21"/>
            <w:tcBorders>
              <w:top w:val="single" w:sz="4" w:space="0" w:color="auto"/>
            </w:tcBorders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en-US"/>
              </w:rPr>
            </w:pPr>
          </w:p>
        </w:tc>
      </w:tr>
      <w:tr w:rsidR="005A3CCD" w:rsidRPr="005A3CCD" w:rsidTr="005A3CCD">
        <w:trPr>
          <w:gridAfter w:val="1"/>
          <w:wAfter w:w="10" w:type="dxa"/>
          <w:trHeight w:val="142"/>
        </w:trPr>
        <w:tc>
          <w:tcPr>
            <w:tcW w:w="1592" w:type="dxa"/>
            <w:vMerge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291" w:type="dxa"/>
            <w:gridSpan w:val="6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sektor mikro-, małych i średnich przedsiębiorstw</w:t>
            </w:r>
          </w:p>
        </w:tc>
        <w:tc>
          <w:tcPr>
            <w:tcW w:w="7054" w:type="dxa"/>
            <w:gridSpan w:val="21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76" w:lineRule="auto"/>
              <w:ind w:left="20" w:right="20"/>
              <w:rPr>
                <w:rFonts w:ascii="Times New Roman" w:eastAsia="Times New Roman" w:hAnsi="Times New Roman" w:cs="Arial"/>
                <w:color w:val="auto"/>
                <w:sz w:val="22"/>
                <w:szCs w:val="22"/>
              </w:rPr>
            </w:pPr>
            <w:r w:rsidRPr="005A3CCD">
              <w:rPr>
                <w:rFonts w:ascii="Times New Roman" w:eastAsia="Times New Roman" w:hAnsi="Times New Roman" w:cs="Arial"/>
                <w:color w:val="auto"/>
                <w:sz w:val="22"/>
                <w:szCs w:val="22"/>
              </w:rPr>
              <w:t xml:space="preserve">Test MŚP, stosownie do przepisu art. 66 ust. 1 pkt 2 ustawy z dnia 6 marca 2018 r. – Prawo przedsiębiorców (Dz. U. poz. 646). </w:t>
            </w:r>
          </w:p>
          <w:p w:rsidR="005A3CCD" w:rsidRPr="005A3CCD" w:rsidRDefault="005A3CCD" w:rsidP="00D92DF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Przedmiotowy projekt nie określa zasad podejmowania, wykonywania lub zakończenia działalności gospodarczej, w związku z czym odstąpiono od </w:t>
            </w:r>
            <w:r w:rsidRPr="005A3C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analiz i oceny przewidywanych skutków społeczno-gospodarczych, wskazanych w art. 66 ust. 1 ustawy z dnia 6 marca 2018 r. – Prawo przedsiębiorców (Dz. U. poz. 646).</w:t>
            </w:r>
          </w:p>
        </w:tc>
      </w:tr>
      <w:tr w:rsidR="005A3CCD" w:rsidRPr="005A3CCD" w:rsidTr="005A3CCD">
        <w:trPr>
          <w:gridAfter w:val="1"/>
          <w:wAfter w:w="10" w:type="dxa"/>
          <w:trHeight w:val="596"/>
        </w:trPr>
        <w:tc>
          <w:tcPr>
            <w:tcW w:w="1592" w:type="dxa"/>
            <w:vMerge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291" w:type="dxa"/>
            <w:gridSpan w:val="6"/>
            <w:shd w:val="clear" w:color="auto" w:fill="FFFFFF"/>
          </w:tcPr>
          <w:p w:rsidR="005A3CCD" w:rsidRPr="005A3CCD" w:rsidRDefault="005A3CCD" w:rsidP="005A3CCD">
            <w:pPr>
              <w:widowControl/>
              <w:tabs>
                <w:tab w:val="right" w:pos="1936"/>
              </w:tabs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en-US"/>
              </w:rPr>
              <w:t>rodzina, obywatele oraz gospodarstwa domowe</w:t>
            </w:r>
            <w:r w:rsidRPr="005A3CC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7054" w:type="dxa"/>
            <w:gridSpan w:val="21"/>
            <w:shd w:val="clear" w:color="auto" w:fill="FFFFFF"/>
          </w:tcPr>
          <w:p w:rsidR="005A3CCD" w:rsidRPr="005A3CCD" w:rsidRDefault="005A3CCD" w:rsidP="005A3CCD">
            <w:pPr>
              <w:widowControl/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en-US"/>
              </w:rPr>
            </w:pPr>
          </w:p>
        </w:tc>
      </w:tr>
      <w:tr w:rsidR="005A3CCD" w:rsidRPr="005A3CCD" w:rsidTr="005A3CCD">
        <w:trPr>
          <w:gridAfter w:val="1"/>
          <w:wAfter w:w="10" w:type="dxa"/>
          <w:trHeight w:val="142"/>
        </w:trPr>
        <w:tc>
          <w:tcPr>
            <w:tcW w:w="1592" w:type="dxa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Niemierzalne</w:t>
            </w:r>
          </w:p>
        </w:tc>
        <w:tc>
          <w:tcPr>
            <w:tcW w:w="2291" w:type="dxa"/>
            <w:gridSpan w:val="6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5A3CC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instrText xml:space="preserve"> FORMTEXT </w:instrText>
            </w:r>
            <w:r w:rsidRPr="005A3CC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r>
            <w:r w:rsidRPr="005A3CC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fldChar w:fldCharType="separate"/>
            </w:r>
            <w:r w:rsidRPr="005A3CCD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en-US"/>
              </w:rPr>
              <w:t>(dodaj/usuń)</w:t>
            </w:r>
            <w:r w:rsidRPr="005A3CC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7054" w:type="dxa"/>
            <w:gridSpan w:val="21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en-US"/>
              </w:rPr>
            </w:pPr>
          </w:p>
        </w:tc>
      </w:tr>
      <w:tr w:rsidR="005A3CCD" w:rsidRPr="005A3CCD" w:rsidTr="005A3CCD">
        <w:trPr>
          <w:gridAfter w:val="1"/>
          <w:wAfter w:w="10" w:type="dxa"/>
          <w:trHeight w:val="1277"/>
        </w:trPr>
        <w:tc>
          <w:tcPr>
            <w:tcW w:w="2237" w:type="dxa"/>
            <w:gridSpan w:val="2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Dodatkowe informacje, w tym wskazanie źródeł danych i przyjętych do obliczeń założeń </w:t>
            </w:r>
          </w:p>
        </w:tc>
        <w:tc>
          <w:tcPr>
            <w:tcW w:w="8700" w:type="dxa"/>
            <w:gridSpan w:val="26"/>
            <w:shd w:val="clear" w:color="auto" w:fill="FFFFFF"/>
            <w:vAlign w:val="center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Wejście w życie projektowanego rozporządzenia nie będzie miało wpływu na konkurencyjność gospodarki i przedsiębiorczość, w tym funkcjonowanie przedsiębiorców oraz na rodzinę, obywateli i gospodarstwa domowe, jak również na osoby starsze i niepełnosprawne.</w:t>
            </w: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5A3CCD" w:rsidRPr="005A3CCD" w:rsidTr="005A3CCD">
        <w:trPr>
          <w:gridAfter w:val="1"/>
          <w:wAfter w:w="10" w:type="dxa"/>
          <w:trHeight w:val="342"/>
        </w:trPr>
        <w:tc>
          <w:tcPr>
            <w:tcW w:w="10937" w:type="dxa"/>
            <w:gridSpan w:val="28"/>
            <w:shd w:val="clear" w:color="auto" w:fill="99CCFF"/>
            <w:vAlign w:val="center"/>
          </w:tcPr>
          <w:p w:rsidR="005A3CCD" w:rsidRPr="005A3CCD" w:rsidRDefault="005A3CCD" w:rsidP="005A3CC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 Zmiana obciążeń regulacyjnych (w tym obowiązków informacyjnych) wynikających z projektu</w:t>
            </w:r>
          </w:p>
        </w:tc>
      </w:tr>
      <w:tr w:rsidR="005A3CCD" w:rsidRPr="005A3CCD" w:rsidTr="005A3CCD">
        <w:trPr>
          <w:gridAfter w:val="1"/>
          <w:wAfter w:w="10" w:type="dxa"/>
          <w:trHeight w:val="151"/>
        </w:trPr>
        <w:tc>
          <w:tcPr>
            <w:tcW w:w="10937" w:type="dxa"/>
            <w:gridSpan w:val="28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instrText xml:space="preserve"> FORMCHECKBOX </w:instrText>
            </w:r>
            <w:r w:rsidR="00D728D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r>
            <w:r w:rsidR="00D728D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separate"/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end"/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5A3CC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en-US"/>
              </w:rPr>
              <w:t>nie dotyczy</w:t>
            </w:r>
          </w:p>
        </w:tc>
      </w:tr>
      <w:tr w:rsidR="005A3CCD" w:rsidRPr="005A3CCD" w:rsidTr="005A3CCD">
        <w:trPr>
          <w:gridAfter w:val="1"/>
          <w:wAfter w:w="10" w:type="dxa"/>
          <w:trHeight w:val="946"/>
        </w:trPr>
        <w:tc>
          <w:tcPr>
            <w:tcW w:w="5105" w:type="dxa"/>
            <w:gridSpan w:val="11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en-US"/>
              </w:rPr>
              <w:t xml:space="preserve">Wprowadzane są obciążenia poza bezwzględnie wymaganymi przez UE </w:t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(szczegóły w odwróconej tabeli zgodności).</w:t>
            </w:r>
          </w:p>
        </w:tc>
        <w:tc>
          <w:tcPr>
            <w:tcW w:w="5832" w:type="dxa"/>
            <w:gridSpan w:val="17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instrText xml:space="preserve"> FORMCHECKBOX </w:instrText>
            </w:r>
            <w:r w:rsidR="00D728D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r>
            <w:r w:rsidR="00D728D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separate"/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end"/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tak</w:t>
            </w: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instrText xml:space="preserve"> FORMCHECKBOX </w:instrText>
            </w:r>
            <w:r w:rsidR="00D728D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r>
            <w:r w:rsidR="00D728D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separate"/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end"/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nie</w:t>
            </w: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instrText xml:space="preserve"> FORMCHECKBOX </w:instrText>
            </w:r>
            <w:r w:rsidR="00D728D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r>
            <w:r w:rsidR="00D728D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separate"/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end"/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nie dotyczy</w:t>
            </w:r>
          </w:p>
        </w:tc>
      </w:tr>
      <w:tr w:rsidR="005A3CCD" w:rsidRPr="005A3CCD" w:rsidTr="005A3CCD">
        <w:trPr>
          <w:gridAfter w:val="1"/>
          <w:wAfter w:w="10" w:type="dxa"/>
          <w:trHeight w:val="1245"/>
        </w:trPr>
        <w:tc>
          <w:tcPr>
            <w:tcW w:w="5105" w:type="dxa"/>
            <w:gridSpan w:val="11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instrText xml:space="preserve"> FORMCHECKBOX </w:instrText>
            </w:r>
            <w:r w:rsidR="00D728D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r>
            <w:r w:rsidR="00D728D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separate"/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end"/>
            </w:r>
            <w:r w:rsidRPr="005A3CC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A3CC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en-US"/>
              </w:rPr>
              <w:t xml:space="preserve">zmniejszenie liczby dokumentów </w:t>
            </w: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instrText xml:space="preserve"> FORMCHECKBOX </w:instrText>
            </w:r>
            <w:r w:rsidR="00D728D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r>
            <w:r w:rsidR="00D728D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separate"/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end"/>
            </w:r>
            <w:r w:rsidRPr="005A3CC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A3CC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en-US"/>
              </w:rPr>
              <w:t>zmniejszenie liczby procedur</w:t>
            </w: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instrText xml:space="preserve"> FORMCHECKBOX </w:instrText>
            </w:r>
            <w:r w:rsidR="00D728D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r>
            <w:r w:rsidR="00D728D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separate"/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end"/>
            </w:r>
            <w:r w:rsidRPr="005A3CC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A3CC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en-US"/>
              </w:rPr>
              <w:t>skrócenie czasu na załatwienie sprawy</w:t>
            </w: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instrText xml:space="preserve"> FORMCHECKBOX </w:instrText>
            </w:r>
            <w:r w:rsidR="00D728D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r>
            <w:r w:rsidR="00D728D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separate"/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end"/>
            </w:r>
            <w:r w:rsidRPr="005A3CC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A3CC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en-US"/>
              </w:rPr>
              <w:t>inne:</w:t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instrText xml:space="preserve"> FORMTEXT </w:instrText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separate"/>
            </w:r>
            <w:r w:rsidRPr="005A3CCD">
              <w:rPr>
                <w:rFonts w:ascii="Times New Roman" w:eastAsia="Times New Roman" w:hAnsi="Calibri" w:cs="Times New Roman"/>
                <w:noProof/>
                <w:sz w:val="22"/>
                <w:szCs w:val="22"/>
                <w:lang w:eastAsia="en-US"/>
              </w:rPr>
              <w:t> </w:t>
            </w:r>
            <w:r w:rsidRPr="005A3CCD">
              <w:rPr>
                <w:rFonts w:ascii="Times New Roman" w:eastAsia="Times New Roman" w:hAnsi="Calibri" w:cs="Times New Roman"/>
                <w:noProof/>
                <w:sz w:val="22"/>
                <w:szCs w:val="22"/>
                <w:lang w:eastAsia="en-US"/>
              </w:rPr>
              <w:t> </w:t>
            </w:r>
            <w:r w:rsidRPr="005A3CCD">
              <w:rPr>
                <w:rFonts w:ascii="Times New Roman" w:eastAsia="Times New Roman" w:hAnsi="Calibri" w:cs="Times New Roman"/>
                <w:noProof/>
                <w:sz w:val="22"/>
                <w:szCs w:val="22"/>
                <w:lang w:eastAsia="en-US"/>
              </w:rPr>
              <w:t> </w:t>
            </w:r>
            <w:r w:rsidRPr="005A3CCD">
              <w:rPr>
                <w:rFonts w:ascii="Times New Roman" w:eastAsia="Times New Roman" w:hAnsi="Calibri" w:cs="Times New Roman"/>
                <w:noProof/>
                <w:sz w:val="22"/>
                <w:szCs w:val="22"/>
                <w:lang w:eastAsia="en-US"/>
              </w:rPr>
              <w:t> </w:t>
            </w:r>
            <w:r w:rsidRPr="005A3CCD">
              <w:rPr>
                <w:rFonts w:ascii="Times New Roman" w:eastAsia="Times New Roman" w:hAnsi="Calibri" w:cs="Times New Roman"/>
                <w:noProof/>
                <w:sz w:val="22"/>
                <w:szCs w:val="22"/>
                <w:lang w:eastAsia="en-US"/>
              </w:rPr>
              <w:t> </w:t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832" w:type="dxa"/>
            <w:gridSpan w:val="17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instrText xml:space="preserve"> FORMCHECKBOX </w:instrText>
            </w:r>
            <w:r w:rsidR="00D728D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r>
            <w:r w:rsidR="00D728D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separate"/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end"/>
            </w:r>
            <w:r w:rsidRPr="005A3CC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A3CC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en-US"/>
              </w:rPr>
              <w:t>zwiększenie liczby dokumentów</w:t>
            </w: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instrText xml:space="preserve"> FORMCHECKBOX </w:instrText>
            </w:r>
            <w:r w:rsidR="00D728D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r>
            <w:r w:rsidR="00D728D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separate"/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end"/>
            </w:r>
            <w:r w:rsidRPr="005A3CC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A3CC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en-US"/>
              </w:rPr>
              <w:t>zwiększenie liczby procedur</w:t>
            </w: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instrText xml:space="preserve"> FORMCHECKBOX </w:instrText>
            </w:r>
            <w:r w:rsidR="00D728D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r>
            <w:r w:rsidR="00D728D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separate"/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end"/>
            </w:r>
            <w:r w:rsidRPr="005A3CC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A3CC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en-US"/>
              </w:rPr>
              <w:t>wydłużenie czasu na załatwienie sprawy</w:t>
            </w: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instrText xml:space="preserve"> FORMCHECKBOX </w:instrText>
            </w:r>
            <w:r w:rsidR="00D728D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r>
            <w:r w:rsidR="00D728D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separate"/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end"/>
            </w:r>
            <w:r w:rsidRPr="005A3CC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A3CC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en-US"/>
              </w:rPr>
              <w:t>inne:</w:t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instrText xml:space="preserve"> FORMTEXT </w:instrText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separate"/>
            </w:r>
            <w:r w:rsidRPr="005A3CCD">
              <w:rPr>
                <w:rFonts w:ascii="Times New Roman" w:eastAsia="Times New Roman" w:hAnsi="Calibri" w:cs="Times New Roman"/>
                <w:noProof/>
                <w:sz w:val="22"/>
                <w:szCs w:val="22"/>
                <w:lang w:eastAsia="en-US"/>
              </w:rPr>
              <w:t> </w:t>
            </w:r>
            <w:r w:rsidRPr="005A3CCD">
              <w:rPr>
                <w:rFonts w:ascii="Times New Roman" w:eastAsia="Times New Roman" w:hAnsi="Calibri" w:cs="Times New Roman"/>
                <w:noProof/>
                <w:sz w:val="22"/>
                <w:szCs w:val="22"/>
                <w:lang w:eastAsia="en-US"/>
              </w:rPr>
              <w:t> </w:t>
            </w:r>
            <w:r w:rsidRPr="005A3CCD">
              <w:rPr>
                <w:rFonts w:ascii="Times New Roman" w:eastAsia="Times New Roman" w:hAnsi="Calibri" w:cs="Times New Roman"/>
                <w:noProof/>
                <w:sz w:val="22"/>
                <w:szCs w:val="22"/>
                <w:lang w:eastAsia="en-US"/>
              </w:rPr>
              <w:t> </w:t>
            </w:r>
            <w:r w:rsidRPr="005A3CCD">
              <w:rPr>
                <w:rFonts w:ascii="Times New Roman" w:eastAsia="Times New Roman" w:hAnsi="Calibri" w:cs="Times New Roman"/>
                <w:noProof/>
                <w:sz w:val="22"/>
                <w:szCs w:val="22"/>
                <w:lang w:eastAsia="en-US"/>
              </w:rPr>
              <w:t> </w:t>
            </w:r>
            <w:r w:rsidRPr="005A3CCD">
              <w:rPr>
                <w:rFonts w:ascii="Times New Roman" w:eastAsia="Times New Roman" w:hAnsi="Calibri" w:cs="Times New Roman"/>
                <w:noProof/>
                <w:sz w:val="22"/>
                <w:szCs w:val="22"/>
                <w:lang w:eastAsia="en-US"/>
              </w:rPr>
              <w:t> </w:t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end"/>
            </w: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A3CCD" w:rsidRPr="005A3CCD" w:rsidTr="005A3CCD">
        <w:trPr>
          <w:gridAfter w:val="1"/>
          <w:wAfter w:w="10" w:type="dxa"/>
          <w:trHeight w:val="870"/>
        </w:trPr>
        <w:tc>
          <w:tcPr>
            <w:tcW w:w="5105" w:type="dxa"/>
            <w:gridSpan w:val="11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en-US"/>
              </w:rPr>
              <w:t xml:space="preserve">Wprowadzane obciążenia są przystosowane do ich elektronizacji. </w:t>
            </w:r>
          </w:p>
        </w:tc>
        <w:tc>
          <w:tcPr>
            <w:tcW w:w="5832" w:type="dxa"/>
            <w:gridSpan w:val="17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instrText xml:space="preserve"> FORMCHECKBOX </w:instrText>
            </w:r>
            <w:r w:rsidR="00D728D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r>
            <w:r w:rsidR="00D728D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separate"/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end"/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tak</w:t>
            </w: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instrText xml:space="preserve"> FORMCHECKBOX </w:instrText>
            </w:r>
            <w:r w:rsidR="00D728D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r>
            <w:r w:rsidR="00D728D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separate"/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end"/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nie</w:t>
            </w: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instrText xml:space="preserve"> FORMCHECKBOX </w:instrText>
            </w:r>
            <w:r w:rsidR="00D728D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r>
            <w:r w:rsidR="00D728D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separate"/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end"/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nie dotyczy </w:t>
            </w: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A3CCD" w:rsidRPr="005A3CCD" w:rsidTr="005A3CCD">
        <w:trPr>
          <w:gridAfter w:val="1"/>
          <w:wAfter w:w="10" w:type="dxa"/>
          <w:trHeight w:val="330"/>
        </w:trPr>
        <w:tc>
          <w:tcPr>
            <w:tcW w:w="10937" w:type="dxa"/>
            <w:gridSpan w:val="28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Komentarz: </w:t>
            </w: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A3CCD" w:rsidRPr="005A3CCD" w:rsidTr="005A3CCD">
        <w:trPr>
          <w:gridAfter w:val="1"/>
          <w:wAfter w:w="10" w:type="dxa"/>
          <w:trHeight w:val="142"/>
        </w:trPr>
        <w:tc>
          <w:tcPr>
            <w:tcW w:w="10937" w:type="dxa"/>
            <w:gridSpan w:val="28"/>
            <w:shd w:val="clear" w:color="auto" w:fill="99CCFF"/>
          </w:tcPr>
          <w:p w:rsidR="005A3CCD" w:rsidRPr="005A3CCD" w:rsidRDefault="005A3CCD" w:rsidP="005A3CC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Wpływ na rynek pracy </w:t>
            </w:r>
          </w:p>
        </w:tc>
      </w:tr>
      <w:tr w:rsidR="005A3CCD" w:rsidRPr="005A3CCD" w:rsidTr="005A3CCD">
        <w:trPr>
          <w:gridAfter w:val="1"/>
          <w:wAfter w:w="10" w:type="dxa"/>
          <w:trHeight w:val="142"/>
        </w:trPr>
        <w:tc>
          <w:tcPr>
            <w:tcW w:w="10937" w:type="dxa"/>
            <w:gridSpan w:val="28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Wejście w życie projektowanego rozporządzenia nie będzie miało wpływu na rynek pracy.</w:t>
            </w: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A3CCD" w:rsidRPr="005A3CCD" w:rsidTr="005A3CCD">
        <w:trPr>
          <w:gridAfter w:val="1"/>
          <w:wAfter w:w="10" w:type="dxa"/>
          <w:trHeight w:val="142"/>
        </w:trPr>
        <w:tc>
          <w:tcPr>
            <w:tcW w:w="10937" w:type="dxa"/>
            <w:gridSpan w:val="28"/>
            <w:shd w:val="clear" w:color="auto" w:fill="99CCFF"/>
          </w:tcPr>
          <w:p w:rsidR="005A3CCD" w:rsidRPr="005A3CCD" w:rsidRDefault="005A3CCD" w:rsidP="005A3CC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Wpływ na pozostałe obszary</w:t>
            </w:r>
          </w:p>
        </w:tc>
      </w:tr>
      <w:tr w:rsidR="005A3CCD" w:rsidRPr="005A3CCD" w:rsidTr="005A3CCD">
        <w:trPr>
          <w:gridAfter w:val="1"/>
          <w:wAfter w:w="10" w:type="dxa"/>
          <w:trHeight w:val="1031"/>
        </w:trPr>
        <w:tc>
          <w:tcPr>
            <w:tcW w:w="3541" w:type="dxa"/>
            <w:gridSpan w:val="5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instrText xml:space="preserve"> FORMCHECKBOX </w:instrText>
            </w:r>
            <w:r w:rsidR="00D728D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r>
            <w:r w:rsidR="00D728D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separate"/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end"/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5A3CC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en-US"/>
              </w:rPr>
              <w:t>środowisko naturalne</w:t>
            </w: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instrText xml:space="preserve"> FORMCHECKBOX </w:instrText>
            </w:r>
            <w:r w:rsidR="00D728D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r>
            <w:r w:rsidR="00D728D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separate"/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end"/>
            </w:r>
            <w:r w:rsidRPr="005A3CC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sytuacja i rozwój regionalny</w:t>
            </w: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instrText xml:space="preserve"> FORMCHECKBOX </w:instrText>
            </w:r>
            <w:r w:rsidR="00D728D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r>
            <w:r w:rsidR="00D728D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separate"/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end"/>
            </w:r>
            <w:r w:rsidRPr="005A3CC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A3CC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en-US"/>
              </w:rPr>
              <w:t xml:space="preserve">inne: </w:t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instrText xml:space="preserve"> FORMTEXT </w:instrText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separate"/>
            </w:r>
            <w:r w:rsidRPr="005A3CCD">
              <w:rPr>
                <w:rFonts w:ascii="Times New Roman" w:eastAsia="Times New Roman" w:hAnsi="Calibri" w:cs="Times New Roman"/>
                <w:noProof/>
                <w:sz w:val="22"/>
                <w:szCs w:val="22"/>
                <w:lang w:eastAsia="en-US"/>
              </w:rPr>
              <w:t> </w:t>
            </w:r>
            <w:r w:rsidRPr="005A3CCD">
              <w:rPr>
                <w:rFonts w:ascii="Times New Roman" w:eastAsia="Times New Roman" w:hAnsi="Calibri" w:cs="Times New Roman"/>
                <w:noProof/>
                <w:sz w:val="22"/>
                <w:szCs w:val="22"/>
                <w:lang w:eastAsia="en-US"/>
              </w:rPr>
              <w:t> </w:t>
            </w:r>
            <w:r w:rsidRPr="005A3CCD">
              <w:rPr>
                <w:rFonts w:ascii="Times New Roman" w:eastAsia="Times New Roman" w:hAnsi="Calibri" w:cs="Times New Roman"/>
                <w:noProof/>
                <w:sz w:val="22"/>
                <w:szCs w:val="22"/>
                <w:lang w:eastAsia="en-US"/>
              </w:rPr>
              <w:t> </w:t>
            </w:r>
            <w:r w:rsidRPr="005A3CCD">
              <w:rPr>
                <w:rFonts w:ascii="Times New Roman" w:eastAsia="Times New Roman" w:hAnsi="Calibri" w:cs="Times New Roman"/>
                <w:noProof/>
                <w:sz w:val="22"/>
                <w:szCs w:val="22"/>
                <w:lang w:eastAsia="en-US"/>
              </w:rPr>
              <w:t> </w:t>
            </w:r>
            <w:r w:rsidRPr="005A3CCD">
              <w:rPr>
                <w:rFonts w:ascii="Times New Roman" w:eastAsia="Times New Roman" w:hAnsi="Calibri" w:cs="Times New Roman"/>
                <w:noProof/>
                <w:sz w:val="22"/>
                <w:szCs w:val="22"/>
                <w:lang w:eastAsia="en-US"/>
              </w:rPr>
              <w:t> </w:t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end"/>
            </w: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14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instrText xml:space="preserve"> FORMCHECKBOX </w:instrText>
            </w:r>
            <w:r w:rsidR="00D728D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r>
            <w:r w:rsidR="00D728D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separate"/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end"/>
            </w:r>
            <w:r w:rsidRPr="005A3CC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A3CC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en-US"/>
              </w:rPr>
              <w:t>demografia</w:t>
            </w: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instrText xml:space="preserve"> FORMCHECKBOX </w:instrText>
            </w:r>
            <w:r w:rsidR="00D728D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r>
            <w:r w:rsidR="00D728D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separate"/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end"/>
            </w:r>
            <w:r w:rsidRPr="005A3CC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mienie państwowe</w:t>
            </w:r>
          </w:p>
        </w:tc>
        <w:tc>
          <w:tcPr>
            <w:tcW w:w="3709" w:type="dxa"/>
            <w:gridSpan w:val="9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instrText xml:space="preserve"> FORMCHECKBOX </w:instrText>
            </w:r>
            <w:r w:rsidR="00D728D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r>
            <w:r w:rsidR="00D728D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separate"/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end"/>
            </w:r>
            <w:r w:rsidRPr="005A3CC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A3CC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en-US"/>
              </w:rPr>
              <w:t>informatyzacja</w:t>
            </w: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instrText xml:space="preserve"> FORMCHECKBOX </w:instrText>
            </w:r>
            <w:r w:rsidR="00D728D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r>
            <w:r w:rsidR="00D728D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separate"/>
            </w: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fldChar w:fldCharType="end"/>
            </w:r>
            <w:r w:rsidRPr="005A3CC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A3CC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en-US"/>
              </w:rPr>
              <w:t>zdrowie</w:t>
            </w:r>
          </w:p>
        </w:tc>
      </w:tr>
      <w:tr w:rsidR="005A3CCD" w:rsidRPr="005A3CCD" w:rsidTr="005A3CCD">
        <w:trPr>
          <w:gridAfter w:val="1"/>
          <w:wAfter w:w="10" w:type="dxa"/>
          <w:trHeight w:val="486"/>
        </w:trPr>
        <w:tc>
          <w:tcPr>
            <w:tcW w:w="2237" w:type="dxa"/>
            <w:gridSpan w:val="2"/>
            <w:shd w:val="clear" w:color="auto" w:fill="FFFFFF"/>
            <w:vAlign w:val="center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Omówienie wpływu</w:t>
            </w:r>
          </w:p>
        </w:tc>
        <w:tc>
          <w:tcPr>
            <w:tcW w:w="8700" w:type="dxa"/>
            <w:gridSpan w:val="26"/>
            <w:shd w:val="clear" w:color="auto" w:fill="FFFFFF"/>
            <w:vAlign w:val="center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rPr>
                <w:rFonts w:ascii="TimesNewRomanPSMT" w:eastAsia="Times New Roman" w:hAnsi="TimesNewRomanPSMT" w:cs="TimesNewRomanPSMT"/>
                <w:color w:val="auto"/>
                <w:sz w:val="22"/>
                <w:szCs w:val="22"/>
              </w:rPr>
            </w:pPr>
            <w:r w:rsidRPr="005A3CCD">
              <w:rPr>
                <w:rFonts w:ascii="TimesNewRomanPSMT CE" w:eastAsia="Times New Roman" w:hAnsi="TimesNewRomanPSMT CE" w:cs="TimesNewRomanPSMT CE"/>
                <w:color w:val="auto"/>
                <w:sz w:val="22"/>
                <w:szCs w:val="22"/>
              </w:rPr>
              <w:t>Projektowane rozporządzenie nie będzie miało wpływ</w:t>
            </w:r>
            <w:r w:rsidRPr="005A3CCD">
              <w:rPr>
                <w:rFonts w:ascii="TimesNewRomanPSMT" w:eastAsia="Times New Roman" w:hAnsi="TimesNewRomanPSMT" w:cs="TimesNewRomanPSMT"/>
                <w:color w:val="auto"/>
                <w:sz w:val="22"/>
                <w:szCs w:val="22"/>
              </w:rPr>
              <w:t xml:space="preserve">u na ww. obszary. </w:t>
            </w:r>
          </w:p>
        </w:tc>
      </w:tr>
      <w:tr w:rsidR="005A3CCD" w:rsidRPr="005A3CCD" w:rsidTr="005A3CCD">
        <w:trPr>
          <w:gridAfter w:val="1"/>
          <w:wAfter w:w="10" w:type="dxa"/>
          <w:trHeight w:val="142"/>
        </w:trPr>
        <w:tc>
          <w:tcPr>
            <w:tcW w:w="10937" w:type="dxa"/>
            <w:gridSpan w:val="28"/>
            <w:shd w:val="clear" w:color="auto" w:fill="99CCFF"/>
          </w:tcPr>
          <w:p w:rsidR="005A3CCD" w:rsidRPr="005A3CCD" w:rsidRDefault="005A3CCD" w:rsidP="005A3CC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1"/>
                <w:szCs w:val="21"/>
                <w:lang w:eastAsia="en-US"/>
              </w:rPr>
              <w:t>Planowane wykonanie przepisów aktu prawnego</w:t>
            </w:r>
          </w:p>
        </w:tc>
      </w:tr>
      <w:tr w:rsidR="005A3CCD" w:rsidRPr="005A3CCD" w:rsidTr="005A3CCD">
        <w:trPr>
          <w:gridAfter w:val="1"/>
          <w:wAfter w:w="10" w:type="dxa"/>
          <w:trHeight w:val="142"/>
        </w:trPr>
        <w:tc>
          <w:tcPr>
            <w:tcW w:w="10937" w:type="dxa"/>
            <w:gridSpan w:val="28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eastAsia="en-US"/>
              </w:rPr>
            </w:pP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eastAsia="en-US"/>
              </w:rPr>
              <w:t>Wykonanie projektowanego rozporządzenia nastąpi z dniem jego wejścia w życie.</w:t>
            </w:r>
          </w:p>
        </w:tc>
      </w:tr>
      <w:tr w:rsidR="005A3CCD" w:rsidRPr="005A3CCD" w:rsidTr="005A3CCD">
        <w:trPr>
          <w:gridAfter w:val="1"/>
          <w:wAfter w:w="10" w:type="dxa"/>
          <w:trHeight w:val="142"/>
        </w:trPr>
        <w:tc>
          <w:tcPr>
            <w:tcW w:w="10937" w:type="dxa"/>
            <w:gridSpan w:val="28"/>
            <w:shd w:val="clear" w:color="auto" w:fill="99CCFF"/>
          </w:tcPr>
          <w:p w:rsidR="005A3CCD" w:rsidRPr="005A3CCD" w:rsidRDefault="005A3CCD" w:rsidP="005A3CC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5A3CCD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1"/>
                <w:szCs w:val="21"/>
                <w:lang w:eastAsia="en-US"/>
              </w:rPr>
              <w:t>W jaki sposób i kiedy nastąpi ewaluacja efektów projektu oraz jakie mierniki zostaną zastosowane?</w:t>
            </w:r>
          </w:p>
        </w:tc>
      </w:tr>
      <w:tr w:rsidR="005A3CCD" w:rsidRPr="005A3CCD" w:rsidTr="005A3CCD">
        <w:trPr>
          <w:gridAfter w:val="1"/>
          <w:wAfter w:w="10" w:type="dxa"/>
          <w:trHeight w:val="238"/>
        </w:trPr>
        <w:tc>
          <w:tcPr>
            <w:tcW w:w="10937" w:type="dxa"/>
            <w:gridSpan w:val="28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en-US"/>
              </w:rPr>
            </w:pPr>
          </w:p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en-US"/>
              </w:rPr>
              <w:t>Nie przewiduje się ewaluacji efektów projektowanych zmian.</w:t>
            </w:r>
          </w:p>
        </w:tc>
      </w:tr>
      <w:tr w:rsidR="005A3CCD" w:rsidRPr="005A3CCD" w:rsidTr="005A3CCD">
        <w:trPr>
          <w:gridAfter w:val="1"/>
          <w:wAfter w:w="10" w:type="dxa"/>
          <w:trHeight w:val="142"/>
        </w:trPr>
        <w:tc>
          <w:tcPr>
            <w:tcW w:w="10937" w:type="dxa"/>
            <w:gridSpan w:val="28"/>
            <w:shd w:val="clear" w:color="auto" w:fill="99CCFF"/>
          </w:tcPr>
          <w:p w:rsidR="005A3CCD" w:rsidRPr="005A3CCD" w:rsidRDefault="005A3CCD" w:rsidP="005A3CC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left"/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  <w:lang w:eastAsia="en-US"/>
              </w:rPr>
              <w:t xml:space="preserve">Załączniki </w:t>
            </w:r>
            <w:r w:rsidRPr="005A3CCD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1"/>
                <w:szCs w:val="21"/>
                <w:lang w:eastAsia="en-US"/>
              </w:rPr>
              <w:t>(istotne dokumenty źródłowe, badania, analizy itp.</w:t>
            </w:r>
            <w:r w:rsidRPr="005A3CCD"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5A3CCD" w:rsidRPr="005A3CCD" w:rsidTr="005A3CCD">
        <w:trPr>
          <w:gridAfter w:val="1"/>
          <w:wAfter w:w="10" w:type="dxa"/>
          <w:trHeight w:val="142"/>
        </w:trPr>
        <w:tc>
          <w:tcPr>
            <w:tcW w:w="10937" w:type="dxa"/>
            <w:gridSpan w:val="28"/>
            <w:shd w:val="clear" w:color="auto" w:fill="FFFFFF"/>
          </w:tcPr>
          <w:p w:rsidR="005A3CCD" w:rsidRPr="005A3CCD" w:rsidRDefault="005A3CCD" w:rsidP="005A3CCD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eastAsia="en-US"/>
              </w:rPr>
            </w:pPr>
            <w:r w:rsidRPr="005A3CCD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eastAsia="en-US"/>
              </w:rPr>
              <w:t>Brak.</w:t>
            </w:r>
          </w:p>
        </w:tc>
      </w:tr>
    </w:tbl>
    <w:p w:rsidR="0081033C" w:rsidRPr="005E3E35" w:rsidRDefault="0081033C">
      <w:pPr>
        <w:rPr>
          <w:sz w:val="24"/>
          <w:szCs w:val="24"/>
        </w:rPr>
      </w:pPr>
    </w:p>
    <w:sectPr w:rsidR="0081033C" w:rsidRPr="005E3E35" w:rsidSect="005A3CCD">
      <w:pgSz w:w="11907" w:h="16840"/>
      <w:pgMar w:top="851" w:right="1418" w:bottom="851" w:left="1418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61"/>
    <w:rsid w:val="005A3CCD"/>
    <w:rsid w:val="005E3E35"/>
    <w:rsid w:val="006E5148"/>
    <w:rsid w:val="00710D61"/>
    <w:rsid w:val="0081033C"/>
    <w:rsid w:val="008C629C"/>
    <w:rsid w:val="00B471B7"/>
    <w:rsid w:val="00B5696B"/>
    <w:rsid w:val="00B620F6"/>
    <w:rsid w:val="00D728D9"/>
    <w:rsid w:val="00D9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0D6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maintyt">
    <w:name w:val="h1.maintyt"/>
    <w:uiPriority w:val="99"/>
    <w:rsid w:val="00710D61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character" w:customStyle="1" w:styleId="Teksttreci">
    <w:name w:val="Tekst treści_"/>
    <w:link w:val="Teksttreci0"/>
    <w:locked/>
    <w:rsid w:val="00710D61"/>
    <w:rPr>
      <w:rFonts w:ascii="Arial" w:eastAsia="Times New Roman" w:hAnsi="Arial"/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10D61"/>
    <w:pPr>
      <w:widowControl/>
      <w:shd w:val="clear" w:color="auto" w:fill="FFFFFF"/>
      <w:autoSpaceDE/>
      <w:autoSpaceDN/>
      <w:adjustRightInd/>
      <w:spacing w:before="120" w:after="300" w:line="240" w:lineRule="atLeast"/>
      <w:ind w:hanging="420"/>
      <w:jc w:val="left"/>
    </w:pPr>
    <w:rPr>
      <w:rFonts w:ascii="Arial" w:eastAsia="Times New Roman" w:hAnsi="Arial" w:cstheme="minorBidi"/>
      <w:color w:val="auto"/>
      <w:sz w:val="21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0D6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maintyt">
    <w:name w:val="h1.maintyt"/>
    <w:uiPriority w:val="99"/>
    <w:rsid w:val="00710D61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character" w:customStyle="1" w:styleId="Teksttreci">
    <w:name w:val="Tekst treści_"/>
    <w:link w:val="Teksttreci0"/>
    <w:locked/>
    <w:rsid w:val="00710D61"/>
    <w:rPr>
      <w:rFonts w:ascii="Arial" w:eastAsia="Times New Roman" w:hAnsi="Arial"/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10D61"/>
    <w:pPr>
      <w:widowControl/>
      <w:shd w:val="clear" w:color="auto" w:fill="FFFFFF"/>
      <w:autoSpaceDE/>
      <w:autoSpaceDN/>
      <w:adjustRightInd/>
      <w:spacing w:before="120" w:after="300" w:line="240" w:lineRule="atLeast"/>
      <w:ind w:hanging="420"/>
      <w:jc w:val="left"/>
    </w:pPr>
    <w:rPr>
      <w:rFonts w:ascii="Arial" w:eastAsia="Times New Roman" w:hAnsi="Arial" w:cstheme="minorBidi"/>
      <w:color w:val="auto"/>
      <w:sz w:val="2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4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1868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Daugielewicz Andrzej</dc:creator>
  <cp:lastModifiedBy>Gontarewicz Jacek</cp:lastModifiedBy>
  <cp:revision>2</cp:revision>
  <dcterms:created xsi:type="dcterms:W3CDTF">2019-02-22T09:48:00Z</dcterms:created>
  <dcterms:modified xsi:type="dcterms:W3CDTF">2019-02-22T09:48:00Z</dcterms:modified>
</cp:coreProperties>
</file>