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9934F" w14:textId="2B8A8BC4" w:rsidR="00A86A29" w:rsidRDefault="001946B8" w:rsidP="00151DE2">
      <w:pPr>
        <w:spacing w:line="360" w:lineRule="auto"/>
        <w:jc w:val="both"/>
        <w:rPr>
          <w:rFonts w:ascii="Times New Roman" w:hAnsi="Times New Roman" w:cs="Times New Roman"/>
          <w:b/>
          <w:bCs/>
        </w:rPr>
      </w:pPr>
      <w:r>
        <w:rPr>
          <w:rFonts w:ascii="Times New Roman" w:hAnsi="Times New Roman" w:cs="Times New Roman"/>
          <w:b/>
          <w:bCs/>
        </w:rPr>
        <w:t>Komisja Kodyfikacyjna Prawa Karnego</w:t>
      </w:r>
    </w:p>
    <w:p w14:paraId="7BE05640" w14:textId="77777777" w:rsidR="00A65C1E" w:rsidRPr="00151DE2" w:rsidRDefault="00A65C1E" w:rsidP="00151DE2">
      <w:pPr>
        <w:spacing w:line="360" w:lineRule="auto"/>
        <w:jc w:val="both"/>
        <w:rPr>
          <w:rFonts w:ascii="Times New Roman" w:hAnsi="Times New Roman" w:cs="Times New Roman"/>
          <w:b/>
          <w:bCs/>
        </w:rPr>
      </w:pPr>
    </w:p>
    <w:p w14:paraId="5F4DE61B" w14:textId="3CF511AF" w:rsidR="00C341BA" w:rsidRDefault="00A86A29" w:rsidP="00402763">
      <w:pPr>
        <w:spacing w:line="360" w:lineRule="auto"/>
        <w:jc w:val="center"/>
        <w:rPr>
          <w:rFonts w:ascii="Times New Roman" w:hAnsi="Times New Roman" w:cs="Times New Roman"/>
          <w:b/>
          <w:bCs/>
        </w:rPr>
      </w:pPr>
      <w:r w:rsidRPr="00151DE2">
        <w:rPr>
          <w:rFonts w:ascii="Times New Roman" w:hAnsi="Times New Roman" w:cs="Times New Roman"/>
          <w:b/>
          <w:bCs/>
        </w:rPr>
        <w:t xml:space="preserve">Opinia dotycząca propozycji legislacyjnych </w:t>
      </w:r>
    </w:p>
    <w:p w14:paraId="58FC3CFE" w14:textId="327C22C0" w:rsidR="00A86A29" w:rsidRPr="00151DE2" w:rsidRDefault="00A86A29" w:rsidP="00402763">
      <w:pPr>
        <w:spacing w:line="360" w:lineRule="auto"/>
        <w:jc w:val="center"/>
        <w:rPr>
          <w:rFonts w:ascii="Times New Roman" w:hAnsi="Times New Roman" w:cs="Times New Roman"/>
          <w:b/>
          <w:bCs/>
        </w:rPr>
      </w:pPr>
      <w:r w:rsidRPr="00151DE2">
        <w:rPr>
          <w:rFonts w:ascii="Times New Roman" w:hAnsi="Times New Roman" w:cs="Times New Roman"/>
          <w:b/>
          <w:bCs/>
        </w:rPr>
        <w:t>mających na celu dopełnienie wdrożenia przez Polskę</w:t>
      </w:r>
    </w:p>
    <w:p w14:paraId="0FA49ED5" w14:textId="77777777" w:rsidR="00C341BA" w:rsidRDefault="00A86A29" w:rsidP="00402763">
      <w:pPr>
        <w:spacing w:line="360" w:lineRule="auto"/>
        <w:jc w:val="center"/>
        <w:rPr>
          <w:rFonts w:ascii="Times New Roman" w:hAnsi="Times New Roman" w:cs="Times New Roman"/>
          <w:b/>
          <w:bCs/>
          <w:i/>
          <w:iCs/>
        </w:rPr>
      </w:pPr>
      <w:r w:rsidRPr="00151DE2">
        <w:rPr>
          <w:rFonts w:ascii="Times New Roman" w:hAnsi="Times New Roman" w:cs="Times New Roman"/>
          <w:b/>
          <w:bCs/>
          <w:i/>
          <w:iCs/>
        </w:rPr>
        <w:t xml:space="preserve">dyrektywy Parlamentu Europejskiego i Rady (UE) 2017/1371 z dnia 5 lipca 2017 roku w sprawie zwalczania za pośrednictwem prawa karnego </w:t>
      </w:r>
    </w:p>
    <w:p w14:paraId="5FBCCB04" w14:textId="667773DC" w:rsidR="00A86A29" w:rsidRPr="00151DE2" w:rsidRDefault="00A86A29" w:rsidP="00402763">
      <w:pPr>
        <w:spacing w:line="360" w:lineRule="auto"/>
        <w:jc w:val="center"/>
        <w:rPr>
          <w:rFonts w:ascii="Times New Roman" w:hAnsi="Times New Roman" w:cs="Times New Roman"/>
          <w:b/>
          <w:bCs/>
          <w:i/>
          <w:iCs/>
        </w:rPr>
      </w:pPr>
      <w:r w:rsidRPr="00151DE2">
        <w:rPr>
          <w:rFonts w:ascii="Times New Roman" w:hAnsi="Times New Roman" w:cs="Times New Roman"/>
          <w:b/>
          <w:bCs/>
          <w:i/>
          <w:iCs/>
        </w:rPr>
        <w:t>nadużyć na szkodę interesów finansowych Unii (Dz.U.UE.L.2017.198.29)</w:t>
      </w:r>
    </w:p>
    <w:p w14:paraId="048AB988" w14:textId="77777777" w:rsidR="00A86A29" w:rsidRPr="00151DE2" w:rsidRDefault="00A86A29" w:rsidP="00151DE2">
      <w:pPr>
        <w:spacing w:line="360" w:lineRule="auto"/>
        <w:jc w:val="both"/>
        <w:rPr>
          <w:rFonts w:ascii="Times New Roman" w:hAnsi="Times New Roman" w:cs="Times New Roman"/>
          <w:color w:val="333333"/>
          <w:shd w:val="clear" w:color="auto" w:fill="FFFFFF"/>
        </w:rPr>
      </w:pPr>
    </w:p>
    <w:p w14:paraId="27B9A1A3" w14:textId="5D929C96" w:rsidR="00402763" w:rsidRDefault="00A86A29" w:rsidP="00915C7C">
      <w:pPr>
        <w:spacing w:line="360" w:lineRule="auto"/>
        <w:ind w:firstLine="360"/>
        <w:jc w:val="both"/>
        <w:rPr>
          <w:rFonts w:ascii="Times New Roman" w:hAnsi="Times New Roman" w:cs="Times New Roman"/>
          <w:color w:val="333333"/>
          <w:shd w:val="clear" w:color="auto" w:fill="FFFFFF"/>
        </w:rPr>
      </w:pPr>
      <w:r w:rsidRPr="00151DE2">
        <w:rPr>
          <w:rFonts w:ascii="Times New Roman" w:hAnsi="Times New Roman" w:cs="Times New Roman"/>
          <w:color w:val="333333"/>
          <w:shd w:val="clear" w:color="auto" w:fill="FFFFFF"/>
        </w:rPr>
        <w:t>Z otrzymanego zlecenia (korespondencji) wynika, że</w:t>
      </w:r>
      <w:r w:rsidR="00915C7C">
        <w:rPr>
          <w:rFonts w:ascii="Times New Roman" w:hAnsi="Times New Roman" w:cs="Times New Roman"/>
          <w:color w:val="333333"/>
          <w:shd w:val="clear" w:color="auto" w:fill="FFFFFF"/>
        </w:rPr>
        <w:t xml:space="preserve"> p</w:t>
      </w:r>
      <w:r w:rsidRPr="00915C7C">
        <w:rPr>
          <w:rFonts w:ascii="Times New Roman" w:hAnsi="Times New Roman" w:cs="Times New Roman"/>
          <w:color w:val="333333"/>
          <w:shd w:val="clear" w:color="auto" w:fill="FFFFFF"/>
        </w:rPr>
        <w:t xml:space="preserve">rzedmiotem oceny Ministerstwa Sprawiedliwości (Komisji Kodyfikacyjnej Prawa Karnego przy Ministrze Sprawiedliwości) </w:t>
      </w:r>
      <w:r w:rsidR="00C341BA" w:rsidRPr="00915C7C">
        <w:rPr>
          <w:rFonts w:ascii="Times New Roman" w:hAnsi="Times New Roman" w:cs="Times New Roman"/>
          <w:color w:val="333333"/>
          <w:shd w:val="clear" w:color="auto" w:fill="FFFFFF"/>
        </w:rPr>
        <w:t xml:space="preserve">ma być </w:t>
      </w:r>
      <w:r w:rsidR="00915C7C">
        <w:rPr>
          <w:rFonts w:ascii="Times New Roman" w:hAnsi="Times New Roman" w:cs="Times New Roman"/>
          <w:color w:val="333333"/>
          <w:shd w:val="clear" w:color="auto" w:fill="FFFFFF"/>
        </w:rPr>
        <w:t xml:space="preserve">projekt </w:t>
      </w:r>
      <w:r w:rsidR="00C341BA" w:rsidRPr="00915C7C">
        <w:rPr>
          <w:rFonts w:ascii="Times New Roman" w:hAnsi="Times New Roman" w:cs="Times New Roman"/>
          <w:color w:val="333333"/>
          <w:shd w:val="clear" w:color="auto" w:fill="FFFFFF"/>
        </w:rPr>
        <w:t>tylko</w:t>
      </w:r>
      <w:r w:rsidRPr="00915C7C">
        <w:rPr>
          <w:rFonts w:ascii="Times New Roman" w:hAnsi="Times New Roman" w:cs="Times New Roman"/>
          <w:color w:val="333333"/>
          <w:shd w:val="clear" w:color="auto" w:fill="FFFFFF"/>
        </w:rPr>
        <w:t xml:space="preserve"> </w:t>
      </w:r>
      <w:r w:rsidRPr="00915C7C">
        <w:rPr>
          <w:rFonts w:ascii="Times New Roman" w:hAnsi="Times New Roman" w:cs="Times New Roman"/>
          <w:b/>
          <w:bCs/>
          <w:color w:val="333333"/>
          <w:shd w:val="clear" w:color="auto" w:fill="FFFFFF"/>
        </w:rPr>
        <w:t>trzech konkretnych zmian</w:t>
      </w:r>
      <w:r w:rsidR="00C341BA" w:rsidRPr="00915C7C">
        <w:rPr>
          <w:rFonts w:ascii="Times New Roman" w:hAnsi="Times New Roman" w:cs="Times New Roman"/>
          <w:b/>
          <w:bCs/>
          <w:color w:val="333333"/>
          <w:shd w:val="clear" w:color="auto" w:fill="FFFFFF"/>
        </w:rPr>
        <w:t xml:space="preserve"> ustawowych</w:t>
      </w:r>
      <w:r w:rsidRPr="00915C7C">
        <w:rPr>
          <w:rFonts w:ascii="Times New Roman" w:hAnsi="Times New Roman" w:cs="Times New Roman"/>
          <w:color w:val="333333"/>
          <w:shd w:val="clear" w:color="auto" w:fill="FFFFFF"/>
        </w:rPr>
        <w:t>.</w:t>
      </w:r>
    </w:p>
    <w:p w14:paraId="172E241B" w14:textId="5C8E2100" w:rsidR="00C341BA" w:rsidRPr="00151DE2" w:rsidRDefault="00A86A29" w:rsidP="00915C7C">
      <w:pPr>
        <w:spacing w:line="360" w:lineRule="auto"/>
        <w:ind w:firstLine="360"/>
        <w:jc w:val="both"/>
        <w:rPr>
          <w:rFonts w:ascii="Times New Roman" w:hAnsi="Times New Roman" w:cs="Times New Roman"/>
          <w:color w:val="333333"/>
          <w:shd w:val="clear" w:color="auto" w:fill="FFFFFF"/>
        </w:rPr>
      </w:pPr>
      <w:r w:rsidRPr="00151DE2">
        <w:rPr>
          <w:rFonts w:ascii="Times New Roman" w:hAnsi="Times New Roman" w:cs="Times New Roman"/>
          <w:color w:val="333333"/>
          <w:shd w:val="clear" w:color="auto" w:fill="FFFFFF"/>
        </w:rPr>
        <w:t xml:space="preserve">Wobec powyższych okoliczności, odnosząc się do </w:t>
      </w:r>
      <w:r w:rsidR="00C341BA">
        <w:rPr>
          <w:rFonts w:ascii="Times New Roman" w:hAnsi="Times New Roman" w:cs="Times New Roman"/>
          <w:color w:val="333333"/>
          <w:shd w:val="clear" w:color="auto" w:fill="FFFFFF"/>
        </w:rPr>
        <w:t xml:space="preserve">przedłożonych </w:t>
      </w:r>
      <w:r w:rsidRPr="00151DE2">
        <w:rPr>
          <w:rFonts w:ascii="Times New Roman" w:hAnsi="Times New Roman" w:cs="Times New Roman"/>
          <w:color w:val="333333"/>
          <w:shd w:val="clear" w:color="auto" w:fill="FFFFFF"/>
        </w:rPr>
        <w:t>propozycji zmian (z założeniem dostępności i znajomości wszystkich dokumentów</w:t>
      </w:r>
      <w:r w:rsidR="00C341BA">
        <w:rPr>
          <w:rFonts w:ascii="Times New Roman" w:hAnsi="Times New Roman" w:cs="Times New Roman"/>
          <w:color w:val="333333"/>
          <w:shd w:val="clear" w:color="auto" w:fill="FFFFFF"/>
        </w:rPr>
        <w:t xml:space="preserve"> z nimi związanych</w:t>
      </w:r>
      <w:r w:rsidRPr="00151DE2">
        <w:rPr>
          <w:rFonts w:ascii="Times New Roman" w:hAnsi="Times New Roman" w:cs="Times New Roman"/>
          <w:color w:val="333333"/>
          <w:shd w:val="clear" w:color="auto" w:fill="FFFFFF"/>
        </w:rPr>
        <w:t>), należy stwierdzić, co następuje:</w:t>
      </w:r>
    </w:p>
    <w:p w14:paraId="7F93DB65" w14:textId="41A09966" w:rsidR="00A86A29" w:rsidRPr="000F5F93" w:rsidRDefault="00A86A29" w:rsidP="00151DE2">
      <w:pPr>
        <w:pStyle w:val="Akapitzlist"/>
        <w:numPr>
          <w:ilvl w:val="0"/>
          <w:numId w:val="2"/>
        </w:numPr>
        <w:spacing w:line="360" w:lineRule="auto"/>
        <w:jc w:val="both"/>
        <w:rPr>
          <w:rFonts w:ascii="Times New Roman" w:hAnsi="Times New Roman" w:cs="Times New Roman"/>
          <w:u w:val="single"/>
        </w:rPr>
      </w:pPr>
      <w:r w:rsidRPr="000F5F93">
        <w:rPr>
          <w:rFonts w:ascii="Times New Roman" w:hAnsi="Times New Roman" w:cs="Times New Roman"/>
          <w:u w:val="single"/>
        </w:rPr>
        <w:t>Odnośnie do propozycji zmiany brzmienia przepisu § 6 art. 229 K.k.</w:t>
      </w:r>
      <w:r w:rsidR="00A17EC6" w:rsidRPr="000F5F93">
        <w:rPr>
          <w:rFonts w:ascii="Times New Roman" w:hAnsi="Times New Roman" w:cs="Times New Roman"/>
          <w:u w:val="single"/>
        </w:rPr>
        <w:t>:</w:t>
      </w:r>
    </w:p>
    <w:p w14:paraId="7C273811" w14:textId="4FAEDA49" w:rsidR="00A86A29" w:rsidRPr="00151DE2" w:rsidRDefault="00A86A29"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Należy w pierwszej kolejności wskazać, że uzasadnieniem tej zmiany jest zarzut Komisji Europejskiej, iż </w:t>
      </w:r>
      <w:r w:rsidR="00A17EC6" w:rsidRPr="00151DE2">
        <w:rPr>
          <w:rFonts w:ascii="Times New Roman" w:hAnsi="Times New Roman" w:cs="Times New Roman"/>
        </w:rPr>
        <w:t>przepis art. 229 § 6 K.k. umożliwia zwolnienie sprawcy korupcji czynnej z odpowiedzialności karnej, co podważa wymaganą</w:t>
      </w:r>
      <w:r w:rsidR="00915C7C">
        <w:rPr>
          <w:rFonts w:ascii="Times New Roman" w:hAnsi="Times New Roman" w:cs="Times New Roman"/>
        </w:rPr>
        <w:t xml:space="preserve"> przez ww. dyrektywę</w:t>
      </w:r>
      <w:r w:rsidR="00C341BA">
        <w:rPr>
          <w:rFonts w:ascii="Times New Roman" w:hAnsi="Times New Roman" w:cs="Times New Roman"/>
        </w:rPr>
        <w:t>:</w:t>
      </w:r>
      <w:r w:rsidR="00A17EC6" w:rsidRPr="00151DE2">
        <w:rPr>
          <w:rFonts w:ascii="Times New Roman" w:hAnsi="Times New Roman" w:cs="Times New Roman"/>
        </w:rPr>
        <w:t xml:space="preserve"> skuteczność, proporcjonalność i odstraszający charakter sankcji </w:t>
      </w:r>
      <w:r w:rsidR="00214329" w:rsidRPr="00151DE2">
        <w:rPr>
          <w:rFonts w:ascii="Times New Roman" w:hAnsi="Times New Roman" w:cs="Times New Roman"/>
        </w:rPr>
        <w:t xml:space="preserve">karnych </w:t>
      </w:r>
      <w:r w:rsidR="00A17EC6" w:rsidRPr="00151DE2">
        <w:rPr>
          <w:rFonts w:ascii="Times New Roman" w:hAnsi="Times New Roman" w:cs="Times New Roman"/>
        </w:rPr>
        <w:t xml:space="preserve">z tytułu przestępstwa korupcji czynnej (co </w:t>
      </w:r>
      <w:r w:rsidR="00C341BA">
        <w:rPr>
          <w:rFonts w:ascii="Times New Roman" w:hAnsi="Times New Roman" w:cs="Times New Roman"/>
        </w:rPr>
        <w:t xml:space="preserve">znowu </w:t>
      </w:r>
      <w:r w:rsidR="00A17EC6" w:rsidRPr="00151DE2">
        <w:rPr>
          <w:rFonts w:ascii="Times New Roman" w:hAnsi="Times New Roman" w:cs="Times New Roman"/>
        </w:rPr>
        <w:t xml:space="preserve">ma naruszać wymagania </w:t>
      </w:r>
      <w:r w:rsidR="00C341BA">
        <w:rPr>
          <w:rFonts w:ascii="Times New Roman" w:hAnsi="Times New Roman" w:cs="Times New Roman"/>
        </w:rPr>
        <w:t xml:space="preserve">formalne </w:t>
      </w:r>
      <w:r w:rsidR="00A17EC6" w:rsidRPr="00151DE2">
        <w:rPr>
          <w:rFonts w:ascii="Times New Roman" w:hAnsi="Times New Roman" w:cs="Times New Roman"/>
        </w:rPr>
        <w:t xml:space="preserve">wskazane w art. 4 ust. 1 w zw. z art. 4 ust. 2 lit b ww. dyrektywy). </w:t>
      </w:r>
      <w:r w:rsidR="006942F9" w:rsidRPr="00151DE2">
        <w:rPr>
          <w:rFonts w:ascii="Times New Roman" w:hAnsi="Times New Roman" w:cs="Times New Roman"/>
        </w:rPr>
        <w:t xml:space="preserve">Zarzut ten związany jest ponadto z uwagą, że wskazane w tym przepisie karnym zachowanie sprawcy powinno być przedmiotem oceny sądu, a nie automatycznie prowadzić do uchylenia odpowiedzialności karnej. </w:t>
      </w:r>
    </w:p>
    <w:p w14:paraId="1D4C5B6F" w14:textId="3361E78E" w:rsidR="00151DE2" w:rsidRDefault="00A17EC6"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Istotą proponowanej zmiany jest zastąpienie klauzuli „nie podlegania karze”</w:t>
      </w:r>
      <w:r w:rsidR="00915C7C">
        <w:rPr>
          <w:rFonts w:ascii="Times New Roman" w:hAnsi="Times New Roman" w:cs="Times New Roman"/>
        </w:rPr>
        <w:t>,</w:t>
      </w:r>
      <w:r w:rsidRPr="00151DE2">
        <w:rPr>
          <w:rFonts w:ascii="Times New Roman" w:hAnsi="Times New Roman" w:cs="Times New Roman"/>
        </w:rPr>
        <w:t xml:space="preserve"> klauzulą fakultatywnego zastosowania nadzwyczajnego złagodzenia kary</w:t>
      </w:r>
      <w:r w:rsidR="00915C7C">
        <w:rPr>
          <w:rFonts w:ascii="Times New Roman" w:hAnsi="Times New Roman" w:cs="Times New Roman"/>
        </w:rPr>
        <w:t>.</w:t>
      </w:r>
    </w:p>
    <w:p w14:paraId="7CE2D4FA" w14:textId="74E463A6" w:rsidR="00C341BA" w:rsidRDefault="00BB6C29"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Z treści zarzutu Komisji Europejskiej i przedłożonej </w:t>
      </w:r>
      <w:r w:rsidR="00915C7C">
        <w:rPr>
          <w:rFonts w:ascii="Times New Roman" w:hAnsi="Times New Roman" w:cs="Times New Roman"/>
        </w:rPr>
        <w:t xml:space="preserve">na jej podstawie </w:t>
      </w:r>
      <w:r w:rsidRPr="00151DE2">
        <w:rPr>
          <w:rFonts w:ascii="Times New Roman" w:hAnsi="Times New Roman" w:cs="Times New Roman"/>
        </w:rPr>
        <w:t xml:space="preserve">propozycji nowelizacji wynika, że ich przedmiotem jest tylko ww. rozważany przepis. Wobec czego konieczne jest podkreślenie, że właściwym przedmiotem analizy </w:t>
      </w:r>
      <w:r w:rsidR="00915C7C">
        <w:rPr>
          <w:rFonts w:ascii="Times New Roman" w:hAnsi="Times New Roman" w:cs="Times New Roman"/>
        </w:rPr>
        <w:t>oraz</w:t>
      </w:r>
      <w:r w:rsidRPr="00151DE2">
        <w:rPr>
          <w:rFonts w:ascii="Times New Roman" w:hAnsi="Times New Roman" w:cs="Times New Roman"/>
        </w:rPr>
        <w:t xml:space="preserve"> oceny może i powinien być cały przepis art. 229 K.k. Przewiduje on odpowiedzialność karną dla sprawcy łapownictwa czynnego</w:t>
      </w:r>
      <w:r w:rsidR="00C341BA">
        <w:rPr>
          <w:rFonts w:ascii="Times New Roman" w:hAnsi="Times New Roman" w:cs="Times New Roman"/>
        </w:rPr>
        <w:t>, z sankcjami karnymi</w:t>
      </w:r>
      <w:r w:rsidRPr="00151DE2">
        <w:rPr>
          <w:rFonts w:ascii="Times New Roman" w:hAnsi="Times New Roman" w:cs="Times New Roman"/>
        </w:rPr>
        <w:t xml:space="preserve"> </w:t>
      </w:r>
      <w:r w:rsidR="00C341BA">
        <w:rPr>
          <w:rFonts w:ascii="Times New Roman" w:hAnsi="Times New Roman" w:cs="Times New Roman"/>
        </w:rPr>
        <w:t xml:space="preserve">począwszy </w:t>
      </w:r>
      <w:r w:rsidRPr="00151DE2">
        <w:rPr>
          <w:rFonts w:ascii="Times New Roman" w:hAnsi="Times New Roman" w:cs="Times New Roman"/>
        </w:rPr>
        <w:t xml:space="preserve">od grzywny (§ 2) aż do </w:t>
      </w:r>
      <w:r w:rsidR="00C341BA">
        <w:rPr>
          <w:rFonts w:ascii="Times New Roman" w:hAnsi="Times New Roman" w:cs="Times New Roman"/>
        </w:rPr>
        <w:t xml:space="preserve">kary </w:t>
      </w:r>
      <w:r w:rsidRPr="00151DE2">
        <w:rPr>
          <w:rFonts w:ascii="Times New Roman" w:hAnsi="Times New Roman" w:cs="Times New Roman"/>
        </w:rPr>
        <w:t xml:space="preserve">pozbawienia wolności </w:t>
      </w:r>
      <w:r w:rsidR="00C341BA">
        <w:rPr>
          <w:rFonts w:ascii="Times New Roman" w:hAnsi="Times New Roman" w:cs="Times New Roman"/>
        </w:rPr>
        <w:t xml:space="preserve">do lat 20 </w:t>
      </w:r>
      <w:r w:rsidRPr="00151DE2">
        <w:rPr>
          <w:rFonts w:ascii="Times New Roman" w:hAnsi="Times New Roman" w:cs="Times New Roman"/>
        </w:rPr>
        <w:t xml:space="preserve">(§ 4a). </w:t>
      </w:r>
    </w:p>
    <w:p w14:paraId="4ECA89DF" w14:textId="375AC6C5" w:rsidR="00151DE2" w:rsidRDefault="00BB6C29"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Pod adresem </w:t>
      </w:r>
      <w:r w:rsidR="00915C7C">
        <w:rPr>
          <w:rFonts w:ascii="Times New Roman" w:hAnsi="Times New Roman" w:cs="Times New Roman"/>
        </w:rPr>
        <w:t xml:space="preserve">przepisów </w:t>
      </w:r>
      <w:r w:rsidRPr="00151DE2">
        <w:rPr>
          <w:rFonts w:ascii="Times New Roman" w:hAnsi="Times New Roman" w:cs="Times New Roman"/>
        </w:rPr>
        <w:t xml:space="preserve">art. 229 § 1-6 K.k., tak w praktyce, jak i w teorii </w:t>
      </w:r>
      <w:r w:rsidR="00C341BA">
        <w:rPr>
          <w:rFonts w:ascii="Times New Roman" w:hAnsi="Times New Roman" w:cs="Times New Roman"/>
        </w:rPr>
        <w:t xml:space="preserve">rodzimego </w:t>
      </w:r>
      <w:r w:rsidRPr="00151DE2">
        <w:rPr>
          <w:rFonts w:ascii="Times New Roman" w:hAnsi="Times New Roman" w:cs="Times New Roman"/>
        </w:rPr>
        <w:t xml:space="preserve">prawa karnego do tej pory nie podnoszono wartych odnotowania zarzutów braku </w:t>
      </w:r>
      <w:r w:rsidRPr="00151DE2">
        <w:rPr>
          <w:rFonts w:ascii="Times New Roman" w:hAnsi="Times New Roman" w:cs="Times New Roman"/>
        </w:rPr>
        <w:lastRenderedPageBreak/>
        <w:t>skuteczności, proporcjonalności i odstraszającego charakteru ich sankcji (jak i dyspozycji). Na</w:t>
      </w:r>
      <w:r w:rsidR="00FF0057" w:rsidRPr="00151DE2">
        <w:rPr>
          <w:rFonts w:ascii="Times New Roman" w:hAnsi="Times New Roman" w:cs="Times New Roman"/>
        </w:rPr>
        <w:t xml:space="preserve">leży również odnotować, że zarzut Komisji Europejskiej nie jest uzasadniony w żaden inny sposób, jak tylko ogólna impresją, że przepis § 6 art. 229 K.k. samodzielnie cech powyższych nie spełnia. Trudno zatem odnosić się do niego merytorycznie. W każdym razie, wydaje się, że główna moc </w:t>
      </w:r>
      <w:r w:rsidR="00C341BA">
        <w:rPr>
          <w:rFonts w:ascii="Times New Roman" w:hAnsi="Times New Roman" w:cs="Times New Roman"/>
        </w:rPr>
        <w:t xml:space="preserve">tego </w:t>
      </w:r>
      <w:r w:rsidR="00FF0057" w:rsidRPr="00151DE2">
        <w:rPr>
          <w:rFonts w:ascii="Times New Roman" w:hAnsi="Times New Roman" w:cs="Times New Roman"/>
        </w:rPr>
        <w:t xml:space="preserve">zarzutu wynika z charakteru podmiotu, który go formułuje, a nie z faktycznych podstaw. </w:t>
      </w:r>
      <w:r w:rsidR="00595105" w:rsidRPr="00151DE2">
        <w:rPr>
          <w:rFonts w:ascii="Times New Roman" w:hAnsi="Times New Roman" w:cs="Times New Roman"/>
        </w:rPr>
        <w:t xml:space="preserve">Na marginesie należy odnotować </w:t>
      </w:r>
      <w:r w:rsidR="00C341BA">
        <w:rPr>
          <w:rFonts w:ascii="Times New Roman" w:hAnsi="Times New Roman" w:cs="Times New Roman"/>
        </w:rPr>
        <w:t xml:space="preserve">również </w:t>
      </w:r>
      <w:r w:rsidR="00595105" w:rsidRPr="00151DE2">
        <w:rPr>
          <w:rFonts w:ascii="Times New Roman" w:hAnsi="Times New Roman" w:cs="Times New Roman"/>
        </w:rPr>
        <w:t xml:space="preserve">brak </w:t>
      </w:r>
      <w:r w:rsidR="00C341BA">
        <w:rPr>
          <w:rFonts w:ascii="Times New Roman" w:hAnsi="Times New Roman" w:cs="Times New Roman"/>
        </w:rPr>
        <w:t xml:space="preserve">jakiegokolwiek merytorycznego </w:t>
      </w:r>
      <w:r w:rsidR="00595105" w:rsidRPr="00151DE2">
        <w:rPr>
          <w:rFonts w:ascii="Times New Roman" w:hAnsi="Times New Roman" w:cs="Times New Roman"/>
        </w:rPr>
        <w:t xml:space="preserve">uzasadnienia dla proponowanej </w:t>
      </w:r>
      <w:r w:rsidR="00C341BA">
        <w:rPr>
          <w:rFonts w:ascii="Times New Roman" w:hAnsi="Times New Roman" w:cs="Times New Roman"/>
        </w:rPr>
        <w:t xml:space="preserve">(analizowanej) </w:t>
      </w:r>
      <w:r w:rsidR="00595105" w:rsidRPr="00151DE2">
        <w:rPr>
          <w:rFonts w:ascii="Times New Roman" w:hAnsi="Times New Roman" w:cs="Times New Roman"/>
        </w:rPr>
        <w:t>zmiany, co w istocie oznacza</w:t>
      </w:r>
      <w:r w:rsidR="00C341BA">
        <w:rPr>
          <w:rFonts w:ascii="Times New Roman" w:hAnsi="Times New Roman" w:cs="Times New Roman"/>
        </w:rPr>
        <w:t>, że za</w:t>
      </w:r>
      <w:r w:rsidR="003A0550" w:rsidRPr="00151DE2">
        <w:rPr>
          <w:rFonts w:ascii="Times New Roman" w:hAnsi="Times New Roman" w:cs="Times New Roman"/>
        </w:rPr>
        <w:t xml:space="preserve"> wystarczające</w:t>
      </w:r>
      <w:r w:rsidR="00C341BA">
        <w:rPr>
          <w:rFonts w:ascii="Times New Roman" w:hAnsi="Times New Roman" w:cs="Times New Roman"/>
        </w:rPr>
        <w:t xml:space="preserve"> uznano tutaj ogólne i bezpodstawne </w:t>
      </w:r>
      <w:r w:rsidR="003A0550" w:rsidRPr="00151DE2">
        <w:rPr>
          <w:rFonts w:ascii="Times New Roman" w:hAnsi="Times New Roman" w:cs="Times New Roman"/>
        </w:rPr>
        <w:t>uzasadnieni</w:t>
      </w:r>
      <w:r w:rsidR="00C341BA">
        <w:rPr>
          <w:rFonts w:ascii="Times New Roman" w:hAnsi="Times New Roman" w:cs="Times New Roman"/>
        </w:rPr>
        <w:t>e</w:t>
      </w:r>
      <w:r w:rsidR="003A0550" w:rsidRPr="00151DE2">
        <w:rPr>
          <w:rFonts w:ascii="Times New Roman" w:hAnsi="Times New Roman" w:cs="Times New Roman"/>
        </w:rPr>
        <w:t xml:space="preserve"> Komisji Europejskiej.</w:t>
      </w:r>
    </w:p>
    <w:p w14:paraId="7AC3D646" w14:textId="0C749057" w:rsidR="00151DE2" w:rsidRPr="00CE2591" w:rsidRDefault="003A0550"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b/>
          <w:bCs/>
        </w:rPr>
        <w:t xml:space="preserve">Wobec powyższego należy podkreślić, że prawo karne (akt kryminalizacji i penalizacji) powinien zawsze opierać się na określonych podstawach w postaci danych kryminologicznych (rzeczywistego obrazu zjawiska danej przestępczości oraz faktycznego funkcjonowania danego rozwiązania w praktyce). W tym przypadku takiej podstawy brakuje. Z pewnością określona </w:t>
      </w:r>
      <w:r w:rsidR="00C341BA">
        <w:rPr>
          <w:rFonts w:ascii="Times New Roman" w:hAnsi="Times New Roman" w:cs="Times New Roman"/>
          <w:b/>
          <w:bCs/>
        </w:rPr>
        <w:t xml:space="preserve">subiektywna </w:t>
      </w:r>
      <w:r w:rsidRPr="00151DE2">
        <w:rPr>
          <w:rFonts w:ascii="Times New Roman" w:hAnsi="Times New Roman" w:cs="Times New Roman"/>
          <w:b/>
          <w:bCs/>
        </w:rPr>
        <w:t>ocena Komisji Europejskiej wystarczającym uzasadnieniem zmiany prawa karnego nie jest.</w:t>
      </w:r>
    </w:p>
    <w:p w14:paraId="46532BD4" w14:textId="3BDCD7A2" w:rsidR="00CE2591" w:rsidRPr="00CE2591" w:rsidRDefault="00CE2591" w:rsidP="00151DE2">
      <w:pPr>
        <w:pStyle w:val="Akapitzlist"/>
        <w:numPr>
          <w:ilvl w:val="0"/>
          <w:numId w:val="3"/>
        </w:numPr>
        <w:spacing w:line="360" w:lineRule="auto"/>
        <w:jc w:val="both"/>
        <w:rPr>
          <w:rFonts w:ascii="Times New Roman" w:hAnsi="Times New Roman" w:cs="Times New Roman"/>
        </w:rPr>
      </w:pPr>
      <w:r w:rsidRPr="00CE2591">
        <w:rPr>
          <w:rFonts w:ascii="Times New Roman" w:hAnsi="Times New Roman" w:cs="Times New Roman"/>
        </w:rPr>
        <w:t>Za w pełni aktualne uzna</w:t>
      </w:r>
      <w:r w:rsidR="00016518">
        <w:rPr>
          <w:rFonts w:ascii="Times New Roman" w:hAnsi="Times New Roman" w:cs="Times New Roman"/>
        </w:rPr>
        <w:t>ć</w:t>
      </w:r>
      <w:r w:rsidRPr="00CE2591">
        <w:rPr>
          <w:rFonts w:ascii="Times New Roman" w:hAnsi="Times New Roman" w:cs="Times New Roman"/>
        </w:rPr>
        <w:t xml:space="preserve"> tutaj należy argumenty przywołane w odpowiedzi na zarzuty Komisji Europejskiej (pismo Minis</w:t>
      </w:r>
      <w:r>
        <w:rPr>
          <w:rFonts w:ascii="Times New Roman" w:hAnsi="Times New Roman" w:cs="Times New Roman"/>
        </w:rPr>
        <w:t>te</w:t>
      </w:r>
      <w:r w:rsidRPr="00CE2591">
        <w:rPr>
          <w:rFonts w:ascii="Times New Roman" w:hAnsi="Times New Roman" w:cs="Times New Roman"/>
        </w:rPr>
        <w:t>rstwo Sprawiedliwości z dnia 31 lipca 2023 r. - pkt 162-164</w:t>
      </w:r>
      <w:r>
        <w:rPr>
          <w:rFonts w:ascii="Times New Roman" w:hAnsi="Times New Roman" w:cs="Times New Roman"/>
        </w:rPr>
        <w:t>).</w:t>
      </w:r>
    </w:p>
    <w:p w14:paraId="1C24C360" w14:textId="6F1BE8CA" w:rsidR="00151DE2" w:rsidRPr="00151DE2" w:rsidRDefault="00C341BA" w:rsidP="00151DE2">
      <w:pPr>
        <w:pStyle w:val="Akapitzlist"/>
        <w:numPr>
          <w:ilvl w:val="0"/>
          <w:numId w:val="3"/>
        </w:numPr>
        <w:spacing w:line="360" w:lineRule="auto"/>
        <w:jc w:val="both"/>
        <w:rPr>
          <w:rFonts w:ascii="Times New Roman" w:hAnsi="Times New Roman" w:cs="Times New Roman"/>
        </w:rPr>
      </w:pPr>
      <w:r>
        <w:rPr>
          <w:rFonts w:ascii="Times New Roman" w:hAnsi="Times New Roman" w:cs="Times New Roman"/>
          <w:color w:val="333333"/>
          <w:shd w:val="clear" w:color="auto" w:fill="FFFFFF"/>
        </w:rPr>
        <w:t>Odnosząc się merytorycznie (i mimo wszystko – konstruktywnie) do proponowanej zmiany, należy w pierwszej kolejności wskazać, że r</w:t>
      </w:r>
      <w:r w:rsidR="003A0550" w:rsidRPr="00151DE2">
        <w:rPr>
          <w:rFonts w:ascii="Times New Roman" w:hAnsi="Times New Roman" w:cs="Times New Roman"/>
          <w:color w:val="333333"/>
          <w:shd w:val="clear" w:color="auto" w:fill="FFFFFF"/>
        </w:rPr>
        <w:t>ozważany przepis § 6 art. 229 K.k. został wprowadzony ustawą z dnia 13.06.2003 r. o zmianie ustawy – Kodeks karny […] (Dz.U. Nr 111, poz. 1061), która weszła w życie 1.07.2003 r.</w:t>
      </w:r>
    </w:p>
    <w:p w14:paraId="14874CCF" w14:textId="773AF886" w:rsidR="00151DE2" w:rsidRDefault="00FF0057"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Propozycja wprowadzenia do </w:t>
      </w:r>
      <w:r w:rsidR="00C341BA">
        <w:rPr>
          <w:rFonts w:ascii="Times New Roman" w:hAnsi="Times New Roman" w:cs="Times New Roman"/>
        </w:rPr>
        <w:t xml:space="preserve">przepisu </w:t>
      </w:r>
      <w:r w:rsidRPr="00151DE2">
        <w:rPr>
          <w:rFonts w:ascii="Times New Roman" w:hAnsi="Times New Roman" w:cs="Times New Roman"/>
        </w:rPr>
        <w:t xml:space="preserve">§ 6 </w:t>
      </w:r>
      <w:r w:rsidR="00C341BA">
        <w:rPr>
          <w:rFonts w:ascii="Times New Roman" w:hAnsi="Times New Roman" w:cs="Times New Roman"/>
        </w:rPr>
        <w:t xml:space="preserve">art. 229 K.k. konstrukcji (mechanizmu) </w:t>
      </w:r>
      <w:r w:rsidRPr="00151DE2">
        <w:rPr>
          <w:rFonts w:ascii="Times New Roman" w:hAnsi="Times New Roman" w:cs="Times New Roman"/>
        </w:rPr>
        <w:t>nadzwyczajnego złagodzenia kary nie jest nowa.</w:t>
      </w:r>
      <w:r w:rsidR="00D33C95" w:rsidRPr="00151DE2">
        <w:rPr>
          <w:rFonts w:ascii="Times New Roman" w:hAnsi="Times New Roman" w:cs="Times New Roman"/>
        </w:rPr>
        <w:t xml:space="preserve"> Projekt ustawy wprowadzającej ten przepis przewidywał </w:t>
      </w:r>
      <w:r w:rsidR="00C341BA">
        <w:rPr>
          <w:rFonts w:ascii="Times New Roman" w:hAnsi="Times New Roman" w:cs="Times New Roman"/>
        </w:rPr>
        <w:t xml:space="preserve">bowiem </w:t>
      </w:r>
      <w:r w:rsidR="00D33C95" w:rsidRPr="00151DE2">
        <w:rPr>
          <w:rFonts w:ascii="Times New Roman" w:hAnsi="Times New Roman" w:cs="Times New Roman"/>
        </w:rPr>
        <w:t xml:space="preserve">pierwotnie </w:t>
      </w:r>
      <w:r w:rsidR="00C341BA">
        <w:rPr>
          <w:rFonts w:ascii="Times New Roman" w:hAnsi="Times New Roman" w:cs="Times New Roman"/>
        </w:rPr>
        <w:t xml:space="preserve">właśnie </w:t>
      </w:r>
      <w:r w:rsidR="00D33C95" w:rsidRPr="00151DE2">
        <w:rPr>
          <w:rFonts w:ascii="Times New Roman" w:hAnsi="Times New Roman" w:cs="Times New Roman"/>
        </w:rPr>
        <w:t>klauzulę</w:t>
      </w:r>
      <w:r w:rsidR="003A0550" w:rsidRPr="00151DE2">
        <w:rPr>
          <w:rFonts w:ascii="Times New Roman" w:hAnsi="Times New Roman" w:cs="Times New Roman"/>
        </w:rPr>
        <w:t xml:space="preserve"> </w:t>
      </w:r>
      <w:r w:rsidR="00D33C95" w:rsidRPr="00151DE2">
        <w:rPr>
          <w:rFonts w:ascii="Times New Roman" w:hAnsi="Times New Roman" w:cs="Times New Roman"/>
          <w:b/>
          <w:bCs/>
        </w:rPr>
        <w:t xml:space="preserve">obligatoryjnego </w:t>
      </w:r>
      <w:r w:rsidR="003A0550" w:rsidRPr="00151DE2">
        <w:rPr>
          <w:rFonts w:ascii="Times New Roman" w:hAnsi="Times New Roman" w:cs="Times New Roman"/>
          <w:b/>
          <w:bCs/>
        </w:rPr>
        <w:t xml:space="preserve">zastosowania </w:t>
      </w:r>
      <w:r w:rsidR="00D33C95" w:rsidRPr="00151DE2">
        <w:rPr>
          <w:rFonts w:ascii="Times New Roman" w:hAnsi="Times New Roman" w:cs="Times New Roman"/>
          <w:b/>
          <w:bCs/>
        </w:rPr>
        <w:t>nadzwyczajnego złagodzenia kary albo odstąpienia od jej wymierzenia</w:t>
      </w:r>
      <w:r w:rsidR="00D33C95" w:rsidRPr="00151DE2">
        <w:rPr>
          <w:rFonts w:ascii="Times New Roman" w:hAnsi="Times New Roman" w:cs="Times New Roman"/>
        </w:rPr>
        <w:t xml:space="preserve"> (druk </w:t>
      </w:r>
      <w:r w:rsidR="00595105" w:rsidRPr="00151DE2">
        <w:rPr>
          <w:rFonts w:ascii="Times New Roman" w:hAnsi="Times New Roman" w:cs="Times New Roman"/>
        </w:rPr>
        <w:t xml:space="preserve">nr </w:t>
      </w:r>
      <w:r w:rsidR="00D33C95" w:rsidRPr="00151DE2">
        <w:rPr>
          <w:rFonts w:ascii="Times New Roman" w:hAnsi="Times New Roman" w:cs="Times New Roman"/>
        </w:rPr>
        <w:t xml:space="preserve">869 Sejmu RP IV kadencji). Projektodawcy uzasadniali takie rozwiązanie „względami polityki kryminalnej oraz doświadczeniami praktyki organów ścigania i wymiaru sprawiedliwości”, wyrażając przy tym przekonanie, że „zaproponowana norma powinna pozwolić na złamanie solidarności przestępczej biorcy i dawcy korzyści majątkowej lub osobistej”. W trakcie prac sejmowych zaproponowano </w:t>
      </w:r>
      <w:r w:rsidR="00C341BA">
        <w:rPr>
          <w:rFonts w:ascii="Times New Roman" w:hAnsi="Times New Roman" w:cs="Times New Roman"/>
        </w:rPr>
        <w:t xml:space="preserve">jednak </w:t>
      </w:r>
      <w:r w:rsidR="00D33C95" w:rsidRPr="00151DE2">
        <w:rPr>
          <w:rFonts w:ascii="Times New Roman" w:hAnsi="Times New Roman" w:cs="Times New Roman"/>
        </w:rPr>
        <w:t xml:space="preserve">zmianę powyższej klauzuli na </w:t>
      </w:r>
      <w:r w:rsidR="00D33C95" w:rsidRPr="00151DE2">
        <w:rPr>
          <w:rFonts w:ascii="Times New Roman" w:hAnsi="Times New Roman" w:cs="Times New Roman"/>
          <w:b/>
          <w:bCs/>
        </w:rPr>
        <w:t xml:space="preserve">fakultatywne zastosowanie nadzwyczajnego złagodzenia kary albo odstąpienie od jej wymierzenia „w </w:t>
      </w:r>
      <w:r w:rsidR="00D33C95" w:rsidRPr="00151DE2">
        <w:rPr>
          <w:rFonts w:ascii="Times New Roman" w:hAnsi="Times New Roman" w:cs="Times New Roman"/>
          <w:b/>
          <w:bCs/>
        </w:rPr>
        <w:lastRenderedPageBreak/>
        <w:t>szczególnie uzasadnionych przypadkach”</w:t>
      </w:r>
      <w:r w:rsidR="00D33C95" w:rsidRPr="00151DE2">
        <w:rPr>
          <w:rFonts w:ascii="Times New Roman" w:hAnsi="Times New Roman" w:cs="Times New Roman"/>
        </w:rPr>
        <w:t xml:space="preserve">. </w:t>
      </w:r>
      <w:r w:rsidR="00595105" w:rsidRPr="00151DE2">
        <w:rPr>
          <w:rFonts w:ascii="Times New Roman" w:hAnsi="Times New Roman" w:cs="Times New Roman"/>
        </w:rPr>
        <w:t xml:space="preserve">Komisja Nadzwyczajna ds. Zmian  w Kodyfikacjach (przewodniczący – Janusz Wojciechowski) odrzuciła jednak tę </w:t>
      </w:r>
      <w:r w:rsidR="00C341BA">
        <w:rPr>
          <w:rFonts w:ascii="Times New Roman" w:hAnsi="Times New Roman" w:cs="Times New Roman"/>
        </w:rPr>
        <w:t>propozycję</w:t>
      </w:r>
      <w:r w:rsidR="00595105" w:rsidRPr="00151DE2">
        <w:rPr>
          <w:rFonts w:ascii="Times New Roman" w:hAnsi="Times New Roman" w:cs="Times New Roman"/>
        </w:rPr>
        <w:t xml:space="preserve"> i zaproponowała własną </w:t>
      </w:r>
      <w:r w:rsidR="00C341BA">
        <w:rPr>
          <w:rFonts w:ascii="Times New Roman" w:hAnsi="Times New Roman" w:cs="Times New Roman"/>
        </w:rPr>
        <w:t xml:space="preserve">zmianę </w:t>
      </w:r>
      <w:r w:rsidR="00595105" w:rsidRPr="00151DE2">
        <w:rPr>
          <w:rFonts w:ascii="Times New Roman" w:hAnsi="Times New Roman" w:cs="Times New Roman"/>
        </w:rPr>
        <w:t>o treści, któr</w:t>
      </w:r>
      <w:r w:rsidR="00C341BA">
        <w:rPr>
          <w:rFonts w:ascii="Times New Roman" w:hAnsi="Times New Roman" w:cs="Times New Roman"/>
        </w:rPr>
        <w:t>ą</w:t>
      </w:r>
      <w:r w:rsidR="00595105" w:rsidRPr="00151DE2">
        <w:rPr>
          <w:rFonts w:ascii="Times New Roman" w:hAnsi="Times New Roman" w:cs="Times New Roman"/>
        </w:rPr>
        <w:t xml:space="preserve"> ostatecznie uchwalono w brzmieniu obecnie obowiązującym (druk nr 1412-A Sejmu RP IV kadencji). </w:t>
      </w:r>
      <w:r w:rsidR="00C341BA">
        <w:rPr>
          <w:rFonts w:ascii="Times New Roman" w:hAnsi="Times New Roman" w:cs="Times New Roman"/>
        </w:rPr>
        <w:t>Dodać należy, że w trakcie procesu legislacyjnego z</w:t>
      </w:r>
      <w:r w:rsidR="00595105" w:rsidRPr="00151DE2">
        <w:rPr>
          <w:rFonts w:ascii="Times New Roman" w:hAnsi="Times New Roman" w:cs="Times New Roman"/>
        </w:rPr>
        <w:t xml:space="preserve">miana ta </w:t>
      </w:r>
      <w:r w:rsidR="00915C7C">
        <w:rPr>
          <w:rFonts w:ascii="Times New Roman" w:hAnsi="Times New Roman" w:cs="Times New Roman"/>
        </w:rPr>
        <w:t xml:space="preserve">(i ostateczna wersja projektu ustawy) </w:t>
      </w:r>
      <w:r w:rsidR="00595105" w:rsidRPr="00151DE2">
        <w:rPr>
          <w:rFonts w:ascii="Times New Roman" w:hAnsi="Times New Roman" w:cs="Times New Roman"/>
        </w:rPr>
        <w:t xml:space="preserve">została </w:t>
      </w:r>
      <w:r w:rsidR="00C341BA">
        <w:rPr>
          <w:rFonts w:ascii="Times New Roman" w:hAnsi="Times New Roman" w:cs="Times New Roman"/>
        </w:rPr>
        <w:t xml:space="preserve">jednoznacznie </w:t>
      </w:r>
      <w:r w:rsidR="00595105" w:rsidRPr="00151DE2">
        <w:rPr>
          <w:rFonts w:ascii="Times New Roman" w:hAnsi="Times New Roman" w:cs="Times New Roman"/>
        </w:rPr>
        <w:t xml:space="preserve">pozytywnie zaopiniowana przez Komitet Integracji Europejskiej (przewodnicząca – Danuta Hubner). </w:t>
      </w:r>
    </w:p>
    <w:p w14:paraId="108F132D" w14:textId="335C4D33" w:rsidR="00151DE2" w:rsidRDefault="00595105"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Wynika z powyższego, że ustawodawca </w:t>
      </w:r>
      <w:r w:rsidR="00151DE2" w:rsidRPr="00151DE2">
        <w:rPr>
          <w:rFonts w:ascii="Times New Roman" w:hAnsi="Times New Roman" w:cs="Times New Roman"/>
        </w:rPr>
        <w:t xml:space="preserve">początkowo </w:t>
      </w:r>
      <w:r w:rsidRPr="00151DE2">
        <w:rPr>
          <w:rFonts w:ascii="Times New Roman" w:hAnsi="Times New Roman" w:cs="Times New Roman"/>
        </w:rPr>
        <w:t xml:space="preserve">rozważał różne klauzule łagodzące odpowiedzialność karną, jakkolwiek nigdy nie rozważał klauzuli przewidującej </w:t>
      </w:r>
      <w:r w:rsidRPr="00151DE2">
        <w:rPr>
          <w:rFonts w:ascii="Times New Roman" w:hAnsi="Times New Roman" w:cs="Times New Roman"/>
          <w:b/>
          <w:bCs/>
        </w:rPr>
        <w:t>fakultatywne zastosowanie nadzwyczajnego złagodzenia kary</w:t>
      </w:r>
      <w:r w:rsidRPr="00151DE2">
        <w:rPr>
          <w:rFonts w:ascii="Times New Roman" w:hAnsi="Times New Roman" w:cs="Times New Roman"/>
        </w:rPr>
        <w:t xml:space="preserve"> (zgodnie z rozpatrywan</w:t>
      </w:r>
      <w:r w:rsidR="00915C7C">
        <w:rPr>
          <w:rFonts w:ascii="Times New Roman" w:hAnsi="Times New Roman" w:cs="Times New Roman"/>
        </w:rPr>
        <w:t>ą</w:t>
      </w:r>
      <w:r w:rsidRPr="00151DE2">
        <w:rPr>
          <w:rFonts w:ascii="Times New Roman" w:hAnsi="Times New Roman" w:cs="Times New Roman"/>
        </w:rPr>
        <w:t xml:space="preserve"> propozycją zmian).</w:t>
      </w:r>
      <w:r w:rsidR="003A0550" w:rsidRPr="00151DE2">
        <w:rPr>
          <w:rFonts w:ascii="Times New Roman" w:hAnsi="Times New Roman" w:cs="Times New Roman"/>
        </w:rPr>
        <w:t xml:space="preserve"> Projektodawcy ustawy (obecnego rozwiązania) nie rozważali również klauzuli najbardziej typowej w tego typu przypadkach, tj. </w:t>
      </w:r>
      <w:r w:rsidR="003A0550" w:rsidRPr="00151DE2">
        <w:rPr>
          <w:rFonts w:ascii="Times New Roman" w:hAnsi="Times New Roman" w:cs="Times New Roman"/>
          <w:b/>
          <w:bCs/>
        </w:rPr>
        <w:t>fakultatywnego zastosowania nadzwyczajnego złagodzenia kary albo odstąpienia od jej wymierzenia</w:t>
      </w:r>
      <w:r w:rsidR="003A0550" w:rsidRPr="00151DE2">
        <w:rPr>
          <w:rFonts w:ascii="Times New Roman" w:hAnsi="Times New Roman" w:cs="Times New Roman"/>
        </w:rPr>
        <w:t xml:space="preserve"> (bez konieczności zaistnienia </w:t>
      </w:r>
      <w:r w:rsidR="00C341BA">
        <w:rPr>
          <w:rFonts w:ascii="Times New Roman" w:hAnsi="Times New Roman" w:cs="Times New Roman"/>
        </w:rPr>
        <w:t>„</w:t>
      </w:r>
      <w:r w:rsidR="003A0550" w:rsidRPr="00151DE2">
        <w:rPr>
          <w:rFonts w:ascii="Times New Roman" w:hAnsi="Times New Roman" w:cs="Times New Roman"/>
        </w:rPr>
        <w:t>szczególnie uzasadnionego przypadku</w:t>
      </w:r>
      <w:r w:rsidR="00C341BA">
        <w:rPr>
          <w:rFonts w:ascii="Times New Roman" w:hAnsi="Times New Roman" w:cs="Times New Roman"/>
        </w:rPr>
        <w:t>”</w:t>
      </w:r>
      <w:r w:rsidR="003A0550" w:rsidRPr="00151DE2">
        <w:rPr>
          <w:rFonts w:ascii="Times New Roman" w:hAnsi="Times New Roman" w:cs="Times New Roman"/>
        </w:rPr>
        <w:t xml:space="preserve">). Jakkolwiek jednak </w:t>
      </w:r>
      <w:r w:rsidR="006942F9" w:rsidRPr="00151DE2">
        <w:rPr>
          <w:rFonts w:ascii="Times New Roman" w:hAnsi="Times New Roman" w:cs="Times New Roman"/>
        </w:rPr>
        <w:t xml:space="preserve">jest to rozwiązanie </w:t>
      </w:r>
      <w:r w:rsidR="00915C7C">
        <w:rPr>
          <w:rFonts w:ascii="Times New Roman" w:hAnsi="Times New Roman" w:cs="Times New Roman"/>
        </w:rPr>
        <w:t>najczęściej</w:t>
      </w:r>
      <w:r w:rsidR="006942F9" w:rsidRPr="00151DE2">
        <w:rPr>
          <w:rFonts w:ascii="Times New Roman" w:hAnsi="Times New Roman" w:cs="Times New Roman"/>
        </w:rPr>
        <w:t xml:space="preserve"> przewidziane przez ustawodawcę, to jednak w praktyce jest ono stosowane relatywnie rzadko, a to z uwagi na – rozpatrywany z perspektywy sprawcy </w:t>
      </w:r>
      <w:r w:rsidR="00915C7C">
        <w:rPr>
          <w:rFonts w:ascii="Times New Roman" w:hAnsi="Times New Roman" w:cs="Times New Roman"/>
        </w:rPr>
        <w:t>–</w:t>
      </w:r>
      <w:r w:rsidR="006942F9" w:rsidRPr="00151DE2">
        <w:rPr>
          <w:rFonts w:ascii="Times New Roman" w:hAnsi="Times New Roman" w:cs="Times New Roman"/>
        </w:rPr>
        <w:t xml:space="preserve"> </w:t>
      </w:r>
      <w:r w:rsidR="00915C7C">
        <w:rPr>
          <w:rFonts w:ascii="Times New Roman" w:hAnsi="Times New Roman" w:cs="Times New Roman"/>
        </w:rPr>
        <w:t xml:space="preserve">dysfunkcjonalny </w:t>
      </w:r>
      <w:r w:rsidR="006942F9" w:rsidRPr="00151DE2">
        <w:rPr>
          <w:rFonts w:ascii="Times New Roman" w:hAnsi="Times New Roman" w:cs="Times New Roman"/>
        </w:rPr>
        <w:t>brak właściwej ekwiwalencji pomiędzy tak złagodzoną odpowiedzialnością karną, a procesowym „świadczeniem” ze strony sprawcy. Z tego też powodu</w:t>
      </w:r>
      <w:r w:rsidR="00915C7C">
        <w:rPr>
          <w:rFonts w:ascii="Times New Roman" w:hAnsi="Times New Roman" w:cs="Times New Roman"/>
        </w:rPr>
        <w:t>,</w:t>
      </w:r>
      <w:r w:rsidR="006942F9" w:rsidRPr="00151DE2">
        <w:rPr>
          <w:rFonts w:ascii="Times New Roman" w:hAnsi="Times New Roman" w:cs="Times New Roman"/>
        </w:rPr>
        <w:t xml:space="preserve"> rozwiązanie takie nie jest właściwe dla rozważanej tutaj sytuacji.</w:t>
      </w:r>
    </w:p>
    <w:p w14:paraId="4F1D9EEA" w14:textId="77777777" w:rsidR="00151DE2" w:rsidRDefault="006942F9"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Klauzula określona w § 6 art. 229 K.k., w ujęciu łącznym z pozostałymi regulacjami art. 229 K.k., jest normatywnie poprawna, a w praktyce funkcjonuje właściwie. Należy przy tym dodać, że jest ona systemowo potrzebna, albowiem zachowanie sprawcy w niej przewidziane nie daje podstaw do zastosowania nadzwyczajnego złagodzenia kary (art. 60 K.k.) albo odstąpienia od jej wymierzenia (art. 61 K.k.) na zasadach ogólnych.</w:t>
      </w:r>
    </w:p>
    <w:p w14:paraId="3C2F35D5" w14:textId="136A01E0" w:rsidR="00151DE2" w:rsidRPr="00151DE2" w:rsidRDefault="006942F9"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Przyznając</w:t>
      </w:r>
      <w:r w:rsidR="00C341BA">
        <w:rPr>
          <w:rFonts w:ascii="Times New Roman" w:hAnsi="Times New Roman" w:cs="Times New Roman"/>
        </w:rPr>
        <w:t xml:space="preserve"> jednak</w:t>
      </w:r>
      <w:r w:rsidRPr="00151DE2">
        <w:rPr>
          <w:rFonts w:ascii="Times New Roman" w:hAnsi="Times New Roman" w:cs="Times New Roman"/>
        </w:rPr>
        <w:t xml:space="preserve">, że obecnie obowiązująca klauzula jest rozwiązaniem </w:t>
      </w:r>
      <w:r w:rsidR="00C341BA">
        <w:rPr>
          <w:rFonts w:ascii="Times New Roman" w:hAnsi="Times New Roman" w:cs="Times New Roman"/>
        </w:rPr>
        <w:t>obiektywnie karnoprawnie „</w:t>
      </w:r>
      <w:r w:rsidR="0088161D" w:rsidRPr="00151DE2">
        <w:rPr>
          <w:rFonts w:ascii="Times New Roman" w:hAnsi="Times New Roman" w:cs="Times New Roman"/>
        </w:rPr>
        <w:t>radykalnym</w:t>
      </w:r>
      <w:r w:rsidR="00C341BA">
        <w:rPr>
          <w:rFonts w:ascii="Times New Roman" w:hAnsi="Times New Roman" w:cs="Times New Roman"/>
        </w:rPr>
        <w:t>”</w:t>
      </w:r>
      <w:r w:rsidR="0088161D" w:rsidRPr="00151DE2">
        <w:rPr>
          <w:rFonts w:ascii="Times New Roman" w:hAnsi="Times New Roman" w:cs="Times New Roman"/>
        </w:rPr>
        <w:t xml:space="preserve">, bo </w:t>
      </w:r>
      <w:r w:rsidRPr="00151DE2">
        <w:rPr>
          <w:rFonts w:ascii="Times New Roman" w:hAnsi="Times New Roman" w:cs="Times New Roman"/>
        </w:rPr>
        <w:t>z założeni</w:t>
      </w:r>
      <w:r w:rsidR="0088161D" w:rsidRPr="00151DE2">
        <w:rPr>
          <w:rFonts w:ascii="Times New Roman" w:hAnsi="Times New Roman" w:cs="Times New Roman"/>
        </w:rPr>
        <w:t>a</w:t>
      </w:r>
      <w:r w:rsidRPr="00151DE2">
        <w:rPr>
          <w:rFonts w:ascii="Times New Roman" w:hAnsi="Times New Roman" w:cs="Times New Roman"/>
        </w:rPr>
        <w:t xml:space="preserve"> </w:t>
      </w:r>
      <w:r w:rsidR="0088161D" w:rsidRPr="00151DE2">
        <w:rPr>
          <w:rFonts w:ascii="Times New Roman" w:hAnsi="Times New Roman" w:cs="Times New Roman"/>
        </w:rPr>
        <w:t xml:space="preserve">bezwzględnie </w:t>
      </w:r>
      <w:r w:rsidRPr="00151DE2">
        <w:rPr>
          <w:rFonts w:ascii="Times New Roman" w:hAnsi="Times New Roman" w:cs="Times New Roman"/>
        </w:rPr>
        <w:t xml:space="preserve">wyłączającym </w:t>
      </w:r>
      <w:r w:rsidR="00151DE2" w:rsidRPr="00151DE2">
        <w:rPr>
          <w:rFonts w:ascii="Times New Roman" w:hAnsi="Times New Roman" w:cs="Times New Roman"/>
        </w:rPr>
        <w:t>poniesienie</w:t>
      </w:r>
      <w:r w:rsidRPr="00151DE2">
        <w:rPr>
          <w:rFonts w:ascii="Times New Roman" w:hAnsi="Times New Roman" w:cs="Times New Roman"/>
        </w:rPr>
        <w:t xml:space="preserve"> odpowiedzialności karnej (proces), </w:t>
      </w:r>
      <w:r w:rsidR="0088161D" w:rsidRPr="00151DE2">
        <w:rPr>
          <w:rFonts w:ascii="Times New Roman" w:hAnsi="Times New Roman" w:cs="Times New Roman"/>
        </w:rPr>
        <w:t>a w następstwie tego - po</w:t>
      </w:r>
      <w:r w:rsidRPr="00151DE2">
        <w:rPr>
          <w:rFonts w:ascii="Times New Roman" w:hAnsi="Times New Roman" w:cs="Times New Roman"/>
        </w:rPr>
        <w:t xml:space="preserve">szukując dla niej </w:t>
      </w:r>
      <w:r w:rsidR="00151DE2" w:rsidRPr="00151DE2">
        <w:rPr>
          <w:rFonts w:ascii="Times New Roman" w:hAnsi="Times New Roman" w:cs="Times New Roman"/>
        </w:rPr>
        <w:t>ewentualnej</w:t>
      </w:r>
      <w:r w:rsidRPr="00151DE2">
        <w:rPr>
          <w:rFonts w:ascii="Times New Roman" w:hAnsi="Times New Roman" w:cs="Times New Roman"/>
        </w:rPr>
        <w:t xml:space="preserve"> alternatywy</w:t>
      </w:r>
      <w:r w:rsidR="00915C7C">
        <w:rPr>
          <w:rFonts w:ascii="Times New Roman" w:hAnsi="Times New Roman" w:cs="Times New Roman"/>
        </w:rPr>
        <w:t xml:space="preserve"> - </w:t>
      </w:r>
      <w:r w:rsidRPr="00151DE2">
        <w:rPr>
          <w:rFonts w:ascii="Times New Roman" w:hAnsi="Times New Roman" w:cs="Times New Roman"/>
        </w:rPr>
        <w:t xml:space="preserve">można rozważyć zastąpienie jej pierwotnie przewidzianym rozwiązaniem, czyli </w:t>
      </w:r>
      <w:r w:rsidRPr="00151DE2">
        <w:rPr>
          <w:rFonts w:ascii="Times New Roman" w:hAnsi="Times New Roman" w:cs="Times New Roman"/>
          <w:b/>
          <w:bCs/>
        </w:rPr>
        <w:t>obligatoryjn</w:t>
      </w:r>
      <w:r w:rsidR="00C341BA">
        <w:rPr>
          <w:rFonts w:ascii="Times New Roman" w:hAnsi="Times New Roman" w:cs="Times New Roman"/>
          <w:b/>
          <w:bCs/>
        </w:rPr>
        <w:t>ym</w:t>
      </w:r>
      <w:r w:rsidRPr="00151DE2">
        <w:rPr>
          <w:rFonts w:ascii="Times New Roman" w:hAnsi="Times New Roman" w:cs="Times New Roman"/>
          <w:b/>
          <w:bCs/>
        </w:rPr>
        <w:t xml:space="preserve"> zastosowani</w:t>
      </w:r>
      <w:r w:rsidR="00C341BA">
        <w:rPr>
          <w:rFonts w:ascii="Times New Roman" w:hAnsi="Times New Roman" w:cs="Times New Roman"/>
          <w:b/>
          <w:bCs/>
        </w:rPr>
        <w:t>em</w:t>
      </w:r>
      <w:r w:rsidRPr="00151DE2">
        <w:rPr>
          <w:rFonts w:ascii="Times New Roman" w:hAnsi="Times New Roman" w:cs="Times New Roman"/>
          <w:b/>
          <w:bCs/>
        </w:rPr>
        <w:t xml:space="preserve"> nadzwyczajnego złagodzenia kary albo odstąpieni</w:t>
      </w:r>
      <w:r w:rsidR="00C341BA">
        <w:rPr>
          <w:rFonts w:ascii="Times New Roman" w:hAnsi="Times New Roman" w:cs="Times New Roman"/>
          <w:b/>
          <w:bCs/>
        </w:rPr>
        <w:t>em</w:t>
      </w:r>
      <w:r w:rsidRPr="00151DE2">
        <w:rPr>
          <w:rFonts w:ascii="Times New Roman" w:hAnsi="Times New Roman" w:cs="Times New Roman"/>
          <w:b/>
          <w:bCs/>
        </w:rPr>
        <w:t xml:space="preserve"> od jej wymierzenia</w:t>
      </w:r>
      <w:r w:rsidR="0088161D" w:rsidRPr="00151DE2">
        <w:rPr>
          <w:rFonts w:ascii="Times New Roman" w:hAnsi="Times New Roman" w:cs="Times New Roman"/>
          <w:b/>
          <w:bCs/>
        </w:rPr>
        <w:t>.</w:t>
      </w:r>
    </w:p>
    <w:p w14:paraId="34650E69" w14:textId="71CC1AA7" w:rsidR="00151DE2" w:rsidRDefault="002D65DE"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 xml:space="preserve">W części szczególnej Kodeksu karnego ustawodawca przewidział tylko kilka przypadków obligatoryjnego zastosowania nadzwyczajnego złagodzenia kary (art. </w:t>
      </w:r>
      <w:r w:rsidR="0088161D" w:rsidRPr="00151DE2">
        <w:rPr>
          <w:rFonts w:ascii="Times New Roman" w:hAnsi="Times New Roman" w:cs="Times New Roman"/>
        </w:rPr>
        <w:t>250a § 4</w:t>
      </w:r>
      <w:r w:rsidRPr="00151DE2">
        <w:rPr>
          <w:rFonts w:ascii="Times New Roman" w:hAnsi="Times New Roman" w:cs="Times New Roman"/>
        </w:rPr>
        <w:t xml:space="preserve">, art. </w:t>
      </w:r>
      <w:r w:rsidR="0088161D" w:rsidRPr="00151DE2">
        <w:rPr>
          <w:rFonts w:ascii="Times New Roman" w:hAnsi="Times New Roman" w:cs="Times New Roman"/>
        </w:rPr>
        <w:t>252 § 5</w:t>
      </w:r>
      <w:r w:rsidRPr="00151DE2">
        <w:rPr>
          <w:rFonts w:ascii="Times New Roman" w:hAnsi="Times New Roman" w:cs="Times New Roman"/>
        </w:rPr>
        <w:t xml:space="preserve">, art. </w:t>
      </w:r>
      <w:r w:rsidR="0088161D" w:rsidRPr="00151DE2">
        <w:rPr>
          <w:rFonts w:ascii="Times New Roman" w:hAnsi="Times New Roman" w:cs="Times New Roman"/>
        </w:rPr>
        <w:t>259b</w:t>
      </w:r>
      <w:r w:rsidRPr="00151DE2">
        <w:rPr>
          <w:rFonts w:ascii="Times New Roman" w:hAnsi="Times New Roman" w:cs="Times New Roman"/>
        </w:rPr>
        <w:t xml:space="preserve">, art. </w:t>
      </w:r>
      <w:r w:rsidR="0088161D" w:rsidRPr="00151DE2">
        <w:rPr>
          <w:rFonts w:ascii="Times New Roman" w:hAnsi="Times New Roman" w:cs="Times New Roman"/>
        </w:rPr>
        <w:t>277c § 1 i 2</w:t>
      </w:r>
      <w:r w:rsidRPr="00151DE2">
        <w:rPr>
          <w:rFonts w:ascii="Times New Roman" w:hAnsi="Times New Roman" w:cs="Times New Roman"/>
        </w:rPr>
        <w:t xml:space="preserve"> oraz art. </w:t>
      </w:r>
      <w:r w:rsidR="0088161D" w:rsidRPr="00151DE2">
        <w:rPr>
          <w:rFonts w:ascii="Times New Roman" w:hAnsi="Times New Roman" w:cs="Times New Roman"/>
        </w:rPr>
        <w:t>299 § 8</w:t>
      </w:r>
      <w:r w:rsidRPr="00151DE2">
        <w:rPr>
          <w:rFonts w:ascii="Times New Roman" w:hAnsi="Times New Roman" w:cs="Times New Roman"/>
        </w:rPr>
        <w:t xml:space="preserve">), przy czym tylko w dwóch </w:t>
      </w:r>
      <w:r w:rsidRPr="00151DE2">
        <w:rPr>
          <w:rFonts w:ascii="Times New Roman" w:hAnsi="Times New Roman" w:cs="Times New Roman"/>
        </w:rPr>
        <w:lastRenderedPageBreak/>
        <w:t>przypadkach połącz</w:t>
      </w:r>
      <w:r w:rsidR="00A65C1E">
        <w:rPr>
          <w:rFonts w:ascii="Times New Roman" w:hAnsi="Times New Roman" w:cs="Times New Roman"/>
        </w:rPr>
        <w:t>ył to rozwiązaniem</w:t>
      </w:r>
      <w:r w:rsidRPr="00151DE2">
        <w:rPr>
          <w:rFonts w:ascii="Times New Roman" w:hAnsi="Times New Roman" w:cs="Times New Roman"/>
        </w:rPr>
        <w:t xml:space="preserve"> z odstąpieniem od wymierzenia kary (art. 250a i art. 277c). Odnosząc powyższe regulacje do obecnego i proponowanego brzmienia art. 229 § 6 K.k., najbardziej adekwatnym wydaje się być przepis art. 250a § 4 K.k. Brzmi on następująco: „Jeżeli sprawca przestępstwa określonego w § 1 albo w § 3 w związku z § 1 zawiadomił organ powołany do ścigania o fakcie przestępstwa i okolicznościach jego popełnienia, zanim organ ten o nich się dowiedział, sąd stosuje nadzwyczajne złagodzenie kary, a nawet może odstąpić od jej wymierzenia.”</w:t>
      </w:r>
      <w:r w:rsidR="00151DE2" w:rsidRPr="00151DE2">
        <w:rPr>
          <w:rFonts w:ascii="Times New Roman" w:hAnsi="Times New Roman" w:cs="Times New Roman"/>
        </w:rPr>
        <w:t xml:space="preserve"> Wydaje się przy tym, że rozwiązanie to z normatywnego punktu widzenia jest poprawniejsze, niż proponowane</w:t>
      </w:r>
      <w:r w:rsidR="00A65C1E">
        <w:rPr>
          <w:rFonts w:ascii="Times New Roman" w:hAnsi="Times New Roman" w:cs="Times New Roman"/>
        </w:rPr>
        <w:t xml:space="preserve"> (rozpatrywane)</w:t>
      </w:r>
      <w:r w:rsidR="00151DE2" w:rsidRPr="00151DE2">
        <w:rPr>
          <w:rFonts w:ascii="Times New Roman" w:hAnsi="Times New Roman" w:cs="Times New Roman"/>
        </w:rPr>
        <w:t>.</w:t>
      </w:r>
    </w:p>
    <w:p w14:paraId="61FC7AFE" w14:textId="51ABDD98" w:rsidR="002D65DE" w:rsidRPr="00A65C1E" w:rsidRDefault="002D65DE" w:rsidP="00151DE2">
      <w:pPr>
        <w:pStyle w:val="Akapitzlist"/>
        <w:numPr>
          <w:ilvl w:val="0"/>
          <w:numId w:val="3"/>
        </w:numPr>
        <w:spacing w:line="360" w:lineRule="auto"/>
        <w:jc w:val="both"/>
        <w:rPr>
          <w:rFonts w:ascii="Times New Roman" w:hAnsi="Times New Roman" w:cs="Times New Roman"/>
        </w:rPr>
      </w:pPr>
      <w:r w:rsidRPr="00151DE2">
        <w:rPr>
          <w:rFonts w:ascii="Times New Roman" w:hAnsi="Times New Roman" w:cs="Times New Roman"/>
        </w:rPr>
        <w:t>Wydaje się więc, że altern</w:t>
      </w:r>
      <w:r w:rsidR="00151DE2" w:rsidRPr="00151DE2">
        <w:rPr>
          <w:rFonts w:ascii="Times New Roman" w:hAnsi="Times New Roman" w:cs="Times New Roman"/>
        </w:rPr>
        <w:t>a</w:t>
      </w:r>
      <w:r w:rsidRPr="00151DE2">
        <w:rPr>
          <w:rFonts w:ascii="Times New Roman" w:hAnsi="Times New Roman" w:cs="Times New Roman"/>
        </w:rPr>
        <w:t xml:space="preserve">tywne brzmienie rozważanego przepisu mogłoby mieć odpowiednio następujące brzmienie: </w:t>
      </w:r>
      <w:r w:rsidR="00151DE2" w:rsidRPr="00151DE2">
        <w:rPr>
          <w:rFonts w:ascii="Times New Roman" w:hAnsi="Times New Roman" w:cs="Times New Roman"/>
          <w:b/>
          <w:bCs/>
        </w:rPr>
        <w:t>„</w:t>
      </w:r>
      <w:r w:rsidRPr="00151DE2">
        <w:rPr>
          <w:rFonts w:ascii="Times New Roman" w:hAnsi="Times New Roman" w:cs="Times New Roman"/>
          <w:b/>
          <w:bCs/>
        </w:rPr>
        <w:t>Jeżeli sprawca przestępstwa określonego w § 1-</w:t>
      </w:r>
      <w:r w:rsidR="00151DE2" w:rsidRPr="00151DE2">
        <w:rPr>
          <w:rFonts w:ascii="Times New Roman" w:hAnsi="Times New Roman" w:cs="Times New Roman"/>
          <w:b/>
          <w:bCs/>
        </w:rPr>
        <w:t>5</w:t>
      </w:r>
      <w:r w:rsidRPr="00151DE2">
        <w:rPr>
          <w:rFonts w:ascii="Times New Roman" w:hAnsi="Times New Roman" w:cs="Times New Roman"/>
          <w:b/>
          <w:bCs/>
        </w:rPr>
        <w:t xml:space="preserve"> zawiadomił organ powołany do ścigania o fakcie przestępstwa i okolicznościach jego popełnienia, zanim organ ten o nich się dowiedział, sąd stosuje nadzwyczajne złagodzenie kary, a nawet może odstąpić od jej wymierzenia.”</w:t>
      </w:r>
      <w:r w:rsidR="00151DE2" w:rsidRPr="00151DE2">
        <w:rPr>
          <w:rFonts w:ascii="Times New Roman" w:hAnsi="Times New Roman" w:cs="Times New Roman"/>
          <w:b/>
          <w:bCs/>
        </w:rPr>
        <w:t xml:space="preserve"> </w:t>
      </w:r>
      <w:r w:rsidR="00151DE2" w:rsidRPr="00A65C1E">
        <w:rPr>
          <w:rFonts w:ascii="Times New Roman" w:hAnsi="Times New Roman" w:cs="Times New Roman"/>
        </w:rPr>
        <w:t xml:space="preserve">Zastrzec przy tym należy, że konsekwencją takiego rozwiązania będzie z pewnością mniejsza skłonność sprawców czynnego przekupstwa do współpracy z organami ścigania, co </w:t>
      </w:r>
      <w:r w:rsidR="00A65C1E">
        <w:rPr>
          <w:rFonts w:ascii="Times New Roman" w:hAnsi="Times New Roman" w:cs="Times New Roman"/>
        </w:rPr>
        <w:t xml:space="preserve">prawdopodobnie </w:t>
      </w:r>
      <w:r w:rsidR="00151DE2" w:rsidRPr="00A65C1E">
        <w:rPr>
          <w:rFonts w:ascii="Times New Roman" w:hAnsi="Times New Roman" w:cs="Times New Roman"/>
        </w:rPr>
        <w:t xml:space="preserve">zmniejszy efektywność karnoprawnych instrumentów ochrony przed korupcją, określonych w art. 229 K.k. </w:t>
      </w:r>
    </w:p>
    <w:p w14:paraId="48C8941A" w14:textId="2D761897" w:rsidR="00D03B61" w:rsidRDefault="00D03B61" w:rsidP="00151DE2">
      <w:pPr>
        <w:pStyle w:val="Akapitzlist"/>
        <w:numPr>
          <w:ilvl w:val="0"/>
          <w:numId w:val="3"/>
        </w:numPr>
        <w:spacing w:line="360" w:lineRule="auto"/>
        <w:jc w:val="both"/>
        <w:rPr>
          <w:rFonts w:ascii="Times New Roman" w:hAnsi="Times New Roman" w:cs="Times New Roman"/>
        </w:rPr>
      </w:pPr>
      <w:r>
        <w:rPr>
          <w:rFonts w:ascii="Times New Roman" w:hAnsi="Times New Roman" w:cs="Times New Roman"/>
        </w:rPr>
        <w:t xml:space="preserve">W obecnym stanie prawnym sprawca musi ujawnić „wszystkie istotne okoliczności”, natomiast w rozważanym – tylko „okoliczności popełnienia przestępstwa”. Jest przy tym oczywiste, że w jednym i drugim przypadku chodzi o okoliczności sprowadzające się do informacji pozwalających zidentyfikować wręczoną łapówkę oraz osobę ją przyjmującą. Nie zmienia to faktu, że z formalno-prawnego punktu widzenia, proponowany przepis odnosi się do zachowania sprawcy </w:t>
      </w:r>
      <w:r w:rsidR="00915C7C">
        <w:rPr>
          <w:rFonts w:ascii="Times New Roman" w:hAnsi="Times New Roman" w:cs="Times New Roman"/>
        </w:rPr>
        <w:t>o charakterze „</w:t>
      </w:r>
      <w:r>
        <w:rPr>
          <w:rFonts w:ascii="Times New Roman" w:hAnsi="Times New Roman" w:cs="Times New Roman"/>
        </w:rPr>
        <w:t>mniej wymagając</w:t>
      </w:r>
      <w:r w:rsidR="00915C7C">
        <w:rPr>
          <w:rFonts w:ascii="Times New Roman" w:hAnsi="Times New Roman" w:cs="Times New Roman"/>
        </w:rPr>
        <w:t>ym”</w:t>
      </w:r>
      <w:r>
        <w:rPr>
          <w:rFonts w:ascii="Times New Roman" w:hAnsi="Times New Roman" w:cs="Times New Roman"/>
        </w:rPr>
        <w:t>, co oznacza, że miałby on szersze zastosowanie niż obecny. Korespond</w:t>
      </w:r>
      <w:r w:rsidR="00915C7C">
        <w:rPr>
          <w:rFonts w:ascii="Times New Roman" w:hAnsi="Times New Roman" w:cs="Times New Roman"/>
        </w:rPr>
        <w:t>owałoby</w:t>
      </w:r>
      <w:r>
        <w:rPr>
          <w:rFonts w:ascii="Times New Roman" w:hAnsi="Times New Roman" w:cs="Times New Roman"/>
        </w:rPr>
        <w:t xml:space="preserve"> to z rodzajowo mniejszą „nagrodą” dla sprawcy omawianego przestępstwa. </w:t>
      </w:r>
    </w:p>
    <w:p w14:paraId="441D4CAE" w14:textId="40AC5654" w:rsidR="000F5F93" w:rsidRPr="00151DE2" w:rsidRDefault="000F5F93" w:rsidP="00151DE2">
      <w:pPr>
        <w:pStyle w:val="Akapitzlist"/>
        <w:numPr>
          <w:ilvl w:val="0"/>
          <w:numId w:val="3"/>
        </w:numPr>
        <w:spacing w:line="360" w:lineRule="auto"/>
        <w:jc w:val="both"/>
        <w:rPr>
          <w:rFonts w:ascii="Times New Roman" w:hAnsi="Times New Roman" w:cs="Times New Roman"/>
        </w:rPr>
      </w:pPr>
      <w:r>
        <w:rPr>
          <w:rFonts w:ascii="Times New Roman" w:hAnsi="Times New Roman" w:cs="Times New Roman"/>
        </w:rPr>
        <w:t xml:space="preserve">Na koniec należy dodać, że ewentualne wprowadzenie proponowanej zmiany </w:t>
      </w:r>
      <w:r w:rsidR="00915C7C">
        <w:rPr>
          <w:rFonts w:ascii="Times New Roman" w:hAnsi="Times New Roman" w:cs="Times New Roman"/>
        </w:rPr>
        <w:t xml:space="preserve">bezwzględnie </w:t>
      </w:r>
      <w:r>
        <w:rPr>
          <w:rFonts w:ascii="Times New Roman" w:hAnsi="Times New Roman" w:cs="Times New Roman"/>
        </w:rPr>
        <w:t>powinno być połączone ze zmianami w pozostałych przepisach Kodeksu karnego, określających przestępstwa o charakterze korupcyjnym. Zawierają one bowiem identyczne rozwiązanie jak omawiana tutaj klauzula wyłączająca karalność.</w:t>
      </w:r>
    </w:p>
    <w:p w14:paraId="02A35AAA" w14:textId="77777777" w:rsidR="00151DE2" w:rsidRDefault="00151DE2" w:rsidP="00151DE2">
      <w:pPr>
        <w:spacing w:line="360" w:lineRule="auto"/>
        <w:jc w:val="both"/>
        <w:rPr>
          <w:rFonts w:ascii="Times New Roman" w:hAnsi="Times New Roman" w:cs="Times New Roman"/>
        </w:rPr>
      </w:pPr>
    </w:p>
    <w:p w14:paraId="6CF73011" w14:textId="73871CA9" w:rsidR="00151DE2" w:rsidRPr="000F5F93" w:rsidRDefault="00151DE2" w:rsidP="00402763">
      <w:pPr>
        <w:pStyle w:val="Akapitzlist"/>
        <w:numPr>
          <w:ilvl w:val="0"/>
          <w:numId w:val="2"/>
        </w:numPr>
        <w:spacing w:line="360" w:lineRule="auto"/>
        <w:jc w:val="both"/>
        <w:rPr>
          <w:rFonts w:ascii="Times New Roman" w:hAnsi="Times New Roman" w:cs="Times New Roman"/>
          <w:u w:val="single"/>
        </w:rPr>
      </w:pPr>
      <w:r w:rsidRPr="000F5F93">
        <w:rPr>
          <w:rFonts w:ascii="Times New Roman" w:hAnsi="Times New Roman" w:cs="Times New Roman"/>
          <w:u w:val="single"/>
        </w:rPr>
        <w:lastRenderedPageBreak/>
        <w:t xml:space="preserve">Odnośnie do propozycji </w:t>
      </w:r>
      <w:r w:rsidR="00402763" w:rsidRPr="000F5F93">
        <w:rPr>
          <w:rFonts w:ascii="Times New Roman" w:hAnsi="Times New Roman" w:cs="Times New Roman"/>
          <w:u w:val="single"/>
        </w:rPr>
        <w:t>zmian</w:t>
      </w:r>
      <w:r w:rsidR="00190230" w:rsidRPr="000F5F93">
        <w:rPr>
          <w:rFonts w:ascii="Times New Roman" w:hAnsi="Times New Roman" w:cs="Times New Roman"/>
          <w:u w:val="single"/>
        </w:rPr>
        <w:t>y</w:t>
      </w:r>
      <w:r w:rsidR="00402763" w:rsidRPr="000F5F93">
        <w:rPr>
          <w:rFonts w:ascii="Times New Roman" w:hAnsi="Times New Roman" w:cs="Times New Roman"/>
          <w:u w:val="single"/>
        </w:rPr>
        <w:t xml:space="preserve"> w </w:t>
      </w:r>
      <w:r w:rsidR="00190230" w:rsidRPr="000F5F93">
        <w:rPr>
          <w:rFonts w:ascii="Times New Roman" w:hAnsi="Times New Roman" w:cs="Times New Roman"/>
          <w:u w:val="single"/>
        </w:rPr>
        <w:t xml:space="preserve">art. 4a </w:t>
      </w:r>
      <w:r w:rsidR="00402763" w:rsidRPr="000F5F93">
        <w:rPr>
          <w:rFonts w:ascii="Times New Roman" w:hAnsi="Times New Roman" w:cs="Times New Roman"/>
          <w:u w:val="single"/>
        </w:rPr>
        <w:t>ustaw</w:t>
      </w:r>
      <w:r w:rsidR="00190230" w:rsidRPr="000F5F93">
        <w:rPr>
          <w:rFonts w:ascii="Times New Roman" w:hAnsi="Times New Roman" w:cs="Times New Roman"/>
          <w:u w:val="single"/>
        </w:rPr>
        <w:t>y</w:t>
      </w:r>
      <w:r w:rsidR="00402763" w:rsidRPr="000F5F93">
        <w:rPr>
          <w:rFonts w:ascii="Times New Roman" w:hAnsi="Times New Roman" w:cs="Times New Roman"/>
          <w:u w:val="single"/>
        </w:rPr>
        <w:t xml:space="preserve"> z dnia</w:t>
      </w:r>
      <w:r w:rsidR="00402763" w:rsidRPr="000F5F93">
        <w:rPr>
          <w:rFonts w:ascii="Times New Roman" w:hAnsi="Times New Roman" w:cs="Times New Roman"/>
          <w:color w:val="333333"/>
          <w:u w:val="single"/>
        </w:rPr>
        <w:t xml:space="preserve"> 28 października 2002 r. o odpowiedzialności podmiotów zbiorowych za czyny zabronione pod groźbą kary (</w:t>
      </w:r>
      <w:r w:rsidR="00402763" w:rsidRPr="000F5F93">
        <w:rPr>
          <w:rFonts w:ascii="Times New Roman" w:eastAsia="Times New Roman" w:hAnsi="Times New Roman" w:cs="Times New Roman"/>
          <w:color w:val="333333"/>
          <w:u w:val="single"/>
          <w:lang w:eastAsia="pl-PL"/>
        </w:rPr>
        <w:t>Dz.U.</w:t>
      </w:r>
      <w:r w:rsidR="00016518" w:rsidRPr="000F5F93">
        <w:rPr>
          <w:rFonts w:ascii="Times New Roman" w:eastAsia="Times New Roman" w:hAnsi="Times New Roman" w:cs="Times New Roman"/>
          <w:color w:val="333333"/>
          <w:u w:val="single"/>
          <w:lang w:eastAsia="pl-PL"/>
        </w:rPr>
        <w:t xml:space="preserve"> z </w:t>
      </w:r>
      <w:r w:rsidR="00402763" w:rsidRPr="000F5F93">
        <w:rPr>
          <w:rFonts w:ascii="Times New Roman" w:eastAsia="Times New Roman" w:hAnsi="Times New Roman" w:cs="Times New Roman"/>
          <w:color w:val="333333"/>
          <w:u w:val="single"/>
          <w:lang w:eastAsia="pl-PL"/>
        </w:rPr>
        <w:t>2023</w:t>
      </w:r>
      <w:r w:rsidR="00016518" w:rsidRPr="000F5F93">
        <w:rPr>
          <w:rFonts w:ascii="Times New Roman" w:eastAsia="Times New Roman" w:hAnsi="Times New Roman" w:cs="Times New Roman"/>
          <w:color w:val="333333"/>
          <w:u w:val="single"/>
          <w:lang w:eastAsia="pl-PL"/>
        </w:rPr>
        <w:t xml:space="preserve"> r. Poz</w:t>
      </w:r>
      <w:r w:rsidR="00402763" w:rsidRPr="000F5F93">
        <w:rPr>
          <w:rFonts w:ascii="Times New Roman" w:eastAsia="Times New Roman" w:hAnsi="Times New Roman" w:cs="Times New Roman"/>
          <w:color w:val="333333"/>
          <w:u w:val="single"/>
          <w:lang w:eastAsia="pl-PL"/>
        </w:rPr>
        <w:t>.</w:t>
      </w:r>
      <w:r w:rsidR="00016518" w:rsidRPr="000F5F93">
        <w:rPr>
          <w:rFonts w:ascii="Times New Roman" w:eastAsia="Times New Roman" w:hAnsi="Times New Roman" w:cs="Times New Roman"/>
          <w:color w:val="333333"/>
          <w:u w:val="single"/>
          <w:lang w:eastAsia="pl-PL"/>
        </w:rPr>
        <w:t xml:space="preserve"> </w:t>
      </w:r>
      <w:r w:rsidR="00402763" w:rsidRPr="000F5F93">
        <w:rPr>
          <w:rFonts w:ascii="Times New Roman" w:eastAsia="Times New Roman" w:hAnsi="Times New Roman" w:cs="Times New Roman"/>
          <w:color w:val="333333"/>
          <w:u w:val="single"/>
          <w:lang w:eastAsia="pl-PL"/>
        </w:rPr>
        <w:t>659</w:t>
      </w:r>
      <w:r w:rsidR="00016518" w:rsidRPr="000F5F93">
        <w:rPr>
          <w:rFonts w:ascii="Times New Roman" w:eastAsia="Times New Roman" w:hAnsi="Times New Roman" w:cs="Times New Roman"/>
          <w:color w:val="333333"/>
          <w:u w:val="single"/>
          <w:lang w:eastAsia="pl-PL"/>
        </w:rPr>
        <w:t xml:space="preserve"> – t.j.</w:t>
      </w:r>
      <w:r w:rsidR="00402763" w:rsidRPr="000F5F93">
        <w:rPr>
          <w:rFonts w:ascii="Times New Roman" w:hAnsi="Times New Roman" w:cs="Times New Roman"/>
          <w:color w:val="333333"/>
          <w:u w:val="single"/>
        </w:rPr>
        <w:t>):</w:t>
      </w:r>
    </w:p>
    <w:p w14:paraId="133302BC" w14:textId="217BB21D" w:rsidR="00F46761" w:rsidRPr="00016518" w:rsidRDefault="00D03B61" w:rsidP="00F46761">
      <w:pPr>
        <w:pStyle w:val="Akapitzlist"/>
        <w:numPr>
          <w:ilvl w:val="0"/>
          <w:numId w:val="4"/>
        </w:numPr>
        <w:spacing w:line="360" w:lineRule="auto"/>
        <w:jc w:val="both"/>
        <w:rPr>
          <w:rFonts w:ascii="Times New Roman" w:hAnsi="Times New Roman" w:cs="Times New Roman"/>
        </w:rPr>
      </w:pPr>
      <w:r>
        <w:rPr>
          <w:rFonts w:ascii="Times New Roman" w:hAnsi="Times New Roman" w:cs="Times New Roman"/>
        </w:rPr>
        <w:t xml:space="preserve">Istota proponowanej zmiany sprowadza się do zastosowania </w:t>
      </w:r>
      <w:r w:rsidR="00CE120B">
        <w:rPr>
          <w:rFonts w:ascii="Times New Roman" w:hAnsi="Times New Roman" w:cs="Times New Roman"/>
        </w:rPr>
        <w:t xml:space="preserve">(rozszerzenia) </w:t>
      </w:r>
      <w:r>
        <w:rPr>
          <w:rFonts w:ascii="Times New Roman" w:hAnsi="Times New Roman" w:cs="Times New Roman"/>
        </w:rPr>
        <w:t>obecnie obowiązującego rozwiązania zawartego w art. 4a ww. ustawy</w:t>
      </w:r>
      <w:r w:rsidR="00A65C1E">
        <w:rPr>
          <w:rFonts w:ascii="Times New Roman" w:hAnsi="Times New Roman" w:cs="Times New Roman"/>
        </w:rPr>
        <w:t>,</w:t>
      </w:r>
      <w:r w:rsidR="00CE120B" w:rsidRPr="00CE120B">
        <w:rPr>
          <w:rFonts w:ascii="Times New Roman" w:hAnsi="Times New Roman" w:cs="Times New Roman"/>
        </w:rPr>
        <w:t xml:space="preserve"> </w:t>
      </w:r>
      <w:r w:rsidR="00CE120B">
        <w:rPr>
          <w:rFonts w:ascii="Times New Roman" w:hAnsi="Times New Roman" w:cs="Times New Roman"/>
        </w:rPr>
        <w:t>do pięciu grup przestępstw (również poszerzonych).</w:t>
      </w:r>
      <w:r>
        <w:rPr>
          <w:rFonts w:ascii="Times New Roman" w:hAnsi="Times New Roman" w:cs="Times New Roman"/>
        </w:rPr>
        <w:t xml:space="preserve"> </w:t>
      </w:r>
      <w:r w:rsidR="00CE120B">
        <w:rPr>
          <w:rFonts w:ascii="Times New Roman" w:hAnsi="Times New Roman" w:cs="Times New Roman"/>
        </w:rPr>
        <w:t>I</w:t>
      </w:r>
      <w:r>
        <w:rPr>
          <w:rFonts w:ascii="Times New Roman" w:hAnsi="Times New Roman" w:cs="Times New Roman"/>
        </w:rPr>
        <w:t xml:space="preserve">stota </w:t>
      </w:r>
      <w:r w:rsidR="00915C7C">
        <w:rPr>
          <w:rFonts w:ascii="Times New Roman" w:hAnsi="Times New Roman" w:cs="Times New Roman"/>
        </w:rPr>
        <w:t xml:space="preserve">przepisu </w:t>
      </w:r>
      <w:r w:rsidR="00CE120B">
        <w:rPr>
          <w:rFonts w:ascii="Times New Roman" w:hAnsi="Times New Roman" w:cs="Times New Roman"/>
        </w:rPr>
        <w:t xml:space="preserve">art. 4a ustawy </w:t>
      </w:r>
      <w:r>
        <w:rPr>
          <w:rFonts w:ascii="Times New Roman" w:hAnsi="Times New Roman" w:cs="Times New Roman"/>
        </w:rPr>
        <w:t xml:space="preserve">sprowadza się do uchylenia warunku odpowiedzialności penalnej </w:t>
      </w:r>
      <w:r w:rsidRPr="00016518">
        <w:rPr>
          <w:rFonts w:ascii="Times New Roman" w:hAnsi="Times New Roman" w:cs="Times New Roman"/>
        </w:rPr>
        <w:t>podmiotu zbiorowego, w postaci formalnego potwierdzenia popełnienia czynu zabronionego przez osobę fizyczną reprezentującą ten podmiot. Wobec tego, należałoby się w pierwszej kolejności odnieść do tego rozwiązania (regulacji).</w:t>
      </w:r>
    </w:p>
    <w:p w14:paraId="5D3BCA29" w14:textId="1F049F32" w:rsidR="00F46761" w:rsidRPr="00016518" w:rsidRDefault="00D03B61" w:rsidP="00F46761">
      <w:pPr>
        <w:pStyle w:val="Akapitzlist"/>
        <w:numPr>
          <w:ilvl w:val="0"/>
          <w:numId w:val="4"/>
        </w:numPr>
        <w:spacing w:line="360" w:lineRule="auto"/>
        <w:jc w:val="both"/>
        <w:rPr>
          <w:rFonts w:ascii="Times New Roman" w:hAnsi="Times New Roman" w:cs="Times New Roman"/>
        </w:rPr>
      </w:pPr>
      <w:r w:rsidRPr="00016518">
        <w:rPr>
          <w:rFonts w:ascii="Times New Roman" w:hAnsi="Times New Roman" w:cs="Times New Roman"/>
        </w:rPr>
        <w:t>Przepis art. 4a</w:t>
      </w:r>
      <w:r w:rsidR="00F46761" w:rsidRPr="00016518">
        <w:rPr>
          <w:rFonts w:ascii="Times New Roman" w:hAnsi="Times New Roman" w:cs="Times New Roman"/>
        </w:rPr>
        <w:t xml:space="preserve"> został wprowadzony przepisem art. 6 pkt 1 ustawy z dnia 22 lipca 2022 r. o zmianie niektórych ustaw w celu przeciwdziałania przestępczości środowiskowej (Dz. U. z 2022 r. Poz. 1726), która weszła w życie dnia 1 września 2022 r. Zgodnie z tą ustawą, </w:t>
      </w:r>
      <w:r w:rsidR="00915C7C">
        <w:rPr>
          <w:rFonts w:ascii="Times New Roman" w:hAnsi="Times New Roman" w:cs="Times New Roman"/>
        </w:rPr>
        <w:t xml:space="preserve">wyłącznie </w:t>
      </w:r>
      <w:r w:rsidR="00F46761" w:rsidRPr="00016518">
        <w:rPr>
          <w:rFonts w:ascii="Times New Roman" w:hAnsi="Times New Roman" w:cs="Times New Roman"/>
        </w:rPr>
        <w:t>w</w:t>
      </w:r>
      <w:r w:rsidR="00A65C1E">
        <w:rPr>
          <w:rFonts w:ascii="Times New Roman" w:hAnsi="Times New Roman" w:cs="Times New Roman"/>
        </w:rPr>
        <w:t xml:space="preserve"> zakresie p</w:t>
      </w:r>
      <w:r w:rsidR="00F46761" w:rsidRPr="00016518">
        <w:rPr>
          <w:rFonts w:ascii="Times New Roman" w:hAnsi="Times New Roman" w:cs="Times New Roman"/>
        </w:rPr>
        <w:t>rzestępstw przeciwko środowisku naturalnemu</w:t>
      </w:r>
      <w:r w:rsidR="00A65C1E">
        <w:rPr>
          <w:rFonts w:ascii="Times New Roman" w:hAnsi="Times New Roman" w:cs="Times New Roman"/>
        </w:rPr>
        <w:t>,</w:t>
      </w:r>
      <w:r w:rsidR="00F46761" w:rsidRPr="00016518">
        <w:rPr>
          <w:rFonts w:ascii="Times New Roman" w:hAnsi="Times New Roman" w:cs="Times New Roman"/>
        </w:rPr>
        <w:t xml:space="preserve"> zrezygnowano z warunku uprzedniego prawomocnego skazania osoby fizycznej, jako koniecznej podstawy skazania podmiotu zbiorowego. Zgodnie z art. 4, podmiot zbiorowy podlega odpowiedzialności, jeżeli fakt popełnienia czynu zabronionego […] przez osobę […], został potwierdzony prawomocnym wyrokiem skazującym tę osobę […]. Zgodnie z nowym przepisem art. 4a, w przypadku popełnienia czynu zabronionego […] przez osobę […] podmiot zbiorowy podlega odpowiedzialności niezależnie od wydania wyroku albo orzeczenia, o których mowa w art. 4. </w:t>
      </w:r>
      <w:r w:rsidR="00CE120B" w:rsidRPr="00CE120B">
        <w:rPr>
          <w:rFonts w:ascii="Times New Roman" w:hAnsi="Times New Roman" w:cs="Times New Roman"/>
          <w:b/>
          <w:bCs/>
        </w:rPr>
        <w:t>Chodzi zatem o rezygnację z omawianej podstawy odpowiedzialności penalnej podmiotu zbiorowego.</w:t>
      </w:r>
    </w:p>
    <w:p w14:paraId="503FDBFC" w14:textId="5E0D609F" w:rsidR="0024329E" w:rsidRPr="00016518" w:rsidRDefault="00F46761" w:rsidP="00F46761">
      <w:pPr>
        <w:pStyle w:val="Akapitzlist"/>
        <w:numPr>
          <w:ilvl w:val="0"/>
          <w:numId w:val="4"/>
        </w:numPr>
        <w:spacing w:line="360" w:lineRule="auto"/>
        <w:jc w:val="both"/>
        <w:rPr>
          <w:rFonts w:ascii="Times New Roman" w:hAnsi="Times New Roman" w:cs="Times New Roman"/>
        </w:rPr>
      </w:pPr>
      <w:r w:rsidRPr="00016518">
        <w:rPr>
          <w:rFonts w:ascii="Times New Roman" w:hAnsi="Times New Roman" w:cs="Times New Roman"/>
        </w:rPr>
        <w:t xml:space="preserve">Projektodawcy powyższego rozwiązania </w:t>
      </w:r>
      <w:r w:rsidR="00CE120B">
        <w:rPr>
          <w:rFonts w:ascii="Times New Roman" w:hAnsi="Times New Roman" w:cs="Times New Roman"/>
        </w:rPr>
        <w:t xml:space="preserve">(nowego art. 4a) </w:t>
      </w:r>
      <w:r w:rsidRPr="00016518">
        <w:rPr>
          <w:rFonts w:ascii="Times New Roman" w:hAnsi="Times New Roman" w:cs="Times New Roman"/>
        </w:rPr>
        <w:t>wskazywali</w:t>
      </w:r>
      <w:r w:rsidR="00CE120B">
        <w:rPr>
          <w:rFonts w:ascii="Times New Roman" w:hAnsi="Times New Roman" w:cs="Times New Roman"/>
        </w:rPr>
        <w:t xml:space="preserve"> w szczególności</w:t>
      </w:r>
      <w:r w:rsidRPr="00016518">
        <w:rPr>
          <w:rFonts w:ascii="Times New Roman" w:hAnsi="Times New Roman" w:cs="Times New Roman"/>
        </w:rPr>
        <w:t xml:space="preserve">, że: </w:t>
      </w:r>
    </w:p>
    <w:p w14:paraId="056C06B5" w14:textId="248F7B5A" w:rsidR="00F46761" w:rsidRDefault="0024329E" w:rsidP="0024329E">
      <w:pPr>
        <w:pStyle w:val="Akapitzlist"/>
        <w:spacing w:line="360" w:lineRule="auto"/>
        <w:jc w:val="both"/>
        <w:rPr>
          <w:rFonts w:ascii="Times New Roman" w:hAnsi="Times New Roman" w:cs="Times New Roman"/>
        </w:rPr>
      </w:pPr>
      <w:r w:rsidRPr="00016518">
        <w:rPr>
          <w:rFonts w:ascii="Times New Roman" w:hAnsi="Times New Roman" w:cs="Times New Roman"/>
        </w:rPr>
        <w:t xml:space="preserve">- </w:t>
      </w:r>
      <w:r w:rsidR="00F46761" w:rsidRPr="00016518">
        <w:rPr>
          <w:rFonts w:ascii="Times New Roman" w:hAnsi="Times New Roman" w:cs="Times New Roman"/>
        </w:rPr>
        <w:t xml:space="preserve">„Celem zmiany jest zwiększenie efektywności środków, określonych w tej ustawie, w odniesieniu do zwalczania przestępczości środowiskowej. Aktualnie dostrzegalna jest znikoma skuteczność tych środków. Liczba spraw prowadzonych wobec podmiotów </w:t>
      </w:r>
      <w:r w:rsidR="00F46761" w:rsidRPr="00F46761">
        <w:rPr>
          <w:rFonts w:ascii="Times New Roman" w:hAnsi="Times New Roman" w:cs="Times New Roman"/>
        </w:rPr>
        <w:t xml:space="preserve">zbiorowych jest niewielka, a nakładane kary są niewysokie.” </w:t>
      </w:r>
    </w:p>
    <w:p w14:paraId="0BAA7B49" w14:textId="4C929B2A" w:rsidR="0024329E" w:rsidRPr="00F46761" w:rsidRDefault="0024329E" w:rsidP="0024329E">
      <w:pPr>
        <w:pStyle w:val="Akapitzlist"/>
        <w:spacing w:line="360" w:lineRule="auto"/>
        <w:jc w:val="both"/>
        <w:rPr>
          <w:rFonts w:ascii="Times New Roman" w:hAnsi="Times New Roman" w:cs="Times New Roman"/>
        </w:rPr>
      </w:pPr>
      <w:r>
        <w:rPr>
          <w:rFonts w:ascii="Times New Roman" w:hAnsi="Times New Roman" w:cs="Times New Roman"/>
        </w:rPr>
        <w:t>- „</w:t>
      </w:r>
      <w:r w:rsidRPr="00322697">
        <w:rPr>
          <w:rFonts w:ascii="Times New Roman" w:hAnsi="Times New Roman" w:cs="Times New Roman"/>
        </w:rPr>
        <w:t>Polska ma obowiązek wprowadzenia sprawnie funkcjonującego systemu odpowiedzialności osób prawnych i zapewnienia, by osoby prawne podlegały skutecznym i odstraszającym sankcjom, proporcjonalnym do wagi popełnionych przestępstw.</w:t>
      </w:r>
      <w:r>
        <w:rPr>
          <w:rFonts w:ascii="Times New Roman" w:hAnsi="Times New Roman" w:cs="Times New Roman"/>
        </w:rPr>
        <w:t>”</w:t>
      </w:r>
    </w:p>
    <w:p w14:paraId="2F7BE398" w14:textId="77777777" w:rsidR="0024329E" w:rsidRDefault="0024329E" w:rsidP="0024329E">
      <w:pPr>
        <w:pStyle w:val="Akapitzlist"/>
        <w:spacing w:line="360" w:lineRule="auto"/>
        <w:jc w:val="both"/>
        <w:rPr>
          <w:rFonts w:ascii="Times New Roman" w:hAnsi="Times New Roman" w:cs="Times New Roman"/>
        </w:rPr>
      </w:pPr>
      <w:r>
        <w:rPr>
          <w:rFonts w:ascii="Times New Roman" w:hAnsi="Times New Roman" w:cs="Times New Roman"/>
        </w:rPr>
        <w:lastRenderedPageBreak/>
        <w:t>- „</w:t>
      </w:r>
      <w:r w:rsidRPr="0024329E">
        <w:rPr>
          <w:rFonts w:ascii="Times New Roman" w:hAnsi="Times New Roman" w:cs="Times New Roman"/>
        </w:rPr>
        <w:t>Charakter wtórny odpowiedzialności podmiotu zbiorowego przyczynił się w znacznej mierze do rzadkiego stosowania przepisów ustawy.</w:t>
      </w:r>
      <w:r>
        <w:rPr>
          <w:rFonts w:ascii="Times New Roman" w:hAnsi="Times New Roman" w:cs="Times New Roman"/>
        </w:rPr>
        <w:t xml:space="preserve"> </w:t>
      </w:r>
      <w:r w:rsidRPr="0024329E">
        <w:rPr>
          <w:rFonts w:ascii="Times New Roman" w:hAnsi="Times New Roman" w:cs="Times New Roman"/>
        </w:rPr>
        <w:t>Ta oparta na prejudykacie konstrukcja, będąca podstawowym elementem obecnej procedury, została przyjęta głównie z przyczyn praktycznych. Żaden z międzynarodowych aktów prawnych wiążących Polskę nie uzależnia odpowiedzialności podmiotu zbiorowego od uprzedniego osądzenia sprawcy przestępstwa popełnionego na jego korzyść. Aktualne rozwiązanie jest od wielu lat krytykowane przez organizacje międzynarodowe zajmujące się zagadnieniem odpowiedzialności osób prawnych.</w:t>
      </w:r>
      <w:r>
        <w:rPr>
          <w:rFonts w:ascii="Times New Roman" w:hAnsi="Times New Roman" w:cs="Times New Roman"/>
        </w:rPr>
        <w:t xml:space="preserve">” </w:t>
      </w:r>
      <w:r w:rsidRPr="00F46761">
        <w:rPr>
          <w:rFonts w:ascii="Times New Roman" w:hAnsi="Times New Roman" w:cs="Times New Roman"/>
        </w:rPr>
        <w:t>(uzasadnienie projektu ustawy – druk nr 2371 Sejmu RP IX kadencji, s. 11</w:t>
      </w:r>
      <w:r>
        <w:rPr>
          <w:rFonts w:ascii="Times New Roman" w:hAnsi="Times New Roman" w:cs="Times New Roman"/>
        </w:rPr>
        <w:t>-12</w:t>
      </w:r>
      <w:r w:rsidRPr="00F46761">
        <w:rPr>
          <w:rFonts w:ascii="Times New Roman" w:hAnsi="Times New Roman" w:cs="Times New Roman"/>
        </w:rPr>
        <w:t>).</w:t>
      </w:r>
    </w:p>
    <w:p w14:paraId="6B82328F" w14:textId="69BF37F1" w:rsidR="00A33E5E" w:rsidRDefault="0024329E" w:rsidP="00A33E5E">
      <w:pPr>
        <w:pStyle w:val="Akapitzlist"/>
        <w:spacing w:after="240" w:line="360" w:lineRule="auto"/>
        <w:jc w:val="both"/>
        <w:rPr>
          <w:rFonts w:ascii="Times New Roman" w:hAnsi="Times New Roman" w:cs="Times New Roman"/>
        </w:rPr>
      </w:pPr>
      <w:r w:rsidRPr="00A33E5E">
        <w:rPr>
          <w:rFonts w:ascii="Times New Roman" w:hAnsi="Times New Roman" w:cs="Times New Roman"/>
        </w:rPr>
        <w:t>Wynika z powyższego, że głównym motywem zniesienia warunku potwierdzenia popełnienia czynu zabronionego przez osobę fizyczną było uznanie, że warunek ten w praktyce istotnie utrudnia stosowanie odpowiedzialności penalnej podmiotów zbiorowych</w:t>
      </w:r>
      <w:r w:rsidR="00CE120B">
        <w:rPr>
          <w:rFonts w:ascii="Times New Roman" w:hAnsi="Times New Roman" w:cs="Times New Roman"/>
        </w:rPr>
        <w:t>, co oznacza, że należy z niego zrezygnować</w:t>
      </w:r>
      <w:r w:rsidRPr="00A33E5E">
        <w:rPr>
          <w:rFonts w:ascii="Times New Roman" w:hAnsi="Times New Roman" w:cs="Times New Roman"/>
        </w:rPr>
        <w:t>.</w:t>
      </w:r>
    </w:p>
    <w:p w14:paraId="777485BA" w14:textId="3B010B51" w:rsidR="00F46761" w:rsidRPr="00A33E5E" w:rsidRDefault="0024329E" w:rsidP="00A33E5E">
      <w:pPr>
        <w:pStyle w:val="Akapitzlist"/>
        <w:numPr>
          <w:ilvl w:val="0"/>
          <w:numId w:val="4"/>
        </w:numPr>
        <w:spacing w:after="240" w:line="360" w:lineRule="auto"/>
        <w:jc w:val="both"/>
        <w:rPr>
          <w:rFonts w:ascii="Times New Roman" w:hAnsi="Times New Roman" w:cs="Times New Roman"/>
        </w:rPr>
      </w:pPr>
      <w:r w:rsidRPr="00A33E5E">
        <w:rPr>
          <w:rFonts w:ascii="Times New Roman" w:hAnsi="Times New Roman" w:cs="Times New Roman"/>
        </w:rPr>
        <w:t xml:space="preserve">Odnosząc się do powyższego zabiegu i jego uzasadnienia, należy w pierwszej kolejności wskazać na </w:t>
      </w:r>
      <w:r w:rsidR="00CE120B">
        <w:rPr>
          <w:rFonts w:ascii="Times New Roman" w:hAnsi="Times New Roman" w:cs="Times New Roman"/>
        </w:rPr>
        <w:t xml:space="preserve">karnoprawne </w:t>
      </w:r>
      <w:r w:rsidRPr="00A33E5E">
        <w:rPr>
          <w:rFonts w:ascii="Times New Roman" w:hAnsi="Times New Roman" w:cs="Times New Roman"/>
        </w:rPr>
        <w:t>znaczenie warunku określonego w art. 4 ww. ustawy dla koncepcji odpowiedzialności penalnej podmiotów zbiorowych za czyn zabroniony. Zgodnie z art. 3</w:t>
      </w:r>
      <w:r w:rsidR="00A65C1E">
        <w:rPr>
          <w:rFonts w:ascii="Times New Roman" w:hAnsi="Times New Roman" w:cs="Times New Roman"/>
        </w:rPr>
        <w:t xml:space="preserve"> ustawy</w:t>
      </w:r>
      <w:r w:rsidRPr="00A33E5E">
        <w:rPr>
          <w:rFonts w:ascii="Times New Roman" w:hAnsi="Times New Roman" w:cs="Times New Roman"/>
        </w:rPr>
        <w:t xml:space="preserve">, </w:t>
      </w:r>
      <w:r w:rsidR="00CE120B">
        <w:rPr>
          <w:rFonts w:ascii="Times New Roman" w:hAnsi="Times New Roman" w:cs="Times New Roman"/>
        </w:rPr>
        <w:t>p</w:t>
      </w:r>
      <w:r w:rsidRPr="00A33E5E">
        <w:rPr>
          <w:rFonts w:ascii="Times New Roman" w:hAnsi="Times New Roman" w:cs="Times New Roman"/>
        </w:rPr>
        <w:t xml:space="preserve">odmiot zbiorowy podlega odpowiedzialności za czyn zabroniony, którym jest zachowanie osoby fizycznej. Oznacza to, że – z koncepcyjnego (funkcjonalnego) oraz prawnego (normatywnego) punktu widzenia, odpowiedzialność penalna podmiotu zbiorowego jest w pełni i bezwzględnie oparta na odpowiedzialności karnej osoby fizycznej reprezentującej podmiot zbiorowy. Ściślej rzecz ujmując – podmiot zbiorowy odpowiada za </w:t>
      </w:r>
      <w:r w:rsidR="00A65C1E">
        <w:rPr>
          <w:rFonts w:ascii="Times New Roman" w:hAnsi="Times New Roman" w:cs="Times New Roman"/>
        </w:rPr>
        <w:t>(</w:t>
      </w:r>
      <w:r w:rsidRPr="00A33E5E">
        <w:rPr>
          <w:rFonts w:ascii="Times New Roman" w:hAnsi="Times New Roman" w:cs="Times New Roman"/>
        </w:rPr>
        <w:t>potwierdzony</w:t>
      </w:r>
      <w:r w:rsidR="00A65C1E">
        <w:rPr>
          <w:rFonts w:ascii="Times New Roman" w:hAnsi="Times New Roman" w:cs="Times New Roman"/>
        </w:rPr>
        <w:t>)</w:t>
      </w:r>
      <w:r w:rsidRPr="00A33E5E">
        <w:rPr>
          <w:rFonts w:ascii="Times New Roman" w:hAnsi="Times New Roman" w:cs="Times New Roman"/>
        </w:rPr>
        <w:t xml:space="preserve"> czyn zabroniony osoby fizycznej. Wynika z tego wprost i jasno, że rezygnacja z warunku wskazanego w art. 4 ustawy</w:t>
      </w:r>
      <w:r w:rsidR="00A65C1E">
        <w:rPr>
          <w:rFonts w:ascii="Times New Roman" w:hAnsi="Times New Roman" w:cs="Times New Roman"/>
        </w:rPr>
        <w:t>,</w:t>
      </w:r>
      <w:r w:rsidRPr="00A33E5E">
        <w:rPr>
          <w:rFonts w:ascii="Times New Roman" w:hAnsi="Times New Roman" w:cs="Times New Roman"/>
        </w:rPr>
        <w:t xml:space="preserve"> nie tylko podważa całkowicie zasadę odpowiedzialności wskazaną w art. 3 ustawy, ale bezpośrednio neguje w ogóle </w:t>
      </w:r>
      <w:r w:rsidR="00CE120B">
        <w:rPr>
          <w:rFonts w:ascii="Times New Roman" w:hAnsi="Times New Roman" w:cs="Times New Roman"/>
        </w:rPr>
        <w:t xml:space="preserve">obecnie obowiązujące </w:t>
      </w:r>
      <w:r w:rsidRPr="00A33E5E">
        <w:rPr>
          <w:rFonts w:ascii="Times New Roman" w:hAnsi="Times New Roman" w:cs="Times New Roman"/>
        </w:rPr>
        <w:t xml:space="preserve">podstawy odpowiedzialności penalnej podmiotu zbiorowego. </w:t>
      </w:r>
      <w:r w:rsidRPr="00CE120B">
        <w:rPr>
          <w:rFonts w:ascii="Times New Roman" w:hAnsi="Times New Roman" w:cs="Times New Roman"/>
          <w:b/>
          <w:bCs/>
        </w:rPr>
        <w:t xml:space="preserve">Rezygnacja z warunku </w:t>
      </w:r>
      <w:r w:rsidR="00F75CE2" w:rsidRPr="00CE120B">
        <w:rPr>
          <w:rFonts w:ascii="Times New Roman" w:hAnsi="Times New Roman" w:cs="Times New Roman"/>
          <w:b/>
          <w:bCs/>
        </w:rPr>
        <w:t>wskazanego w art. 3 i 4 ustawy prowadzi w konsekwencji do przyjęcia (zastosowania) odpowiedzialności penalnej podmiotu zbiorowego bez jakichkolwiek warunków.</w:t>
      </w:r>
      <w:r w:rsidR="00F75CE2" w:rsidRPr="00A33E5E">
        <w:rPr>
          <w:rFonts w:ascii="Times New Roman" w:hAnsi="Times New Roman" w:cs="Times New Roman"/>
        </w:rPr>
        <w:t xml:space="preserve"> </w:t>
      </w:r>
      <w:r w:rsidR="00F75CE2" w:rsidRPr="00CE120B">
        <w:rPr>
          <w:rFonts w:ascii="Times New Roman" w:hAnsi="Times New Roman" w:cs="Times New Roman"/>
          <w:b/>
          <w:bCs/>
        </w:rPr>
        <w:t xml:space="preserve">Nowy przepis art. 4a </w:t>
      </w:r>
      <w:r w:rsidR="00A33E5E" w:rsidRPr="00CE120B">
        <w:rPr>
          <w:rFonts w:ascii="Times New Roman" w:hAnsi="Times New Roman" w:cs="Times New Roman"/>
          <w:b/>
          <w:bCs/>
        </w:rPr>
        <w:t xml:space="preserve">(wymieniona ustawa o ochronie środowiska naturalnego) </w:t>
      </w:r>
      <w:r w:rsidR="00F75CE2" w:rsidRPr="00CE120B">
        <w:rPr>
          <w:rFonts w:ascii="Times New Roman" w:hAnsi="Times New Roman" w:cs="Times New Roman"/>
          <w:b/>
          <w:bCs/>
        </w:rPr>
        <w:t>w istocie wprowadził</w:t>
      </w:r>
      <w:r w:rsidR="00A33E5E" w:rsidRPr="00CE120B">
        <w:rPr>
          <w:rFonts w:ascii="Times New Roman" w:hAnsi="Times New Roman" w:cs="Times New Roman"/>
          <w:b/>
          <w:bCs/>
        </w:rPr>
        <w:t>a</w:t>
      </w:r>
      <w:r w:rsidR="00F75CE2" w:rsidRPr="00CE120B">
        <w:rPr>
          <w:rFonts w:ascii="Times New Roman" w:hAnsi="Times New Roman" w:cs="Times New Roman"/>
          <w:b/>
          <w:bCs/>
        </w:rPr>
        <w:t xml:space="preserve"> do polskiego systemu prawa nowy rodzaj odpowiedzialności penalnej (podmiotów zbiorowych) bez określenia normatywnych (ustawowych) podstaw tej odpowiedzialności. Dlatego </w:t>
      </w:r>
      <w:r w:rsidR="00A33E5E" w:rsidRPr="00CE120B">
        <w:rPr>
          <w:rFonts w:ascii="Times New Roman" w:hAnsi="Times New Roman" w:cs="Times New Roman"/>
          <w:b/>
          <w:bCs/>
        </w:rPr>
        <w:t>dodanie</w:t>
      </w:r>
      <w:r w:rsidR="00F75CE2" w:rsidRPr="00CE120B">
        <w:rPr>
          <w:rFonts w:ascii="Times New Roman" w:hAnsi="Times New Roman" w:cs="Times New Roman"/>
          <w:b/>
          <w:bCs/>
        </w:rPr>
        <w:t xml:space="preserve"> tego przepisu ocenić należy jednoznacznie negatywnie, a nawet konieczne jest dodanie, że przepis ten należałoby pilnie uchylić.</w:t>
      </w:r>
    </w:p>
    <w:p w14:paraId="7F61681A" w14:textId="29502234" w:rsidR="00F75CE2" w:rsidRPr="00A33E5E" w:rsidRDefault="00F75CE2" w:rsidP="00A33E5E">
      <w:pPr>
        <w:pStyle w:val="NormalnyWeb"/>
        <w:numPr>
          <w:ilvl w:val="0"/>
          <w:numId w:val="4"/>
        </w:numPr>
        <w:spacing w:line="360" w:lineRule="auto"/>
        <w:jc w:val="both"/>
      </w:pPr>
      <w:r w:rsidRPr="00A33E5E">
        <w:lastRenderedPageBreak/>
        <w:t>Wszelkie wykorzystywanie tego rozwiązania uznać należy za wysoce niepożądane. Tak te</w:t>
      </w:r>
      <w:r w:rsidR="00CE120B">
        <w:t>ż</w:t>
      </w:r>
      <w:r w:rsidRPr="00A33E5E">
        <w:t xml:space="preserve"> należy ocenić proponowaną zmianę, której konsekwencja sprowadzi się do stosowania odpowiedzialności podmiotu zbiorowego bez żadnych podstaw</w:t>
      </w:r>
      <w:r w:rsidR="00CE120B">
        <w:t>, i to</w:t>
      </w:r>
      <w:r w:rsidRPr="00A33E5E">
        <w:t xml:space="preserve"> </w:t>
      </w:r>
      <w:r w:rsidR="00A65C1E">
        <w:t xml:space="preserve">na dodatek </w:t>
      </w:r>
      <w:r w:rsidRPr="00A33E5E">
        <w:t xml:space="preserve">do szerokiego wachlarza przestępstw, w tym przestępstw przeciwko mieniu, które stanowią znaczną część wszystkich przestępstw popełnianych w Polsce. Należy ten zabieg skonkludować stwierdzeniem, </w:t>
      </w:r>
      <w:r w:rsidR="00CE120B">
        <w:t>ż</w:t>
      </w:r>
      <w:r w:rsidRPr="00A33E5E">
        <w:t>e rzeczywiście „ożywi” on obecną ustawę, tyle tylko, że jej szerokie stosowanie będzie związane z normatywną niejasnością i dowolnością do tej pory nieznan</w:t>
      </w:r>
      <w:r w:rsidR="00CE120B">
        <w:t>ymi</w:t>
      </w:r>
      <w:r w:rsidRPr="00A33E5E">
        <w:t xml:space="preserve"> polskiemu prawu karania.</w:t>
      </w:r>
    </w:p>
    <w:p w14:paraId="7C85DC5F" w14:textId="16934E29" w:rsidR="00F75CE2" w:rsidRPr="00A33E5E" w:rsidRDefault="00F75CE2" w:rsidP="00A33E5E">
      <w:pPr>
        <w:pStyle w:val="NormalnyWeb"/>
        <w:numPr>
          <w:ilvl w:val="0"/>
          <w:numId w:val="4"/>
        </w:numPr>
        <w:spacing w:line="360" w:lineRule="auto"/>
        <w:jc w:val="both"/>
      </w:pPr>
      <w:r w:rsidRPr="00A33E5E">
        <w:t>Wobec powyższego, nie ma już konieczności oceny zabiegu znacznego poszerzenia zakresu art. 16 (katalog rodzajów przestępstw mających zastosowanie do tej ustawy),</w:t>
      </w:r>
      <w:r w:rsidR="00A33E5E" w:rsidRPr="00A33E5E">
        <w:t xml:space="preserve"> wraz z towarzyszącą mu intencją, że ma on dotyczyć tylko przestępstw przeciwko interesem finansowym UE</w:t>
      </w:r>
      <w:r w:rsidR="00A65C1E">
        <w:t xml:space="preserve"> (</w:t>
      </w:r>
      <w:r w:rsidR="00A33E5E" w:rsidRPr="00A33E5E">
        <w:t>gdy tymczasem formalnie tak nie jest</w:t>
      </w:r>
      <w:r w:rsidR="00A65C1E">
        <w:t>)</w:t>
      </w:r>
      <w:r w:rsidR="00A33E5E" w:rsidRPr="00A33E5E">
        <w:t>.</w:t>
      </w:r>
      <w:r w:rsidRPr="00A33E5E">
        <w:t xml:space="preserve">  </w:t>
      </w:r>
    </w:p>
    <w:p w14:paraId="2E7967A7" w14:textId="138535D4" w:rsidR="00CE120B" w:rsidRPr="00F53EA0" w:rsidRDefault="00A33E5E" w:rsidP="00F53EA0">
      <w:pPr>
        <w:pStyle w:val="NormalnyWeb"/>
        <w:numPr>
          <w:ilvl w:val="0"/>
          <w:numId w:val="4"/>
        </w:numPr>
        <w:spacing w:line="360" w:lineRule="auto"/>
        <w:jc w:val="both"/>
        <w:rPr>
          <w:b/>
          <w:bCs/>
        </w:rPr>
      </w:pPr>
      <w:r w:rsidRPr="00A33E5E">
        <w:t xml:space="preserve">Ustawa o odpowiedzialności podmiotów zbiorowych za czyny zabronione obowiązuje już od ponad 20 lat. Od początku rodziła ona </w:t>
      </w:r>
      <w:r w:rsidR="00A65C1E">
        <w:t xml:space="preserve">powszechną i w pełni </w:t>
      </w:r>
      <w:r w:rsidRPr="00A33E5E">
        <w:t>uzasadnioną krytykę, której potwierdzeniem był praktyczny brak jej stosowania. Tyle czasu miał polski rząd oraz ustawodawca, aby ten stan rzeczy (prawny</w:t>
      </w:r>
      <w:r w:rsidR="00CE120B">
        <w:t>)</w:t>
      </w:r>
      <w:r w:rsidRPr="00A33E5E">
        <w:t xml:space="preserve"> zmienić. Zmiana ta jest </w:t>
      </w:r>
      <w:r w:rsidR="00CE120B">
        <w:t xml:space="preserve">bez wątpienia </w:t>
      </w:r>
      <w:r w:rsidRPr="00A33E5E">
        <w:t xml:space="preserve">konieczne i pilna. Jednak nie może </w:t>
      </w:r>
      <w:r w:rsidR="00CE120B">
        <w:t xml:space="preserve">ona </w:t>
      </w:r>
      <w:r w:rsidRPr="00A33E5E">
        <w:t>sprowadza</w:t>
      </w:r>
      <w:r w:rsidR="00CE120B">
        <w:t xml:space="preserve">ć </w:t>
      </w:r>
      <w:r w:rsidRPr="00A33E5E">
        <w:t>się do wykorzystywania jej art. 4a, który nie tylko stanowi jej zaprzeczenie, lecz również stanowi zaprzeczenie wszelkich powszechnie przyjętych kanonów podstaw odpowiedzialności o charakterze penalnym</w:t>
      </w:r>
      <w:r w:rsidR="00915C7C">
        <w:t>, obowiązujących w demokratycznym państwie prawnym</w:t>
      </w:r>
      <w:r w:rsidRPr="00A33E5E">
        <w:t xml:space="preserve">. </w:t>
      </w:r>
      <w:r w:rsidRPr="00016518">
        <w:rPr>
          <w:b/>
          <w:bCs/>
        </w:rPr>
        <w:t xml:space="preserve">Dlatego należy </w:t>
      </w:r>
      <w:r w:rsidR="00016518" w:rsidRPr="00016518">
        <w:rPr>
          <w:b/>
          <w:bCs/>
        </w:rPr>
        <w:t xml:space="preserve">jednoznacznie </w:t>
      </w:r>
      <w:r w:rsidRPr="00016518">
        <w:rPr>
          <w:b/>
          <w:bCs/>
        </w:rPr>
        <w:t>postulować rezygnację z rozważanej tutaj zmiany</w:t>
      </w:r>
      <w:r w:rsidR="006778E9">
        <w:rPr>
          <w:b/>
          <w:bCs/>
        </w:rPr>
        <w:t xml:space="preserve"> (uzupełnienia) art. 4a omawianej ustawy</w:t>
      </w:r>
      <w:r w:rsidRPr="00016518">
        <w:rPr>
          <w:b/>
          <w:bCs/>
        </w:rPr>
        <w:t>.</w:t>
      </w:r>
    </w:p>
    <w:p w14:paraId="01E93956" w14:textId="6213DF9A" w:rsidR="00016518" w:rsidRPr="00CE120B" w:rsidRDefault="00016518" w:rsidP="00016518">
      <w:pPr>
        <w:pStyle w:val="Akapitzlist"/>
        <w:numPr>
          <w:ilvl w:val="0"/>
          <w:numId w:val="5"/>
        </w:numPr>
        <w:spacing w:line="360" w:lineRule="auto"/>
        <w:jc w:val="both"/>
        <w:rPr>
          <w:rFonts w:ascii="Times New Roman" w:hAnsi="Times New Roman" w:cs="Times New Roman"/>
          <w:u w:val="single"/>
        </w:rPr>
      </w:pPr>
      <w:r w:rsidRPr="000F5F93">
        <w:rPr>
          <w:rFonts w:ascii="Times New Roman" w:hAnsi="Times New Roman" w:cs="Times New Roman"/>
          <w:u w:val="single"/>
        </w:rPr>
        <w:t xml:space="preserve">Odnośnie do propozycji zmiany </w:t>
      </w:r>
      <w:r w:rsidR="00CE120B">
        <w:rPr>
          <w:rFonts w:ascii="Times New Roman" w:hAnsi="Times New Roman" w:cs="Times New Roman"/>
          <w:u w:val="single"/>
        </w:rPr>
        <w:t xml:space="preserve">(uzupełnienia) </w:t>
      </w:r>
      <w:r w:rsidRPr="000F5F93">
        <w:rPr>
          <w:rFonts w:ascii="Times New Roman" w:hAnsi="Times New Roman" w:cs="Times New Roman"/>
          <w:u w:val="single"/>
        </w:rPr>
        <w:t xml:space="preserve">w art. </w:t>
      </w:r>
      <w:r w:rsidR="00CE120B">
        <w:rPr>
          <w:rFonts w:ascii="Times New Roman" w:hAnsi="Times New Roman" w:cs="Times New Roman"/>
          <w:u w:val="single"/>
        </w:rPr>
        <w:t>16</w:t>
      </w:r>
      <w:r w:rsidRPr="000F5F93">
        <w:rPr>
          <w:rFonts w:ascii="Times New Roman" w:hAnsi="Times New Roman" w:cs="Times New Roman"/>
          <w:u w:val="single"/>
        </w:rPr>
        <w:t xml:space="preserve"> </w:t>
      </w:r>
      <w:r w:rsidR="00CE120B">
        <w:rPr>
          <w:rFonts w:ascii="Times New Roman" w:hAnsi="Times New Roman" w:cs="Times New Roman"/>
          <w:u w:val="single"/>
        </w:rPr>
        <w:t xml:space="preserve">ust. 1 pkt 6 </w:t>
      </w:r>
      <w:r w:rsidRPr="000F5F93">
        <w:rPr>
          <w:rFonts w:ascii="Times New Roman" w:hAnsi="Times New Roman" w:cs="Times New Roman"/>
          <w:u w:val="single"/>
        </w:rPr>
        <w:t>ustawy z dnia</w:t>
      </w:r>
      <w:r w:rsidRPr="000F5F93">
        <w:rPr>
          <w:rFonts w:ascii="Times New Roman" w:hAnsi="Times New Roman" w:cs="Times New Roman"/>
          <w:color w:val="333333"/>
          <w:u w:val="single"/>
        </w:rPr>
        <w:t xml:space="preserve"> 28 października 2002 r. o odpowiedzialności podmiotów zbiorowych za czyny zabronione pod groźbą kary (</w:t>
      </w:r>
      <w:r w:rsidRPr="000F5F93">
        <w:rPr>
          <w:rFonts w:ascii="Times New Roman" w:eastAsia="Times New Roman" w:hAnsi="Times New Roman" w:cs="Times New Roman"/>
          <w:color w:val="333333"/>
          <w:u w:val="single"/>
          <w:lang w:eastAsia="pl-PL"/>
        </w:rPr>
        <w:t>Dz.U. z 2023 r. Poz. 659 – t.j.</w:t>
      </w:r>
      <w:r w:rsidRPr="000F5F93">
        <w:rPr>
          <w:rFonts w:ascii="Times New Roman" w:hAnsi="Times New Roman" w:cs="Times New Roman"/>
          <w:color w:val="333333"/>
          <w:u w:val="single"/>
        </w:rPr>
        <w:t>):</w:t>
      </w:r>
    </w:p>
    <w:p w14:paraId="5F578A81" w14:textId="65CBCB89" w:rsidR="00CE120B" w:rsidRDefault="00CE120B" w:rsidP="00CE120B">
      <w:pPr>
        <w:pStyle w:val="Akapitzlist"/>
        <w:numPr>
          <w:ilvl w:val="0"/>
          <w:numId w:val="6"/>
        </w:numPr>
        <w:spacing w:line="360" w:lineRule="auto"/>
        <w:jc w:val="both"/>
        <w:rPr>
          <w:rFonts w:ascii="Times New Roman" w:hAnsi="Times New Roman" w:cs="Times New Roman"/>
        </w:rPr>
      </w:pPr>
      <w:r w:rsidRPr="00873427">
        <w:rPr>
          <w:rFonts w:ascii="Times New Roman" w:hAnsi="Times New Roman" w:cs="Times New Roman"/>
        </w:rPr>
        <w:t xml:space="preserve">Istota tej zmiany sprowadza się do dodania do katalogu przestępstw </w:t>
      </w:r>
      <w:r w:rsidR="00873427">
        <w:rPr>
          <w:rFonts w:ascii="Times New Roman" w:hAnsi="Times New Roman" w:cs="Times New Roman"/>
        </w:rPr>
        <w:t xml:space="preserve">mających zastosowanie do ww. ustawy, również przestępstwa przywłaszczenia mienia z art. 284 K.k. Jej uzasadnienie sprowadza się do wskazania, że czyny zabronionego stypizowane w tym przepisie karnym mogą również, w szczególnych faktycznych przypadkach (podobnie jak </w:t>
      </w:r>
      <w:r w:rsidR="006678E9">
        <w:rPr>
          <w:rFonts w:ascii="Times New Roman" w:hAnsi="Times New Roman" w:cs="Times New Roman"/>
        </w:rPr>
        <w:t xml:space="preserve">w przypadku </w:t>
      </w:r>
      <w:r w:rsidR="00873427">
        <w:rPr>
          <w:rFonts w:ascii="Times New Roman" w:hAnsi="Times New Roman" w:cs="Times New Roman"/>
        </w:rPr>
        <w:t>pozostał</w:t>
      </w:r>
      <w:r w:rsidR="006678E9">
        <w:rPr>
          <w:rFonts w:ascii="Times New Roman" w:hAnsi="Times New Roman" w:cs="Times New Roman"/>
        </w:rPr>
        <w:t>ych</w:t>
      </w:r>
      <w:r w:rsidR="00873427">
        <w:rPr>
          <w:rFonts w:ascii="Times New Roman" w:hAnsi="Times New Roman" w:cs="Times New Roman"/>
        </w:rPr>
        <w:t xml:space="preserve"> przepis</w:t>
      </w:r>
      <w:r w:rsidR="006678E9">
        <w:rPr>
          <w:rFonts w:ascii="Times New Roman" w:hAnsi="Times New Roman" w:cs="Times New Roman"/>
        </w:rPr>
        <w:t>ów</w:t>
      </w:r>
      <w:r w:rsidR="00873427">
        <w:rPr>
          <w:rFonts w:ascii="Times New Roman" w:hAnsi="Times New Roman" w:cs="Times New Roman"/>
        </w:rPr>
        <w:t xml:space="preserve"> określając</w:t>
      </w:r>
      <w:r w:rsidR="006678E9">
        <w:rPr>
          <w:rFonts w:ascii="Times New Roman" w:hAnsi="Times New Roman" w:cs="Times New Roman"/>
        </w:rPr>
        <w:t>ych</w:t>
      </w:r>
      <w:r w:rsidR="00873427">
        <w:rPr>
          <w:rFonts w:ascii="Times New Roman" w:hAnsi="Times New Roman" w:cs="Times New Roman"/>
        </w:rPr>
        <w:t xml:space="preserve"> przestępstwa przeciwko mieniu już w</w:t>
      </w:r>
      <w:r w:rsidR="006678E9">
        <w:rPr>
          <w:rFonts w:ascii="Times New Roman" w:hAnsi="Times New Roman" w:cs="Times New Roman"/>
        </w:rPr>
        <w:t>ymienionych</w:t>
      </w:r>
      <w:r w:rsidR="00873427">
        <w:rPr>
          <w:rFonts w:ascii="Times New Roman" w:hAnsi="Times New Roman" w:cs="Times New Roman"/>
        </w:rPr>
        <w:t xml:space="preserve"> w art. 16 ww. ustawy), naruszać interesy finansowe Unii Europejskiej.</w:t>
      </w:r>
    </w:p>
    <w:p w14:paraId="3123597C" w14:textId="617D6F8A" w:rsidR="00873427" w:rsidRDefault="00873427" w:rsidP="00CE120B">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lastRenderedPageBreak/>
        <w:t xml:space="preserve">Wobec powyższego należy wskazać, że nie ma racjonalnych podstaw, aby uzupełniać w wyżej wymieniony sposób katalog przestępstw </w:t>
      </w:r>
      <w:r w:rsidR="00A65C1E">
        <w:rPr>
          <w:rFonts w:ascii="Times New Roman" w:hAnsi="Times New Roman" w:cs="Times New Roman"/>
        </w:rPr>
        <w:t xml:space="preserve">wyłącznie </w:t>
      </w:r>
      <w:r>
        <w:rPr>
          <w:rFonts w:ascii="Times New Roman" w:hAnsi="Times New Roman" w:cs="Times New Roman"/>
        </w:rPr>
        <w:t xml:space="preserve">z uwagi na ochronę interesów finansowych Unii Europejskiej. Dlatego już tylko na marginesie należy potwierdzająco wskazać, że rzeczywiście możliwa jest w praktyce sytuacja przywołana przez projektodawcę. Istota omawianego problemu sprowadza się do </w:t>
      </w:r>
      <w:r w:rsidR="006778E9">
        <w:rPr>
          <w:rFonts w:ascii="Times New Roman" w:hAnsi="Times New Roman" w:cs="Times New Roman"/>
        </w:rPr>
        <w:t xml:space="preserve">innego zasadniczego </w:t>
      </w:r>
      <w:r>
        <w:rPr>
          <w:rFonts w:ascii="Times New Roman" w:hAnsi="Times New Roman" w:cs="Times New Roman"/>
        </w:rPr>
        <w:t xml:space="preserve">pytania – czy ustawa o odpowiedzialności podmiotów zbiorowych za czyny zabronione powinna mieć zastosowanie również do przestępstwa określonego w art. 284 K.k.? </w:t>
      </w:r>
      <w:r w:rsidR="006678E9">
        <w:rPr>
          <w:rFonts w:ascii="Times New Roman" w:hAnsi="Times New Roman" w:cs="Times New Roman"/>
        </w:rPr>
        <w:t xml:space="preserve">Na takie pytanie należy </w:t>
      </w:r>
      <w:r w:rsidR="00A65C1E">
        <w:rPr>
          <w:rFonts w:ascii="Times New Roman" w:hAnsi="Times New Roman" w:cs="Times New Roman"/>
        </w:rPr>
        <w:t xml:space="preserve">zaś </w:t>
      </w:r>
      <w:r w:rsidR="006678E9">
        <w:rPr>
          <w:rFonts w:ascii="Times New Roman" w:hAnsi="Times New Roman" w:cs="Times New Roman"/>
        </w:rPr>
        <w:t>udzieli</w:t>
      </w:r>
      <w:r w:rsidR="006778E9">
        <w:rPr>
          <w:rFonts w:ascii="Times New Roman" w:hAnsi="Times New Roman" w:cs="Times New Roman"/>
        </w:rPr>
        <w:t>ć</w:t>
      </w:r>
      <w:r w:rsidR="006678E9">
        <w:rPr>
          <w:rFonts w:ascii="Times New Roman" w:hAnsi="Times New Roman" w:cs="Times New Roman"/>
        </w:rPr>
        <w:t xml:space="preserve"> odpowiedzi pozytywnej.</w:t>
      </w:r>
    </w:p>
    <w:p w14:paraId="1E378A8E" w14:textId="45034139" w:rsidR="006678E9" w:rsidRPr="006778E9" w:rsidRDefault="006678E9" w:rsidP="00CE120B">
      <w:pPr>
        <w:pStyle w:val="Akapitzlist"/>
        <w:numPr>
          <w:ilvl w:val="0"/>
          <w:numId w:val="6"/>
        </w:numPr>
        <w:spacing w:line="360" w:lineRule="auto"/>
        <w:jc w:val="both"/>
        <w:rPr>
          <w:rFonts w:ascii="Times New Roman" w:hAnsi="Times New Roman" w:cs="Times New Roman"/>
          <w:b/>
          <w:bCs/>
        </w:rPr>
      </w:pPr>
      <w:r>
        <w:rPr>
          <w:rFonts w:ascii="Times New Roman" w:hAnsi="Times New Roman" w:cs="Times New Roman"/>
        </w:rPr>
        <w:t xml:space="preserve">Trudno wskazać </w:t>
      </w:r>
      <w:r w:rsidR="006778E9">
        <w:rPr>
          <w:rFonts w:ascii="Times New Roman" w:hAnsi="Times New Roman" w:cs="Times New Roman"/>
        </w:rPr>
        <w:t xml:space="preserve">na </w:t>
      </w:r>
      <w:r>
        <w:rPr>
          <w:rFonts w:ascii="Times New Roman" w:hAnsi="Times New Roman" w:cs="Times New Roman"/>
        </w:rPr>
        <w:t xml:space="preserve">racjonalne podstawy dla obecnego rozwiązania z art. 16 ust. 1 pkt 6 ww. ustawy, zgodnie z którym ma ona zastosowanie do przestępstw przeciwko mieniu wskazanych </w:t>
      </w:r>
      <w:r w:rsidR="0017616A">
        <w:rPr>
          <w:rFonts w:ascii="Times New Roman" w:hAnsi="Times New Roman" w:cs="Times New Roman"/>
        </w:rPr>
        <w:t xml:space="preserve">wyłącznie </w:t>
      </w:r>
      <w:r>
        <w:rPr>
          <w:rFonts w:ascii="Times New Roman" w:hAnsi="Times New Roman" w:cs="Times New Roman"/>
        </w:rPr>
        <w:t>w art. 286, 287 oraz 291-293</w:t>
      </w:r>
      <w:r w:rsidR="006778E9">
        <w:rPr>
          <w:rFonts w:ascii="Times New Roman" w:hAnsi="Times New Roman" w:cs="Times New Roman"/>
        </w:rPr>
        <w:t xml:space="preserve"> K.k</w:t>
      </w:r>
      <w:r>
        <w:rPr>
          <w:rFonts w:ascii="Times New Roman" w:hAnsi="Times New Roman" w:cs="Times New Roman"/>
        </w:rPr>
        <w:t xml:space="preserve">. Można bowiem sobie wyobrazić sytuację, w której </w:t>
      </w:r>
      <w:r w:rsidR="0017616A">
        <w:rPr>
          <w:rFonts w:ascii="Times New Roman" w:hAnsi="Times New Roman" w:cs="Times New Roman"/>
        </w:rPr>
        <w:t xml:space="preserve">- </w:t>
      </w:r>
      <w:r>
        <w:rPr>
          <w:rFonts w:ascii="Times New Roman" w:hAnsi="Times New Roman" w:cs="Times New Roman"/>
        </w:rPr>
        <w:t>w warunkach określonych w art. 3 ww. ustawy</w:t>
      </w:r>
      <w:r w:rsidR="0017616A">
        <w:rPr>
          <w:rFonts w:ascii="Times New Roman" w:hAnsi="Times New Roman" w:cs="Times New Roman"/>
        </w:rPr>
        <w:t xml:space="preserve"> -</w:t>
      </w:r>
      <w:r>
        <w:rPr>
          <w:rFonts w:ascii="Times New Roman" w:hAnsi="Times New Roman" w:cs="Times New Roman"/>
        </w:rPr>
        <w:t xml:space="preserve"> popełniony zostaje również czyn zabroniony określony w art. 284 i 288 K.k., a nawet w art. 278 K.k. </w:t>
      </w:r>
      <w:r w:rsidRPr="006778E9">
        <w:rPr>
          <w:rFonts w:ascii="Times New Roman" w:hAnsi="Times New Roman" w:cs="Times New Roman"/>
          <w:b/>
          <w:bCs/>
        </w:rPr>
        <w:t>Dlatego proponowane uzupełnienie należy ocenić pozytywnie.</w:t>
      </w:r>
    </w:p>
    <w:p w14:paraId="6796F7CA" w14:textId="5C2A4951" w:rsidR="006678E9" w:rsidRDefault="006678E9" w:rsidP="00CE120B">
      <w:pPr>
        <w:pStyle w:val="Akapitzlist"/>
        <w:numPr>
          <w:ilvl w:val="0"/>
          <w:numId w:val="6"/>
        </w:numPr>
        <w:spacing w:line="360" w:lineRule="auto"/>
        <w:jc w:val="both"/>
        <w:rPr>
          <w:rFonts w:ascii="Times New Roman" w:hAnsi="Times New Roman" w:cs="Times New Roman"/>
        </w:rPr>
      </w:pPr>
      <w:r>
        <w:rPr>
          <w:rFonts w:ascii="Times New Roman" w:hAnsi="Times New Roman" w:cs="Times New Roman"/>
        </w:rPr>
        <w:t xml:space="preserve">Powyższa pozytywna ocena musi być </w:t>
      </w:r>
      <w:r w:rsidR="0017616A">
        <w:rPr>
          <w:rFonts w:ascii="Times New Roman" w:hAnsi="Times New Roman" w:cs="Times New Roman"/>
        </w:rPr>
        <w:t>jednak opatrzona</w:t>
      </w:r>
      <w:r>
        <w:rPr>
          <w:rFonts w:ascii="Times New Roman" w:hAnsi="Times New Roman" w:cs="Times New Roman"/>
        </w:rPr>
        <w:t xml:space="preserve"> zastrzeżeniami, zgodnie z którymi:</w:t>
      </w:r>
    </w:p>
    <w:p w14:paraId="570B8DE1" w14:textId="0F30ABB4" w:rsidR="006778E9" w:rsidRDefault="006678E9" w:rsidP="006678E9">
      <w:pPr>
        <w:pStyle w:val="Akapitzlist"/>
        <w:spacing w:line="360" w:lineRule="auto"/>
        <w:jc w:val="both"/>
        <w:rPr>
          <w:rFonts w:ascii="Times New Roman" w:hAnsi="Times New Roman" w:cs="Times New Roman"/>
        </w:rPr>
      </w:pPr>
      <w:r>
        <w:rPr>
          <w:rFonts w:ascii="Times New Roman" w:hAnsi="Times New Roman" w:cs="Times New Roman"/>
        </w:rPr>
        <w:t xml:space="preserve">- </w:t>
      </w:r>
      <w:r w:rsidR="006778E9">
        <w:rPr>
          <w:rFonts w:ascii="Times New Roman" w:hAnsi="Times New Roman" w:cs="Times New Roman"/>
        </w:rPr>
        <w:t>uzupełnienie to powinno odnosić się do wszystkich przestępstw z art. 284 K.k., a nie tylko do tych, które naruszają interesy finansowe UE,</w:t>
      </w:r>
    </w:p>
    <w:p w14:paraId="109D3FCD" w14:textId="42892EB9" w:rsidR="006678E9" w:rsidRDefault="006778E9" w:rsidP="006678E9">
      <w:pPr>
        <w:pStyle w:val="Akapitzlist"/>
        <w:spacing w:line="360" w:lineRule="auto"/>
        <w:jc w:val="both"/>
        <w:rPr>
          <w:rFonts w:ascii="Times New Roman" w:hAnsi="Times New Roman" w:cs="Times New Roman"/>
        </w:rPr>
      </w:pPr>
      <w:r>
        <w:rPr>
          <w:rFonts w:ascii="Times New Roman" w:hAnsi="Times New Roman" w:cs="Times New Roman"/>
        </w:rPr>
        <w:t xml:space="preserve">- </w:t>
      </w:r>
      <w:r w:rsidR="006678E9">
        <w:rPr>
          <w:rFonts w:ascii="Times New Roman" w:hAnsi="Times New Roman" w:cs="Times New Roman"/>
        </w:rPr>
        <w:t xml:space="preserve">uzupełnienie ww. ustawy powinno być </w:t>
      </w:r>
      <w:r>
        <w:rPr>
          <w:rFonts w:ascii="Times New Roman" w:hAnsi="Times New Roman" w:cs="Times New Roman"/>
        </w:rPr>
        <w:t xml:space="preserve">znacznie </w:t>
      </w:r>
      <w:r w:rsidR="006678E9">
        <w:rPr>
          <w:rFonts w:ascii="Times New Roman" w:hAnsi="Times New Roman" w:cs="Times New Roman"/>
        </w:rPr>
        <w:t>szersze, także w ramach przestępstw przeciwko mieniu,</w:t>
      </w:r>
    </w:p>
    <w:p w14:paraId="4F3DE526" w14:textId="1409323D" w:rsidR="006678E9" w:rsidRDefault="006678E9" w:rsidP="006678E9">
      <w:pPr>
        <w:pStyle w:val="Akapitzlist"/>
        <w:spacing w:line="360" w:lineRule="auto"/>
        <w:jc w:val="both"/>
        <w:rPr>
          <w:rFonts w:ascii="Times New Roman" w:hAnsi="Times New Roman" w:cs="Times New Roman"/>
        </w:rPr>
      </w:pPr>
      <w:r>
        <w:rPr>
          <w:rFonts w:ascii="Times New Roman" w:hAnsi="Times New Roman" w:cs="Times New Roman"/>
        </w:rPr>
        <w:t>- sama ustawa powinna jednak zostać uchylona w całości i zastąpiona zupełnie inną nową regulacją (ustawą) określającą podstawy odpowiedzialności penalnej podmiotów zbiorowych oraz odpowiedzialnością karną ich reprezentantów.</w:t>
      </w:r>
    </w:p>
    <w:p w14:paraId="58365432" w14:textId="0C89AA64" w:rsidR="004051CE" w:rsidRPr="00F53EA0" w:rsidRDefault="006678E9" w:rsidP="00F53EA0">
      <w:pPr>
        <w:spacing w:line="360" w:lineRule="auto"/>
        <w:ind w:firstLine="708"/>
        <w:jc w:val="both"/>
        <w:rPr>
          <w:rFonts w:ascii="Times New Roman" w:hAnsi="Times New Roman" w:cs="Times New Roman"/>
        </w:rPr>
      </w:pPr>
      <w:r w:rsidRPr="00BE005E">
        <w:rPr>
          <w:rFonts w:ascii="Times New Roman" w:hAnsi="Times New Roman" w:cs="Times New Roman"/>
        </w:rPr>
        <w:t xml:space="preserve">Konieczność i pilność tego ostatniego zabiegu nie podlega żadnej dyskusji. Należy przy tym odnotować, że brak takiego funkcjonalnego kompleksowego rozwiązania, już od dawna </w:t>
      </w:r>
      <w:r w:rsidRPr="00F53EA0">
        <w:rPr>
          <w:rFonts w:ascii="Times New Roman" w:hAnsi="Times New Roman" w:cs="Times New Roman"/>
        </w:rPr>
        <w:t xml:space="preserve">stanowi bodajże główny zarzut pod adresem polskiego prawa karania ze strony wszystkich organizacji międzynarodowych, do których należy RP. </w:t>
      </w:r>
    </w:p>
    <w:p w14:paraId="01AE3E38" w14:textId="087DDD3E" w:rsidR="004051CE" w:rsidRPr="00F53EA0" w:rsidRDefault="004051CE" w:rsidP="006678E9">
      <w:pPr>
        <w:pStyle w:val="Akapitzlist"/>
        <w:spacing w:line="360" w:lineRule="auto"/>
        <w:jc w:val="both"/>
        <w:rPr>
          <w:rFonts w:ascii="Times New Roman" w:hAnsi="Times New Roman" w:cs="Times New Roman"/>
          <w:b/>
          <w:bCs/>
        </w:rPr>
      </w:pPr>
      <w:r w:rsidRPr="00F53EA0">
        <w:rPr>
          <w:rFonts w:ascii="Times New Roman" w:hAnsi="Times New Roman" w:cs="Times New Roman"/>
          <w:b/>
          <w:bCs/>
        </w:rPr>
        <w:t>Podsumowując</w:t>
      </w:r>
      <w:r w:rsidR="0017616A" w:rsidRPr="00F53EA0">
        <w:rPr>
          <w:rFonts w:ascii="Times New Roman" w:hAnsi="Times New Roman" w:cs="Times New Roman"/>
          <w:b/>
          <w:bCs/>
        </w:rPr>
        <w:t xml:space="preserve"> powyższe rozważania</w:t>
      </w:r>
      <w:r w:rsidRPr="00F53EA0">
        <w:rPr>
          <w:rFonts w:ascii="Times New Roman" w:hAnsi="Times New Roman" w:cs="Times New Roman"/>
          <w:b/>
          <w:bCs/>
        </w:rPr>
        <w:t>:</w:t>
      </w:r>
    </w:p>
    <w:p w14:paraId="5EDD2808" w14:textId="29068948" w:rsidR="004051CE" w:rsidRPr="00F53EA0" w:rsidRDefault="004051CE" w:rsidP="004051CE">
      <w:pPr>
        <w:pStyle w:val="Akapitzlist"/>
        <w:numPr>
          <w:ilvl w:val="0"/>
          <w:numId w:val="7"/>
        </w:numPr>
        <w:spacing w:line="360" w:lineRule="auto"/>
        <w:jc w:val="both"/>
        <w:rPr>
          <w:rFonts w:ascii="Times New Roman" w:hAnsi="Times New Roman" w:cs="Times New Roman"/>
          <w:b/>
          <w:bCs/>
        </w:rPr>
      </w:pPr>
      <w:r w:rsidRPr="00F53EA0">
        <w:rPr>
          <w:rFonts w:ascii="Times New Roman" w:hAnsi="Times New Roman" w:cs="Times New Roman"/>
          <w:b/>
          <w:bCs/>
        </w:rPr>
        <w:t>zmianę nr 1 należy ocenić warunkowo negatywnie,</w:t>
      </w:r>
    </w:p>
    <w:p w14:paraId="3325689F" w14:textId="408827D8" w:rsidR="004051CE" w:rsidRPr="00F53EA0" w:rsidRDefault="004051CE" w:rsidP="004051CE">
      <w:pPr>
        <w:pStyle w:val="Akapitzlist"/>
        <w:numPr>
          <w:ilvl w:val="0"/>
          <w:numId w:val="7"/>
        </w:numPr>
        <w:spacing w:line="360" w:lineRule="auto"/>
        <w:jc w:val="both"/>
        <w:rPr>
          <w:rFonts w:ascii="Times New Roman" w:hAnsi="Times New Roman" w:cs="Times New Roman"/>
          <w:b/>
          <w:bCs/>
        </w:rPr>
      </w:pPr>
      <w:r w:rsidRPr="00F53EA0">
        <w:rPr>
          <w:rFonts w:ascii="Times New Roman" w:hAnsi="Times New Roman" w:cs="Times New Roman"/>
          <w:b/>
          <w:bCs/>
        </w:rPr>
        <w:t>zmianę nr 2 należy ocenić bezwarunkowo negatywnie,</w:t>
      </w:r>
    </w:p>
    <w:p w14:paraId="5892F816" w14:textId="512471A5" w:rsidR="00F53EA0" w:rsidRPr="00F53EA0" w:rsidRDefault="004051CE" w:rsidP="00F53EA0">
      <w:pPr>
        <w:pStyle w:val="Akapitzlist"/>
        <w:numPr>
          <w:ilvl w:val="0"/>
          <w:numId w:val="7"/>
        </w:numPr>
        <w:spacing w:line="360" w:lineRule="auto"/>
        <w:jc w:val="both"/>
        <w:rPr>
          <w:rFonts w:ascii="Times New Roman" w:hAnsi="Times New Roman" w:cs="Times New Roman"/>
        </w:rPr>
      </w:pPr>
      <w:r w:rsidRPr="00F53EA0">
        <w:rPr>
          <w:rFonts w:ascii="Times New Roman" w:hAnsi="Times New Roman" w:cs="Times New Roman"/>
          <w:b/>
          <w:bCs/>
        </w:rPr>
        <w:t>zmianę nr 3 należy ocenić warunkowo pozytywnie.</w:t>
      </w:r>
    </w:p>
    <w:p w14:paraId="61D5319C" w14:textId="77777777" w:rsidR="00F53EA0" w:rsidRPr="00F53EA0" w:rsidRDefault="00F53EA0" w:rsidP="00F53EA0">
      <w:pPr>
        <w:pStyle w:val="Akapitzlist"/>
        <w:spacing w:line="360" w:lineRule="auto"/>
        <w:ind w:left="1080"/>
        <w:jc w:val="both"/>
        <w:rPr>
          <w:rFonts w:ascii="Times New Roman" w:hAnsi="Times New Roman" w:cs="Times New Roman"/>
        </w:rPr>
      </w:pPr>
    </w:p>
    <w:p w14:paraId="4DE844C0" w14:textId="75129326" w:rsidR="00F53EA0" w:rsidRPr="00F53EA0" w:rsidRDefault="00F53EA0" w:rsidP="00F53EA0">
      <w:pPr>
        <w:spacing w:line="360" w:lineRule="auto"/>
        <w:jc w:val="both"/>
        <w:rPr>
          <w:rFonts w:ascii="Times New Roman" w:hAnsi="Times New Roman" w:cs="Times New Roman"/>
        </w:rPr>
      </w:pPr>
      <w:r w:rsidRPr="00F53EA0">
        <w:rPr>
          <w:rFonts w:ascii="Times New Roman" w:hAnsi="Times New Roman" w:cs="Times New Roman"/>
        </w:rPr>
        <w:t>Opracował: prof. dr hab. Robert Zawłocki</w:t>
      </w:r>
    </w:p>
    <w:sectPr w:rsidR="00F53EA0" w:rsidRPr="00F53EA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62A12" w14:textId="77777777" w:rsidR="002F5F14" w:rsidRDefault="002F5F14" w:rsidP="00402763">
      <w:r>
        <w:separator/>
      </w:r>
    </w:p>
  </w:endnote>
  <w:endnote w:type="continuationSeparator" w:id="0">
    <w:p w14:paraId="6CB0BBC5" w14:textId="77777777" w:rsidR="002F5F14" w:rsidRDefault="002F5F14" w:rsidP="0040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722412764"/>
      <w:docPartObj>
        <w:docPartGallery w:val="Page Numbers (Bottom of Page)"/>
        <w:docPartUnique/>
      </w:docPartObj>
    </w:sdtPr>
    <w:sdtContent>
      <w:p w14:paraId="49769663" w14:textId="37C88A15" w:rsidR="00402763" w:rsidRDefault="00402763" w:rsidP="002A071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7AD9695" w14:textId="77777777" w:rsidR="00402763" w:rsidRDefault="00402763" w:rsidP="0040276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124297824"/>
      <w:docPartObj>
        <w:docPartGallery w:val="Page Numbers (Bottom of Page)"/>
        <w:docPartUnique/>
      </w:docPartObj>
    </w:sdtPr>
    <w:sdtContent>
      <w:p w14:paraId="3077C151" w14:textId="09830A10" w:rsidR="00402763" w:rsidRDefault="00402763" w:rsidP="002A071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61D6351" w14:textId="77777777" w:rsidR="00402763" w:rsidRDefault="00402763" w:rsidP="0040276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433B3" w14:textId="77777777" w:rsidR="002F5F14" w:rsidRDefault="002F5F14" w:rsidP="00402763">
      <w:r>
        <w:separator/>
      </w:r>
    </w:p>
  </w:footnote>
  <w:footnote w:type="continuationSeparator" w:id="0">
    <w:p w14:paraId="2A4DA06D" w14:textId="77777777" w:rsidR="002F5F14" w:rsidRDefault="002F5F14" w:rsidP="0040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2ECF"/>
    <w:multiLevelType w:val="hybridMultilevel"/>
    <w:tmpl w:val="98E87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3315B"/>
    <w:multiLevelType w:val="hybridMultilevel"/>
    <w:tmpl w:val="9508F3E6"/>
    <w:lvl w:ilvl="0" w:tplc="542C9144">
      <w:start w:val="1"/>
      <w:numFmt w:val="decimal"/>
      <w:lvlText w:val="%1)"/>
      <w:lvlJc w:val="left"/>
      <w:pPr>
        <w:ind w:left="720" w:hanging="360"/>
      </w:pPr>
      <w:rPr>
        <w:rFonts w:ascii="Arial" w:eastAsiaTheme="minorHAnsi" w:hAnsi="Arial" w:cs="Arial"/>
        <w:color w:val="333333"/>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704832"/>
    <w:multiLevelType w:val="hybridMultilevel"/>
    <w:tmpl w:val="0FACA142"/>
    <w:lvl w:ilvl="0" w:tplc="BCD23734">
      <w:start w:val="1"/>
      <w:numFmt w:val="decimal"/>
      <w:lvlText w:val="%1)"/>
      <w:lvlJc w:val="left"/>
      <w:pPr>
        <w:ind w:left="720" w:hanging="360"/>
      </w:pPr>
      <w:rPr>
        <w:rFonts w:ascii="Arial" w:hAnsi="Arial" w:cs="Arial" w:hint="default"/>
        <w:color w:val="333333"/>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E53BC"/>
    <w:multiLevelType w:val="hybridMultilevel"/>
    <w:tmpl w:val="16F8AE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C824B8"/>
    <w:multiLevelType w:val="hybridMultilevel"/>
    <w:tmpl w:val="9522D87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E810D3"/>
    <w:multiLevelType w:val="hybridMultilevel"/>
    <w:tmpl w:val="985EC9D6"/>
    <w:lvl w:ilvl="0" w:tplc="A0DE07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77CF05DF"/>
    <w:multiLevelType w:val="hybridMultilevel"/>
    <w:tmpl w:val="8ED05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1760155">
    <w:abstractNumId w:val="1"/>
  </w:num>
  <w:num w:numId="2" w16cid:durableId="1226063924">
    <w:abstractNumId w:val="2"/>
  </w:num>
  <w:num w:numId="3" w16cid:durableId="657806052">
    <w:abstractNumId w:val="0"/>
  </w:num>
  <w:num w:numId="4" w16cid:durableId="713117410">
    <w:abstractNumId w:val="3"/>
  </w:num>
  <w:num w:numId="5" w16cid:durableId="815221793">
    <w:abstractNumId w:val="4"/>
  </w:num>
  <w:num w:numId="6" w16cid:durableId="927032818">
    <w:abstractNumId w:val="6"/>
  </w:num>
  <w:num w:numId="7" w16cid:durableId="2090612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81"/>
    <w:rsid w:val="00016518"/>
    <w:rsid w:val="000F5F93"/>
    <w:rsid w:val="00151DE2"/>
    <w:rsid w:val="0017616A"/>
    <w:rsid w:val="00180226"/>
    <w:rsid w:val="00190230"/>
    <w:rsid w:val="001946B8"/>
    <w:rsid w:val="001F100F"/>
    <w:rsid w:val="00214329"/>
    <w:rsid w:val="00234C81"/>
    <w:rsid w:val="0024329E"/>
    <w:rsid w:val="002D65DE"/>
    <w:rsid w:val="002F5F14"/>
    <w:rsid w:val="003A0550"/>
    <w:rsid w:val="00402763"/>
    <w:rsid w:val="004051CE"/>
    <w:rsid w:val="005310F0"/>
    <w:rsid w:val="00595105"/>
    <w:rsid w:val="00624326"/>
    <w:rsid w:val="006678E9"/>
    <w:rsid w:val="006778E9"/>
    <w:rsid w:val="006942F9"/>
    <w:rsid w:val="006A2233"/>
    <w:rsid w:val="006B43F1"/>
    <w:rsid w:val="006B4857"/>
    <w:rsid w:val="006F1263"/>
    <w:rsid w:val="007361DC"/>
    <w:rsid w:val="00747737"/>
    <w:rsid w:val="00873427"/>
    <w:rsid w:val="0088161D"/>
    <w:rsid w:val="00894CFF"/>
    <w:rsid w:val="00915C7C"/>
    <w:rsid w:val="00A0529E"/>
    <w:rsid w:val="00A17EC6"/>
    <w:rsid w:val="00A33E5E"/>
    <w:rsid w:val="00A628C7"/>
    <w:rsid w:val="00A65C1E"/>
    <w:rsid w:val="00A86A29"/>
    <w:rsid w:val="00AD4FDD"/>
    <w:rsid w:val="00B70B5A"/>
    <w:rsid w:val="00BB6C29"/>
    <w:rsid w:val="00BE005E"/>
    <w:rsid w:val="00C341BA"/>
    <w:rsid w:val="00C71EC7"/>
    <w:rsid w:val="00C958EB"/>
    <w:rsid w:val="00CE120B"/>
    <w:rsid w:val="00CE2591"/>
    <w:rsid w:val="00D03B61"/>
    <w:rsid w:val="00D33C95"/>
    <w:rsid w:val="00E067FB"/>
    <w:rsid w:val="00F46761"/>
    <w:rsid w:val="00F53EA0"/>
    <w:rsid w:val="00F75CE2"/>
    <w:rsid w:val="00FF00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E982"/>
  <w15:chartTrackingRefBased/>
  <w15:docId w15:val="{74151E85-C7E1-B24B-B5F8-973EB45F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34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34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34C8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34C8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34C8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34C8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4C8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4C8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4C8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4C8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4C8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4C8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4C8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4C8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4C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4C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4C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4C81"/>
    <w:rPr>
      <w:rFonts w:eastAsiaTheme="majorEastAsia" w:cstheme="majorBidi"/>
      <w:color w:val="272727" w:themeColor="text1" w:themeTint="D8"/>
    </w:rPr>
  </w:style>
  <w:style w:type="paragraph" w:styleId="Tytu">
    <w:name w:val="Title"/>
    <w:basedOn w:val="Normalny"/>
    <w:next w:val="Normalny"/>
    <w:link w:val="TytuZnak"/>
    <w:uiPriority w:val="10"/>
    <w:qFormat/>
    <w:rsid w:val="00234C8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4C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4C81"/>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4C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4C8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234C81"/>
    <w:rPr>
      <w:i/>
      <w:iCs/>
      <w:color w:val="404040" w:themeColor="text1" w:themeTint="BF"/>
    </w:rPr>
  </w:style>
  <w:style w:type="paragraph" w:styleId="Akapitzlist">
    <w:name w:val="List Paragraph"/>
    <w:basedOn w:val="Normalny"/>
    <w:uiPriority w:val="34"/>
    <w:qFormat/>
    <w:rsid w:val="00234C81"/>
    <w:pPr>
      <w:ind w:left="720"/>
      <w:contextualSpacing/>
    </w:pPr>
  </w:style>
  <w:style w:type="character" w:styleId="Wyrnienieintensywne">
    <w:name w:val="Intense Emphasis"/>
    <w:basedOn w:val="Domylnaczcionkaakapitu"/>
    <w:uiPriority w:val="21"/>
    <w:qFormat/>
    <w:rsid w:val="00234C81"/>
    <w:rPr>
      <w:i/>
      <w:iCs/>
      <w:color w:val="0F4761" w:themeColor="accent1" w:themeShade="BF"/>
    </w:rPr>
  </w:style>
  <w:style w:type="paragraph" w:styleId="Cytatintensywny">
    <w:name w:val="Intense Quote"/>
    <w:basedOn w:val="Normalny"/>
    <w:next w:val="Normalny"/>
    <w:link w:val="CytatintensywnyZnak"/>
    <w:uiPriority w:val="30"/>
    <w:qFormat/>
    <w:rsid w:val="00234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34C81"/>
    <w:rPr>
      <w:i/>
      <w:iCs/>
      <w:color w:val="0F4761" w:themeColor="accent1" w:themeShade="BF"/>
    </w:rPr>
  </w:style>
  <w:style w:type="character" w:styleId="Odwoanieintensywne">
    <w:name w:val="Intense Reference"/>
    <w:basedOn w:val="Domylnaczcionkaakapitu"/>
    <w:uiPriority w:val="32"/>
    <w:qFormat/>
    <w:rsid w:val="00234C81"/>
    <w:rPr>
      <w:b/>
      <w:bCs/>
      <w:smallCaps/>
      <w:color w:val="0F4761" w:themeColor="accent1" w:themeShade="BF"/>
      <w:spacing w:val="5"/>
    </w:rPr>
  </w:style>
  <w:style w:type="paragraph" w:styleId="NormalnyWeb">
    <w:name w:val="Normal (Web)"/>
    <w:basedOn w:val="Normalny"/>
    <w:uiPriority w:val="99"/>
    <w:unhideWhenUsed/>
    <w:rsid w:val="002D65DE"/>
    <w:pPr>
      <w:spacing w:before="100" w:beforeAutospacing="1" w:after="100" w:afterAutospacing="1"/>
    </w:pPr>
    <w:rPr>
      <w:rFonts w:ascii="Times New Roman" w:eastAsia="Times New Roman" w:hAnsi="Times New Roman" w:cs="Times New Roman"/>
      <w:lang w:eastAsia="pl-PL"/>
    </w:rPr>
  </w:style>
  <w:style w:type="paragraph" w:styleId="Stopka">
    <w:name w:val="footer"/>
    <w:basedOn w:val="Normalny"/>
    <w:link w:val="StopkaZnak"/>
    <w:uiPriority w:val="99"/>
    <w:unhideWhenUsed/>
    <w:rsid w:val="00402763"/>
    <w:pPr>
      <w:tabs>
        <w:tab w:val="center" w:pos="4536"/>
        <w:tab w:val="right" w:pos="9072"/>
      </w:tabs>
    </w:pPr>
  </w:style>
  <w:style w:type="character" w:customStyle="1" w:styleId="StopkaZnak">
    <w:name w:val="Stopka Znak"/>
    <w:basedOn w:val="Domylnaczcionkaakapitu"/>
    <w:link w:val="Stopka"/>
    <w:uiPriority w:val="99"/>
    <w:rsid w:val="00402763"/>
  </w:style>
  <w:style w:type="character" w:styleId="Numerstrony">
    <w:name w:val="page number"/>
    <w:basedOn w:val="Domylnaczcionkaakapitu"/>
    <w:uiPriority w:val="99"/>
    <w:semiHidden/>
    <w:unhideWhenUsed/>
    <w:rsid w:val="0040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71494">
      <w:bodyDiv w:val="1"/>
      <w:marLeft w:val="0"/>
      <w:marRight w:val="0"/>
      <w:marTop w:val="0"/>
      <w:marBottom w:val="0"/>
      <w:divBdr>
        <w:top w:val="none" w:sz="0" w:space="0" w:color="auto"/>
        <w:left w:val="none" w:sz="0" w:space="0" w:color="auto"/>
        <w:bottom w:val="none" w:sz="0" w:space="0" w:color="auto"/>
        <w:right w:val="none" w:sz="0" w:space="0" w:color="auto"/>
      </w:divBdr>
      <w:divsChild>
        <w:div w:id="60913326">
          <w:marLeft w:val="0"/>
          <w:marRight w:val="0"/>
          <w:marTop w:val="0"/>
          <w:marBottom w:val="0"/>
          <w:divBdr>
            <w:top w:val="none" w:sz="0" w:space="0" w:color="auto"/>
            <w:left w:val="none" w:sz="0" w:space="0" w:color="auto"/>
            <w:bottom w:val="none" w:sz="0" w:space="0" w:color="auto"/>
            <w:right w:val="none" w:sz="0" w:space="0" w:color="auto"/>
          </w:divBdr>
          <w:divsChild>
            <w:div w:id="183910134">
              <w:marLeft w:val="0"/>
              <w:marRight w:val="0"/>
              <w:marTop w:val="0"/>
              <w:marBottom w:val="0"/>
              <w:divBdr>
                <w:top w:val="none" w:sz="0" w:space="0" w:color="auto"/>
                <w:left w:val="none" w:sz="0" w:space="0" w:color="auto"/>
                <w:bottom w:val="none" w:sz="0" w:space="0" w:color="auto"/>
                <w:right w:val="none" w:sz="0" w:space="0" w:color="auto"/>
              </w:divBdr>
              <w:divsChild>
                <w:div w:id="20572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2204">
      <w:bodyDiv w:val="1"/>
      <w:marLeft w:val="0"/>
      <w:marRight w:val="0"/>
      <w:marTop w:val="0"/>
      <w:marBottom w:val="0"/>
      <w:divBdr>
        <w:top w:val="none" w:sz="0" w:space="0" w:color="auto"/>
        <w:left w:val="none" w:sz="0" w:space="0" w:color="auto"/>
        <w:bottom w:val="none" w:sz="0" w:space="0" w:color="auto"/>
        <w:right w:val="none" w:sz="0" w:space="0" w:color="auto"/>
      </w:divBdr>
      <w:divsChild>
        <w:div w:id="1669208967">
          <w:marLeft w:val="0"/>
          <w:marRight w:val="0"/>
          <w:marTop w:val="0"/>
          <w:marBottom w:val="0"/>
          <w:divBdr>
            <w:top w:val="none" w:sz="0" w:space="0" w:color="auto"/>
            <w:left w:val="none" w:sz="0" w:space="0" w:color="auto"/>
            <w:bottom w:val="none" w:sz="0" w:space="0" w:color="auto"/>
            <w:right w:val="none" w:sz="0" w:space="0" w:color="auto"/>
          </w:divBdr>
          <w:divsChild>
            <w:div w:id="408386598">
              <w:marLeft w:val="0"/>
              <w:marRight w:val="0"/>
              <w:marTop w:val="0"/>
              <w:marBottom w:val="0"/>
              <w:divBdr>
                <w:top w:val="none" w:sz="0" w:space="0" w:color="auto"/>
                <w:left w:val="none" w:sz="0" w:space="0" w:color="auto"/>
                <w:bottom w:val="none" w:sz="0" w:space="0" w:color="auto"/>
                <w:right w:val="none" w:sz="0" w:space="0" w:color="auto"/>
              </w:divBdr>
              <w:divsChild>
                <w:div w:id="13364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1151">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3">
          <w:marLeft w:val="0"/>
          <w:marRight w:val="0"/>
          <w:marTop w:val="0"/>
          <w:marBottom w:val="0"/>
          <w:divBdr>
            <w:top w:val="none" w:sz="0" w:space="0" w:color="auto"/>
            <w:left w:val="none" w:sz="0" w:space="0" w:color="auto"/>
            <w:bottom w:val="none" w:sz="0" w:space="0" w:color="auto"/>
            <w:right w:val="none" w:sz="0" w:space="0" w:color="auto"/>
          </w:divBdr>
          <w:divsChild>
            <w:div w:id="1830975703">
              <w:marLeft w:val="0"/>
              <w:marRight w:val="0"/>
              <w:marTop w:val="0"/>
              <w:marBottom w:val="0"/>
              <w:divBdr>
                <w:top w:val="none" w:sz="0" w:space="0" w:color="auto"/>
                <w:left w:val="none" w:sz="0" w:space="0" w:color="auto"/>
                <w:bottom w:val="none" w:sz="0" w:space="0" w:color="auto"/>
                <w:right w:val="none" w:sz="0" w:space="0" w:color="auto"/>
              </w:divBdr>
              <w:divsChild>
                <w:div w:id="11497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4099">
      <w:bodyDiv w:val="1"/>
      <w:marLeft w:val="0"/>
      <w:marRight w:val="0"/>
      <w:marTop w:val="0"/>
      <w:marBottom w:val="0"/>
      <w:divBdr>
        <w:top w:val="none" w:sz="0" w:space="0" w:color="auto"/>
        <w:left w:val="none" w:sz="0" w:space="0" w:color="auto"/>
        <w:bottom w:val="none" w:sz="0" w:space="0" w:color="auto"/>
        <w:right w:val="none" w:sz="0" w:space="0" w:color="auto"/>
      </w:divBdr>
      <w:divsChild>
        <w:div w:id="1420102937">
          <w:marLeft w:val="0"/>
          <w:marRight w:val="0"/>
          <w:marTop w:val="0"/>
          <w:marBottom w:val="0"/>
          <w:divBdr>
            <w:top w:val="none" w:sz="0" w:space="0" w:color="auto"/>
            <w:left w:val="none" w:sz="0" w:space="0" w:color="auto"/>
            <w:bottom w:val="none" w:sz="0" w:space="0" w:color="auto"/>
            <w:right w:val="none" w:sz="0" w:space="0" w:color="auto"/>
          </w:divBdr>
          <w:divsChild>
            <w:div w:id="175311254">
              <w:marLeft w:val="0"/>
              <w:marRight w:val="0"/>
              <w:marTop w:val="0"/>
              <w:marBottom w:val="0"/>
              <w:divBdr>
                <w:top w:val="none" w:sz="0" w:space="0" w:color="auto"/>
                <w:left w:val="none" w:sz="0" w:space="0" w:color="auto"/>
                <w:bottom w:val="none" w:sz="0" w:space="0" w:color="auto"/>
                <w:right w:val="none" w:sz="0" w:space="0" w:color="auto"/>
              </w:divBdr>
              <w:divsChild>
                <w:div w:id="13876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16361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Zawłocki</dc:creator>
  <cp:keywords/>
  <dc:description/>
  <cp:lastModifiedBy>Wiraszka-Bereza Beata  (DPK)</cp:lastModifiedBy>
  <cp:revision>4</cp:revision>
  <dcterms:created xsi:type="dcterms:W3CDTF">2024-08-06T11:36:00Z</dcterms:created>
  <dcterms:modified xsi:type="dcterms:W3CDTF">2024-10-03T11:03:00Z</dcterms:modified>
</cp:coreProperties>
</file>