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3288" w14:textId="77777777" w:rsidR="009276B2" w:rsidRPr="009276B2" w:rsidRDefault="00000000" w:rsidP="009276B2">
      <w:pPr>
        <w:spacing w:after="0" w:line="240" w:lineRule="auto"/>
        <w:rPr>
          <w:rFonts w:ascii="Lato" w:hAnsi="Lato"/>
          <w:sz w:val="20"/>
        </w:rPr>
      </w:pPr>
    </w:p>
    <w:p w14:paraId="75655834" w14:textId="77777777" w:rsidR="009276B2" w:rsidRDefault="00000000" w:rsidP="009276B2">
      <w:pPr>
        <w:spacing w:after="0" w:line="240" w:lineRule="auto"/>
        <w:rPr>
          <w:rFonts w:ascii="Lato" w:hAnsi="Lato"/>
          <w:sz w:val="20"/>
        </w:rPr>
      </w:pPr>
    </w:p>
    <w:p w14:paraId="4BF5CA10" w14:textId="77777777" w:rsidR="009276B2" w:rsidRPr="009276B2" w:rsidRDefault="00000000" w:rsidP="009276B2">
      <w:pPr>
        <w:spacing w:after="0" w:line="240" w:lineRule="auto"/>
        <w:rPr>
          <w:rFonts w:ascii="Lato" w:hAnsi="Lato"/>
          <w:sz w:val="20"/>
        </w:rPr>
      </w:pPr>
    </w:p>
    <w:p w14:paraId="2F55955D" w14:textId="578BE6AC" w:rsidR="009276B2" w:rsidRPr="009276B2" w:rsidRDefault="00000000" w:rsidP="009276B2">
      <w:pPr>
        <w:spacing w:after="0" w:line="240" w:lineRule="auto"/>
        <w:rPr>
          <w:rFonts w:ascii="Lato" w:hAnsi="Lato"/>
          <w:sz w:val="20"/>
        </w:rPr>
      </w:pPr>
      <w:r w:rsidRPr="009276B2">
        <w:rPr>
          <w:rFonts w:ascii="Lato" w:hAnsi="Lato"/>
          <w:sz w:val="20"/>
        </w:rPr>
        <w:t>Znak pisma</w:t>
      </w:r>
      <w:r>
        <w:rPr>
          <w:rFonts w:ascii="Lato" w:hAnsi="Lato"/>
          <w:sz w:val="20"/>
        </w:rPr>
        <w:t xml:space="preserve">: </w:t>
      </w:r>
      <w:bookmarkStart w:id="0" w:name="ezdSprawaZnak"/>
      <w:r w:rsidRPr="00EB4EA7">
        <w:rPr>
          <w:rFonts w:ascii="Lato" w:hAnsi="Lato"/>
          <w:sz w:val="20"/>
        </w:rPr>
        <w:t>DLI-III.762</w:t>
      </w:r>
      <w:r w:rsidR="00B859F2">
        <w:rPr>
          <w:rFonts w:ascii="Lato" w:hAnsi="Lato"/>
          <w:sz w:val="20"/>
        </w:rPr>
        <w:t>0</w:t>
      </w:r>
      <w:r w:rsidRPr="00EB4EA7">
        <w:rPr>
          <w:rFonts w:ascii="Lato" w:hAnsi="Lato"/>
          <w:sz w:val="20"/>
        </w:rPr>
        <w:t>.</w:t>
      </w:r>
      <w:r w:rsidR="00B859F2">
        <w:rPr>
          <w:rFonts w:ascii="Lato" w:hAnsi="Lato"/>
          <w:sz w:val="20"/>
        </w:rPr>
        <w:t>27</w:t>
      </w:r>
      <w:r w:rsidRPr="00EB4EA7">
        <w:rPr>
          <w:rFonts w:ascii="Lato" w:hAnsi="Lato"/>
          <w:sz w:val="20"/>
        </w:rPr>
        <w:t>.2022</w:t>
      </w:r>
      <w:bookmarkEnd w:id="0"/>
      <w:r w:rsidR="00781408">
        <w:rPr>
          <w:rFonts w:ascii="Lato" w:hAnsi="Lato"/>
          <w:sz w:val="20"/>
        </w:rPr>
        <w:t>.WK.</w:t>
      </w:r>
      <w:r w:rsidR="00B859F2">
        <w:rPr>
          <w:rFonts w:ascii="Lato" w:hAnsi="Lato"/>
          <w:sz w:val="20"/>
        </w:rPr>
        <w:t>5</w:t>
      </w:r>
    </w:p>
    <w:p w14:paraId="014FEA8E" w14:textId="72E8B7F5" w:rsidR="009276B2" w:rsidRPr="009276B2" w:rsidRDefault="00000000" w:rsidP="009276B2">
      <w:pPr>
        <w:spacing w:after="0" w:line="240" w:lineRule="auto"/>
        <w:rPr>
          <w:rFonts w:ascii="Lato" w:hAnsi="Lato"/>
          <w:sz w:val="20"/>
        </w:rPr>
      </w:pPr>
      <w:r>
        <w:rPr>
          <w:rFonts w:ascii="Lato" w:hAnsi="Lato"/>
          <w:sz w:val="20"/>
        </w:rPr>
        <w:t>Warszawa</w:t>
      </w:r>
      <w:r w:rsidRPr="009276B2">
        <w:rPr>
          <w:rFonts w:ascii="Lato" w:hAnsi="Lato"/>
          <w:sz w:val="20"/>
        </w:rPr>
        <w:t xml:space="preserve">, </w:t>
      </w:r>
      <w:r w:rsidR="004F6512">
        <w:rPr>
          <w:rFonts w:ascii="Lato" w:hAnsi="Lato"/>
          <w:sz w:val="20"/>
        </w:rPr>
        <w:t>17</w:t>
      </w:r>
      <w:r w:rsidR="00781408">
        <w:rPr>
          <w:rFonts w:ascii="Lato" w:hAnsi="Lato"/>
          <w:sz w:val="20"/>
        </w:rPr>
        <w:t xml:space="preserve"> listopada 2022</w:t>
      </w:r>
      <w:r w:rsidRPr="00EB4EA7">
        <w:rPr>
          <w:rFonts w:ascii="Lato" w:hAnsi="Lato"/>
          <w:sz w:val="20"/>
        </w:rPr>
        <w:t xml:space="preserve"> r.</w:t>
      </w:r>
    </w:p>
    <w:p w14:paraId="1CE57A9D" w14:textId="77777777" w:rsidR="009276B2" w:rsidRPr="009276B2" w:rsidRDefault="00000000" w:rsidP="009276B2">
      <w:pPr>
        <w:spacing w:after="0" w:line="240" w:lineRule="auto"/>
        <w:rPr>
          <w:rFonts w:ascii="Lato" w:hAnsi="Lato"/>
          <w:sz w:val="20"/>
        </w:rPr>
      </w:pPr>
    </w:p>
    <w:p w14:paraId="2A9D8C10" w14:textId="77777777" w:rsidR="009276B2" w:rsidRPr="009276B2" w:rsidRDefault="00000000" w:rsidP="009276B2">
      <w:pPr>
        <w:spacing w:after="0" w:line="240" w:lineRule="auto"/>
        <w:rPr>
          <w:rFonts w:ascii="Lato" w:hAnsi="Lato"/>
          <w:sz w:val="20"/>
        </w:rPr>
      </w:pPr>
    </w:p>
    <w:p w14:paraId="2B70D1F1" w14:textId="77777777" w:rsidR="00B859F2" w:rsidRPr="00B859F2" w:rsidRDefault="00B859F2" w:rsidP="00B859F2">
      <w:pPr>
        <w:spacing w:after="240" w:line="240" w:lineRule="exact"/>
        <w:jc w:val="center"/>
        <w:outlineLvl w:val="0"/>
        <w:rPr>
          <w:rFonts w:ascii="Lato" w:eastAsia="Times New Roman" w:hAnsi="Lato" w:cs="Arial"/>
          <w:b/>
          <w:bCs/>
          <w:spacing w:val="4"/>
          <w:sz w:val="20"/>
          <w:szCs w:val="24"/>
          <w:lang w:eastAsia="pl-PL"/>
        </w:rPr>
      </w:pPr>
      <w:r w:rsidRPr="00B859F2">
        <w:rPr>
          <w:rFonts w:ascii="Lato" w:eastAsia="Times New Roman" w:hAnsi="Lato" w:cs="Arial"/>
          <w:b/>
          <w:bCs/>
          <w:spacing w:val="4"/>
          <w:sz w:val="20"/>
          <w:szCs w:val="24"/>
          <w:lang w:eastAsia="pl-PL"/>
        </w:rPr>
        <w:t>DECYZJA</w:t>
      </w:r>
    </w:p>
    <w:p w14:paraId="2232DDF3" w14:textId="47197DD6" w:rsidR="00B859F2" w:rsidRPr="00B859F2" w:rsidRDefault="00B859F2" w:rsidP="00B859F2">
      <w:pPr>
        <w:spacing w:after="240" w:line="240" w:lineRule="exact"/>
        <w:jc w:val="both"/>
        <w:rPr>
          <w:rFonts w:ascii="Lato" w:eastAsia="Times New Roman" w:hAnsi="Lato" w:cs="Arial"/>
          <w:spacing w:val="4"/>
          <w:sz w:val="20"/>
          <w:szCs w:val="24"/>
          <w:lang w:eastAsia="pl-PL"/>
        </w:rPr>
      </w:pPr>
      <w:r w:rsidRPr="00B859F2">
        <w:rPr>
          <w:rFonts w:ascii="Lato" w:eastAsia="Times New Roman" w:hAnsi="Lato" w:cs="Arial"/>
          <w:spacing w:val="4"/>
          <w:sz w:val="20"/>
          <w:szCs w:val="20"/>
          <w:lang w:eastAsia="pl-PL"/>
        </w:rPr>
        <w:t xml:space="preserve">Na podstawie </w:t>
      </w:r>
      <w:r w:rsidRPr="00B859F2">
        <w:rPr>
          <w:rFonts w:ascii="Lato" w:eastAsia="Times New Roman" w:hAnsi="Lato" w:cs="Arial"/>
          <w:spacing w:val="4"/>
          <w:sz w:val="20"/>
          <w:szCs w:val="24"/>
          <w:lang w:eastAsia="pl-PL"/>
        </w:rPr>
        <w:t xml:space="preserve">art. 138 § 1 pkt 1 </w:t>
      </w:r>
      <w:r w:rsidRPr="00B859F2">
        <w:rPr>
          <w:rFonts w:ascii="Lato" w:eastAsia="Times New Roman" w:hAnsi="Lato" w:cs="Arial"/>
          <w:spacing w:val="4"/>
          <w:sz w:val="20"/>
          <w:szCs w:val="20"/>
          <w:lang w:eastAsia="pl-PL"/>
        </w:rPr>
        <w:t>ustawy z dnia 14 czerwca 1960 r. – Kodeks postępowania administracyjnego (t.j. Dz. U. z 2022 r. poz. 2000</w:t>
      </w:r>
      <w:r>
        <w:rPr>
          <w:rFonts w:ascii="Lato" w:eastAsia="Times New Roman" w:hAnsi="Lato" w:cs="Arial"/>
          <w:spacing w:val="4"/>
          <w:sz w:val="20"/>
          <w:szCs w:val="20"/>
          <w:lang w:eastAsia="pl-PL"/>
        </w:rPr>
        <w:t>, z późn. zm.</w:t>
      </w:r>
      <w:r w:rsidRPr="00B859F2">
        <w:rPr>
          <w:rFonts w:ascii="Lato" w:eastAsia="Times New Roman" w:hAnsi="Lato" w:cs="Arial"/>
          <w:spacing w:val="4"/>
          <w:sz w:val="20"/>
          <w:szCs w:val="20"/>
          <w:lang w:eastAsia="pl-PL"/>
        </w:rPr>
        <w:t>), zwanej dalej „</w:t>
      </w:r>
      <w:r w:rsidRPr="00B859F2">
        <w:rPr>
          <w:rFonts w:ascii="Lato" w:eastAsia="Times New Roman" w:hAnsi="Lato" w:cs="Arial"/>
          <w:i/>
          <w:spacing w:val="4"/>
          <w:sz w:val="20"/>
          <w:szCs w:val="20"/>
          <w:lang w:eastAsia="pl-PL"/>
        </w:rPr>
        <w:t>kpa</w:t>
      </w:r>
      <w:r w:rsidRPr="00B859F2">
        <w:rPr>
          <w:rFonts w:ascii="Lato" w:eastAsia="Times New Roman" w:hAnsi="Lato" w:cs="Arial"/>
          <w:spacing w:val="4"/>
          <w:sz w:val="20"/>
          <w:szCs w:val="20"/>
          <w:lang w:eastAsia="pl-PL"/>
        </w:rPr>
        <w:t>”, oraz art. 5 ust. 3 w zw. z art. 39 ust. 1 ustawy z dnia 24 kwietnia 2009 r. o</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inwestycjach w zakresie terminalu </w:t>
      </w:r>
      <w:proofErr w:type="spellStart"/>
      <w:r w:rsidRPr="00B859F2">
        <w:rPr>
          <w:rFonts w:ascii="Lato" w:eastAsia="Times New Roman" w:hAnsi="Lato" w:cs="Arial"/>
          <w:spacing w:val="4"/>
          <w:sz w:val="20"/>
          <w:szCs w:val="20"/>
          <w:lang w:eastAsia="pl-PL"/>
        </w:rPr>
        <w:t>regazyfikacyjnego</w:t>
      </w:r>
      <w:proofErr w:type="spellEnd"/>
      <w:r w:rsidRPr="00B859F2">
        <w:rPr>
          <w:rFonts w:ascii="Lato" w:eastAsia="Times New Roman" w:hAnsi="Lato" w:cs="Arial"/>
          <w:spacing w:val="4"/>
          <w:sz w:val="20"/>
          <w:szCs w:val="20"/>
          <w:lang w:eastAsia="pl-PL"/>
        </w:rPr>
        <w:t xml:space="preserve"> skroplonego gazu ziemnego w</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Świnoujściu (t.j.</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Dz. U. z 2021 r., poz. 1836, z późn. zm.), zwanej dalej „</w:t>
      </w:r>
      <w:r w:rsidRPr="00B859F2">
        <w:rPr>
          <w:rFonts w:ascii="Lato" w:eastAsia="Times New Roman" w:hAnsi="Lato" w:cs="Arial"/>
          <w:i/>
          <w:spacing w:val="4"/>
          <w:sz w:val="20"/>
          <w:szCs w:val="20"/>
          <w:lang w:eastAsia="pl-PL"/>
        </w:rPr>
        <w:t>specustawą gazową</w:t>
      </w:r>
      <w:r w:rsidRPr="00B859F2">
        <w:rPr>
          <w:rFonts w:ascii="Lato" w:eastAsia="Times New Roman" w:hAnsi="Lato" w:cs="Arial"/>
          <w:spacing w:val="4"/>
          <w:sz w:val="20"/>
          <w:szCs w:val="20"/>
          <w:lang w:eastAsia="pl-PL"/>
        </w:rPr>
        <w:t>”, po</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rozpatrzeniu </w:t>
      </w:r>
      <w:r w:rsidRPr="00B859F2">
        <w:rPr>
          <w:rFonts w:ascii="Lato" w:eastAsia="Times New Roman" w:hAnsi="Lato" w:cs="Arial"/>
          <w:spacing w:val="4"/>
          <w:sz w:val="20"/>
          <w:szCs w:val="24"/>
          <w:lang w:eastAsia="pl-PL"/>
        </w:rPr>
        <w:t xml:space="preserve">odwołania </w:t>
      </w:r>
      <w:r w:rsidRPr="00B859F2">
        <w:rPr>
          <w:rFonts w:ascii="Lato" w:eastAsia="Times New Roman" w:hAnsi="Lato" w:cs="Arial"/>
          <w:spacing w:val="4"/>
          <w:sz w:val="20"/>
          <w:szCs w:val="20"/>
          <w:lang w:eastAsia="pl-PL"/>
        </w:rPr>
        <w:t>Pani M</w:t>
      </w:r>
      <w:r w:rsidR="00D12946">
        <w:rPr>
          <w:rFonts w:ascii="Lato" w:eastAsia="Times New Roman" w:hAnsi="Lato" w:cs="Arial"/>
          <w:spacing w:val="4"/>
          <w:sz w:val="20"/>
          <w:szCs w:val="20"/>
          <w:lang w:eastAsia="pl-PL"/>
        </w:rPr>
        <w:t>.</w:t>
      </w:r>
      <w:r w:rsidRPr="00B859F2">
        <w:rPr>
          <w:rFonts w:ascii="Lato" w:eastAsia="Times New Roman" w:hAnsi="Lato" w:cs="Arial"/>
          <w:spacing w:val="4"/>
          <w:sz w:val="20"/>
          <w:szCs w:val="20"/>
          <w:lang w:eastAsia="pl-PL"/>
        </w:rPr>
        <w:t xml:space="preserve"> M</w:t>
      </w:r>
      <w:r w:rsidR="00D12946">
        <w:rPr>
          <w:rFonts w:ascii="Lato" w:eastAsia="Times New Roman" w:hAnsi="Lato" w:cs="Arial"/>
          <w:spacing w:val="4"/>
          <w:sz w:val="20"/>
          <w:szCs w:val="20"/>
          <w:lang w:eastAsia="pl-PL"/>
        </w:rPr>
        <w:t>.</w:t>
      </w:r>
      <w:r w:rsidRPr="00B859F2">
        <w:rPr>
          <w:rFonts w:ascii="Lato" w:eastAsia="Times New Roman" w:hAnsi="Lato" w:cs="Arial"/>
          <w:spacing w:val="4"/>
          <w:sz w:val="20"/>
          <w:szCs w:val="20"/>
          <w:lang w:eastAsia="pl-PL"/>
        </w:rPr>
        <w:t>-A</w:t>
      </w:r>
      <w:r w:rsidR="00D12946">
        <w:rPr>
          <w:rFonts w:ascii="Lato" w:eastAsia="Times New Roman" w:hAnsi="Lato" w:cs="Arial"/>
          <w:spacing w:val="4"/>
          <w:sz w:val="20"/>
          <w:szCs w:val="20"/>
          <w:lang w:eastAsia="pl-PL"/>
        </w:rPr>
        <w:t>.</w:t>
      </w:r>
      <w:r w:rsidRPr="00B859F2">
        <w:rPr>
          <w:rFonts w:ascii="Lato" w:eastAsia="Times New Roman" w:hAnsi="Lato" w:cs="Arial"/>
          <w:spacing w:val="4"/>
          <w:sz w:val="20"/>
          <w:szCs w:val="20"/>
          <w:lang w:eastAsia="pl-PL"/>
        </w:rPr>
        <w:t xml:space="preserve"> od </w:t>
      </w:r>
      <w:r w:rsidRPr="00B859F2">
        <w:rPr>
          <w:rFonts w:ascii="Lato" w:eastAsia="Times New Roman" w:hAnsi="Lato" w:cs="Arial"/>
          <w:spacing w:val="4"/>
          <w:sz w:val="20"/>
          <w:szCs w:val="24"/>
          <w:lang w:eastAsia="pl-PL"/>
        </w:rPr>
        <w:t>decyzji Wojewody Świętokrzyskiego nr 1/2022 z dnia 30 marca 2022 r., znak: SPN.III.747.5.2022, o ustaleniu lokalizacji inwestycji towarzyszącej inwestycji w zakresie terminalu, dla</w:t>
      </w:r>
      <w:r>
        <w:rPr>
          <w:rFonts w:ascii="Lato" w:eastAsia="Times New Roman" w:hAnsi="Lato" w:cs="Arial"/>
          <w:spacing w:val="4"/>
          <w:sz w:val="20"/>
          <w:szCs w:val="24"/>
          <w:lang w:eastAsia="pl-PL"/>
        </w:rPr>
        <w:t> </w:t>
      </w:r>
      <w:r w:rsidRPr="00B859F2">
        <w:rPr>
          <w:rFonts w:ascii="Lato" w:eastAsia="Times New Roman" w:hAnsi="Lato" w:cs="Arial"/>
          <w:spacing w:val="4"/>
          <w:sz w:val="20"/>
          <w:szCs w:val="24"/>
          <w:lang w:eastAsia="pl-PL"/>
        </w:rPr>
        <w:t>zadania Budowa przyłącza gazowego w/c DN300 do PGE Energia Ciepła S.A., Oddział Elektrociepłownia w Kielcach przy ul. Hubalczyków w Kielcach", na terenie gminy Masłów, miasta Kielce i gminy Miedziana Góra</w:t>
      </w:r>
      <w:r w:rsidRPr="00B859F2">
        <w:rPr>
          <w:rFonts w:ascii="Lato" w:eastAsia="Times New Roman" w:hAnsi="Lato" w:cs="Arial"/>
          <w:spacing w:val="4"/>
          <w:sz w:val="20"/>
          <w:szCs w:val="20"/>
          <w:lang w:eastAsia="pl-PL"/>
        </w:rPr>
        <w:t>,</w:t>
      </w:r>
    </w:p>
    <w:p w14:paraId="14796D20" w14:textId="77777777" w:rsidR="00B859F2" w:rsidRPr="00B859F2" w:rsidRDefault="00B859F2" w:rsidP="00B859F2">
      <w:pPr>
        <w:tabs>
          <w:tab w:val="left" w:pos="0"/>
        </w:tabs>
        <w:spacing w:before="240" w:after="240" w:line="240" w:lineRule="exact"/>
        <w:jc w:val="center"/>
        <w:rPr>
          <w:rFonts w:ascii="Lato" w:eastAsia="Times New Roman" w:hAnsi="Lato" w:cs="Arial"/>
          <w:b/>
          <w:color w:val="000000"/>
          <w:spacing w:val="4"/>
          <w:sz w:val="20"/>
          <w:szCs w:val="20"/>
          <w:lang w:eastAsia="pl-PL"/>
        </w:rPr>
      </w:pPr>
      <w:r w:rsidRPr="00B859F2">
        <w:rPr>
          <w:rFonts w:ascii="Lato" w:eastAsia="Times New Roman" w:hAnsi="Lato" w:cs="Arial"/>
          <w:b/>
          <w:color w:val="000000"/>
          <w:spacing w:val="4"/>
          <w:sz w:val="20"/>
          <w:szCs w:val="20"/>
          <w:lang w:eastAsia="pl-PL"/>
        </w:rPr>
        <w:t>utrzymuję w mocy ww. decyzję Wojewody Świętokrzyskiego.</w:t>
      </w:r>
    </w:p>
    <w:p w14:paraId="115C20CC" w14:textId="77777777" w:rsidR="00B859F2" w:rsidRPr="00B859F2" w:rsidRDefault="00B859F2" w:rsidP="00B859F2">
      <w:pPr>
        <w:spacing w:after="240" w:line="240" w:lineRule="exact"/>
        <w:jc w:val="center"/>
        <w:outlineLvl w:val="0"/>
        <w:rPr>
          <w:rFonts w:ascii="Lato" w:eastAsia="Times New Roman" w:hAnsi="Lato" w:cs="Arial"/>
          <w:b/>
          <w:bCs/>
          <w:spacing w:val="4"/>
          <w:sz w:val="20"/>
          <w:szCs w:val="24"/>
          <w:lang w:eastAsia="pl-PL"/>
        </w:rPr>
      </w:pPr>
    </w:p>
    <w:p w14:paraId="1662E01E" w14:textId="51955743" w:rsidR="00B859F2" w:rsidRPr="00B859F2" w:rsidRDefault="00B859F2" w:rsidP="00B859F2">
      <w:pPr>
        <w:spacing w:after="240" w:line="240" w:lineRule="exact"/>
        <w:jc w:val="center"/>
        <w:outlineLvl w:val="0"/>
        <w:rPr>
          <w:rFonts w:ascii="Lato" w:eastAsia="Times New Roman" w:hAnsi="Lato" w:cs="Arial"/>
          <w:b/>
          <w:bCs/>
          <w:spacing w:val="4"/>
          <w:sz w:val="20"/>
          <w:szCs w:val="24"/>
          <w:lang w:eastAsia="pl-PL"/>
        </w:rPr>
      </w:pPr>
      <w:r w:rsidRPr="00B859F2">
        <w:rPr>
          <w:rFonts w:ascii="Lato" w:eastAsia="Times New Roman" w:hAnsi="Lato" w:cs="Arial"/>
          <w:b/>
          <w:bCs/>
          <w:spacing w:val="4"/>
          <w:sz w:val="20"/>
          <w:szCs w:val="24"/>
          <w:lang w:eastAsia="pl-PL"/>
        </w:rPr>
        <w:t>UZASADNIENIE</w:t>
      </w:r>
    </w:p>
    <w:p w14:paraId="6A3CA69A" w14:textId="77777777" w:rsidR="00B859F2" w:rsidRPr="00B859F2" w:rsidRDefault="00B859F2" w:rsidP="00B859F2">
      <w:pPr>
        <w:tabs>
          <w:tab w:val="left" w:pos="851"/>
        </w:tabs>
        <w:spacing w:after="240" w:line="240" w:lineRule="exact"/>
        <w:jc w:val="both"/>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Wnioskiem z dnia 16 lutego 2022 r., skorygowanym w trakcie prowadzonego postępowania, Polska Spółka Gazownictwa Sp. z o.o. z siedzibą w Tarnowie, zwana dalej „</w:t>
      </w:r>
      <w:r w:rsidRPr="00B859F2">
        <w:rPr>
          <w:rFonts w:ascii="Lato" w:eastAsia="Times New Roman" w:hAnsi="Lato" w:cs="Arial"/>
          <w:i/>
          <w:spacing w:val="4"/>
          <w:sz w:val="20"/>
          <w:szCs w:val="20"/>
          <w:lang w:eastAsia="pl-PL"/>
        </w:rPr>
        <w:t>inwestorem</w:t>
      </w:r>
      <w:r w:rsidRPr="00B859F2">
        <w:rPr>
          <w:rFonts w:ascii="Lato" w:eastAsia="Times New Roman" w:hAnsi="Lato" w:cs="Arial"/>
          <w:spacing w:val="4"/>
          <w:sz w:val="20"/>
          <w:szCs w:val="20"/>
          <w:lang w:eastAsia="pl-PL"/>
        </w:rPr>
        <w:t xml:space="preserve">”, reprezentowana przez pełnomocnika, wystąpiła do Wojewody Świętokrzyskiego o wydanie decyzji o ustaleniu lokalizacji inwestycji towarzyszącej inwestycjom w zakresie terminalu, </w:t>
      </w:r>
      <w:r w:rsidRPr="00B859F2">
        <w:rPr>
          <w:rFonts w:ascii="Lato" w:eastAsia="Times New Roman" w:hAnsi="Lato" w:cs="Arial"/>
          <w:spacing w:val="4"/>
          <w:sz w:val="20"/>
          <w:szCs w:val="24"/>
          <w:lang w:eastAsia="pl-PL"/>
        </w:rPr>
        <w:t xml:space="preserve">dla zadania Budowa przyłącza </w:t>
      </w:r>
      <w:bookmarkStart w:id="1" w:name="_Hlk116295410"/>
      <w:r w:rsidRPr="00B859F2">
        <w:rPr>
          <w:rFonts w:ascii="Lato" w:eastAsia="Times New Roman" w:hAnsi="Lato" w:cs="Arial"/>
          <w:spacing w:val="4"/>
          <w:sz w:val="20"/>
          <w:szCs w:val="24"/>
          <w:lang w:eastAsia="pl-PL"/>
        </w:rPr>
        <w:t>gazowego w/c DN300 do PGE Energia Ciepła S.A., Oddział Elektrociepłownia w Kielcach przy ul. Hubalczyków w Kielcach", na terenie gminy Masłów, miasta Kielce i gminy Miedziana Góra</w:t>
      </w:r>
      <w:bookmarkEnd w:id="1"/>
      <w:r w:rsidRPr="00B859F2">
        <w:rPr>
          <w:rFonts w:ascii="Lato" w:eastAsia="Times New Roman" w:hAnsi="Lato" w:cs="Arial"/>
          <w:spacing w:val="4"/>
          <w:sz w:val="20"/>
          <w:szCs w:val="24"/>
          <w:lang w:eastAsia="pl-PL"/>
        </w:rPr>
        <w:t>.</w:t>
      </w:r>
    </w:p>
    <w:p w14:paraId="33D05BA1" w14:textId="77777777" w:rsidR="00B859F2" w:rsidRPr="00B859F2" w:rsidRDefault="00B859F2" w:rsidP="00B859F2">
      <w:pPr>
        <w:spacing w:after="240" w:line="240" w:lineRule="exact"/>
        <w:jc w:val="both"/>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 xml:space="preserve">Po przeprowadzeniu postępowania w sprawie ww. wniosku, Wojewoda Świętokrzyski wydał w dniu </w:t>
      </w:r>
      <w:r w:rsidRPr="00B859F2">
        <w:rPr>
          <w:rFonts w:ascii="Lato" w:eastAsia="Times New Roman" w:hAnsi="Lato" w:cs="Arial"/>
          <w:spacing w:val="4"/>
          <w:sz w:val="20"/>
          <w:szCs w:val="24"/>
          <w:lang w:eastAsia="pl-PL"/>
        </w:rPr>
        <w:t xml:space="preserve">30 marca 2022 r. </w:t>
      </w:r>
      <w:r w:rsidRPr="00B859F2">
        <w:rPr>
          <w:rFonts w:ascii="Lato" w:eastAsia="Times New Roman" w:hAnsi="Lato" w:cs="Arial"/>
          <w:spacing w:val="4"/>
          <w:sz w:val="20"/>
          <w:szCs w:val="20"/>
          <w:lang w:eastAsia="pl-PL"/>
        </w:rPr>
        <w:t xml:space="preserve">decyzję </w:t>
      </w:r>
      <w:r w:rsidRPr="00B859F2">
        <w:rPr>
          <w:rFonts w:ascii="Lato" w:eastAsia="Times New Roman" w:hAnsi="Lato" w:cs="Arial"/>
          <w:spacing w:val="4"/>
          <w:sz w:val="20"/>
          <w:szCs w:val="24"/>
          <w:lang w:eastAsia="pl-PL"/>
        </w:rPr>
        <w:t xml:space="preserve">nr 1/2022, znak: </w:t>
      </w:r>
      <w:r w:rsidRPr="00B859F2">
        <w:rPr>
          <w:rFonts w:ascii="Lato" w:eastAsia="Times New Roman" w:hAnsi="Lato" w:cs="Arial"/>
          <w:spacing w:val="4"/>
          <w:sz w:val="20"/>
          <w:szCs w:val="20"/>
          <w:lang w:eastAsia="pl-PL"/>
        </w:rPr>
        <w:t>SPN.III.747.5.2022</w:t>
      </w:r>
      <w:r w:rsidRPr="00B859F2">
        <w:rPr>
          <w:rFonts w:ascii="Lato" w:eastAsia="Times New Roman" w:hAnsi="Lato" w:cs="Arial"/>
          <w:spacing w:val="4"/>
          <w:sz w:val="20"/>
          <w:szCs w:val="24"/>
          <w:lang w:eastAsia="pl-PL"/>
        </w:rPr>
        <w:t>,</w:t>
      </w:r>
      <w:r w:rsidRPr="00B859F2">
        <w:rPr>
          <w:rFonts w:ascii="Lato" w:eastAsia="Times New Roman" w:hAnsi="Lato" w:cs="Arial"/>
          <w:spacing w:val="4"/>
          <w:sz w:val="20"/>
          <w:szCs w:val="20"/>
          <w:lang w:eastAsia="pl-PL"/>
        </w:rPr>
        <w:t xml:space="preserve"> o ustaleniu lokalizacji przedmiotowej inwestycji, zwanej dalej „</w:t>
      </w:r>
      <w:r w:rsidRPr="00B859F2">
        <w:rPr>
          <w:rFonts w:ascii="Lato" w:eastAsia="Times New Roman" w:hAnsi="Lato" w:cs="Arial"/>
          <w:i/>
          <w:spacing w:val="4"/>
          <w:sz w:val="20"/>
          <w:szCs w:val="20"/>
          <w:lang w:eastAsia="pl-PL"/>
        </w:rPr>
        <w:t>decyzją Wojewody Świętokrzyskiego</w:t>
      </w:r>
      <w:r w:rsidRPr="00B859F2">
        <w:rPr>
          <w:rFonts w:ascii="Lato" w:eastAsia="Times New Roman" w:hAnsi="Lato" w:cs="Arial"/>
          <w:spacing w:val="4"/>
          <w:sz w:val="20"/>
          <w:szCs w:val="20"/>
          <w:lang w:eastAsia="pl-PL"/>
        </w:rPr>
        <w:t xml:space="preserve">”.  </w:t>
      </w:r>
    </w:p>
    <w:p w14:paraId="5B5808BA" w14:textId="5D4C9BB4" w:rsidR="00B859F2" w:rsidRPr="00B859F2" w:rsidRDefault="00B859F2" w:rsidP="00B859F2">
      <w:pPr>
        <w:tabs>
          <w:tab w:val="left" w:pos="851"/>
        </w:tabs>
        <w:spacing w:after="120" w:line="240" w:lineRule="exact"/>
        <w:jc w:val="both"/>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 xml:space="preserve">Od </w:t>
      </w:r>
      <w:r w:rsidRPr="00B859F2">
        <w:rPr>
          <w:rFonts w:ascii="Lato" w:eastAsia="Times New Roman" w:hAnsi="Lato" w:cs="Arial"/>
          <w:i/>
          <w:spacing w:val="4"/>
          <w:sz w:val="20"/>
          <w:szCs w:val="20"/>
          <w:lang w:eastAsia="pl-PL"/>
        </w:rPr>
        <w:t>decyzji Wojewody Świętokrzyskiego</w:t>
      </w:r>
      <w:r w:rsidRPr="00B859F2">
        <w:rPr>
          <w:rFonts w:ascii="Lato" w:eastAsia="Times New Roman" w:hAnsi="Lato" w:cs="Arial"/>
          <w:spacing w:val="4"/>
          <w:sz w:val="20"/>
          <w:szCs w:val="20"/>
          <w:lang w:eastAsia="pl-PL"/>
        </w:rPr>
        <w:t xml:space="preserve"> odwołanie, za pośrednictwem organu I instancji, wniosła – Pani M</w:t>
      </w:r>
      <w:r w:rsidR="00D12946">
        <w:rPr>
          <w:rFonts w:ascii="Lato" w:eastAsia="Times New Roman" w:hAnsi="Lato" w:cs="Arial"/>
          <w:spacing w:val="4"/>
          <w:sz w:val="20"/>
          <w:szCs w:val="20"/>
          <w:lang w:eastAsia="pl-PL"/>
        </w:rPr>
        <w:t>.</w:t>
      </w:r>
      <w:r w:rsidRPr="00B859F2">
        <w:rPr>
          <w:rFonts w:ascii="Lato" w:eastAsia="Times New Roman" w:hAnsi="Lato" w:cs="Arial"/>
          <w:spacing w:val="4"/>
          <w:sz w:val="20"/>
          <w:szCs w:val="20"/>
          <w:lang w:eastAsia="pl-PL"/>
        </w:rPr>
        <w:t xml:space="preserve"> M</w:t>
      </w:r>
      <w:r w:rsidR="00D12946">
        <w:rPr>
          <w:rFonts w:ascii="Lato" w:eastAsia="Times New Roman" w:hAnsi="Lato" w:cs="Arial"/>
          <w:spacing w:val="4"/>
          <w:sz w:val="20"/>
          <w:szCs w:val="20"/>
          <w:lang w:eastAsia="pl-PL"/>
        </w:rPr>
        <w:t>.</w:t>
      </w:r>
      <w:r w:rsidRPr="00B859F2">
        <w:rPr>
          <w:rFonts w:ascii="Lato" w:eastAsia="Times New Roman" w:hAnsi="Lato" w:cs="Arial"/>
          <w:spacing w:val="4"/>
          <w:sz w:val="20"/>
          <w:szCs w:val="20"/>
          <w:lang w:eastAsia="pl-PL"/>
        </w:rPr>
        <w:t>-A</w:t>
      </w:r>
      <w:r w:rsidR="00D12946">
        <w:rPr>
          <w:rFonts w:ascii="Lato" w:eastAsia="Times New Roman" w:hAnsi="Lato" w:cs="Arial"/>
          <w:spacing w:val="4"/>
          <w:sz w:val="20"/>
          <w:szCs w:val="20"/>
          <w:lang w:eastAsia="pl-PL"/>
        </w:rPr>
        <w:t>.</w:t>
      </w:r>
      <w:r w:rsidRPr="00B859F2">
        <w:rPr>
          <w:rFonts w:ascii="Lato" w:eastAsia="Times New Roman" w:hAnsi="Lato" w:cs="Arial"/>
          <w:spacing w:val="4"/>
          <w:sz w:val="20"/>
          <w:szCs w:val="20"/>
          <w:lang w:eastAsia="pl-PL"/>
        </w:rPr>
        <w:t xml:space="preserve"> [pismem z dnia 4 maja 2022 r., nadanym w tym samym dniu w</w:t>
      </w:r>
      <w:r w:rsidR="00D12946">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polskiej placówce pocztowej operatora wyznaczonego w rozumieniu ustawy z dnia 23 listopada 2012 r. – Prawo pocztowe (t.j. Dz. U. z 2022 r., poz. 896), zwanej dalej „</w:t>
      </w:r>
      <w:r w:rsidRPr="00B859F2">
        <w:rPr>
          <w:rFonts w:ascii="Lato" w:eastAsia="Times New Roman" w:hAnsi="Lato" w:cs="Arial"/>
          <w:i/>
          <w:iCs/>
          <w:spacing w:val="4"/>
          <w:sz w:val="20"/>
          <w:szCs w:val="20"/>
          <w:lang w:eastAsia="pl-PL"/>
        </w:rPr>
        <w:t>ustawą Prawo pocztowe</w:t>
      </w:r>
      <w:r w:rsidRPr="00B859F2">
        <w:rPr>
          <w:rFonts w:ascii="Lato" w:eastAsia="Times New Roman" w:hAnsi="Lato" w:cs="Arial"/>
          <w:spacing w:val="4"/>
          <w:sz w:val="20"/>
          <w:szCs w:val="20"/>
          <w:lang w:eastAsia="pl-PL"/>
        </w:rPr>
        <w:t>”)].</w:t>
      </w:r>
    </w:p>
    <w:p w14:paraId="5B53AE39" w14:textId="1DE30633" w:rsidR="00B859F2" w:rsidRPr="00B859F2" w:rsidRDefault="00B859F2" w:rsidP="00B859F2">
      <w:pPr>
        <w:spacing w:after="240" w:line="240" w:lineRule="exact"/>
        <w:jc w:val="both"/>
        <w:rPr>
          <w:rFonts w:ascii="Lato" w:eastAsia="Times New Roman" w:hAnsi="Lato" w:cs="Arial"/>
          <w:bCs/>
          <w:spacing w:val="4"/>
          <w:sz w:val="20"/>
          <w:szCs w:val="20"/>
          <w:lang w:eastAsia="pl-PL"/>
        </w:rPr>
      </w:pPr>
      <w:r w:rsidRPr="00B859F2">
        <w:rPr>
          <w:rFonts w:ascii="Lato" w:eastAsia="Times New Roman" w:hAnsi="Lato" w:cs="Arial"/>
          <w:spacing w:val="4"/>
          <w:sz w:val="20"/>
          <w:szCs w:val="20"/>
          <w:lang w:eastAsia="pl-PL"/>
        </w:rPr>
        <w:t>W odwołaniu (wniesionym w terminie) Skarżąca podniosła zarzuty odnoszące się do</w:t>
      </w:r>
      <w:r w:rsidR="009966B6">
        <w:rPr>
          <w:rFonts w:ascii="Lato" w:eastAsia="Times New Roman" w:hAnsi="Lato" w:cs="Arial"/>
          <w:spacing w:val="4"/>
          <w:sz w:val="20"/>
          <w:szCs w:val="20"/>
          <w:lang w:eastAsia="pl-PL"/>
        </w:rPr>
        <w:t> </w:t>
      </w:r>
      <w:r w:rsidRPr="00B859F2">
        <w:rPr>
          <w:rFonts w:ascii="Lato" w:eastAsia="Times New Roman" w:hAnsi="Lato" w:cs="Arial"/>
          <w:i/>
          <w:spacing w:val="4"/>
          <w:sz w:val="20"/>
          <w:szCs w:val="20"/>
          <w:lang w:eastAsia="pl-PL"/>
        </w:rPr>
        <w:t>decyzji Wojewody Świętokrzyskiego</w:t>
      </w:r>
      <w:r w:rsidRPr="00B859F2">
        <w:rPr>
          <w:rFonts w:ascii="Lato" w:eastAsia="Times New Roman" w:hAnsi="Lato" w:cs="Arial"/>
          <w:spacing w:val="4"/>
          <w:sz w:val="20"/>
          <w:szCs w:val="20"/>
          <w:lang w:eastAsia="pl-PL"/>
        </w:rPr>
        <w:t>, określiła istotę i zakres żądania będącego przedmiotem odwołania oraz wskazała na dowody uzasadniające to żądanie.</w:t>
      </w:r>
    </w:p>
    <w:p w14:paraId="344F94B4" w14:textId="05EEE65B"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spacing w:val="4"/>
          <w:sz w:val="20"/>
          <w:szCs w:val="20"/>
        </w:rPr>
        <w:t xml:space="preserve">Uwzględniając fakt, iż właściwym w przedmiotowej sprawie – stosownie do treści rozporządzenia Prezesa Rady Ministrów z dnia 15 kwietnia 2022 r. w sprawie szczegółowego zakresu działania Ministra Rozwoju i Technologii (Dz. U. z 2022 r. </w:t>
      </w:r>
      <w:r w:rsidRPr="00B859F2">
        <w:rPr>
          <w:rFonts w:ascii="Lato" w:eastAsia="Times New Roman" w:hAnsi="Lato" w:cs="Arial"/>
          <w:spacing w:val="4"/>
          <w:sz w:val="20"/>
          <w:szCs w:val="20"/>
        </w:rPr>
        <w:lastRenderedPageBreak/>
        <w:t>poz.</w:t>
      </w:r>
      <w:r w:rsidR="009966B6">
        <w:rPr>
          <w:rFonts w:ascii="Lato" w:eastAsia="Times New Roman" w:hAnsi="Lato" w:cs="Arial"/>
          <w:spacing w:val="4"/>
          <w:sz w:val="20"/>
          <w:szCs w:val="20"/>
        </w:rPr>
        <w:t> </w:t>
      </w:r>
      <w:r w:rsidRPr="00B859F2">
        <w:rPr>
          <w:rFonts w:ascii="Lato" w:eastAsia="Times New Roman" w:hAnsi="Lato" w:cs="Arial"/>
          <w:spacing w:val="4"/>
          <w:sz w:val="20"/>
          <w:szCs w:val="20"/>
        </w:rPr>
        <w:t>838) - jest obecnie Minister Rozwoju i Technologii, zwany dalej „</w:t>
      </w:r>
      <w:r w:rsidRPr="00B859F2">
        <w:rPr>
          <w:rFonts w:ascii="Lato" w:eastAsia="Times New Roman" w:hAnsi="Lato" w:cs="Arial"/>
          <w:i/>
          <w:spacing w:val="4"/>
          <w:sz w:val="20"/>
          <w:szCs w:val="20"/>
        </w:rPr>
        <w:t>Ministrem</w:t>
      </w:r>
      <w:r w:rsidRPr="00B859F2">
        <w:rPr>
          <w:rFonts w:ascii="Lato" w:eastAsia="Times New Roman" w:hAnsi="Lato" w:cs="Arial"/>
          <w:spacing w:val="4"/>
          <w:sz w:val="20"/>
          <w:szCs w:val="20"/>
        </w:rPr>
        <w:t>”, stwierdzono, co następuje</w:t>
      </w:r>
      <w:r w:rsidRPr="00B859F2">
        <w:rPr>
          <w:rFonts w:ascii="Lato" w:eastAsia="Times New Roman" w:hAnsi="Lato" w:cs="Arial"/>
          <w:spacing w:val="4"/>
          <w:sz w:val="20"/>
          <w:szCs w:val="20"/>
          <w:lang w:eastAsia="pl-PL"/>
        </w:rPr>
        <w:t>.</w:t>
      </w:r>
    </w:p>
    <w:p w14:paraId="6C08889E" w14:textId="3969C802"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Kompetencje organu odwoławczego obejmują korygowanie zarówno wad prawnych decyzji organu I instancji, polegających na niewłaściwym zastosowaniu przepisu prawa materialnego, bądź postępowania administracyjnego, jak i wad polegających na</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niewłaściwej ocenie okoliczności faktycznych. Zgodnie z ogólnie przyjętą zasadą, organy administracji publicznej powinny działać wnikliwie, prowadząc wyczerpujące postępowanie dowodowe w celu uzyskania prawdy obiektywnej, a fakty istotne dla</w:t>
      </w:r>
      <w:r w:rsidR="009966B6">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podjęcia rozstrzygnięcia powinny zostać w miarę możliwości bezsprzecznie ustalone. Obowiązek ten wynika z art. 7 </w:t>
      </w:r>
      <w:r w:rsidRPr="00B859F2">
        <w:rPr>
          <w:rFonts w:ascii="Lato" w:eastAsia="Times New Roman" w:hAnsi="Lato" w:cs="Arial"/>
          <w:i/>
          <w:iCs/>
          <w:spacing w:val="4"/>
          <w:sz w:val="20"/>
          <w:szCs w:val="20"/>
          <w:lang w:eastAsia="pl-PL"/>
        </w:rPr>
        <w:t>kpa</w:t>
      </w:r>
      <w:r w:rsidRPr="00B859F2">
        <w:rPr>
          <w:rFonts w:ascii="Lato" w:eastAsia="Times New Roman" w:hAnsi="Lato" w:cs="Arial"/>
          <w:spacing w:val="4"/>
          <w:sz w:val="20"/>
          <w:szCs w:val="20"/>
          <w:lang w:eastAsia="pl-PL"/>
        </w:rPr>
        <w:t xml:space="preserve"> i art. 77 </w:t>
      </w:r>
      <w:r w:rsidRPr="00B859F2">
        <w:rPr>
          <w:rFonts w:ascii="Lato" w:eastAsia="Times New Roman" w:hAnsi="Lato" w:cs="Arial"/>
          <w:i/>
          <w:iCs/>
          <w:spacing w:val="4"/>
          <w:sz w:val="20"/>
          <w:szCs w:val="20"/>
          <w:lang w:eastAsia="pl-PL"/>
        </w:rPr>
        <w:t>kpa</w:t>
      </w:r>
      <w:r w:rsidRPr="00B859F2">
        <w:rPr>
          <w:rFonts w:ascii="Lato" w:eastAsia="Times New Roman" w:hAnsi="Lato" w:cs="Arial"/>
          <w:spacing w:val="4"/>
          <w:sz w:val="20"/>
          <w:szCs w:val="20"/>
          <w:lang w:eastAsia="pl-PL"/>
        </w:rPr>
        <w:t>. Dlatego też trafność rozstrzygnięcia w</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każdym indywidualnym przypadku wymaga szczegółowego zbadania i rozważenia wszelkich argumentów, które stanowiłyby podstawę do przyjęcia określonego stanowiska. Wydając decyzję, organ zobowiązany jest do przestrzegania przepisów </w:t>
      </w:r>
      <w:r w:rsidRPr="00B859F2">
        <w:rPr>
          <w:rFonts w:ascii="Lato" w:eastAsia="Times New Roman" w:hAnsi="Lato" w:cs="Arial"/>
          <w:i/>
          <w:iCs/>
          <w:spacing w:val="4"/>
          <w:sz w:val="20"/>
          <w:szCs w:val="20"/>
          <w:lang w:eastAsia="pl-PL"/>
        </w:rPr>
        <w:t>kpa</w:t>
      </w:r>
      <w:r w:rsidRPr="00B859F2">
        <w:rPr>
          <w:rFonts w:ascii="Lato" w:eastAsia="Times New Roman" w:hAnsi="Lato" w:cs="Arial"/>
          <w:spacing w:val="4"/>
          <w:sz w:val="20"/>
          <w:szCs w:val="20"/>
          <w:lang w:eastAsia="pl-PL"/>
        </w:rPr>
        <w:t>, a przede wszystkim do podejmowania wszelkich kroków niezbędnych do</w:t>
      </w:r>
      <w:r w:rsidR="009966B6">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dokładnego wyjaśnienia stanu faktycznego.</w:t>
      </w:r>
    </w:p>
    <w:p w14:paraId="1E6DFD54" w14:textId="77777777"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 xml:space="preserve">W trakcie przeprowadzonego postępowania odwoławczego </w:t>
      </w:r>
      <w:r w:rsidRPr="00B859F2">
        <w:rPr>
          <w:rFonts w:ascii="Lato" w:eastAsia="Times New Roman" w:hAnsi="Lato" w:cs="Arial"/>
          <w:i/>
          <w:iCs/>
          <w:spacing w:val="4"/>
          <w:sz w:val="20"/>
          <w:szCs w:val="20"/>
          <w:lang w:eastAsia="pl-PL"/>
        </w:rPr>
        <w:t>Minister</w:t>
      </w:r>
      <w:r w:rsidRPr="00B859F2">
        <w:rPr>
          <w:rFonts w:ascii="Lato" w:eastAsia="Times New Roman" w:hAnsi="Lato" w:cs="Arial"/>
          <w:spacing w:val="4"/>
          <w:sz w:val="20"/>
          <w:szCs w:val="20"/>
          <w:lang w:eastAsia="pl-PL"/>
        </w:rPr>
        <w:t xml:space="preserve"> rozpatrzył ponownie wniosek </w:t>
      </w:r>
      <w:r w:rsidRPr="00B859F2">
        <w:rPr>
          <w:rFonts w:ascii="Lato" w:eastAsia="Times New Roman" w:hAnsi="Lato" w:cs="Arial"/>
          <w:i/>
          <w:iCs/>
          <w:spacing w:val="4"/>
          <w:sz w:val="20"/>
          <w:szCs w:val="20"/>
          <w:lang w:eastAsia="pl-PL"/>
        </w:rPr>
        <w:t>inwestora</w:t>
      </w:r>
      <w:r w:rsidRPr="00B859F2">
        <w:rPr>
          <w:rFonts w:ascii="Lato" w:eastAsia="Times New Roman" w:hAnsi="Lato" w:cs="Arial"/>
          <w:spacing w:val="4"/>
          <w:sz w:val="20"/>
          <w:szCs w:val="20"/>
          <w:lang w:eastAsia="pl-PL"/>
        </w:rPr>
        <w:t xml:space="preserve"> o wydanie przedmiotowej decyzji, przeanalizował materiał dowodowy zgromadzony przez Wojewodę Świętokrzyskiego, w tym zbadał poprawność postępowania organu I instancji oraz poprawność kończącej to postępowanie </w:t>
      </w:r>
      <w:r w:rsidRPr="00B859F2">
        <w:rPr>
          <w:rFonts w:ascii="Lato" w:eastAsia="Times New Roman" w:hAnsi="Lato" w:cs="Arial"/>
          <w:i/>
          <w:spacing w:val="4"/>
          <w:sz w:val="20"/>
          <w:szCs w:val="20"/>
          <w:lang w:eastAsia="pl-PL"/>
        </w:rPr>
        <w:t>decyzji Wojewody Świętokrzyskiego</w:t>
      </w:r>
      <w:r w:rsidRPr="00B859F2">
        <w:rPr>
          <w:rFonts w:ascii="Lato" w:eastAsia="Times New Roman" w:hAnsi="Lato" w:cs="Arial"/>
          <w:spacing w:val="4"/>
          <w:sz w:val="20"/>
          <w:szCs w:val="20"/>
          <w:lang w:eastAsia="pl-PL"/>
        </w:rPr>
        <w:t>, jak również rozpoznał zarzuty podniesione przez skarżącą stronę.</w:t>
      </w:r>
    </w:p>
    <w:p w14:paraId="7C9C3097" w14:textId="34A60B5A" w:rsidR="00B859F2" w:rsidRPr="00B859F2" w:rsidRDefault="00B859F2" w:rsidP="00B859F2">
      <w:pPr>
        <w:keepNext/>
        <w:keepLines/>
        <w:spacing w:after="240" w:line="240" w:lineRule="exact"/>
        <w:jc w:val="both"/>
        <w:outlineLvl w:val="0"/>
        <w:rPr>
          <w:rFonts w:ascii="Lato" w:eastAsia="Times New Roman" w:hAnsi="Lato" w:cs="Arial"/>
          <w:bCs/>
          <w:spacing w:val="4"/>
          <w:sz w:val="20"/>
          <w:szCs w:val="20"/>
          <w:lang w:eastAsia="pl-PL"/>
        </w:rPr>
      </w:pPr>
      <w:r w:rsidRPr="00B859F2">
        <w:rPr>
          <w:rFonts w:ascii="Lato" w:eastAsia="Arial Unicode MS" w:hAnsi="Lato" w:cs="Arial"/>
          <w:bCs/>
          <w:spacing w:val="4"/>
          <w:kern w:val="3"/>
          <w:sz w:val="20"/>
          <w:szCs w:val="20"/>
          <w:lang w:eastAsia="zh-CN"/>
        </w:rPr>
        <w:t xml:space="preserve">Na wstępie wskazać należy, iż </w:t>
      </w:r>
      <w:r w:rsidRPr="00B859F2">
        <w:rPr>
          <w:rFonts w:ascii="Lato" w:eastAsia="Arial Unicode MS" w:hAnsi="Lato" w:cs="Arial"/>
          <w:bCs/>
          <w:i/>
          <w:spacing w:val="4"/>
          <w:kern w:val="3"/>
          <w:sz w:val="20"/>
          <w:szCs w:val="20"/>
          <w:lang w:eastAsia="zh-CN"/>
        </w:rPr>
        <w:t>decyzja Wojewody Świętokrzyskiego</w:t>
      </w:r>
      <w:r w:rsidRPr="00B859F2">
        <w:rPr>
          <w:rFonts w:ascii="Lato" w:eastAsia="Arial Unicode MS" w:hAnsi="Lato" w:cs="Arial"/>
          <w:bCs/>
          <w:spacing w:val="4"/>
          <w:kern w:val="3"/>
          <w:sz w:val="20"/>
          <w:szCs w:val="20"/>
          <w:lang w:eastAsia="zh-CN"/>
        </w:rPr>
        <w:t xml:space="preserve"> została wydana w</w:t>
      </w:r>
      <w:r>
        <w:rPr>
          <w:rFonts w:ascii="Lato" w:eastAsia="Arial Unicode MS" w:hAnsi="Lato" w:cs="Arial"/>
          <w:bCs/>
          <w:spacing w:val="4"/>
          <w:kern w:val="3"/>
          <w:sz w:val="20"/>
          <w:szCs w:val="20"/>
          <w:lang w:eastAsia="zh-CN"/>
        </w:rPr>
        <w:t> </w:t>
      </w:r>
      <w:r w:rsidRPr="00B859F2">
        <w:rPr>
          <w:rFonts w:ascii="Lato" w:eastAsia="Arial Unicode MS" w:hAnsi="Lato" w:cs="Arial"/>
          <w:bCs/>
          <w:spacing w:val="4"/>
          <w:kern w:val="3"/>
          <w:sz w:val="20"/>
          <w:szCs w:val="20"/>
          <w:lang w:eastAsia="zh-CN"/>
        </w:rPr>
        <w:t xml:space="preserve">oparciu o przepisy </w:t>
      </w:r>
      <w:r w:rsidRPr="00B859F2">
        <w:rPr>
          <w:rFonts w:ascii="Lato" w:eastAsia="Arial Unicode MS" w:hAnsi="Lato" w:cs="Arial"/>
          <w:bCs/>
          <w:i/>
          <w:spacing w:val="4"/>
          <w:kern w:val="3"/>
          <w:sz w:val="20"/>
          <w:szCs w:val="20"/>
          <w:lang w:eastAsia="zh-CN"/>
        </w:rPr>
        <w:t>specustawy gazowej</w:t>
      </w:r>
      <w:r w:rsidRPr="00B859F2">
        <w:rPr>
          <w:rFonts w:ascii="Lato" w:eastAsia="Arial Unicode MS" w:hAnsi="Lato" w:cs="Arial"/>
          <w:bCs/>
          <w:iCs/>
          <w:spacing w:val="4"/>
          <w:kern w:val="3"/>
          <w:sz w:val="20"/>
          <w:szCs w:val="20"/>
          <w:lang w:eastAsia="zh-CN"/>
        </w:rPr>
        <w:t>,</w:t>
      </w:r>
      <w:r w:rsidRPr="00B859F2">
        <w:rPr>
          <w:rFonts w:ascii="Lato" w:eastAsia="Arial Unicode MS" w:hAnsi="Lato" w:cs="Arial"/>
          <w:bCs/>
          <w:spacing w:val="4"/>
          <w:kern w:val="3"/>
          <w:sz w:val="20"/>
          <w:szCs w:val="20"/>
          <w:lang w:eastAsia="zh-CN"/>
        </w:rPr>
        <w:t xml:space="preserve"> w brzmieniu po jej nowelizacji dokonanej ustawą z dniem 20 kwietnia 2021 r.  o </w:t>
      </w:r>
      <w:r w:rsidRPr="00B859F2">
        <w:rPr>
          <w:rFonts w:ascii="Lato" w:eastAsia="Times New Roman" w:hAnsi="Lato" w:cs="Arial"/>
          <w:bCs/>
          <w:spacing w:val="4"/>
          <w:kern w:val="36"/>
          <w:sz w:val="20"/>
          <w:szCs w:val="20"/>
          <w:lang w:eastAsia="pl-PL"/>
        </w:rPr>
        <w:t>zmianie ustaw regulujących przygotowanie i</w:t>
      </w:r>
      <w:r>
        <w:rPr>
          <w:rFonts w:ascii="Lato" w:eastAsia="Times New Roman" w:hAnsi="Lato" w:cs="Arial"/>
          <w:bCs/>
          <w:spacing w:val="4"/>
          <w:kern w:val="36"/>
          <w:sz w:val="20"/>
          <w:szCs w:val="20"/>
          <w:lang w:eastAsia="pl-PL"/>
        </w:rPr>
        <w:t> </w:t>
      </w:r>
      <w:r w:rsidRPr="00B859F2">
        <w:rPr>
          <w:rFonts w:ascii="Lato" w:eastAsia="Times New Roman" w:hAnsi="Lato" w:cs="Arial"/>
          <w:bCs/>
          <w:spacing w:val="4"/>
          <w:kern w:val="36"/>
          <w:sz w:val="20"/>
          <w:szCs w:val="20"/>
          <w:lang w:eastAsia="pl-PL"/>
        </w:rPr>
        <w:t xml:space="preserve">realizację kluczowych inwestycji w zakresie strategicznej infrastruktury energetycznej </w:t>
      </w:r>
      <w:r w:rsidRPr="00B859F2">
        <w:rPr>
          <w:rFonts w:ascii="Lato" w:eastAsia="Arial Unicode MS" w:hAnsi="Lato" w:cs="Arial"/>
          <w:bCs/>
          <w:spacing w:val="4"/>
          <w:kern w:val="3"/>
          <w:sz w:val="20"/>
          <w:szCs w:val="20"/>
          <w:lang w:eastAsia="zh-CN"/>
        </w:rPr>
        <w:t xml:space="preserve">(Dz. U. z 2021 r. poz. 922), która weszła w życie w dniu 27 maja 2021 r. </w:t>
      </w:r>
    </w:p>
    <w:p w14:paraId="0F011016" w14:textId="610E4D11"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Arial Unicode MS" w:hAnsi="Lato" w:cs="Arial"/>
          <w:spacing w:val="4"/>
          <w:kern w:val="3"/>
          <w:sz w:val="20"/>
          <w:szCs w:val="20"/>
          <w:lang w:eastAsia="zh-CN"/>
        </w:rPr>
        <w:t xml:space="preserve">W związku z powyższym, w niniejszej sprawie zastosowanie znajdą przepisy </w:t>
      </w:r>
      <w:r w:rsidRPr="00B859F2">
        <w:rPr>
          <w:rFonts w:ascii="Lato" w:eastAsia="Arial Unicode MS" w:hAnsi="Lato" w:cs="Arial"/>
          <w:i/>
          <w:spacing w:val="4"/>
          <w:kern w:val="3"/>
          <w:sz w:val="20"/>
          <w:szCs w:val="20"/>
          <w:lang w:eastAsia="zh-CN"/>
        </w:rPr>
        <w:t>specustawy gazowej</w:t>
      </w:r>
      <w:r w:rsidRPr="00B859F2">
        <w:rPr>
          <w:rFonts w:ascii="Lato" w:eastAsia="Arial Unicode MS" w:hAnsi="Lato" w:cs="Arial"/>
          <w:spacing w:val="4"/>
          <w:kern w:val="3"/>
          <w:sz w:val="20"/>
          <w:szCs w:val="20"/>
          <w:lang w:eastAsia="zh-CN"/>
        </w:rPr>
        <w:t>, w brzmieniu obowiązującym od dnia 27 maja 2021 r.</w:t>
      </w:r>
    </w:p>
    <w:p w14:paraId="36D2DFF4" w14:textId="2CED0819"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 xml:space="preserve">Zgodnie z art. 38 pkt 7 </w:t>
      </w:r>
      <w:r w:rsidRPr="00B859F2">
        <w:rPr>
          <w:rFonts w:ascii="Lato" w:eastAsia="Times New Roman" w:hAnsi="Lato" w:cs="Arial"/>
          <w:i/>
          <w:iCs/>
          <w:spacing w:val="4"/>
          <w:sz w:val="20"/>
          <w:szCs w:val="20"/>
          <w:lang w:eastAsia="pl-PL"/>
        </w:rPr>
        <w:t>specustawy gazowej</w:t>
      </w:r>
      <w:r w:rsidRPr="00B859F2">
        <w:rPr>
          <w:rFonts w:ascii="Lato" w:eastAsia="Times New Roman" w:hAnsi="Lato" w:cs="Arial"/>
          <w:spacing w:val="4"/>
          <w:sz w:val="20"/>
          <w:szCs w:val="20"/>
          <w:lang w:eastAsia="pl-PL"/>
        </w:rPr>
        <w:t>, projektowana inwestycja polegająca na</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budowie przyłącza gazowego w/c DN300 do PGE Energia Ciepła S.A., Oddział Elektrociepłownia w Kielcach przy ul. Hubalczyków w Kielcach", na terenie gminy Masłów, miasta Kielce i gminy Miedziana Góra, stanowi </w:t>
      </w:r>
      <w:r w:rsidRPr="00B859F2">
        <w:rPr>
          <w:rFonts w:ascii="Lato" w:eastAsia="Times New Roman" w:hAnsi="Lato" w:cs="Arial"/>
          <w:spacing w:val="4"/>
          <w:sz w:val="20"/>
          <w:szCs w:val="20"/>
          <w:shd w:val="clear" w:color="auto" w:fill="FFFFFF"/>
          <w:lang w:eastAsia="pl-PL"/>
        </w:rPr>
        <w:t xml:space="preserve">inwestycję towarzyszącą inwestycjom w zakresie terminalu, realizowaną przez </w:t>
      </w:r>
      <w:r w:rsidRPr="00B859F2">
        <w:rPr>
          <w:rFonts w:ascii="Lato" w:eastAsia="Times New Roman" w:hAnsi="Lato" w:cs="Arial"/>
          <w:spacing w:val="4"/>
          <w:sz w:val="20"/>
          <w:szCs w:val="20"/>
          <w:lang w:eastAsia="pl-PL"/>
        </w:rPr>
        <w:t>Polską Spółkę Gazownictwa Sp.</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z</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o.o. z siedzibą w Tarnowie. Jak przewiduje art. 39 ust. 1 </w:t>
      </w:r>
      <w:r w:rsidRPr="00B859F2">
        <w:rPr>
          <w:rFonts w:ascii="Lato" w:eastAsia="Times New Roman" w:hAnsi="Lato" w:cs="Arial"/>
          <w:i/>
          <w:spacing w:val="4"/>
          <w:sz w:val="20"/>
          <w:szCs w:val="20"/>
          <w:lang w:eastAsia="pl-PL"/>
        </w:rPr>
        <w:t>specustawy gazowej</w:t>
      </w:r>
      <w:r w:rsidRPr="00B859F2">
        <w:rPr>
          <w:rFonts w:ascii="Lato" w:eastAsia="Times New Roman" w:hAnsi="Lato" w:cs="Arial"/>
          <w:spacing w:val="4"/>
          <w:sz w:val="20"/>
          <w:szCs w:val="20"/>
          <w:lang w:eastAsia="pl-PL"/>
        </w:rPr>
        <w:t xml:space="preserve">, </w:t>
      </w:r>
      <w:r w:rsidRPr="00B859F2">
        <w:rPr>
          <w:rFonts w:ascii="Lato" w:eastAsia="Times New Roman" w:hAnsi="Lato" w:cs="Arial"/>
          <w:spacing w:val="4"/>
          <w:sz w:val="20"/>
          <w:szCs w:val="20"/>
          <w:shd w:val="clear" w:color="auto" w:fill="FFFFFF"/>
          <w:lang w:eastAsia="pl-PL"/>
        </w:rPr>
        <w:t>do inwestycji towarzyszących stosuje się przepisy rozdziałów 2, 3 i 6 oraz art. 43, z</w:t>
      </w:r>
      <w:r>
        <w:rPr>
          <w:rFonts w:ascii="Lato" w:eastAsia="Times New Roman" w:hAnsi="Lato" w:cs="Arial"/>
          <w:spacing w:val="4"/>
          <w:sz w:val="20"/>
          <w:szCs w:val="20"/>
          <w:shd w:val="clear" w:color="auto" w:fill="FFFFFF"/>
          <w:lang w:eastAsia="pl-PL"/>
        </w:rPr>
        <w:t> </w:t>
      </w:r>
      <w:r w:rsidRPr="00B859F2">
        <w:rPr>
          <w:rFonts w:ascii="Lato" w:eastAsia="Times New Roman" w:hAnsi="Lato" w:cs="Arial"/>
          <w:spacing w:val="4"/>
          <w:sz w:val="20"/>
          <w:szCs w:val="20"/>
          <w:shd w:val="clear" w:color="auto" w:fill="FFFFFF"/>
          <w:lang w:eastAsia="pl-PL"/>
        </w:rPr>
        <w:t>uwzględnieniem ust. 1a i 1b ww. ustawy.</w:t>
      </w:r>
    </w:p>
    <w:p w14:paraId="52E663D0" w14:textId="2D087767"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 xml:space="preserve">Stosownie do art. 5 ust. 1 w zw. z art. 1 ust. 2 pkt 3 </w:t>
      </w:r>
      <w:r w:rsidRPr="00B859F2">
        <w:rPr>
          <w:rFonts w:ascii="Lato" w:eastAsia="Times New Roman" w:hAnsi="Lato" w:cs="Arial"/>
          <w:i/>
          <w:spacing w:val="4"/>
          <w:sz w:val="20"/>
          <w:szCs w:val="20"/>
          <w:lang w:eastAsia="pl-PL"/>
        </w:rPr>
        <w:t>specustawy gazowej</w:t>
      </w:r>
      <w:r w:rsidRPr="00B859F2">
        <w:rPr>
          <w:rFonts w:ascii="Lato" w:eastAsia="Times New Roman" w:hAnsi="Lato" w:cs="Arial"/>
          <w:spacing w:val="4"/>
          <w:sz w:val="20"/>
          <w:szCs w:val="20"/>
          <w:lang w:eastAsia="pl-PL"/>
        </w:rPr>
        <w:t>, z wnioskiem do</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Wojewody Świętokrzyskiego o wydanie decyzji o ustaleniu lokalizacji inwestycji towarzyszącej inwestycjom w zakresie terminalu dla omawianego zamierzenia inwestycyjnego wystąpiła ww. spółka, tj. Polska Spółka Gazownictwa Sp. z o.o. z</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siedzibą w Tarnowie. </w:t>
      </w:r>
    </w:p>
    <w:p w14:paraId="6B900A09" w14:textId="77777777" w:rsidR="00B859F2" w:rsidRPr="00B859F2" w:rsidRDefault="00B859F2" w:rsidP="00B859F2">
      <w:pPr>
        <w:spacing w:after="240" w:line="240" w:lineRule="exact"/>
        <w:jc w:val="both"/>
        <w:rPr>
          <w:rFonts w:ascii="Lato" w:eastAsia="Times New Roman" w:hAnsi="Lato" w:cs="Arial"/>
          <w:iCs/>
          <w:spacing w:val="4"/>
          <w:sz w:val="20"/>
          <w:szCs w:val="20"/>
          <w:lang w:eastAsia="pl-PL"/>
        </w:rPr>
      </w:pPr>
      <w:r w:rsidRPr="00B859F2">
        <w:rPr>
          <w:rFonts w:ascii="Lato" w:eastAsia="Times New Roman" w:hAnsi="Lato" w:cs="Arial"/>
          <w:iCs/>
          <w:spacing w:val="4"/>
          <w:sz w:val="20"/>
          <w:szCs w:val="20"/>
          <w:lang w:eastAsia="pl-PL"/>
        </w:rPr>
        <w:t xml:space="preserve">Analizując złożony przez </w:t>
      </w:r>
      <w:r w:rsidRPr="00B859F2">
        <w:rPr>
          <w:rFonts w:ascii="Lato" w:eastAsia="Times New Roman" w:hAnsi="Lato" w:cs="Arial"/>
          <w:i/>
          <w:iCs/>
          <w:spacing w:val="4"/>
          <w:sz w:val="20"/>
          <w:szCs w:val="20"/>
          <w:lang w:eastAsia="pl-PL"/>
        </w:rPr>
        <w:t>inwestora</w:t>
      </w:r>
      <w:r w:rsidRPr="00B859F2">
        <w:rPr>
          <w:rFonts w:ascii="Lato" w:eastAsia="Times New Roman" w:hAnsi="Lato" w:cs="Arial"/>
          <w:iCs/>
          <w:spacing w:val="4"/>
          <w:sz w:val="20"/>
          <w:szCs w:val="20"/>
          <w:lang w:eastAsia="pl-PL"/>
        </w:rPr>
        <w:t xml:space="preserve"> wniosek, </w:t>
      </w:r>
      <w:r w:rsidRPr="00B859F2">
        <w:rPr>
          <w:rFonts w:ascii="Lato" w:eastAsia="Times New Roman" w:hAnsi="Lato" w:cs="Arial"/>
          <w:i/>
          <w:iCs/>
          <w:spacing w:val="4"/>
          <w:sz w:val="20"/>
          <w:szCs w:val="20"/>
          <w:lang w:eastAsia="pl-PL"/>
        </w:rPr>
        <w:t>Minister</w:t>
      </w:r>
      <w:r w:rsidRPr="00B859F2">
        <w:rPr>
          <w:rFonts w:ascii="Lato" w:eastAsia="Times New Roman" w:hAnsi="Lato" w:cs="Arial"/>
          <w:spacing w:val="4"/>
          <w:sz w:val="20"/>
          <w:szCs w:val="20"/>
          <w:lang w:eastAsia="pl-PL"/>
        </w:rPr>
        <w:t xml:space="preserve"> </w:t>
      </w:r>
      <w:r w:rsidRPr="00B859F2">
        <w:rPr>
          <w:rFonts w:ascii="Lato" w:eastAsia="Times New Roman" w:hAnsi="Lato" w:cs="Arial"/>
          <w:iCs/>
          <w:spacing w:val="4"/>
          <w:sz w:val="20"/>
          <w:szCs w:val="20"/>
          <w:lang w:eastAsia="pl-PL"/>
        </w:rPr>
        <w:t xml:space="preserve">uznał, że zawiera on wszystkie elementy wymagane na podstawie przepisu art. 6 w zw. z art. 39 ust. 1 </w:t>
      </w:r>
      <w:r w:rsidRPr="00B859F2">
        <w:rPr>
          <w:rFonts w:ascii="Lato" w:eastAsia="Times New Roman" w:hAnsi="Lato" w:cs="Arial"/>
          <w:i/>
          <w:spacing w:val="4"/>
          <w:sz w:val="20"/>
          <w:szCs w:val="20"/>
          <w:lang w:eastAsia="pl-PL"/>
        </w:rPr>
        <w:t>specustawy gazowej</w:t>
      </w:r>
      <w:r w:rsidRPr="00B859F2">
        <w:rPr>
          <w:rFonts w:ascii="Lato" w:eastAsia="Times New Roman" w:hAnsi="Lato" w:cs="Arial"/>
          <w:iCs/>
          <w:spacing w:val="4"/>
          <w:sz w:val="20"/>
          <w:szCs w:val="20"/>
          <w:lang w:eastAsia="pl-PL"/>
        </w:rPr>
        <w:t>.</w:t>
      </w:r>
    </w:p>
    <w:p w14:paraId="0FDDF58E" w14:textId="5C6EA65B"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lastRenderedPageBreak/>
        <w:t>Następnie, organ odwoławczy poddał kontroli przeprowadzone przez Wojewodę Świętokrzyskiego postępowanie w sprawie wydania decyzji o ustaleniu lokalizacji ww.</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przedsięwzięcia i stwierdził, co następuje. </w:t>
      </w:r>
    </w:p>
    <w:p w14:paraId="51220CD8" w14:textId="1BF0C5CE" w:rsidR="00B859F2" w:rsidRPr="00B859F2" w:rsidRDefault="00B859F2" w:rsidP="00B859F2">
      <w:pPr>
        <w:spacing w:after="240" w:line="240" w:lineRule="exact"/>
        <w:jc w:val="both"/>
        <w:outlineLvl w:val="0"/>
        <w:rPr>
          <w:rFonts w:ascii="Lato" w:eastAsia="Times New Roman" w:hAnsi="Lato" w:cs="Arial"/>
          <w:bCs/>
          <w:spacing w:val="4"/>
          <w:sz w:val="20"/>
          <w:szCs w:val="20"/>
          <w:lang w:eastAsia="pl-PL"/>
        </w:rPr>
      </w:pPr>
      <w:r w:rsidRPr="00B859F2">
        <w:rPr>
          <w:rFonts w:ascii="Lato" w:eastAsia="Times New Roman" w:hAnsi="Lato" w:cs="Arial"/>
          <w:bCs/>
          <w:spacing w:val="4"/>
          <w:sz w:val="20"/>
          <w:szCs w:val="20"/>
          <w:lang w:eastAsia="pl-PL"/>
        </w:rPr>
        <w:t xml:space="preserve">W ocenie organu II instancji Wojewoda </w:t>
      </w:r>
      <w:r w:rsidRPr="00B859F2">
        <w:rPr>
          <w:rFonts w:ascii="Lato" w:eastAsia="Times New Roman" w:hAnsi="Lato" w:cs="Arial"/>
          <w:spacing w:val="4"/>
          <w:sz w:val="20"/>
          <w:szCs w:val="20"/>
          <w:lang w:eastAsia="pl-PL"/>
        </w:rPr>
        <w:t xml:space="preserve">Świętokrzyski </w:t>
      </w:r>
      <w:r w:rsidRPr="00B859F2">
        <w:rPr>
          <w:rFonts w:ascii="Lato" w:eastAsia="Times New Roman" w:hAnsi="Lato" w:cs="Arial"/>
          <w:bCs/>
          <w:spacing w:val="4"/>
          <w:sz w:val="20"/>
          <w:szCs w:val="20"/>
          <w:lang w:eastAsia="pl-PL"/>
        </w:rPr>
        <w:t>prawidłowo poinformował strony o wszczętym postępowaniu, podał jego podstawę prawną, pouczył o możliwości zapoznania się z aktami sprawy</w:t>
      </w:r>
      <w:r w:rsidRPr="00B859F2">
        <w:rPr>
          <w:rFonts w:ascii="Lato" w:eastAsia="Times New Roman" w:hAnsi="Lato" w:cs="Arial"/>
          <w:spacing w:val="4"/>
          <w:sz w:val="20"/>
          <w:szCs w:val="20"/>
          <w:lang w:eastAsia="pl-PL"/>
        </w:rPr>
        <w:t xml:space="preserve">, </w:t>
      </w:r>
      <w:r w:rsidRPr="00B859F2">
        <w:rPr>
          <w:rFonts w:ascii="Lato" w:eastAsia="Times New Roman" w:hAnsi="Lato" w:cs="Arial"/>
          <w:bCs/>
          <w:spacing w:val="4"/>
          <w:sz w:val="20"/>
          <w:szCs w:val="20"/>
          <w:lang w:eastAsia="pl-PL"/>
        </w:rPr>
        <w:t>a zatem należycie i wyczerpująco poinformował strony o okolicznościach faktycznych i prawnych, będących przedmiotem postępowania administracyjnego, które mogły mieć wpływ na ustalenie ich praw i obowiązków.</w:t>
      </w:r>
    </w:p>
    <w:p w14:paraId="2253A684" w14:textId="6E96293F" w:rsidR="00B859F2" w:rsidRPr="00B859F2" w:rsidRDefault="00B859F2" w:rsidP="00B859F2">
      <w:pPr>
        <w:spacing w:after="240" w:line="240" w:lineRule="exact"/>
        <w:jc w:val="both"/>
        <w:outlineLvl w:val="0"/>
        <w:rPr>
          <w:rFonts w:ascii="Lato" w:eastAsia="Times New Roman" w:hAnsi="Lato" w:cs="Arial"/>
          <w:spacing w:val="4"/>
          <w:sz w:val="20"/>
          <w:szCs w:val="24"/>
          <w:lang w:eastAsia="pl-PL"/>
        </w:rPr>
      </w:pPr>
      <w:r w:rsidRPr="00B859F2">
        <w:rPr>
          <w:rFonts w:ascii="Lato" w:eastAsia="Times New Roman" w:hAnsi="Lato" w:cs="Arial"/>
          <w:bCs/>
          <w:spacing w:val="4"/>
          <w:sz w:val="20"/>
          <w:szCs w:val="20"/>
          <w:lang w:eastAsia="pl-PL"/>
        </w:rPr>
        <w:t xml:space="preserve">Wojewoda </w:t>
      </w:r>
      <w:r w:rsidRPr="00B859F2">
        <w:rPr>
          <w:rFonts w:ascii="Lato" w:eastAsia="Times New Roman" w:hAnsi="Lato" w:cs="Arial"/>
          <w:spacing w:val="4"/>
          <w:sz w:val="20"/>
          <w:szCs w:val="20"/>
          <w:lang w:eastAsia="pl-PL"/>
        </w:rPr>
        <w:t>Świętokrzyski</w:t>
      </w:r>
      <w:r w:rsidRPr="00B859F2">
        <w:rPr>
          <w:rFonts w:ascii="Lato" w:eastAsia="Times New Roman" w:hAnsi="Lato" w:cs="Arial"/>
          <w:bCs/>
          <w:spacing w:val="4"/>
          <w:sz w:val="20"/>
          <w:szCs w:val="20"/>
          <w:lang w:eastAsia="pl-PL"/>
        </w:rPr>
        <w:t xml:space="preserve"> pismem z dnia 4 marca 2022 r., </w:t>
      </w:r>
      <w:r w:rsidRPr="00B859F2">
        <w:rPr>
          <w:rFonts w:ascii="Lato" w:eastAsia="Times New Roman" w:hAnsi="Lato" w:cs="Arial"/>
          <w:spacing w:val="4"/>
          <w:sz w:val="20"/>
          <w:szCs w:val="24"/>
          <w:lang w:eastAsia="pl-PL"/>
        </w:rPr>
        <w:t xml:space="preserve">znak: </w:t>
      </w:r>
      <w:r w:rsidRPr="00B859F2">
        <w:rPr>
          <w:rFonts w:ascii="Lato" w:eastAsia="Times New Roman" w:hAnsi="Lato" w:cs="Arial"/>
          <w:spacing w:val="4"/>
          <w:sz w:val="20"/>
          <w:szCs w:val="20"/>
          <w:lang w:eastAsia="pl-PL"/>
        </w:rPr>
        <w:t>SPN.III.747.5.2022</w:t>
      </w:r>
      <w:r w:rsidRPr="00B859F2">
        <w:rPr>
          <w:rFonts w:ascii="Lato" w:eastAsia="Times New Roman" w:hAnsi="Lato" w:cs="Arial"/>
          <w:bCs/>
          <w:spacing w:val="4"/>
          <w:sz w:val="20"/>
          <w:szCs w:val="20"/>
          <w:lang w:eastAsia="pl-PL"/>
        </w:rPr>
        <w:t xml:space="preserve">, zawiadomił o wszczęciu postępowania </w:t>
      </w:r>
      <w:r w:rsidRPr="00B859F2">
        <w:rPr>
          <w:rFonts w:ascii="Lato" w:eastAsia="Times New Roman" w:hAnsi="Lato" w:cs="Arial"/>
          <w:iCs/>
          <w:spacing w:val="4"/>
          <w:sz w:val="20"/>
          <w:szCs w:val="20"/>
          <w:lang w:eastAsia="pl-PL"/>
        </w:rPr>
        <w:t xml:space="preserve">w sprawie wydania decyzji </w:t>
      </w:r>
      <w:r w:rsidRPr="00B859F2">
        <w:rPr>
          <w:rFonts w:ascii="Lato" w:eastAsia="Times New Roman" w:hAnsi="Lato" w:cs="Arial"/>
          <w:spacing w:val="4"/>
          <w:sz w:val="20"/>
          <w:szCs w:val="20"/>
          <w:lang w:eastAsia="pl-PL"/>
        </w:rPr>
        <w:t xml:space="preserve">o ustaleniu lokalizacji przedmiotowej inwestycji </w:t>
      </w:r>
      <w:r w:rsidRPr="00B859F2">
        <w:rPr>
          <w:rFonts w:ascii="Lato" w:eastAsia="Times New Roman" w:hAnsi="Lato" w:cs="Arial"/>
          <w:bCs/>
          <w:spacing w:val="4"/>
          <w:sz w:val="20"/>
          <w:szCs w:val="20"/>
          <w:lang w:eastAsia="pl-PL"/>
        </w:rPr>
        <w:t xml:space="preserve">wnioskodawcę oraz właścicieli i użytkowników wieczystych nieruchomości objętych wnioskiem, wysyłając zawiadomienie odpowiednio na adres wskazany we wniosku oraz na adresy wskazane w katastrze nieruchomości. Pozostałe strony postępowania zostały poinformowane </w:t>
      </w:r>
      <w:r w:rsidRPr="00B859F2">
        <w:rPr>
          <w:rFonts w:ascii="Lato" w:eastAsia="Times New Roman" w:hAnsi="Lato" w:cs="Arial"/>
          <w:spacing w:val="4"/>
          <w:sz w:val="20"/>
          <w:szCs w:val="20"/>
          <w:lang w:eastAsia="pl-PL"/>
        </w:rPr>
        <w:t xml:space="preserve">o jego wszczęciu </w:t>
      </w:r>
      <w:r w:rsidRPr="00B859F2">
        <w:rPr>
          <w:rFonts w:ascii="Lato" w:eastAsia="Times New Roman" w:hAnsi="Lato" w:cs="Arial"/>
          <w:bCs/>
          <w:spacing w:val="4"/>
          <w:sz w:val="20"/>
          <w:szCs w:val="20"/>
          <w:lang w:eastAsia="pl-PL"/>
        </w:rPr>
        <w:t>w drodze obwieszczeń we właściwych urzędach</w:t>
      </w:r>
      <w:r w:rsidRPr="00B859F2">
        <w:rPr>
          <w:rFonts w:ascii="Lato" w:eastAsia="Times New Roman" w:hAnsi="Lato" w:cs="Arial"/>
          <w:spacing w:val="4"/>
          <w:sz w:val="20"/>
          <w:szCs w:val="20"/>
          <w:shd w:val="clear" w:color="auto" w:fill="FFFFFF"/>
          <w:lang w:eastAsia="pl-PL"/>
        </w:rPr>
        <w:t>,</w:t>
      </w:r>
      <w:r w:rsidRPr="00B859F2">
        <w:rPr>
          <w:rFonts w:ascii="Lato" w:eastAsia="Times New Roman" w:hAnsi="Lato" w:cs="Arial"/>
          <w:bCs/>
          <w:spacing w:val="4"/>
          <w:sz w:val="20"/>
          <w:szCs w:val="20"/>
          <w:lang w:eastAsia="pl-PL"/>
        </w:rPr>
        <w:t xml:space="preserve"> </w:t>
      </w:r>
      <w:r w:rsidRPr="00B859F2">
        <w:rPr>
          <w:rFonts w:ascii="Lato" w:eastAsia="Times New Roman" w:hAnsi="Lato" w:cs="Arial"/>
          <w:spacing w:val="4"/>
          <w:sz w:val="20"/>
          <w:szCs w:val="20"/>
          <w:shd w:val="clear" w:color="auto" w:fill="FFFFFF"/>
          <w:lang w:eastAsia="pl-PL"/>
        </w:rPr>
        <w:t xml:space="preserve">a także w prasie o zasięgu ogólnopolskim – wydaniu „Gazety Wyborczej" z dnia 9 marca 2022 r. </w:t>
      </w:r>
      <w:r w:rsidRPr="00B859F2">
        <w:rPr>
          <w:rFonts w:ascii="Lato" w:eastAsia="Times New Roman" w:hAnsi="Lato" w:cs="Arial"/>
          <w:spacing w:val="4"/>
          <w:sz w:val="20"/>
          <w:szCs w:val="24"/>
          <w:lang w:eastAsia="pl-PL"/>
        </w:rPr>
        <w:t xml:space="preserve">W przedmiotowym obwieszczeniu i zawiadomieniu organ I instancji poinformował strony o terminie i miejscu, w którym strony mogą zapoznać się z aktami sprawy.  </w:t>
      </w:r>
    </w:p>
    <w:p w14:paraId="7E27ECF1" w14:textId="5D8AB702"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 xml:space="preserve">Uznając, że zebrany w sprawie materiał dowodowy pozwala na wydanie rozstrzygnięcia, Wojewoda Świętokrzyski wydał w dniu </w:t>
      </w:r>
      <w:r w:rsidRPr="00B859F2">
        <w:rPr>
          <w:rFonts w:ascii="Lato" w:eastAsia="Times New Roman" w:hAnsi="Lato" w:cs="Arial"/>
          <w:spacing w:val="4"/>
          <w:sz w:val="20"/>
          <w:szCs w:val="24"/>
          <w:lang w:eastAsia="pl-PL"/>
        </w:rPr>
        <w:t xml:space="preserve">30 marca 2022 r. </w:t>
      </w:r>
      <w:r w:rsidRPr="00B859F2">
        <w:rPr>
          <w:rFonts w:ascii="Lato" w:eastAsia="Times New Roman" w:hAnsi="Lato" w:cs="Arial"/>
          <w:spacing w:val="4"/>
          <w:sz w:val="20"/>
          <w:szCs w:val="20"/>
          <w:lang w:eastAsia="pl-PL"/>
        </w:rPr>
        <w:t xml:space="preserve">decyzję </w:t>
      </w:r>
      <w:r w:rsidRPr="00B859F2">
        <w:rPr>
          <w:rFonts w:ascii="Lato" w:eastAsia="Times New Roman" w:hAnsi="Lato" w:cs="Arial"/>
          <w:spacing w:val="4"/>
          <w:sz w:val="20"/>
          <w:szCs w:val="24"/>
          <w:lang w:eastAsia="pl-PL"/>
        </w:rPr>
        <w:t xml:space="preserve">nr 1/2022, znak: </w:t>
      </w:r>
      <w:r w:rsidRPr="00B859F2">
        <w:rPr>
          <w:rFonts w:ascii="Lato" w:eastAsia="Times New Roman" w:hAnsi="Lato" w:cs="Arial"/>
          <w:spacing w:val="4"/>
          <w:sz w:val="20"/>
          <w:szCs w:val="20"/>
          <w:lang w:eastAsia="pl-PL"/>
        </w:rPr>
        <w:t>SPN.III.747.5.2022, o ustaleniu lokalizacji inwestycji towarzyszącej inwestycjom w</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zakresie terminalu dla wnioskowanego zamierzenia inwestycyjnego</w:t>
      </w:r>
      <w:r w:rsidRPr="00B859F2">
        <w:rPr>
          <w:rFonts w:ascii="Lato" w:eastAsia="Times New Roman" w:hAnsi="Lato" w:cs="Arial"/>
          <w:bCs/>
          <w:spacing w:val="4"/>
          <w:sz w:val="20"/>
          <w:szCs w:val="20"/>
          <w:lang w:eastAsia="pl-PL"/>
        </w:rPr>
        <w:t xml:space="preserve">. </w:t>
      </w:r>
      <w:r w:rsidRPr="00B859F2">
        <w:rPr>
          <w:rFonts w:ascii="Lato" w:eastAsia="Times New Roman" w:hAnsi="Lato" w:cs="Arial"/>
          <w:spacing w:val="4"/>
          <w:sz w:val="20"/>
          <w:szCs w:val="20"/>
          <w:lang w:eastAsia="pl-PL"/>
        </w:rPr>
        <w:t>Stosownie do</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art. 34 ust. 1 </w:t>
      </w:r>
      <w:r w:rsidRPr="00B859F2">
        <w:rPr>
          <w:rFonts w:ascii="Lato" w:eastAsia="Times New Roman" w:hAnsi="Lato" w:cs="Arial"/>
          <w:i/>
          <w:spacing w:val="4"/>
          <w:sz w:val="20"/>
          <w:szCs w:val="20"/>
          <w:lang w:eastAsia="pl-PL"/>
        </w:rPr>
        <w:t>specustawy gazowej</w:t>
      </w:r>
      <w:r w:rsidRPr="00B859F2">
        <w:rPr>
          <w:rFonts w:ascii="Lato" w:eastAsia="Times New Roman" w:hAnsi="Lato" w:cs="Arial"/>
          <w:spacing w:val="4"/>
          <w:sz w:val="20"/>
          <w:szCs w:val="20"/>
          <w:lang w:eastAsia="pl-PL"/>
        </w:rPr>
        <w:t xml:space="preserve">, decyzja ta podlega natychmiastowemu wykonaniu. </w:t>
      </w:r>
    </w:p>
    <w:p w14:paraId="5CB9D555" w14:textId="4433473A" w:rsidR="00B859F2" w:rsidRPr="00B859F2" w:rsidRDefault="00B859F2" w:rsidP="00B859F2">
      <w:pPr>
        <w:spacing w:after="240" w:line="240" w:lineRule="exact"/>
        <w:jc w:val="both"/>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 xml:space="preserve">Zgodnie z art. 10 ust. 2 </w:t>
      </w:r>
      <w:r w:rsidRPr="00B859F2">
        <w:rPr>
          <w:rFonts w:ascii="Lato" w:eastAsia="Times New Roman" w:hAnsi="Lato" w:cs="Arial"/>
          <w:i/>
          <w:spacing w:val="4"/>
          <w:sz w:val="20"/>
          <w:szCs w:val="20"/>
          <w:lang w:eastAsia="pl-PL"/>
        </w:rPr>
        <w:t>specustawy gazowej</w:t>
      </w:r>
      <w:r w:rsidRPr="00B859F2">
        <w:rPr>
          <w:rFonts w:ascii="Lato" w:eastAsia="Times New Roman" w:hAnsi="Lato" w:cs="Arial"/>
          <w:spacing w:val="4"/>
          <w:sz w:val="20"/>
          <w:szCs w:val="20"/>
          <w:lang w:eastAsia="pl-PL"/>
        </w:rPr>
        <w:t xml:space="preserve">, projekt powyższej decyzji został sporządzony przez osobę, o której mowa w art. 5 pkt 4 ustawy z dnia 27 marca 2003 r. o planowaniu i zagospodarowaniu przestrzennym [(t.j. Dz.U. z 2021 r. poz. 1873, z późn. zm.) – obowiązujący w dacie wydania </w:t>
      </w:r>
      <w:r w:rsidRPr="00B859F2">
        <w:rPr>
          <w:rFonts w:ascii="Lato" w:eastAsia="Times New Roman" w:hAnsi="Lato" w:cs="Arial"/>
          <w:i/>
          <w:spacing w:val="4"/>
          <w:sz w:val="20"/>
          <w:szCs w:val="20"/>
          <w:lang w:eastAsia="pl-PL"/>
        </w:rPr>
        <w:t>decyzji Wojewody Świętokrzyskiego</w:t>
      </w:r>
      <w:r w:rsidRPr="00B859F2">
        <w:rPr>
          <w:rFonts w:ascii="Lato" w:eastAsia="Times New Roman" w:hAnsi="Lato" w:cs="Arial"/>
          <w:spacing w:val="4"/>
          <w:sz w:val="20"/>
          <w:szCs w:val="20"/>
          <w:lang w:eastAsia="pl-PL"/>
        </w:rPr>
        <w:t>; (t.j.</w:t>
      </w:r>
      <w:r w:rsidR="009966B6">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Dz.</w:t>
      </w:r>
      <w:r w:rsidR="009966B6">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U.</w:t>
      </w:r>
      <w:r w:rsidR="009966B6">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z</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2022 r. poz. 503) – obecnie].</w:t>
      </w:r>
    </w:p>
    <w:p w14:paraId="6039FA6A" w14:textId="77777777"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 xml:space="preserve">Kontrolowana </w:t>
      </w:r>
      <w:r w:rsidRPr="00B859F2">
        <w:rPr>
          <w:rFonts w:ascii="Lato" w:eastAsia="Times New Roman" w:hAnsi="Lato" w:cs="Arial"/>
          <w:i/>
          <w:spacing w:val="4"/>
          <w:sz w:val="20"/>
          <w:szCs w:val="20"/>
          <w:lang w:eastAsia="pl-PL"/>
        </w:rPr>
        <w:t>decyzja Wojewody Świętokrzyskiego</w:t>
      </w:r>
      <w:r w:rsidRPr="00B859F2">
        <w:rPr>
          <w:rFonts w:ascii="Lato" w:eastAsia="Times New Roman" w:hAnsi="Lato" w:cs="Arial"/>
          <w:spacing w:val="4"/>
          <w:sz w:val="20"/>
          <w:szCs w:val="20"/>
          <w:lang w:eastAsia="pl-PL"/>
        </w:rPr>
        <w:t xml:space="preserve"> czyni zadość wymogom przedstawionym w art. 10 ust. 1 i 2 </w:t>
      </w:r>
      <w:r w:rsidRPr="00B859F2">
        <w:rPr>
          <w:rFonts w:ascii="Lato" w:eastAsia="Times New Roman" w:hAnsi="Lato" w:cs="Arial"/>
          <w:i/>
          <w:spacing w:val="4"/>
          <w:sz w:val="20"/>
          <w:szCs w:val="20"/>
          <w:lang w:eastAsia="pl-PL"/>
        </w:rPr>
        <w:t>specustawy gazowej</w:t>
      </w:r>
      <w:r w:rsidRPr="00B859F2">
        <w:rPr>
          <w:rFonts w:ascii="Lato" w:eastAsia="Times New Roman" w:hAnsi="Lato" w:cs="Arial"/>
          <w:spacing w:val="4"/>
          <w:sz w:val="20"/>
          <w:szCs w:val="20"/>
          <w:lang w:eastAsia="pl-PL"/>
        </w:rPr>
        <w:t>, zawiera bowiem wszystkie niezbędne elementy określone w tych przepisach.</w:t>
      </w:r>
    </w:p>
    <w:p w14:paraId="2B489ADD" w14:textId="04498789"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 xml:space="preserve">W myśl art. 12 ust. 1 </w:t>
      </w:r>
      <w:r w:rsidRPr="00B859F2">
        <w:rPr>
          <w:rFonts w:ascii="Lato" w:eastAsia="Times New Roman" w:hAnsi="Lato" w:cs="Arial"/>
          <w:i/>
          <w:spacing w:val="4"/>
          <w:sz w:val="20"/>
          <w:szCs w:val="20"/>
          <w:lang w:eastAsia="pl-PL"/>
        </w:rPr>
        <w:t>spec</w:t>
      </w:r>
      <w:r w:rsidRPr="00B859F2">
        <w:rPr>
          <w:rFonts w:ascii="Lato" w:eastAsia="Times New Roman" w:hAnsi="Lato" w:cs="Arial"/>
          <w:i/>
          <w:iCs/>
          <w:spacing w:val="4"/>
          <w:sz w:val="20"/>
          <w:szCs w:val="20"/>
          <w:lang w:eastAsia="pl-PL"/>
        </w:rPr>
        <w:t>ustawy gazowej</w:t>
      </w:r>
      <w:r w:rsidRPr="00B859F2">
        <w:rPr>
          <w:rFonts w:ascii="Lato" w:eastAsia="Times New Roman" w:hAnsi="Lato" w:cs="Arial"/>
          <w:iCs/>
          <w:spacing w:val="4"/>
          <w:sz w:val="20"/>
          <w:szCs w:val="20"/>
          <w:lang w:eastAsia="pl-PL"/>
        </w:rPr>
        <w:t xml:space="preserve">, </w:t>
      </w:r>
      <w:r w:rsidRPr="00B859F2">
        <w:rPr>
          <w:rFonts w:ascii="Lato" w:eastAsia="Times New Roman" w:hAnsi="Lato" w:cs="Arial"/>
          <w:bCs/>
          <w:spacing w:val="4"/>
          <w:sz w:val="20"/>
          <w:szCs w:val="20"/>
          <w:lang w:eastAsia="pl-PL"/>
        </w:rPr>
        <w:t xml:space="preserve">Wojewoda </w:t>
      </w:r>
      <w:r w:rsidRPr="00B859F2">
        <w:rPr>
          <w:rFonts w:ascii="Lato" w:eastAsia="Times New Roman" w:hAnsi="Lato" w:cs="Arial"/>
          <w:spacing w:val="4"/>
          <w:sz w:val="20"/>
          <w:szCs w:val="20"/>
          <w:lang w:eastAsia="pl-PL"/>
        </w:rPr>
        <w:t>Świętokrzyski doręczył decyzję o</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ustaleniu lokalizacji omawianej inwestycji wnioskodawcy oraz zawiadomił o jej wydaniu pozostałe strony w drodze obwieszczenia w Świętokrzyskim Urzędzie Wojewódzkim w Kielcach, Urzędzie Miasta Kielce, Urzędzie Gminy Masłów i Urzędzie Gminy w Miedzianej Górze, </w:t>
      </w:r>
      <w:r w:rsidRPr="00B859F2">
        <w:rPr>
          <w:rFonts w:ascii="Lato" w:eastAsia="Times New Roman" w:hAnsi="Lato" w:cs="Arial"/>
          <w:spacing w:val="4"/>
          <w:sz w:val="20"/>
          <w:szCs w:val="20"/>
          <w:shd w:val="clear" w:color="auto" w:fill="FFFFFF"/>
          <w:lang w:eastAsia="pl-PL"/>
        </w:rPr>
        <w:t>w Biuletynie Informacji Publicznej, na stronach podmiotowych ww. urzędów,</w:t>
      </w:r>
      <w:r w:rsidRPr="00B859F2">
        <w:rPr>
          <w:rFonts w:ascii="Lato" w:eastAsia="Times New Roman" w:hAnsi="Lato" w:cs="Arial"/>
          <w:bCs/>
          <w:spacing w:val="4"/>
          <w:sz w:val="20"/>
          <w:szCs w:val="20"/>
          <w:lang w:eastAsia="pl-PL"/>
        </w:rPr>
        <w:t xml:space="preserve"> </w:t>
      </w:r>
      <w:r w:rsidRPr="00B859F2">
        <w:rPr>
          <w:rFonts w:ascii="Lato" w:eastAsia="Times New Roman" w:hAnsi="Lato" w:cs="Arial"/>
          <w:spacing w:val="4"/>
          <w:sz w:val="20"/>
          <w:szCs w:val="20"/>
          <w:shd w:val="clear" w:color="auto" w:fill="FFFFFF"/>
          <w:lang w:eastAsia="pl-PL"/>
        </w:rPr>
        <w:t xml:space="preserve">a także w prasie o zasięgu ogólnopolskim – wydaniu „Gazety Wyborczej" z dnia 6 kwietnia 2022 r. </w:t>
      </w:r>
      <w:r w:rsidRPr="00B859F2">
        <w:rPr>
          <w:rFonts w:ascii="Lato" w:eastAsia="Times New Roman" w:hAnsi="Lato" w:cs="Arial"/>
          <w:spacing w:val="4"/>
          <w:sz w:val="20"/>
          <w:szCs w:val="20"/>
          <w:lang w:eastAsia="pl-PL"/>
        </w:rPr>
        <w:t xml:space="preserve">Właścicieli i użytkowników wieczystych nieruchomości objętych </w:t>
      </w:r>
      <w:r w:rsidRPr="00B859F2">
        <w:rPr>
          <w:rFonts w:ascii="Lato" w:eastAsia="Times New Roman" w:hAnsi="Lato" w:cs="Arial"/>
          <w:i/>
          <w:spacing w:val="4"/>
          <w:sz w:val="20"/>
          <w:szCs w:val="20"/>
          <w:lang w:eastAsia="pl-PL"/>
        </w:rPr>
        <w:t>decyzją Wojewody Świętokrzyskiego</w:t>
      </w:r>
      <w:r w:rsidRPr="00B859F2">
        <w:rPr>
          <w:rFonts w:ascii="Lato" w:eastAsia="Times New Roman" w:hAnsi="Lato" w:cs="Arial"/>
          <w:spacing w:val="4"/>
          <w:sz w:val="20"/>
          <w:szCs w:val="20"/>
          <w:lang w:eastAsia="pl-PL"/>
        </w:rPr>
        <w:t xml:space="preserve"> organ I instancji poinformował o wydaniu decyzji w drodze zawiadomienia z dnia 30 marca 2022 r., </w:t>
      </w:r>
      <w:r w:rsidRPr="00B859F2">
        <w:rPr>
          <w:rFonts w:ascii="Lato" w:eastAsia="Times New Roman" w:hAnsi="Lato" w:cs="Arial"/>
          <w:spacing w:val="4"/>
          <w:sz w:val="20"/>
          <w:szCs w:val="24"/>
          <w:lang w:eastAsia="pl-PL"/>
        </w:rPr>
        <w:t>znak:</w:t>
      </w:r>
      <w:r w:rsidR="009966B6">
        <w:rPr>
          <w:rFonts w:ascii="Lato" w:eastAsia="Times New Roman" w:hAnsi="Lato" w:cs="Arial"/>
          <w:spacing w:val="4"/>
          <w:sz w:val="20"/>
          <w:szCs w:val="24"/>
          <w:lang w:eastAsia="pl-PL"/>
        </w:rPr>
        <w:t> </w:t>
      </w:r>
      <w:r w:rsidRPr="00B859F2">
        <w:rPr>
          <w:rFonts w:ascii="Lato" w:eastAsia="Times New Roman" w:hAnsi="Lato" w:cs="Arial"/>
          <w:spacing w:val="4"/>
          <w:sz w:val="20"/>
          <w:szCs w:val="20"/>
          <w:lang w:eastAsia="pl-PL"/>
        </w:rPr>
        <w:t>SPN.III.747.5.2022, wysłanego na adresy wskazane w katastrze nieruchomości. W</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zawiadomieniu oraz w obwieszczeniu zamieszczono, zgodnie z art. 12  ust. 2</w:t>
      </w:r>
      <w:r w:rsidRPr="00B859F2">
        <w:rPr>
          <w:rFonts w:ascii="Lato" w:eastAsia="Times New Roman" w:hAnsi="Lato" w:cs="Arial"/>
          <w:iCs/>
          <w:spacing w:val="4"/>
          <w:sz w:val="20"/>
          <w:szCs w:val="20"/>
          <w:lang w:eastAsia="pl-PL"/>
        </w:rPr>
        <w:t xml:space="preserve"> </w:t>
      </w:r>
      <w:r w:rsidRPr="00B859F2">
        <w:rPr>
          <w:rFonts w:ascii="Lato" w:eastAsia="Times New Roman" w:hAnsi="Lato" w:cs="Arial"/>
          <w:i/>
          <w:iCs/>
          <w:spacing w:val="4"/>
          <w:sz w:val="20"/>
          <w:szCs w:val="20"/>
          <w:lang w:eastAsia="pl-PL"/>
        </w:rPr>
        <w:t>specustawy gazowej</w:t>
      </w:r>
      <w:r w:rsidRPr="00B859F2">
        <w:rPr>
          <w:rFonts w:ascii="Lato" w:eastAsia="Times New Roman" w:hAnsi="Lato" w:cs="Arial"/>
          <w:iCs/>
          <w:spacing w:val="4"/>
          <w:sz w:val="20"/>
          <w:szCs w:val="20"/>
          <w:lang w:eastAsia="pl-PL"/>
        </w:rPr>
        <w:t>,</w:t>
      </w:r>
      <w:r w:rsidRPr="00B859F2">
        <w:rPr>
          <w:rFonts w:ascii="Lato" w:eastAsia="Times New Roman" w:hAnsi="Lato" w:cs="Arial"/>
          <w:spacing w:val="4"/>
          <w:sz w:val="20"/>
          <w:szCs w:val="20"/>
          <w:lang w:eastAsia="pl-PL"/>
        </w:rPr>
        <w:t xml:space="preserve"> informację o miejscu, w którym strony mogą zapoznać się z treścią decyzji. </w:t>
      </w:r>
    </w:p>
    <w:p w14:paraId="1B69C869" w14:textId="2D40FC16"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lastRenderedPageBreak/>
        <w:t xml:space="preserve">Po zapoznaniu się ze zgromadzonym materiałem dowodowym organ II instancji stwierdził, iż </w:t>
      </w:r>
      <w:r w:rsidRPr="00B859F2">
        <w:rPr>
          <w:rFonts w:ascii="Lato" w:eastAsia="Times New Roman" w:hAnsi="Lato" w:cs="Arial"/>
          <w:i/>
          <w:spacing w:val="4"/>
          <w:sz w:val="20"/>
          <w:szCs w:val="20"/>
          <w:lang w:eastAsia="pl-PL"/>
        </w:rPr>
        <w:t xml:space="preserve">decyzja Wojewody </w:t>
      </w:r>
      <w:r w:rsidRPr="00B859F2">
        <w:rPr>
          <w:rFonts w:ascii="Lato" w:eastAsia="Times New Roman" w:hAnsi="Lato" w:cs="Arial"/>
          <w:bCs/>
          <w:i/>
          <w:spacing w:val="4"/>
          <w:sz w:val="20"/>
          <w:szCs w:val="20"/>
          <w:lang w:eastAsia="pl-PL"/>
        </w:rPr>
        <w:t>Świętokrzyskiego</w:t>
      </w:r>
      <w:r w:rsidRPr="00B859F2">
        <w:rPr>
          <w:rFonts w:ascii="Lato" w:eastAsia="Times New Roman" w:hAnsi="Lato" w:cs="Arial"/>
          <w:spacing w:val="4"/>
          <w:sz w:val="20"/>
          <w:szCs w:val="20"/>
          <w:lang w:eastAsia="pl-PL"/>
        </w:rPr>
        <w:t xml:space="preserve"> jest zgodna z prawem, w związku z</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czym – działając na podstawie </w:t>
      </w:r>
      <w:r w:rsidRPr="00B859F2">
        <w:rPr>
          <w:rFonts w:ascii="Lato" w:eastAsia="Times New Roman" w:hAnsi="Lato" w:cs="Arial"/>
          <w:iCs/>
          <w:spacing w:val="4"/>
          <w:sz w:val="20"/>
          <w:szCs w:val="20"/>
          <w:lang w:eastAsia="pl-PL"/>
        </w:rPr>
        <w:t xml:space="preserve">art. 138 § 1 pkt 1 </w:t>
      </w:r>
      <w:r w:rsidRPr="00B859F2">
        <w:rPr>
          <w:rFonts w:ascii="Lato" w:eastAsia="Times New Roman" w:hAnsi="Lato" w:cs="Arial"/>
          <w:i/>
          <w:iCs/>
          <w:spacing w:val="4"/>
          <w:sz w:val="20"/>
          <w:szCs w:val="20"/>
          <w:lang w:eastAsia="pl-PL"/>
        </w:rPr>
        <w:t xml:space="preserve">kpa </w:t>
      </w:r>
      <w:r w:rsidRPr="00B859F2">
        <w:rPr>
          <w:rFonts w:ascii="Lato" w:eastAsia="Times New Roman" w:hAnsi="Lato" w:cs="Arial"/>
          <w:spacing w:val="4"/>
          <w:sz w:val="20"/>
          <w:szCs w:val="20"/>
          <w:lang w:eastAsia="pl-PL"/>
        </w:rPr>
        <w:t>– orzekł o utrzymaniu ww. decyzji w mocy.</w:t>
      </w:r>
      <w:r w:rsidRPr="00B859F2">
        <w:rPr>
          <w:rFonts w:ascii="Lato" w:eastAsia="Times New Roman" w:hAnsi="Lato" w:cs="Arial"/>
          <w:i/>
          <w:iCs/>
          <w:spacing w:val="4"/>
          <w:sz w:val="20"/>
          <w:szCs w:val="20"/>
          <w:lang w:eastAsia="pl-PL"/>
        </w:rPr>
        <w:t xml:space="preserve"> </w:t>
      </w:r>
    </w:p>
    <w:p w14:paraId="443A197E" w14:textId="31A786FC" w:rsidR="00B859F2" w:rsidRPr="00B859F2" w:rsidRDefault="00B859F2" w:rsidP="00B859F2">
      <w:pPr>
        <w:spacing w:after="240" w:line="240" w:lineRule="exact"/>
        <w:jc w:val="both"/>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Rozpatrując zaś odwołanie Pani M</w:t>
      </w:r>
      <w:r w:rsidR="00D12946">
        <w:rPr>
          <w:rFonts w:ascii="Lato" w:eastAsia="Times New Roman" w:hAnsi="Lato" w:cs="Arial"/>
          <w:spacing w:val="4"/>
          <w:sz w:val="20"/>
          <w:szCs w:val="20"/>
          <w:lang w:eastAsia="pl-PL"/>
        </w:rPr>
        <w:t>.</w:t>
      </w:r>
      <w:r w:rsidRPr="00B859F2">
        <w:rPr>
          <w:rFonts w:ascii="Lato" w:eastAsia="Times New Roman" w:hAnsi="Lato" w:cs="Arial"/>
          <w:spacing w:val="4"/>
          <w:sz w:val="20"/>
          <w:szCs w:val="20"/>
          <w:lang w:eastAsia="pl-PL"/>
        </w:rPr>
        <w:t xml:space="preserve"> M</w:t>
      </w:r>
      <w:r w:rsidR="00D12946">
        <w:rPr>
          <w:rFonts w:ascii="Lato" w:eastAsia="Times New Roman" w:hAnsi="Lato" w:cs="Arial"/>
          <w:spacing w:val="4"/>
          <w:sz w:val="20"/>
          <w:szCs w:val="20"/>
          <w:lang w:eastAsia="pl-PL"/>
        </w:rPr>
        <w:t>.</w:t>
      </w:r>
      <w:r w:rsidRPr="00B859F2">
        <w:rPr>
          <w:rFonts w:ascii="Lato" w:eastAsia="Times New Roman" w:hAnsi="Lato" w:cs="Arial"/>
          <w:spacing w:val="4"/>
          <w:sz w:val="20"/>
          <w:szCs w:val="20"/>
          <w:lang w:eastAsia="pl-PL"/>
        </w:rPr>
        <w:t>-A</w:t>
      </w:r>
      <w:r w:rsidR="00D12946">
        <w:rPr>
          <w:rFonts w:ascii="Lato" w:eastAsia="Times New Roman" w:hAnsi="Lato" w:cs="Arial"/>
          <w:spacing w:val="4"/>
          <w:sz w:val="20"/>
          <w:szCs w:val="20"/>
          <w:lang w:eastAsia="pl-PL"/>
        </w:rPr>
        <w:t>.</w:t>
      </w:r>
      <w:r w:rsidRPr="00B859F2">
        <w:rPr>
          <w:rFonts w:ascii="Lato" w:eastAsia="Times New Roman" w:hAnsi="Lato" w:cs="Arial"/>
          <w:spacing w:val="4"/>
          <w:sz w:val="20"/>
          <w:szCs w:val="20"/>
          <w:lang w:eastAsia="pl-PL"/>
        </w:rPr>
        <w:t>, w pierwszej kolejności wskazać należy, że zarówno Wojewoda Świętokrzyski orzekający w sprawie jako organ I</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instancji, jak</w:t>
      </w:r>
      <w:r w:rsidR="00D12946">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i</w:t>
      </w:r>
      <w:r w:rsidR="00D12946">
        <w:rPr>
          <w:rFonts w:ascii="Lato" w:eastAsia="Times New Roman" w:hAnsi="Lato" w:cs="Arial"/>
          <w:spacing w:val="4"/>
          <w:sz w:val="20"/>
          <w:szCs w:val="20"/>
          <w:lang w:eastAsia="pl-PL"/>
        </w:rPr>
        <w:t> </w:t>
      </w:r>
      <w:r w:rsidRPr="00B859F2">
        <w:rPr>
          <w:rFonts w:ascii="Lato" w:eastAsia="Times New Roman" w:hAnsi="Lato" w:cs="Arial"/>
          <w:i/>
          <w:iCs/>
          <w:spacing w:val="4"/>
          <w:sz w:val="20"/>
          <w:szCs w:val="20"/>
          <w:lang w:eastAsia="pl-PL"/>
        </w:rPr>
        <w:t>Minister</w:t>
      </w:r>
      <w:r w:rsidRPr="00B859F2">
        <w:rPr>
          <w:rFonts w:ascii="Lato" w:eastAsia="Times New Roman" w:hAnsi="Lato" w:cs="Arial"/>
          <w:spacing w:val="4"/>
          <w:sz w:val="20"/>
          <w:szCs w:val="20"/>
          <w:lang w:eastAsia="pl-PL"/>
        </w:rPr>
        <w:t xml:space="preserve"> działający jako organ odwoławczy, pełnią w procesie inwestycyjnym funkcję organów, które będąc właściwe do wydania decyzji w</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przedmiocie ustalenia lokalizacji inwestycji w zakresie terminalu, nie są jednocześnie uprawnione do</w:t>
      </w:r>
      <w:r w:rsidR="00D12946">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wyznaczania i korygowania trasy inwestycji, ani do zmiany proponowanych we</w:t>
      </w:r>
      <w:r w:rsidR="00D12946">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wniosku rozwiązań. Niedopuszczalna jest również ocena przez ww.</w:t>
      </w:r>
      <w:r w:rsidR="009966B6">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organy racjonalności, czy aspektów ekonomicznych i społecznych koncepcji przedstawionej przez </w:t>
      </w:r>
      <w:r w:rsidRPr="00B859F2">
        <w:rPr>
          <w:rFonts w:ascii="Lato" w:eastAsia="Times New Roman" w:hAnsi="Lato" w:cs="Arial"/>
          <w:i/>
          <w:iCs/>
          <w:spacing w:val="4"/>
          <w:sz w:val="20"/>
          <w:szCs w:val="20"/>
          <w:lang w:eastAsia="pl-PL"/>
        </w:rPr>
        <w:t>inwestora</w:t>
      </w:r>
      <w:r w:rsidRPr="00B859F2">
        <w:rPr>
          <w:rFonts w:ascii="Lato" w:eastAsia="Times New Roman" w:hAnsi="Lato" w:cs="Arial"/>
          <w:spacing w:val="4"/>
          <w:sz w:val="20"/>
          <w:szCs w:val="20"/>
          <w:lang w:eastAsia="pl-PL"/>
        </w:rPr>
        <w:t>.</w:t>
      </w:r>
    </w:p>
    <w:p w14:paraId="03F0DD34" w14:textId="73CA1D80" w:rsidR="00B859F2" w:rsidRPr="00B859F2" w:rsidRDefault="00B859F2" w:rsidP="00B859F2">
      <w:pPr>
        <w:tabs>
          <w:tab w:val="left" w:pos="5124"/>
        </w:tabs>
        <w:spacing w:after="240" w:line="240" w:lineRule="exact"/>
        <w:jc w:val="both"/>
        <w:rPr>
          <w:rFonts w:ascii="Lato" w:eastAsia="Times New Roman" w:hAnsi="Lato" w:cs="Arial"/>
          <w:iCs/>
          <w:spacing w:val="4"/>
          <w:sz w:val="20"/>
          <w:szCs w:val="20"/>
          <w:lang w:eastAsia="pl-PL"/>
        </w:rPr>
      </w:pPr>
      <w:r w:rsidRPr="00B859F2">
        <w:rPr>
          <w:rFonts w:ascii="Lato" w:eastAsia="Times New Roman" w:hAnsi="Lato" w:cs="Arial"/>
          <w:spacing w:val="4"/>
          <w:sz w:val="20"/>
          <w:szCs w:val="20"/>
          <w:lang w:eastAsia="pl-PL"/>
        </w:rPr>
        <w:t xml:space="preserve">To inwestor we wniosku o wydanie decyzji o ustaleniu </w:t>
      </w:r>
      <w:r w:rsidRPr="00B859F2">
        <w:rPr>
          <w:rFonts w:ascii="Lato" w:eastAsia="Times New Roman" w:hAnsi="Lato" w:cs="Arial"/>
          <w:spacing w:val="4"/>
          <w:sz w:val="20"/>
          <w:szCs w:val="20"/>
          <w:shd w:val="clear" w:color="auto" w:fill="FFFFFF"/>
          <w:lang w:eastAsia="pl-PL"/>
        </w:rPr>
        <w:t> lokalizacji inwestycji w zakresie terminalu</w:t>
      </w:r>
      <w:r w:rsidRPr="00B859F2">
        <w:rPr>
          <w:rFonts w:ascii="Lato" w:eastAsia="Times New Roman" w:hAnsi="Lato" w:cs="Arial"/>
          <w:bCs/>
          <w:spacing w:val="4"/>
          <w:sz w:val="20"/>
          <w:szCs w:val="20"/>
          <w:lang w:eastAsia="pl-PL"/>
        </w:rPr>
        <w:t xml:space="preserve"> </w:t>
      </w:r>
      <w:r w:rsidRPr="00B859F2">
        <w:rPr>
          <w:rFonts w:ascii="Lato" w:eastAsia="Times New Roman" w:hAnsi="Lato" w:cs="Arial"/>
          <w:spacing w:val="4"/>
          <w:sz w:val="20"/>
          <w:szCs w:val="20"/>
          <w:lang w:eastAsia="pl-PL"/>
        </w:rPr>
        <w:t>decyduje o przebiegu inwestycji oraz o wielkości terenu niezbędnego dla</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realizacji inwestycji. Inwestor samodzielnie dokonuje wyboru najbardziej korzystnych rozwiązań lokalizacyjnych. Zarówno wojewoda, jak i organ odwoławczy, mogą działać tylko w granicach tego wniosku i nie mają możliwości ingerowania w</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lokalizację inwestycji. Ocenie dokonanej przez organy I </w:t>
      </w:r>
      <w:proofErr w:type="spellStart"/>
      <w:r w:rsidRPr="00B859F2">
        <w:rPr>
          <w:rFonts w:ascii="Lato" w:eastAsia="Times New Roman" w:hAnsi="Lato" w:cs="Arial"/>
          <w:spacing w:val="4"/>
          <w:sz w:val="20"/>
          <w:szCs w:val="20"/>
          <w:lang w:eastAsia="pl-PL"/>
        </w:rPr>
        <w:t>i</w:t>
      </w:r>
      <w:proofErr w:type="spellEnd"/>
      <w:r w:rsidRPr="00B859F2">
        <w:rPr>
          <w:rFonts w:ascii="Lato" w:eastAsia="Times New Roman" w:hAnsi="Lato" w:cs="Arial"/>
          <w:spacing w:val="4"/>
          <w:sz w:val="20"/>
          <w:szCs w:val="20"/>
          <w:lang w:eastAsia="pl-PL"/>
        </w:rPr>
        <w:t xml:space="preserve"> II instancji podlega zgodność z prawem planowanego przedsięwzięcia, w szczególności spełnienie warunków zawartych w przepisach specustawy gazowej. Inwestor jest zatem kreatorem miejsca, sposobu i kształtu realizacji inwestycji, natomiast organ orzekający wyznacza dopuszczalne prawem granice tej kreacji, poprzez dokonywanie oceny prawnej, kończącej się aktem władztwa publicznego, zakreślającego te granice </w:t>
      </w:r>
      <w:r w:rsidRPr="00B859F2">
        <w:rPr>
          <w:rFonts w:ascii="Lato" w:eastAsia="Times New Roman" w:hAnsi="Lato" w:cs="Arial"/>
          <w:iCs/>
          <w:spacing w:val="4"/>
          <w:sz w:val="20"/>
          <w:szCs w:val="20"/>
          <w:lang w:eastAsia="pl-PL"/>
        </w:rPr>
        <w:t>(por.</w:t>
      </w:r>
      <w:r w:rsidR="009966B6">
        <w:rPr>
          <w:rFonts w:ascii="Lato" w:eastAsia="Times New Roman" w:hAnsi="Lato" w:cs="Arial"/>
          <w:iCs/>
          <w:spacing w:val="4"/>
          <w:sz w:val="20"/>
          <w:szCs w:val="20"/>
          <w:lang w:eastAsia="pl-PL"/>
        </w:rPr>
        <w:t> </w:t>
      </w:r>
      <w:r w:rsidRPr="00B859F2">
        <w:rPr>
          <w:rFonts w:ascii="Lato" w:eastAsia="Times New Roman" w:hAnsi="Lato" w:cs="Arial"/>
          <w:iCs/>
          <w:spacing w:val="4"/>
          <w:sz w:val="20"/>
          <w:szCs w:val="20"/>
          <w:lang w:eastAsia="pl-PL"/>
        </w:rPr>
        <w:t>wyroki</w:t>
      </w:r>
      <w:r w:rsidR="009966B6">
        <w:rPr>
          <w:rFonts w:ascii="Lato" w:eastAsia="Times New Roman" w:hAnsi="Lato" w:cs="Arial"/>
          <w:iCs/>
          <w:spacing w:val="4"/>
          <w:sz w:val="20"/>
          <w:szCs w:val="20"/>
          <w:lang w:eastAsia="pl-PL"/>
        </w:rPr>
        <w:t> </w:t>
      </w:r>
      <w:r w:rsidRPr="00B859F2">
        <w:rPr>
          <w:rFonts w:ascii="Lato" w:eastAsia="Times New Roman" w:hAnsi="Lato" w:cs="Arial"/>
          <w:iCs/>
          <w:spacing w:val="4"/>
          <w:sz w:val="20"/>
          <w:szCs w:val="20"/>
          <w:lang w:eastAsia="pl-PL"/>
        </w:rPr>
        <w:t>Wojewódzkiego Sądu Administracyjnego w Warszawie z dnia 19 listopada 2019 r., sygn. akt IV SA/</w:t>
      </w:r>
      <w:proofErr w:type="spellStart"/>
      <w:r w:rsidRPr="00B859F2">
        <w:rPr>
          <w:rFonts w:ascii="Lato" w:eastAsia="Times New Roman" w:hAnsi="Lato" w:cs="Arial"/>
          <w:iCs/>
          <w:spacing w:val="4"/>
          <w:sz w:val="20"/>
          <w:szCs w:val="20"/>
          <w:lang w:eastAsia="pl-PL"/>
        </w:rPr>
        <w:t>Wa</w:t>
      </w:r>
      <w:proofErr w:type="spellEnd"/>
      <w:r w:rsidRPr="00B859F2">
        <w:rPr>
          <w:rFonts w:ascii="Lato" w:eastAsia="Times New Roman" w:hAnsi="Lato" w:cs="Arial"/>
          <w:iCs/>
          <w:spacing w:val="4"/>
          <w:sz w:val="20"/>
          <w:szCs w:val="20"/>
          <w:lang w:eastAsia="pl-PL"/>
        </w:rPr>
        <w:t xml:space="preserve"> 1496/19, z dnia 31 sierpnia 2018 r., sygn. akt IV SA/</w:t>
      </w:r>
      <w:proofErr w:type="spellStart"/>
      <w:r w:rsidRPr="00B859F2">
        <w:rPr>
          <w:rFonts w:ascii="Lato" w:eastAsia="Times New Roman" w:hAnsi="Lato" w:cs="Arial"/>
          <w:iCs/>
          <w:spacing w:val="4"/>
          <w:sz w:val="20"/>
          <w:szCs w:val="20"/>
          <w:lang w:eastAsia="pl-PL"/>
        </w:rPr>
        <w:t>Wa</w:t>
      </w:r>
      <w:proofErr w:type="spellEnd"/>
      <w:r w:rsidRPr="00B859F2">
        <w:rPr>
          <w:rFonts w:ascii="Lato" w:eastAsia="Times New Roman" w:hAnsi="Lato" w:cs="Arial"/>
          <w:iCs/>
          <w:spacing w:val="4"/>
          <w:sz w:val="20"/>
          <w:szCs w:val="20"/>
          <w:lang w:eastAsia="pl-PL"/>
        </w:rPr>
        <w:t xml:space="preserve"> 3345/17, z dnia 19 września 2018 r., sygn. akt</w:t>
      </w:r>
      <w:r w:rsidRPr="00B859F2">
        <w:rPr>
          <w:rFonts w:ascii="Lato" w:eastAsia="Times New Roman" w:hAnsi="Lato" w:cs="Arial"/>
          <w:spacing w:val="4"/>
          <w:sz w:val="20"/>
          <w:szCs w:val="20"/>
          <w:lang w:eastAsia="pl-PL"/>
        </w:rPr>
        <w:t xml:space="preserve"> </w:t>
      </w:r>
      <w:r w:rsidRPr="00B859F2">
        <w:rPr>
          <w:rFonts w:ascii="Lato" w:eastAsia="Times New Roman" w:hAnsi="Lato" w:cs="Arial"/>
          <w:iCs/>
          <w:spacing w:val="4"/>
          <w:sz w:val="20"/>
          <w:szCs w:val="20"/>
          <w:lang w:eastAsia="pl-PL"/>
        </w:rPr>
        <w:t>IV SA/</w:t>
      </w:r>
      <w:proofErr w:type="spellStart"/>
      <w:r w:rsidRPr="00B859F2">
        <w:rPr>
          <w:rFonts w:ascii="Lato" w:eastAsia="Times New Roman" w:hAnsi="Lato" w:cs="Arial"/>
          <w:iCs/>
          <w:spacing w:val="4"/>
          <w:sz w:val="20"/>
          <w:szCs w:val="20"/>
          <w:lang w:eastAsia="pl-PL"/>
        </w:rPr>
        <w:t>Wa</w:t>
      </w:r>
      <w:proofErr w:type="spellEnd"/>
      <w:r w:rsidRPr="00B859F2">
        <w:rPr>
          <w:rFonts w:ascii="Lato" w:eastAsia="Times New Roman" w:hAnsi="Lato" w:cs="Arial"/>
          <w:iCs/>
          <w:spacing w:val="4"/>
          <w:sz w:val="20"/>
          <w:szCs w:val="20"/>
          <w:lang w:eastAsia="pl-PL"/>
        </w:rPr>
        <w:t xml:space="preserve"> 510/18, </w:t>
      </w:r>
      <w:proofErr w:type="spellStart"/>
      <w:r w:rsidRPr="00B859F2">
        <w:rPr>
          <w:rFonts w:ascii="Lato" w:eastAsia="Times New Roman" w:hAnsi="Lato" w:cs="Arial"/>
          <w:iCs/>
          <w:spacing w:val="4"/>
          <w:sz w:val="20"/>
          <w:szCs w:val="20"/>
          <w:lang w:eastAsia="pl-PL"/>
        </w:rPr>
        <w:t>opubl</w:t>
      </w:r>
      <w:proofErr w:type="spellEnd"/>
      <w:r w:rsidRPr="00B859F2">
        <w:rPr>
          <w:rFonts w:ascii="Lato" w:eastAsia="Times New Roman" w:hAnsi="Lato" w:cs="Arial"/>
          <w:iCs/>
          <w:spacing w:val="4"/>
          <w:sz w:val="20"/>
          <w:szCs w:val="20"/>
          <w:lang w:eastAsia="pl-PL"/>
        </w:rPr>
        <w:t xml:space="preserve">.  Centralna Baza Orzeczeń Sądów Administracyjnych). </w:t>
      </w:r>
    </w:p>
    <w:p w14:paraId="4A62D2FB" w14:textId="7FFA2F3E" w:rsidR="00B859F2" w:rsidRPr="00B859F2" w:rsidRDefault="00B859F2" w:rsidP="00B859F2">
      <w:pPr>
        <w:spacing w:after="240" w:line="240" w:lineRule="exact"/>
        <w:jc w:val="both"/>
        <w:rPr>
          <w:rFonts w:ascii="Lato" w:eastAsia="Times New Roman" w:hAnsi="Lato" w:cs="Arial"/>
          <w:bCs/>
          <w:iCs/>
          <w:spacing w:val="4"/>
          <w:sz w:val="20"/>
          <w:szCs w:val="20"/>
          <w:lang w:eastAsia="pl-PL" w:bidi="pl-PL"/>
        </w:rPr>
      </w:pPr>
      <w:r w:rsidRPr="00B859F2">
        <w:rPr>
          <w:rFonts w:ascii="Lato" w:eastAsia="Times New Roman" w:hAnsi="Lato" w:cs="Arial"/>
          <w:bCs/>
          <w:iCs/>
          <w:spacing w:val="4"/>
          <w:sz w:val="20"/>
          <w:szCs w:val="20"/>
          <w:lang w:eastAsia="pl-PL" w:bidi="pl-PL"/>
        </w:rPr>
        <w:t xml:space="preserve">Stanowisko to jest ugruntowane i jednolite w orzecznictwie sądów administracyjnych dotyczących także ustawy z dnia 24 lipca 2015 r. o przygotowaniu i realizacji strategicznych inwestycji w zakresie sieci przesyłowych (Dz. U. z 2022 r. poz. 273), która w istotnym zakresie jest w pełni analogiczna i wzorowana m.in. na </w:t>
      </w:r>
      <w:r w:rsidRPr="00B859F2">
        <w:rPr>
          <w:rFonts w:ascii="Lato" w:eastAsia="Times New Roman" w:hAnsi="Lato" w:cs="Arial"/>
          <w:bCs/>
          <w:i/>
          <w:spacing w:val="4"/>
          <w:sz w:val="20"/>
          <w:szCs w:val="20"/>
          <w:lang w:eastAsia="pl-PL" w:bidi="pl-PL"/>
        </w:rPr>
        <w:t>specustawie gazowej</w:t>
      </w:r>
      <w:r w:rsidRPr="00B859F2">
        <w:rPr>
          <w:rFonts w:ascii="Lato" w:eastAsia="Times New Roman" w:hAnsi="Lato" w:cs="Arial"/>
          <w:bCs/>
          <w:iCs/>
          <w:spacing w:val="4"/>
          <w:sz w:val="20"/>
          <w:szCs w:val="20"/>
          <w:lang w:eastAsia="pl-PL" w:bidi="pl-PL"/>
        </w:rPr>
        <w:t xml:space="preserve"> (por. wyroki Wojewódzkiego Sądu Administracyjnego w Warszawie z dnia 10</w:t>
      </w:r>
      <w:r w:rsidR="009966B6">
        <w:rPr>
          <w:rFonts w:ascii="Lato" w:eastAsia="Times New Roman" w:hAnsi="Lato" w:cs="Arial"/>
          <w:bCs/>
          <w:iCs/>
          <w:spacing w:val="4"/>
          <w:sz w:val="20"/>
          <w:szCs w:val="20"/>
          <w:lang w:eastAsia="pl-PL" w:bidi="pl-PL"/>
        </w:rPr>
        <w:t> </w:t>
      </w:r>
      <w:r w:rsidRPr="00B859F2">
        <w:rPr>
          <w:rFonts w:ascii="Lato" w:eastAsia="Times New Roman" w:hAnsi="Lato" w:cs="Arial"/>
          <w:bCs/>
          <w:iCs/>
          <w:spacing w:val="4"/>
          <w:sz w:val="20"/>
          <w:szCs w:val="20"/>
          <w:lang w:eastAsia="pl-PL" w:bidi="pl-PL"/>
        </w:rPr>
        <w:t>października 2018 r., sygn. akt IV SA/</w:t>
      </w:r>
      <w:proofErr w:type="spellStart"/>
      <w:r w:rsidRPr="00B859F2">
        <w:rPr>
          <w:rFonts w:ascii="Lato" w:eastAsia="Times New Roman" w:hAnsi="Lato" w:cs="Arial"/>
          <w:bCs/>
          <w:iCs/>
          <w:spacing w:val="4"/>
          <w:sz w:val="20"/>
          <w:szCs w:val="20"/>
          <w:lang w:eastAsia="pl-PL" w:bidi="pl-PL"/>
        </w:rPr>
        <w:t>Wa</w:t>
      </w:r>
      <w:proofErr w:type="spellEnd"/>
      <w:r w:rsidRPr="00B859F2">
        <w:rPr>
          <w:rFonts w:ascii="Lato" w:eastAsia="Times New Roman" w:hAnsi="Lato" w:cs="Arial"/>
          <w:bCs/>
          <w:iCs/>
          <w:spacing w:val="4"/>
          <w:sz w:val="20"/>
          <w:szCs w:val="20"/>
          <w:lang w:eastAsia="pl-PL" w:bidi="pl-PL"/>
        </w:rPr>
        <w:t xml:space="preserve"> 2480/17, z dnia 9 lutego 2018 r., sygn. akt IV SA/</w:t>
      </w:r>
      <w:proofErr w:type="spellStart"/>
      <w:r w:rsidRPr="00B859F2">
        <w:rPr>
          <w:rFonts w:ascii="Lato" w:eastAsia="Times New Roman" w:hAnsi="Lato" w:cs="Arial"/>
          <w:bCs/>
          <w:iCs/>
          <w:spacing w:val="4"/>
          <w:sz w:val="20"/>
          <w:szCs w:val="20"/>
          <w:lang w:eastAsia="pl-PL" w:bidi="pl-PL"/>
        </w:rPr>
        <w:t>Wa</w:t>
      </w:r>
      <w:proofErr w:type="spellEnd"/>
      <w:r w:rsidRPr="00B859F2">
        <w:rPr>
          <w:rFonts w:ascii="Lato" w:eastAsia="Times New Roman" w:hAnsi="Lato" w:cs="Arial"/>
          <w:bCs/>
          <w:iCs/>
          <w:spacing w:val="4"/>
          <w:sz w:val="20"/>
          <w:szCs w:val="20"/>
          <w:lang w:eastAsia="pl-PL" w:bidi="pl-PL"/>
        </w:rPr>
        <w:t xml:space="preserve"> 2780/17 i z dnia 7 września 2017 r., sygn. akt IV SA/</w:t>
      </w:r>
      <w:proofErr w:type="spellStart"/>
      <w:r w:rsidRPr="00B859F2">
        <w:rPr>
          <w:rFonts w:ascii="Lato" w:eastAsia="Times New Roman" w:hAnsi="Lato" w:cs="Arial"/>
          <w:bCs/>
          <w:iCs/>
          <w:spacing w:val="4"/>
          <w:sz w:val="20"/>
          <w:szCs w:val="20"/>
          <w:lang w:eastAsia="pl-PL" w:bidi="pl-PL"/>
        </w:rPr>
        <w:t>Wa</w:t>
      </w:r>
      <w:proofErr w:type="spellEnd"/>
      <w:r w:rsidRPr="00B859F2">
        <w:rPr>
          <w:rFonts w:ascii="Lato" w:eastAsia="Times New Roman" w:hAnsi="Lato" w:cs="Arial"/>
          <w:bCs/>
          <w:iCs/>
          <w:spacing w:val="4"/>
          <w:sz w:val="20"/>
          <w:szCs w:val="20"/>
          <w:lang w:eastAsia="pl-PL" w:bidi="pl-PL"/>
        </w:rPr>
        <w:t xml:space="preserve"> 1749/17). </w:t>
      </w:r>
    </w:p>
    <w:p w14:paraId="4C44BEC6" w14:textId="002933E0" w:rsidR="00B859F2" w:rsidRPr="00B859F2" w:rsidRDefault="00B859F2" w:rsidP="00B859F2">
      <w:pPr>
        <w:spacing w:after="240" w:line="240" w:lineRule="exact"/>
        <w:jc w:val="both"/>
        <w:rPr>
          <w:rFonts w:ascii="Lato" w:eastAsia="Times New Roman" w:hAnsi="Lato" w:cs="Arial"/>
          <w:iCs/>
          <w:spacing w:val="4"/>
          <w:sz w:val="20"/>
          <w:szCs w:val="20"/>
          <w:lang w:eastAsia="pl-PL"/>
        </w:rPr>
      </w:pPr>
      <w:r w:rsidRPr="00B859F2">
        <w:rPr>
          <w:rFonts w:ascii="Lato" w:eastAsia="Times New Roman" w:hAnsi="Lato" w:cs="Arial"/>
          <w:iCs/>
          <w:spacing w:val="4"/>
          <w:sz w:val="20"/>
          <w:szCs w:val="20"/>
          <w:lang w:eastAsia="pl-PL"/>
        </w:rPr>
        <w:t>Również o</w:t>
      </w:r>
      <w:r w:rsidRPr="00B859F2">
        <w:rPr>
          <w:rFonts w:ascii="Lato" w:eastAsia="Times New Roman" w:hAnsi="Lato" w:cs="Arial"/>
          <w:iCs/>
          <w:spacing w:val="4"/>
          <w:sz w:val="20"/>
          <w:szCs w:val="20"/>
          <w:lang w:val="x-none" w:eastAsia="pl-PL"/>
        </w:rPr>
        <w:t xml:space="preserve">rzecznictwo </w:t>
      </w:r>
      <w:proofErr w:type="spellStart"/>
      <w:r w:rsidRPr="00B859F2">
        <w:rPr>
          <w:rFonts w:ascii="Lato" w:eastAsia="Times New Roman" w:hAnsi="Lato" w:cs="Arial"/>
          <w:iCs/>
          <w:spacing w:val="4"/>
          <w:sz w:val="20"/>
          <w:szCs w:val="20"/>
          <w:lang w:val="x-none" w:eastAsia="pl-PL"/>
        </w:rPr>
        <w:t>sądowoadministracyjne</w:t>
      </w:r>
      <w:proofErr w:type="spellEnd"/>
      <w:r w:rsidRPr="00B859F2">
        <w:rPr>
          <w:rFonts w:ascii="Lato" w:eastAsia="Times New Roman" w:hAnsi="Lato" w:cs="Arial"/>
          <w:iCs/>
          <w:spacing w:val="4"/>
          <w:sz w:val="20"/>
          <w:szCs w:val="20"/>
          <w:lang w:val="x-none" w:eastAsia="pl-PL"/>
        </w:rPr>
        <w:t xml:space="preserve"> – zapadłe wprawdzie w odniesieniu do</w:t>
      </w:r>
      <w:r w:rsidR="009966B6">
        <w:rPr>
          <w:rFonts w:ascii="Lato" w:eastAsia="Times New Roman" w:hAnsi="Lato" w:cs="Arial"/>
          <w:iCs/>
          <w:spacing w:val="4"/>
          <w:sz w:val="20"/>
          <w:szCs w:val="20"/>
          <w:lang w:eastAsia="pl-PL"/>
        </w:rPr>
        <w:t> </w:t>
      </w:r>
      <w:r w:rsidRPr="00B859F2">
        <w:rPr>
          <w:rFonts w:ascii="Lato" w:eastAsia="Times New Roman" w:hAnsi="Lato" w:cs="Arial"/>
          <w:iCs/>
          <w:spacing w:val="4"/>
          <w:sz w:val="20"/>
          <w:szCs w:val="20"/>
          <w:lang w:val="x-none" w:eastAsia="pl-PL"/>
        </w:rPr>
        <w:t xml:space="preserve">regulacji </w:t>
      </w:r>
      <w:r w:rsidRPr="00B859F2">
        <w:rPr>
          <w:rFonts w:ascii="Lato" w:eastAsia="Times New Roman" w:hAnsi="Lato" w:cs="Arial"/>
          <w:iCs/>
          <w:spacing w:val="4"/>
          <w:sz w:val="20"/>
          <w:szCs w:val="20"/>
          <w:lang w:eastAsia="pl-PL"/>
        </w:rPr>
        <w:t>ustawy z dnia 10 kwietnia 2003 r. o szczególnych zasadach przygotowania i</w:t>
      </w:r>
      <w:r>
        <w:rPr>
          <w:rFonts w:ascii="Lato" w:eastAsia="Times New Roman" w:hAnsi="Lato" w:cs="Arial"/>
          <w:iCs/>
          <w:spacing w:val="4"/>
          <w:sz w:val="20"/>
          <w:szCs w:val="20"/>
          <w:lang w:eastAsia="pl-PL"/>
        </w:rPr>
        <w:t> </w:t>
      </w:r>
      <w:r w:rsidRPr="00B859F2">
        <w:rPr>
          <w:rFonts w:ascii="Lato" w:eastAsia="Times New Roman" w:hAnsi="Lato" w:cs="Arial"/>
          <w:iCs/>
          <w:spacing w:val="4"/>
          <w:sz w:val="20"/>
          <w:szCs w:val="20"/>
          <w:lang w:eastAsia="pl-PL"/>
        </w:rPr>
        <w:t>realizacji inwestycji w zakresie dróg publicznych (</w:t>
      </w:r>
      <w:r w:rsidRPr="00B859F2">
        <w:rPr>
          <w:rFonts w:ascii="Lato" w:eastAsia="Times New Roman" w:hAnsi="Lato" w:cs="Arial"/>
          <w:bCs/>
          <w:iCs/>
          <w:spacing w:val="4"/>
          <w:sz w:val="20"/>
          <w:szCs w:val="20"/>
          <w:lang w:eastAsia="pl-PL"/>
        </w:rPr>
        <w:t>Dz. U. z 2022 r., poz. 176, z późn. zm.</w:t>
      </w:r>
      <w:r w:rsidRPr="00B859F2">
        <w:rPr>
          <w:rFonts w:ascii="Lato" w:eastAsia="Times New Roman" w:hAnsi="Lato" w:cs="Arial"/>
          <w:iCs/>
          <w:spacing w:val="4"/>
          <w:sz w:val="20"/>
          <w:szCs w:val="20"/>
          <w:lang w:eastAsia="pl-PL"/>
        </w:rPr>
        <w:t>), zwanej dalej „</w:t>
      </w:r>
      <w:r w:rsidRPr="00B859F2">
        <w:rPr>
          <w:rFonts w:ascii="Lato" w:eastAsia="Times New Roman" w:hAnsi="Lato" w:cs="Arial"/>
          <w:i/>
          <w:spacing w:val="4"/>
          <w:sz w:val="20"/>
          <w:szCs w:val="20"/>
          <w:lang w:eastAsia="pl-PL"/>
        </w:rPr>
        <w:t>specustawą drogową</w:t>
      </w:r>
      <w:r w:rsidRPr="00B859F2">
        <w:rPr>
          <w:rFonts w:ascii="Lato" w:eastAsia="Times New Roman" w:hAnsi="Lato" w:cs="Arial"/>
          <w:iCs/>
          <w:spacing w:val="4"/>
          <w:sz w:val="20"/>
          <w:szCs w:val="20"/>
          <w:lang w:eastAsia="pl-PL"/>
        </w:rPr>
        <w:t>”</w:t>
      </w:r>
      <w:r w:rsidRPr="00B859F2">
        <w:rPr>
          <w:rFonts w:ascii="Lato" w:eastAsia="Times New Roman" w:hAnsi="Lato" w:cs="Arial"/>
          <w:iCs/>
          <w:spacing w:val="4"/>
          <w:sz w:val="20"/>
          <w:szCs w:val="20"/>
          <w:lang w:val="x-none" w:eastAsia="pl-PL"/>
        </w:rPr>
        <w:t>, ale</w:t>
      </w:r>
      <w:r w:rsidRPr="00B859F2">
        <w:rPr>
          <w:rFonts w:ascii="Lato" w:eastAsia="Times New Roman" w:hAnsi="Lato" w:cs="Arial"/>
          <w:iCs/>
          <w:spacing w:val="4"/>
          <w:sz w:val="20"/>
          <w:szCs w:val="20"/>
          <w:lang w:eastAsia="pl-PL"/>
        </w:rPr>
        <w:t> </w:t>
      </w:r>
      <w:r w:rsidRPr="00B859F2">
        <w:rPr>
          <w:rFonts w:ascii="Lato" w:eastAsia="Times New Roman" w:hAnsi="Lato" w:cs="Arial"/>
          <w:iCs/>
          <w:spacing w:val="4"/>
          <w:sz w:val="20"/>
          <w:szCs w:val="20"/>
          <w:lang w:val="x-none" w:eastAsia="pl-PL"/>
        </w:rPr>
        <w:t xml:space="preserve">aktualne w pełni w świetle rozwiązań przyjętych w </w:t>
      </w:r>
      <w:r w:rsidRPr="00B859F2">
        <w:rPr>
          <w:rFonts w:ascii="Lato" w:eastAsia="Times New Roman" w:hAnsi="Lato" w:cs="Arial"/>
          <w:i/>
          <w:spacing w:val="4"/>
          <w:sz w:val="20"/>
          <w:szCs w:val="20"/>
          <w:lang w:eastAsia="pl-PL"/>
        </w:rPr>
        <w:t>specustawie gazowej</w:t>
      </w:r>
      <w:r w:rsidRPr="00B859F2">
        <w:rPr>
          <w:rFonts w:ascii="Lato" w:eastAsia="Times New Roman" w:hAnsi="Lato" w:cs="Arial"/>
          <w:iCs/>
          <w:spacing w:val="4"/>
          <w:sz w:val="20"/>
          <w:szCs w:val="20"/>
          <w:lang w:eastAsia="pl-PL"/>
        </w:rPr>
        <w:t xml:space="preserve"> wzorowanych m.in. na tej ustawie </w:t>
      </w:r>
      <w:r w:rsidRPr="00B859F2">
        <w:rPr>
          <w:rFonts w:ascii="Lato" w:eastAsia="Times New Roman" w:hAnsi="Lato" w:cs="Arial"/>
          <w:iCs/>
          <w:spacing w:val="4"/>
          <w:sz w:val="20"/>
          <w:szCs w:val="20"/>
          <w:lang w:val="x-none" w:eastAsia="pl-PL"/>
        </w:rPr>
        <w:t>– nie</w:t>
      </w:r>
      <w:r w:rsidRPr="00B859F2">
        <w:rPr>
          <w:rFonts w:ascii="Lato" w:eastAsia="Times New Roman" w:hAnsi="Lato" w:cs="Arial"/>
          <w:iCs/>
          <w:spacing w:val="4"/>
          <w:sz w:val="20"/>
          <w:szCs w:val="20"/>
          <w:lang w:eastAsia="pl-PL"/>
        </w:rPr>
        <w:t> </w:t>
      </w:r>
      <w:r w:rsidRPr="00B859F2">
        <w:rPr>
          <w:rFonts w:ascii="Lato" w:eastAsia="Times New Roman" w:hAnsi="Lato" w:cs="Arial"/>
          <w:iCs/>
          <w:spacing w:val="4"/>
          <w:sz w:val="20"/>
          <w:szCs w:val="20"/>
          <w:lang w:val="x-none" w:eastAsia="pl-PL"/>
        </w:rPr>
        <w:t>pozostawia co do ww. zagadnienia jakichkolwiek wątpliwości (</w:t>
      </w:r>
      <w:r w:rsidRPr="00B859F2">
        <w:rPr>
          <w:rFonts w:ascii="Lato" w:eastAsia="Times New Roman" w:hAnsi="Lato" w:cs="Arial"/>
          <w:iCs/>
          <w:spacing w:val="4"/>
          <w:sz w:val="20"/>
          <w:szCs w:val="20"/>
          <w:lang w:eastAsia="pl-PL"/>
        </w:rPr>
        <w:t>vide: wyroki Naczelnego Sądu Administracyjnego: z dnia 13 września 2017 r., sygn. akt II OSK 1705/17, z dnia 8</w:t>
      </w:r>
      <w:r>
        <w:rPr>
          <w:rFonts w:ascii="Lato" w:eastAsia="Times New Roman" w:hAnsi="Lato" w:cs="Arial"/>
          <w:iCs/>
          <w:spacing w:val="4"/>
          <w:sz w:val="20"/>
          <w:szCs w:val="20"/>
          <w:lang w:eastAsia="pl-PL"/>
        </w:rPr>
        <w:t> </w:t>
      </w:r>
      <w:r w:rsidRPr="00B859F2">
        <w:rPr>
          <w:rFonts w:ascii="Lato" w:eastAsia="Times New Roman" w:hAnsi="Lato" w:cs="Arial"/>
          <w:iCs/>
          <w:spacing w:val="4"/>
          <w:sz w:val="20"/>
          <w:szCs w:val="20"/>
          <w:lang w:eastAsia="pl-PL"/>
        </w:rPr>
        <w:t xml:space="preserve">czerwca 2017 r., sygn. akt II OSK 2572/15, z dnia 19 lipca 2016 r., sygn. akt II OSK 1373/16, z dnia 25 maja 2016 r., sygn. akt II OSK 524/16, z dnia 1 marca 2016 r., sygn. akt II OSK 2334/15, z dnia 1 kwietnia 2015 r., sygn. akt II OSK 106/15, z dnia 24 lutego 2015 r., sygn. akt II OSK 3221/14, z dnia 2 kwietnia 2014 r., sygn. akt II OSK 2621/12, z dnia 28 lutego 2014 r., sygn. akt II OSK 93/14, z dnia 26 lipca 2013 r. sygn. akt II OSK 762/13, z dnia 17 kwietnia 2013 r., sygn. akt II OSK 432/13, z dnia 18 listopada 2010 </w:t>
      </w:r>
      <w:r w:rsidRPr="00B859F2">
        <w:rPr>
          <w:rFonts w:ascii="Lato" w:eastAsia="Times New Roman" w:hAnsi="Lato" w:cs="Arial"/>
          <w:iCs/>
          <w:spacing w:val="4"/>
          <w:sz w:val="20"/>
          <w:szCs w:val="20"/>
          <w:lang w:eastAsia="pl-PL"/>
        </w:rPr>
        <w:lastRenderedPageBreak/>
        <w:t xml:space="preserve">r., sygn. akt II OSK 1968/10, z dnia 20 stycznia 2010 r., sygn. akt II OSK 2416/10, </w:t>
      </w:r>
      <w:proofErr w:type="spellStart"/>
      <w:r w:rsidRPr="00B859F2">
        <w:rPr>
          <w:rFonts w:ascii="Lato" w:eastAsia="Times New Roman" w:hAnsi="Lato" w:cs="Arial"/>
          <w:iCs/>
          <w:spacing w:val="4"/>
          <w:sz w:val="20"/>
          <w:szCs w:val="20"/>
          <w:lang w:eastAsia="pl-PL"/>
        </w:rPr>
        <w:t>opubl</w:t>
      </w:r>
      <w:proofErr w:type="spellEnd"/>
      <w:r w:rsidRPr="00B859F2">
        <w:rPr>
          <w:rFonts w:ascii="Lato" w:eastAsia="Times New Roman" w:hAnsi="Lato" w:cs="Arial"/>
          <w:iCs/>
          <w:spacing w:val="4"/>
          <w:sz w:val="20"/>
          <w:szCs w:val="20"/>
          <w:lang w:eastAsia="pl-PL"/>
        </w:rPr>
        <w:t xml:space="preserve">. </w:t>
      </w:r>
      <w:r w:rsidRPr="00B859F2">
        <w:rPr>
          <w:rFonts w:ascii="Lato" w:eastAsia="Times New Roman" w:hAnsi="Lato" w:cs="Arial"/>
          <w:bCs/>
          <w:iCs/>
          <w:spacing w:val="4"/>
          <w:sz w:val="20"/>
          <w:szCs w:val="20"/>
          <w:lang w:val="x-none" w:eastAsia="pl-PL"/>
        </w:rPr>
        <w:t>Centralna Baza Orzeczeń Sądów Administracyjnych</w:t>
      </w:r>
      <w:r w:rsidRPr="00B859F2">
        <w:rPr>
          <w:rFonts w:ascii="Lato" w:eastAsia="Times New Roman" w:hAnsi="Lato" w:cs="Arial"/>
          <w:iCs/>
          <w:spacing w:val="4"/>
          <w:sz w:val="20"/>
          <w:szCs w:val="20"/>
          <w:lang w:val="x-none" w:eastAsia="pl-PL"/>
        </w:rPr>
        <w:t>)</w:t>
      </w:r>
      <w:r w:rsidRPr="00B859F2">
        <w:rPr>
          <w:rFonts w:ascii="Lato" w:eastAsia="Times New Roman" w:hAnsi="Lato" w:cs="Arial"/>
          <w:iCs/>
          <w:spacing w:val="4"/>
          <w:sz w:val="20"/>
          <w:szCs w:val="20"/>
          <w:lang w:eastAsia="pl-PL"/>
        </w:rPr>
        <w:t xml:space="preserve">. </w:t>
      </w:r>
    </w:p>
    <w:p w14:paraId="045798BC" w14:textId="77777777" w:rsidR="00B859F2" w:rsidRPr="00B859F2" w:rsidRDefault="00B859F2" w:rsidP="00B859F2">
      <w:pPr>
        <w:spacing w:after="240" w:line="240" w:lineRule="exact"/>
        <w:jc w:val="both"/>
        <w:rPr>
          <w:rFonts w:ascii="Lato" w:eastAsia="Times New Roman" w:hAnsi="Lato" w:cs="Arial"/>
          <w:iCs/>
          <w:spacing w:val="4"/>
          <w:sz w:val="20"/>
          <w:szCs w:val="20"/>
          <w:lang w:eastAsia="pl-PL"/>
        </w:rPr>
      </w:pPr>
      <w:r w:rsidRPr="00B859F2">
        <w:rPr>
          <w:rFonts w:ascii="Lato" w:eastAsia="Times New Roman" w:hAnsi="Lato" w:cs="Arial"/>
          <w:iCs/>
          <w:spacing w:val="4"/>
          <w:sz w:val="20"/>
          <w:szCs w:val="20"/>
          <w:lang w:eastAsia="pl-PL"/>
        </w:rPr>
        <w:t>Z powyższego wynika, że decyzja o ustaleniu lokalizacji inwestycji w zakresie terminalu</w:t>
      </w:r>
      <w:r w:rsidRPr="00B859F2">
        <w:rPr>
          <w:rFonts w:ascii="Lato" w:eastAsia="Times New Roman" w:hAnsi="Lato" w:cs="Arial"/>
          <w:bCs/>
          <w:iCs/>
          <w:spacing w:val="4"/>
          <w:sz w:val="20"/>
          <w:szCs w:val="20"/>
          <w:lang w:eastAsia="pl-PL"/>
        </w:rPr>
        <w:t xml:space="preserve"> </w:t>
      </w:r>
      <w:proofErr w:type="spellStart"/>
      <w:r w:rsidRPr="00B859F2">
        <w:rPr>
          <w:rFonts w:ascii="Lato" w:eastAsia="Times New Roman" w:hAnsi="Lato" w:cs="Arial"/>
          <w:bCs/>
          <w:iCs/>
          <w:spacing w:val="4"/>
          <w:sz w:val="20"/>
          <w:szCs w:val="20"/>
          <w:lang w:eastAsia="pl-PL"/>
        </w:rPr>
        <w:t>regazyfikacyjnego</w:t>
      </w:r>
      <w:proofErr w:type="spellEnd"/>
      <w:r w:rsidRPr="00B859F2">
        <w:rPr>
          <w:rFonts w:ascii="Lato" w:eastAsia="Times New Roman" w:hAnsi="Lato" w:cs="Arial"/>
          <w:bCs/>
          <w:iCs/>
          <w:spacing w:val="4"/>
          <w:sz w:val="20"/>
          <w:szCs w:val="20"/>
          <w:lang w:eastAsia="pl-PL"/>
        </w:rPr>
        <w:t xml:space="preserve"> skroplonego gazu ziemnego w Świnoujściu oraz inwestycji </w:t>
      </w:r>
      <w:r w:rsidRPr="00B859F2">
        <w:rPr>
          <w:rFonts w:ascii="Lato" w:eastAsia="Times New Roman" w:hAnsi="Lato" w:cs="Arial"/>
          <w:iCs/>
          <w:spacing w:val="4"/>
          <w:sz w:val="20"/>
          <w:szCs w:val="20"/>
          <w:lang w:eastAsia="pl-PL"/>
        </w:rPr>
        <w:t xml:space="preserve">towarzyszących nie ma charakteru uznaniowego i w razie spełnienia przez inwestora wymagań określonych w przepisach </w:t>
      </w:r>
      <w:r w:rsidRPr="00B859F2">
        <w:rPr>
          <w:rFonts w:ascii="Lato" w:eastAsia="Times New Roman" w:hAnsi="Lato" w:cs="Arial"/>
          <w:i/>
          <w:spacing w:val="4"/>
          <w:sz w:val="20"/>
          <w:szCs w:val="20"/>
          <w:lang w:eastAsia="pl-PL"/>
        </w:rPr>
        <w:t>specustawy gazowej</w:t>
      </w:r>
      <w:r w:rsidRPr="00B859F2">
        <w:rPr>
          <w:rFonts w:ascii="Lato" w:eastAsia="Times New Roman" w:hAnsi="Lato" w:cs="Arial"/>
          <w:iCs/>
          <w:spacing w:val="4"/>
          <w:sz w:val="20"/>
          <w:szCs w:val="20"/>
          <w:lang w:eastAsia="pl-PL"/>
        </w:rPr>
        <w:t xml:space="preserve"> organ jest zobligowany ustalić lokalizację inwestycji w wersji zgodnej z wnioskiem inwestora. </w:t>
      </w:r>
    </w:p>
    <w:p w14:paraId="2F8B1FDE" w14:textId="152353AF" w:rsidR="00B859F2" w:rsidRPr="00B859F2" w:rsidRDefault="00B859F2" w:rsidP="00B859F2">
      <w:pPr>
        <w:spacing w:after="240" w:line="240" w:lineRule="exact"/>
        <w:jc w:val="both"/>
        <w:rPr>
          <w:rFonts w:ascii="Lato" w:eastAsia="Times New Roman" w:hAnsi="Lato" w:cs="Arial"/>
          <w:spacing w:val="4"/>
          <w:sz w:val="20"/>
          <w:szCs w:val="24"/>
          <w:lang w:eastAsia="pl-PL"/>
        </w:rPr>
      </w:pPr>
      <w:r w:rsidRPr="00B859F2">
        <w:rPr>
          <w:rFonts w:ascii="Lato" w:eastAsia="Times New Roman" w:hAnsi="Lato" w:cs="Arial"/>
          <w:spacing w:val="4"/>
          <w:sz w:val="20"/>
          <w:szCs w:val="20"/>
          <w:lang w:eastAsia="pl-PL"/>
        </w:rPr>
        <w:t xml:space="preserve">Wobec powyższego, pismem z dnia 7 lipca 2022 r., znak: DLI-III.7620.27.2022.WK.1, organ odwoławczy wezwał </w:t>
      </w:r>
      <w:r w:rsidRPr="00B859F2">
        <w:rPr>
          <w:rFonts w:ascii="Lato" w:eastAsia="Times New Roman" w:hAnsi="Lato" w:cs="Arial"/>
          <w:i/>
          <w:iCs/>
          <w:spacing w:val="4"/>
          <w:sz w:val="20"/>
          <w:szCs w:val="20"/>
          <w:lang w:eastAsia="pl-PL"/>
        </w:rPr>
        <w:t>inwestora</w:t>
      </w:r>
      <w:r w:rsidRPr="00B859F2">
        <w:rPr>
          <w:rFonts w:ascii="Lato" w:eastAsia="Times New Roman" w:hAnsi="Lato" w:cs="Arial"/>
          <w:spacing w:val="4"/>
          <w:sz w:val="20"/>
          <w:szCs w:val="20"/>
          <w:lang w:eastAsia="pl-PL"/>
        </w:rPr>
        <w:t xml:space="preserve"> do wypowiedzenia się w sprawie zagadnień dotyczących lokalizacji przedmiotowej inwestycji, poruszonych przez Panią M</w:t>
      </w:r>
      <w:r w:rsidR="00D12946">
        <w:rPr>
          <w:rFonts w:ascii="Lato" w:eastAsia="Times New Roman" w:hAnsi="Lato" w:cs="Arial"/>
          <w:spacing w:val="4"/>
          <w:sz w:val="20"/>
          <w:szCs w:val="20"/>
          <w:lang w:eastAsia="pl-PL"/>
        </w:rPr>
        <w:t>.</w:t>
      </w:r>
      <w:r w:rsidRPr="00B859F2">
        <w:rPr>
          <w:rFonts w:ascii="Lato" w:eastAsia="Times New Roman" w:hAnsi="Lato" w:cs="Arial"/>
          <w:spacing w:val="4"/>
          <w:sz w:val="20"/>
          <w:szCs w:val="20"/>
          <w:lang w:eastAsia="pl-PL"/>
        </w:rPr>
        <w:t xml:space="preserve"> M</w:t>
      </w:r>
      <w:r w:rsidR="00D12946">
        <w:rPr>
          <w:rFonts w:ascii="Lato" w:eastAsia="Times New Roman" w:hAnsi="Lato" w:cs="Arial"/>
          <w:spacing w:val="4"/>
          <w:sz w:val="20"/>
          <w:szCs w:val="20"/>
          <w:lang w:eastAsia="pl-PL"/>
        </w:rPr>
        <w:t>.</w:t>
      </w:r>
      <w:r w:rsidRPr="00B859F2">
        <w:rPr>
          <w:rFonts w:ascii="Lato" w:eastAsia="Times New Roman" w:hAnsi="Lato" w:cs="Arial"/>
          <w:spacing w:val="4"/>
          <w:sz w:val="20"/>
          <w:szCs w:val="20"/>
          <w:lang w:eastAsia="pl-PL"/>
        </w:rPr>
        <w:t>-A</w:t>
      </w:r>
      <w:r w:rsidR="00D12946">
        <w:rPr>
          <w:rFonts w:ascii="Lato" w:eastAsia="Times New Roman" w:hAnsi="Lato" w:cs="Arial"/>
          <w:spacing w:val="4"/>
          <w:sz w:val="20"/>
          <w:szCs w:val="20"/>
          <w:lang w:eastAsia="pl-PL"/>
        </w:rPr>
        <w:t>.</w:t>
      </w:r>
      <w:r w:rsidRPr="00B859F2">
        <w:rPr>
          <w:rFonts w:ascii="Lato" w:eastAsia="Times New Roman" w:hAnsi="Lato" w:cs="Arial"/>
          <w:spacing w:val="4"/>
          <w:sz w:val="20"/>
          <w:szCs w:val="20"/>
          <w:lang w:eastAsia="pl-PL"/>
        </w:rPr>
        <w:t>, we wniesionym odwołaniu od </w:t>
      </w:r>
      <w:r w:rsidRPr="00B859F2">
        <w:rPr>
          <w:rFonts w:ascii="Lato" w:eastAsia="Times New Roman" w:hAnsi="Lato" w:cs="Arial"/>
          <w:i/>
          <w:iCs/>
          <w:spacing w:val="4"/>
          <w:sz w:val="20"/>
          <w:szCs w:val="20"/>
          <w:lang w:eastAsia="pl-PL"/>
        </w:rPr>
        <w:t>decyzji Wojewody Świętokrzyskiego</w:t>
      </w:r>
      <w:r w:rsidRPr="00B859F2">
        <w:rPr>
          <w:rFonts w:ascii="Lato" w:eastAsia="Times New Roman" w:hAnsi="Lato" w:cs="Arial"/>
          <w:spacing w:val="4"/>
          <w:sz w:val="20"/>
          <w:szCs w:val="20"/>
          <w:lang w:eastAsia="pl-PL"/>
        </w:rPr>
        <w:t xml:space="preserve">. </w:t>
      </w:r>
    </w:p>
    <w:p w14:paraId="07524AA3" w14:textId="77777777" w:rsidR="00B859F2" w:rsidRPr="00B859F2" w:rsidRDefault="00B859F2" w:rsidP="00B859F2">
      <w:pPr>
        <w:spacing w:after="240" w:line="240" w:lineRule="exact"/>
        <w:jc w:val="both"/>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 xml:space="preserve">Pismem z dnia 20 lipca 2022 r., znak: MP-MOSTY/458/P/DM/16/21-8/1005, </w:t>
      </w:r>
      <w:r w:rsidRPr="00B859F2">
        <w:rPr>
          <w:rFonts w:ascii="Lato" w:eastAsia="Times New Roman" w:hAnsi="Lato" w:cs="Arial"/>
          <w:i/>
          <w:iCs/>
          <w:spacing w:val="4"/>
          <w:sz w:val="20"/>
          <w:szCs w:val="20"/>
          <w:lang w:eastAsia="pl-PL"/>
        </w:rPr>
        <w:t>inwestor</w:t>
      </w:r>
      <w:r w:rsidRPr="00B859F2">
        <w:rPr>
          <w:rFonts w:ascii="Lato" w:eastAsia="Times New Roman" w:hAnsi="Lato" w:cs="Arial"/>
          <w:spacing w:val="4"/>
          <w:sz w:val="20"/>
          <w:szCs w:val="20"/>
          <w:lang w:eastAsia="pl-PL"/>
        </w:rPr>
        <w:t xml:space="preserve"> odniósł się do uwag Skarżącej.</w:t>
      </w:r>
    </w:p>
    <w:p w14:paraId="7B061186" w14:textId="322BB8ED"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 xml:space="preserve">Powyższe stanowisko </w:t>
      </w:r>
      <w:r w:rsidRPr="00B859F2">
        <w:rPr>
          <w:rFonts w:ascii="Lato" w:eastAsia="Times New Roman" w:hAnsi="Lato" w:cs="Arial"/>
          <w:i/>
          <w:spacing w:val="4"/>
          <w:sz w:val="20"/>
          <w:szCs w:val="20"/>
          <w:lang w:eastAsia="pl-PL"/>
        </w:rPr>
        <w:t>inwestora</w:t>
      </w:r>
      <w:r w:rsidRPr="00B859F2">
        <w:rPr>
          <w:rFonts w:ascii="Lato" w:eastAsia="Times New Roman" w:hAnsi="Lato" w:cs="Arial"/>
          <w:spacing w:val="4"/>
          <w:sz w:val="20"/>
          <w:szCs w:val="20"/>
          <w:lang w:eastAsia="pl-PL"/>
        </w:rPr>
        <w:t xml:space="preserve"> organ odwoławczy, działając w oparciu o art. 9 </w:t>
      </w:r>
      <w:r w:rsidRPr="00B859F2">
        <w:rPr>
          <w:rFonts w:ascii="Lato" w:eastAsia="Times New Roman" w:hAnsi="Lato" w:cs="Arial"/>
          <w:i/>
          <w:spacing w:val="4"/>
          <w:sz w:val="20"/>
          <w:szCs w:val="20"/>
          <w:lang w:eastAsia="pl-PL"/>
        </w:rPr>
        <w:t>kpa</w:t>
      </w:r>
      <w:r w:rsidRPr="00B859F2">
        <w:rPr>
          <w:rFonts w:ascii="Lato" w:eastAsia="Times New Roman" w:hAnsi="Lato" w:cs="Arial"/>
          <w:spacing w:val="4"/>
          <w:sz w:val="20"/>
          <w:szCs w:val="20"/>
          <w:lang w:eastAsia="pl-PL"/>
        </w:rPr>
        <w:t>, przesłał Skarżącej przy piśmie z dnia 16 sierpnia 2022 r., znak:</w:t>
      </w:r>
      <w:r w:rsidR="009966B6">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DLI</w:t>
      </w:r>
      <w:r>
        <w:rPr>
          <w:rFonts w:ascii="Lato" w:eastAsia="Times New Roman" w:hAnsi="Lato" w:cs="Arial"/>
          <w:spacing w:val="4"/>
          <w:sz w:val="20"/>
          <w:szCs w:val="20"/>
          <w:lang w:eastAsia="pl-PL"/>
        </w:rPr>
        <w:noBreakHyphen/>
      </w:r>
      <w:r w:rsidRPr="00B859F2">
        <w:rPr>
          <w:rFonts w:ascii="Lato" w:eastAsia="Times New Roman" w:hAnsi="Lato" w:cs="Arial"/>
          <w:spacing w:val="4"/>
          <w:sz w:val="20"/>
          <w:szCs w:val="20"/>
          <w:lang w:eastAsia="pl-PL"/>
        </w:rPr>
        <w:t>III.7620.27.2022.WK.2, zawiadamiając o prawie wypowiedzenia się co</w:t>
      </w:r>
      <w:r w:rsidR="009966B6">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do</w:t>
      </w:r>
      <w:r w:rsidR="009966B6">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zebranych dowodów i materiałów oraz zgłoszonych żądań, a także o możliwości zapoznania się z aktami sprawy. Skarżąca nie skorzystała jednak z powyższego uprawnienia.</w:t>
      </w:r>
    </w:p>
    <w:p w14:paraId="32DB385E" w14:textId="77777777"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 xml:space="preserve">Po uzyskaniu stanowiska </w:t>
      </w:r>
      <w:r w:rsidRPr="00B859F2">
        <w:rPr>
          <w:rFonts w:ascii="Lato" w:eastAsia="Times New Roman" w:hAnsi="Lato" w:cs="Arial"/>
          <w:i/>
          <w:iCs/>
          <w:spacing w:val="4"/>
          <w:sz w:val="20"/>
          <w:szCs w:val="20"/>
          <w:lang w:eastAsia="pl-PL"/>
        </w:rPr>
        <w:t>inwestora</w:t>
      </w:r>
      <w:r w:rsidRPr="00B859F2">
        <w:rPr>
          <w:rFonts w:ascii="Lato" w:eastAsia="Times New Roman" w:hAnsi="Lato" w:cs="Arial"/>
          <w:spacing w:val="4"/>
          <w:sz w:val="20"/>
          <w:szCs w:val="20"/>
          <w:lang w:eastAsia="pl-PL"/>
        </w:rPr>
        <w:t xml:space="preserve"> oraz przeanalizowaniu zarzutów Skarżącej, </w:t>
      </w:r>
      <w:r w:rsidRPr="00B859F2">
        <w:rPr>
          <w:rFonts w:ascii="Lato" w:eastAsia="Times New Roman" w:hAnsi="Lato" w:cs="Arial"/>
          <w:i/>
          <w:iCs/>
          <w:spacing w:val="4"/>
          <w:sz w:val="20"/>
          <w:szCs w:val="20"/>
          <w:lang w:eastAsia="pl-PL"/>
        </w:rPr>
        <w:t>Minister</w:t>
      </w:r>
      <w:r w:rsidRPr="00B859F2">
        <w:rPr>
          <w:rFonts w:ascii="Lato" w:eastAsia="Times New Roman" w:hAnsi="Lato" w:cs="Arial"/>
          <w:spacing w:val="4"/>
          <w:sz w:val="20"/>
          <w:szCs w:val="20"/>
          <w:lang w:eastAsia="pl-PL"/>
        </w:rPr>
        <w:t xml:space="preserve"> stwierdził, co następuje.</w:t>
      </w:r>
    </w:p>
    <w:p w14:paraId="1F0E3D33" w14:textId="21083EB9" w:rsidR="00B859F2" w:rsidRPr="00B859F2" w:rsidRDefault="00B859F2" w:rsidP="00B859F2">
      <w:pPr>
        <w:spacing w:after="240" w:line="240" w:lineRule="exact"/>
        <w:jc w:val="both"/>
        <w:outlineLvl w:val="0"/>
        <w:rPr>
          <w:rFonts w:ascii="Lato" w:eastAsia="Times New Roman" w:hAnsi="Lato" w:cs="Arial"/>
          <w:bCs/>
          <w:iCs/>
          <w:spacing w:val="4"/>
          <w:sz w:val="20"/>
          <w:szCs w:val="20"/>
          <w:lang w:eastAsia="pl-PL" w:bidi="pl-PL"/>
        </w:rPr>
      </w:pPr>
      <w:r w:rsidRPr="00B859F2">
        <w:rPr>
          <w:rFonts w:ascii="Lato" w:eastAsia="Times New Roman" w:hAnsi="Lato" w:cs="Arial"/>
          <w:bCs/>
          <w:iCs/>
          <w:spacing w:val="4"/>
          <w:sz w:val="20"/>
          <w:szCs w:val="20"/>
          <w:lang w:eastAsia="pl-PL" w:bidi="pl-PL"/>
        </w:rPr>
        <w:t>Strona skarżąca w treści odwołania z dnia 4 maja 2022 r. podniosła zarzuty m.in.</w:t>
      </w:r>
      <w:r>
        <w:rPr>
          <w:rFonts w:ascii="Lato" w:eastAsia="Times New Roman" w:hAnsi="Lato" w:cs="Arial"/>
          <w:bCs/>
          <w:iCs/>
          <w:spacing w:val="4"/>
          <w:sz w:val="20"/>
          <w:szCs w:val="20"/>
          <w:lang w:eastAsia="pl-PL" w:bidi="pl-PL"/>
        </w:rPr>
        <w:t> </w:t>
      </w:r>
      <w:r w:rsidRPr="00B859F2">
        <w:rPr>
          <w:rFonts w:ascii="Lato" w:eastAsia="Times New Roman" w:hAnsi="Lato" w:cs="Arial"/>
          <w:bCs/>
          <w:iCs/>
          <w:spacing w:val="4"/>
          <w:sz w:val="20"/>
          <w:szCs w:val="20"/>
          <w:lang w:eastAsia="pl-PL" w:bidi="pl-PL"/>
        </w:rPr>
        <w:t>w</w:t>
      </w:r>
      <w:r>
        <w:rPr>
          <w:rFonts w:ascii="Lato" w:eastAsia="Times New Roman" w:hAnsi="Lato" w:cs="Arial"/>
          <w:bCs/>
          <w:iCs/>
          <w:spacing w:val="4"/>
          <w:sz w:val="20"/>
          <w:szCs w:val="20"/>
          <w:lang w:eastAsia="pl-PL" w:bidi="pl-PL"/>
        </w:rPr>
        <w:t> </w:t>
      </w:r>
      <w:r w:rsidRPr="00B859F2">
        <w:rPr>
          <w:rFonts w:ascii="Lato" w:eastAsia="Times New Roman" w:hAnsi="Lato" w:cs="Arial"/>
          <w:bCs/>
          <w:iCs/>
          <w:spacing w:val="4"/>
          <w:sz w:val="20"/>
          <w:szCs w:val="20"/>
          <w:lang w:eastAsia="pl-PL" w:bidi="pl-PL"/>
        </w:rPr>
        <w:t>przedmiocie naruszenia przepisów wynikających z Konstytucji RP oraz art. 140 ustawy z dnia 23 kwietnia 1964 r. Kodeks Cywilny (Dz. U. z 2020 r. poz. 1740, z późn. zm.), zwanej dalej „</w:t>
      </w:r>
      <w:proofErr w:type="spellStart"/>
      <w:r w:rsidRPr="00B859F2">
        <w:rPr>
          <w:rFonts w:ascii="Lato" w:eastAsia="Times New Roman" w:hAnsi="Lato" w:cs="Arial"/>
          <w:bCs/>
          <w:i/>
          <w:spacing w:val="4"/>
          <w:sz w:val="20"/>
          <w:szCs w:val="20"/>
          <w:lang w:eastAsia="pl-PL" w:bidi="pl-PL"/>
        </w:rPr>
        <w:t>kc</w:t>
      </w:r>
      <w:proofErr w:type="spellEnd"/>
      <w:r w:rsidRPr="00B859F2">
        <w:rPr>
          <w:rFonts w:ascii="Lato" w:eastAsia="Times New Roman" w:hAnsi="Lato" w:cs="Arial"/>
          <w:bCs/>
          <w:iCs/>
          <w:spacing w:val="4"/>
          <w:sz w:val="20"/>
          <w:szCs w:val="20"/>
          <w:lang w:eastAsia="pl-PL" w:bidi="pl-PL"/>
        </w:rPr>
        <w:t>”, w szczególności – zdaniem Skarżącej – jej uprawnień właścicielskich do nieruchomości oznaczonej jako działka</w:t>
      </w:r>
      <w:r w:rsidR="00D12946">
        <w:rPr>
          <w:rFonts w:ascii="Lato" w:eastAsia="Times New Roman" w:hAnsi="Lato" w:cs="Arial"/>
          <w:bCs/>
          <w:iCs/>
          <w:spacing w:val="4"/>
          <w:sz w:val="20"/>
          <w:szCs w:val="20"/>
          <w:lang w:eastAsia="pl-PL" w:bidi="pl-PL"/>
        </w:rPr>
        <w:t>,</w:t>
      </w:r>
      <w:r w:rsidRPr="00B859F2">
        <w:rPr>
          <w:rFonts w:ascii="Lato" w:eastAsia="Times New Roman" w:hAnsi="Lato" w:cs="Arial"/>
          <w:spacing w:val="4"/>
          <w:sz w:val="20"/>
          <w:szCs w:val="20"/>
          <w:lang w:eastAsia="pl-PL"/>
        </w:rPr>
        <w:t xml:space="preserve"> </w:t>
      </w:r>
      <w:r w:rsidRPr="00B859F2">
        <w:rPr>
          <w:rFonts w:ascii="Lato" w:eastAsia="Times New Roman" w:hAnsi="Lato" w:cs="Arial"/>
          <w:bCs/>
          <w:iCs/>
          <w:spacing w:val="4"/>
          <w:sz w:val="20"/>
          <w:szCs w:val="20"/>
          <w:lang w:eastAsia="pl-PL" w:bidi="pl-PL"/>
        </w:rPr>
        <w:t>na dotychczasowych warunkach oraz zgodnie ze społeczno</w:t>
      </w:r>
      <w:r w:rsidRPr="00B859F2">
        <w:rPr>
          <w:rFonts w:ascii="Lato" w:eastAsia="Times New Roman" w:hAnsi="Lato" w:cs="Arial"/>
          <w:bCs/>
          <w:iCs/>
          <w:spacing w:val="4"/>
          <w:sz w:val="20"/>
          <w:szCs w:val="20"/>
          <w:lang w:eastAsia="pl-PL" w:bidi="pl-PL"/>
        </w:rPr>
        <w:noBreakHyphen/>
        <w:t xml:space="preserve">gospodarczym przeznaczeniem. Skarżąca zarzuciła także </w:t>
      </w:r>
      <w:r w:rsidRPr="00B859F2">
        <w:rPr>
          <w:rFonts w:ascii="Lato" w:eastAsia="Times New Roman" w:hAnsi="Lato" w:cs="Arial"/>
          <w:bCs/>
          <w:i/>
          <w:spacing w:val="4"/>
          <w:sz w:val="20"/>
          <w:szCs w:val="20"/>
          <w:lang w:eastAsia="pl-PL" w:bidi="pl-PL"/>
        </w:rPr>
        <w:t xml:space="preserve">decyzji Wojewody Świętokrzyskiego </w:t>
      </w:r>
      <w:r w:rsidRPr="00B859F2">
        <w:rPr>
          <w:rFonts w:ascii="Lato" w:eastAsia="Times New Roman" w:hAnsi="Lato" w:cs="Arial"/>
          <w:bCs/>
          <w:iCs/>
          <w:spacing w:val="4"/>
          <w:sz w:val="20"/>
          <w:szCs w:val="20"/>
          <w:lang w:eastAsia="pl-PL" w:bidi="pl-PL"/>
        </w:rPr>
        <w:t xml:space="preserve">naruszenie art. 7 </w:t>
      </w:r>
      <w:r w:rsidRPr="00B859F2">
        <w:rPr>
          <w:rFonts w:ascii="Lato" w:eastAsia="Times New Roman" w:hAnsi="Lato" w:cs="Arial"/>
          <w:bCs/>
          <w:i/>
          <w:spacing w:val="4"/>
          <w:sz w:val="20"/>
          <w:szCs w:val="20"/>
          <w:lang w:eastAsia="pl-PL" w:bidi="pl-PL"/>
        </w:rPr>
        <w:t>kpa</w:t>
      </w:r>
      <w:r w:rsidRPr="00B859F2">
        <w:rPr>
          <w:rFonts w:ascii="Lato" w:eastAsia="Times New Roman" w:hAnsi="Lato" w:cs="Arial"/>
          <w:bCs/>
          <w:iCs/>
          <w:spacing w:val="4"/>
          <w:sz w:val="20"/>
          <w:szCs w:val="20"/>
          <w:lang w:eastAsia="pl-PL" w:bidi="pl-PL"/>
        </w:rPr>
        <w:t>, poprzez nieuwzględnienie interesu społecznego i słusznego interesu obywateli w zaskarżonej decyzji oraz pominięcie jej sprzeciwu względem planowanej inwestycji w zakresie terminalu. W przedmiotowym odwołaniu od </w:t>
      </w:r>
      <w:r w:rsidRPr="00B859F2">
        <w:rPr>
          <w:rFonts w:ascii="Lato" w:eastAsia="Times New Roman" w:hAnsi="Lato" w:cs="Arial"/>
          <w:bCs/>
          <w:i/>
          <w:spacing w:val="4"/>
          <w:sz w:val="20"/>
          <w:szCs w:val="20"/>
          <w:lang w:eastAsia="pl-PL" w:bidi="pl-PL"/>
        </w:rPr>
        <w:t>decyzji Wojewody Świętokrzyskiego</w:t>
      </w:r>
      <w:r w:rsidRPr="00B859F2">
        <w:rPr>
          <w:rFonts w:ascii="Lato" w:eastAsia="Times New Roman" w:hAnsi="Lato" w:cs="Arial"/>
          <w:bCs/>
          <w:iCs/>
          <w:spacing w:val="4"/>
          <w:sz w:val="20"/>
          <w:szCs w:val="20"/>
          <w:lang w:eastAsia="pl-PL" w:bidi="pl-PL"/>
        </w:rPr>
        <w:t xml:space="preserve"> strona skarżąca wskazała, iż korzystanie z ww. działki uniemożliwi w</w:t>
      </w:r>
      <w:r>
        <w:rPr>
          <w:rFonts w:ascii="Lato" w:eastAsia="Times New Roman" w:hAnsi="Lato" w:cs="Arial"/>
          <w:bCs/>
          <w:iCs/>
          <w:spacing w:val="4"/>
          <w:sz w:val="20"/>
          <w:szCs w:val="20"/>
          <w:lang w:eastAsia="pl-PL" w:bidi="pl-PL"/>
        </w:rPr>
        <w:t> </w:t>
      </w:r>
      <w:r w:rsidRPr="00B859F2">
        <w:rPr>
          <w:rFonts w:ascii="Lato" w:eastAsia="Times New Roman" w:hAnsi="Lato" w:cs="Arial"/>
          <w:bCs/>
          <w:iCs/>
          <w:spacing w:val="4"/>
          <w:sz w:val="20"/>
          <w:szCs w:val="20"/>
          <w:lang w:eastAsia="pl-PL" w:bidi="pl-PL"/>
        </w:rPr>
        <w:t>przyszłości jej wykorzystanie dla celów budowlanych oraz sprawi, że ww. nieruchomość stanie się bezwartościowa. Skarżąca podkreśliła także, iż działka stanowi jej zabezpieczenie finansowe w związku z chorobą jej niepełnosprawnego syna.</w:t>
      </w:r>
    </w:p>
    <w:p w14:paraId="004E9936" w14:textId="7D6BEFAE" w:rsidR="00B859F2" w:rsidRPr="00B859F2" w:rsidRDefault="00B859F2" w:rsidP="00B859F2">
      <w:pPr>
        <w:spacing w:after="240" w:line="240" w:lineRule="exact"/>
        <w:jc w:val="both"/>
        <w:outlineLvl w:val="0"/>
        <w:rPr>
          <w:rFonts w:ascii="Lato" w:eastAsia="Times New Roman" w:hAnsi="Lato" w:cs="Arial"/>
          <w:spacing w:val="4"/>
          <w:sz w:val="20"/>
          <w:szCs w:val="20"/>
          <w:lang w:eastAsia="pl-PL" w:bidi="pl-PL"/>
        </w:rPr>
      </w:pPr>
      <w:r w:rsidRPr="00B859F2">
        <w:rPr>
          <w:rFonts w:ascii="Lato" w:eastAsia="Times New Roman" w:hAnsi="Lato" w:cs="Arial"/>
          <w:spacing w:val="4"/>
          <w:sz w:val="20"/>
          <w:szCs w:val="20"/>
          <w:lang w:eastAsia="pl-PL" w:bidi="pl-PL"/>
        </w:rPr>
        <w:t>Wobec powyższego na wstępie podkreślenia wymaga, iż brak zgody Skarżącej na</w:t>
      </w:r>
      <w:r>
        <w:rPr>
          <w:rFonts w:ascii="Lato" w:eastAsia="Times New Roman" w:hAnsi="Lato" w:cs="Arial"/>
          <w:spacing w:val="4"/>
          <w:sz w:val="20"/>
          <w:szCs w:val="20"/>
          <w:lang w:eastAsia="pl-PL" w:bidi="pl-PL"/>
        </w:rPr>
        <w:t> </w:t>
      </w:r>
      <w:r w:rsidRPr="00B859F2">
        <w:rPr>
          <w:rFonts w:ascii="Lato" w:eastAsia="Times New Roman" w:hAnsi="Lato" w:cs="Arial"/>
          <w:spacing w:val="4"/>
          <w:sz w:val="20"/>
          <w:szCs w:val="20"/>
          <w:lang w:eastAsia="pl-PL" w:bidi="pl-PL"/>
        </w:rPr>
        <w:t>lokalizację przedmiotowej inwestycji na działce stanowiącej jej własność, w</w:t>
      </w:r>
      <w:r>
        <w:rPr>
          <w:rFonts w:ascii="Lato" w:eastAsia="Times New Roman" w:hAnsi="Lato" w:cs="Arial"/>
          <w:spacing w:val="4"/>
          <w:sz w:val="20"/>
          <w:szCs w:val="20"/>
          <w:lang w:eastAsia="pl-PL" w:bidi="pl-PL"/>
        </w:rPr>
        <w:t> </w:t>
      </w:r>
      <w:r w:rsidRPr="00B859F2">
        <w:rPr>
          <w:rFonts w:ascii="Lato" w:eastAsia="Times New Roman" w:hAnsi="Lato" w:cs="Arial"/>
          <w:spacing w:val="4"/>
          <w:sz w:val="20"/>
          <w:szCs w:val="20"/>
          <w:lang w:eastAsia="pl-PL" w:bidi="pl-PL"/>
        </w:rPr>
        <w:t xml:space="preserve">koncepcji przyjętej przez </w:t>
      </w:r>
      <w:r w:rsidRPr="00B859F2">
        <w:rPr>
          <w:rFonts w:ascii="Lato" w:eastAsia="Times New Roman" w:hAnsi="Lato" w:cs="Arial"/>
          <w:i/>
          <w:iCs/>
          <w:spacing w:val="4"/>
          <w:sz w:val="20"/>
          <w:szCs w:val="20"/>
          <w:lang w:eastAsia="pl-PL" w:bidi="pl-PL"/>
        </w:rPr>
        <w:t>inwestora</w:t>
      </w:r>
      <w:r w:rsidRPr="00B859F2">
        <w:rPr>
          <w:rFonts w:ascii="Lato" w:eastAsia="Times New Roman" w:hAnsi="Lato" w:cs="Arial"/>
          <w:spacing w:val="4"/>
          <w:sz w:val="20"/>
          <w:szCs w:val="20"/>
          <w:lang w:eastAsia="pl-PL" w:bidi="pl-PL"/>
        </w:rPr>
        <w:t xml:space="preserve"> i zatwierdzonej w </w:t>
      </w:r>
      <w:r w:rsidRPr="00B859F2">
        <w:rPr>
          <w:rFonts w:ascii="Lato" w:eastAsia="Times New Roman" w:hAnsi="Lato" w:cs="Arial"/>
          <w:i/>
          <w:iCs/>
          <w:spacing w:val="4"/>
          <w:sz w:val="20"/>
          <w:szCs w:val="20"/>
          <w:lang w:eastAsia="pl-PL" w:bidi="pl-PL"/>
        </w:rPr>
        <w:t>decyzji Wojewody Świętokrzyskiego</w:t>
      </w:r>
      <w:r w:rsidRPr="00B859F2">
        <w:rPr>
          <w:rFonts w:ascii="Lato" w:eastAsia="Times New Roman" w:hAnsi="Lato" w:cs="Arial"/>
          <w:spacing w:val="4"/>
          <w:sz w:val="20"/>
          <w:szCs w:val="20"/>
          <w:lang w:eastAsia="pl-PL" w:bidi="pl-PL"/>
        </w:rPr>
        <w:t xml:space="preserve">, nie stanowi o wadliwości zaskarżonej decyzji, gdyż przepisy obowiązującego prawa, w tym przepisy </w:t>
      </w:r>
      <w:r w:rsidRPr="00B859F2">
        <w:rPr>
          <w:rFonts w:ascii="Lato" w:eastAsia="Times New Roman" w:hAnsi="Lato" w:cs="Arial"/>
          <w:i/>
          <w:iCs/>
          <w:spacing w:val="4"/>
          <w:sz w:val="20"/>
          <w:szCs w:val="20"/>
          <w:lang w:eastAsia="pl-PL" w:bidi="pl-PL"/>
        </w:rPr>
        <w:t>specustawy gazowej</w:t>
      </w:r>
      <w:r w:rsidRPr="00B859F2">
        <w:rPr>
          <w:rFonts w:ascii="Lato" w:eastAsia="Times New Roman" w:hAnsi="Lato" w:cs="Arial"/>
          <w:spacing w:val="4"/>
          <w:sz w:val="20"/>
          <w:szCs w:val="20"/>
          <w:lang w:eastAsia="pl-PL" w:bidi="pl-PL"/>
        </w:rPr>
        <w:t xml:space="preserve">, nie uzależniają </w:t>
      </w:r>
      <w:r w:rsidRPr="00B859F2">
        <w:rPr>
          <w:rFonts w:ascii="Lato" w:eastAsia="Times New Roman" w:hAnsi="Lato" w:cs="Arial"/>
          <w:bCs/>
          <w:iCs/>
          <w:spacing w:val="4"/>
          <w:sz w:val="20"/>
          <w:szCs w:val="20"/>
          <w:lang w:eastAsia="pl-PL" w:bidi="pl-PL"/>
        </w:rPr>
        <w:t xml:space="preserve">wydania </w:t>
      </w:r>
      <w:r w:rsidRPr="00B859F2">
        <w:rPr>
          <w:rFonts w:ascii="Lato" w:eastAsia="Times New Roman" w:hAnsi="Lato" w:cs="Arial"/>
          <w:spacing w:val="4"/>
          <w:sz w:val="20"/>
          <w:szCs w:val="20"/>
          <w:lang w:eastAsia="pl-PL"/>
        </w:rPr>
        <w:t xml:space="preserve">decyzji o ustaleniu </w:t>
      </w:r>
      <w:r w:rsidRPr="00B859F2">
        <w:rPr>
          <w:rFonts w:ascii="Lato" w:eastAsia="Times New Roman" w:hAnsi="Lato" w:cs="Arial"/>
          <w:spacing w:val="4"/>
          <w:sz w:val="20"/>
          <w:szCs w:val="20"/>
          <w:shd w:val="clear" w:color="auto" w:fill="FFFFFF"/>
          <w:lang w:eastAsia="pl-PL"/>
        </w:rPr>
        <w:t> lokalizacji inwestycji w zakresie terminalu</w:t>
      </w:r>
      <w:r w:rsidRPr="00B859F2">
        <w:rPr>
          <w:rFonts w:ascii="Lato" w:eastAsia="Times New Roman" w:hAnsi="Lato" w:cs="Arial"/>
          <w:bCs/>
          <w:spacing w:val="4"/>
          <w:sz w:val="20"/>
          <w:szCs w:val="20"/>
          <w:lang w:eastAsia="pl-PL"/>
        </w:rPr>
        <w:t xml:space="preserve"> </w:t>
      </w:r>
      <w:r w:rsidRPr="00B859F2">
        <w:rPr>
          <w:rFonts w:ascii="Lato" w:eastAsia="Times New Roman" w:hAnsi="Lato" w:cs="Arial"/>
          <w:bCs/>
          <w:iCs/>
          <w:spacing w:val="4"/>
          <w:sz w:val="20"/>
          <w:szCs w:val="20"/>
          <w:lang w:eastAsia="pl-PL" w:bidi="pl-PL"/>
        </w:rPr>
        <w:t>na danej nieruchomości</w:t>
      </w:r>
      <w:r w:rsidRPr="00B859F2">
        <w:rPr>
          <w:rFonts w:ascii="Lato" w:eastAsia="Times New Roman" w:hAnsi="Lato" w:cs="Arial"/>
          <w:spacing w:val="4"/>
          <w:sz w:val="20"/>
          <w:szCs w:val="20"/>
          <w:lang w:eastAsia="pl-PL" w:bidi="pl-PL"/>
        </w:rPr>
        <w:t xml:space="preserve"> od wyrażenia na to zgody podmiotu będącego właścicielem bądź użytkownikiem wieczystym tejże nieruchomości. </w:t>
      </w:r>
    </w:p>
    <w:p w14:paraId="62584B43" w14:textId="074E1DA5" w:rsidR="00B859F2" w:rsidRPr="00B859F2" w:rsidRDefault="00B859F2" w:rsidP="00B859F2">
      <w:pPr>
        <w:spacing w:after="240" w:line="240" w:lineRule="exact"/>
        <w:jc w:val="both"/>
        <w:rPr>
          <w:rFonts w:ascii="Lato" w:eastAsia="Times New Roman" w:hAnsi="Lato" w:cs="Arial"/>
          <w:bCs/>
          <w:iCs/>
          <w:spacing w:val="4"/>
          <w:sz w:val="20"/>
          <w:szCs w:val="20"/>
          <w:lang w:eastAsia="pl-PL" w:bidi="pl-PL"/>
        </w:rPr>
      </w:pPr>
      <w:r w:rsidRPr="00B859F2">
        <w:rPr>
          <w:rFonts w:ascii="Lato" w:eastAsia="Times New Roman" w:hAnsi="Lato" w:cs="Arial"/>
          <w:bCs/>
          <w:iCs/>
          <w:spacing w:val="4"/>
          <w:sz w:val="20"/>
          <w:szCs w:val="20"/>
          <w:lang w:eastAsia="pl-PL" w:bidi="pl-PL"/>
        </w:rPr>
        <w:t xml:space="preserve">W niniejszej sprawie nieruchomość Skarżącej została wymieniona w pkt 1, na str. 2 zaskarżonej decyzji, dotyczącym: „Określenia granic terenu objętego inwestycją </w:t>
      </w:r>
      <w:r w:rsidRPr="00B859F2">
        <w:rPr>
          <w:rFonts w:ascii="Lato" w:eastAsia="Times New Roman" w:hAnsi="Lato" w:cs="Arial"/>
          <w:bCs/>
          <w:iCs/>
          <w:spacing w:val="4"/>
          <w:sz w:val="20"/>
          <w:szCs w:val="20"/>
          <w:lang w:eastAsia="pl-PL" w:bidi="pl-PL"/>
        </w:rPr>
        <w:lastRenderedPageBreak/>
        <w:t>w</w:t>
      </w:r>
      <w:r>
        <w:rPr>
          <w:rFonts w:ascii="Lato" w:eastAsia="Times New Roman" w:hAnsi="Lato" w:cs="Arial"/>
          <w:bCs/>
          <w:iCs/>
          <w:spacing w:val="4"/>
          <w:sz w:val="20"/>
          <w:szCs w:val="20"/>
          <w:lang w:eastAsia="pl-PL" w:bidi="pl-PL"/>
        </w:rPr>
        <w:t> </w:t>
      </w:r>
      <w:r w:rsidRPr="00B859F2">
        <w:rPr>
          <w:rFonts w:ascii="Lato" w:eastAsia="Times New Roman" w:hAnsi="Lato" w:cs="Arial"/>
          <w:bCs/>
          <w:iCs/>
          <w:spacing w:val="4"/>
          <w:sz w:val="20"/>
          <w:szCs w:val="20"/>
          <w:lang w:eastAsia="pl-PL" w:bidi="pl-PL"/>
        </w:rPr>
        <w:t>zakresie terminalu”. Ponadto, działka Skarżącej</w:t>
      </w:r>
      <w:r w:rsidRPr="00B859F2">
        <w:rPr>
          <w:rFonts w:ascii="Lato" w:eastAsia="Times New Roman" w:hAnsi="Lato" w:cs="Arial"/>
          <w:spacing w:val="4"/>
          <w:sz w:val="20"/>
          <w:szCs w:val="20"/>
          <w:lang w:eastAsia="pl-PL"/>
        </w:rPr>
        <w:t xml:space="preserve">, została również objęta ograniczeniem w korzystaniu z art. 24 </w:t>
      </w:r>
      <w:r w:rsidRPr="00B859F2">
        <w:rPr>
          <w:rFonts w:ascii="Lato" w:eastAsia="Times New Roman" w:hAnsi="Lato" w:cs="Arial"/>
          <w:i/>
          <w:iCs/>
          <w:spacing w:val="4"/>
          <w:sz w:val="20"/>
          <w:szCs w:val="20"/>
          <w:lang w:eastAsia="pl-PL"/>
        </w:rPr>
        <w:t>specustawy gazowej</w:t>
      </w:r>
      <w:r w:rsidRPr="00B859F2">
        <w:rPr>
          <w:rFonts w:ascii="Lato" w:eastAsia="Times New Roman" w:hAnsi="Lato" w:cs="Arial"/>
          <w:spacing w:val="4"/>
          <w:sz w:val="20"/>
          <w:szCs w:val="20"/>
          <w:lang w:eastAsia="pl-PL"/>
        </w:rPr>
        <w:t>, co</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zostało wskazane w tabeli w pkt 1.3 pod numerem 26, na str. 4 oraz w pkt 8 i 9 na</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str.</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12-13 </w:t>
      </w:r>
      <w:r w:rsidRPr="00B859F2">
        <w:rPr>
          <w:rFonts w:ascii="Lato" w:eastAsia="Times New Roman" w:hAnsi="Lato" w:cs="Arial"/>
          <w:i/>
          <w:spacing w:val="4"/>
          <w:sz w:val="20"/>
          <w:szCs w:val="20"/>
          <w:lang w:eastAsia="pl-PL"/>
        </w:rPr>
        <w:t>decyzji Wojewody Świętokrzyskiego</w:t>
      </w:r>
      <w:r w:rsidRPr="00B859F2">
        <w:rPr>
          <w:rFonts w:ascii="Lato" w:eastAsia="Times New Roman" w:hAnsi="Lato" w:cs="Arial"/>
          <w:iCs/>
          <w:spacing w:val="4"/>
          <w:sz w:val="20"/>
          <w:szCs w:val="20"/>
          <w:lang w:eastAsia="pl-PL"/>
        </w:rPr>
        <w:t>.</w:t>
      </w:r>
    </w:p>
    <w:p w14:paraId="704C2E58" w14:textId="758272FE" w:rsidR="00B859F2" w:rsidRPr="00B859F2" w:rsidRDefault="00B859F2" w:rsidP="00B859F2">
      <w:pPr>
        <w:spacing w:after="240" w:line="240" w:lineRule="exact"/>
        <w:jc w:val="both"/>
        <w:rPr>
          <w:rFonts w:ascii="Lato" w:eastAsia="Times New Roman" w:hAnsi="Lato" w:cs="Arial"/>
          <w:bCs/>
          <w:iCs/>
          <w:spacing w:val="4"/>
          <w:sz w:val="20"/>
          <w:szCs w:val="20"/>
          <w:lang w:eastAsia="pl-PL" w:bidi="pl-PL"/>
        </w:rPr>
      </w:pPr>
      <w:r w:rsidRPr="00B859F2">
        <w:rPr>
          <w:rFonts w:ascii="Lato" w:eastAsia="Times New Roman" w:hAnsi="Lato" w:cs="Arial"/>
          <w:bCs/>
          <w:iCs/>
          <w:spacing w:val="4"/>
          <w:sz w:val="20"/>
          <w:szCs w:val="20"/>
          <w:lang w:eastAsia="pl-PL" w:bidi="pl-PL"/>
        </w:rPr>
        <w:t xml:space="preserve">Jak wynika z treści art. 24 ust. 1 </w:t>
      </w:r>
      <w:r w:rsidRPr="00B859F2">
        <w:rPr>
          <w:rFonts w:ascii="Lato" w:eastAsia="Times New Roman" w:hAnsi="Lato" w:cs="Arial"/>
          <w:bCs/>
          <w:i/>
          <w:spacing w:val="4"/>
          <w:sz w:val="20"/>
          <w:szCs w:val="20"/>
          <w:lang w:eastAsia="pl-PL" w:bidi="pl-PL"/>
        </w:rPr>
        <w:t>specustawy gazowej</w:t>
      </w:r>
      <w:r w:rsidRPr="00B859F2">
        <w:rPr>
          <w:rFonts w:ascii="Lato" w:eastAsia="Times New Roman" w:hAnsi="Lato" w:cs="Arial"/>
          <w:bCs/>
          <w:iCs/>
          <w:spacing w:val="4"/>
          <w:sz w:val="20"/>
          <w:szCs w:val="20"/>
          <w:lang w:eastAsia="pl-PL" w:bidi="pl-PL"/>
        </w:rPr>
        <w:t xml:space="preserve">, ustawodawca umożliwił organowi wydającemu decyzję o ustaleniu lokalizacji inwestycji w zakresie terminalu wprowadzenie ograniczenia prawa własności nieruchomości określonych w art. 10 ust. 1 pkt 8 </w:t>
      </w:r>
      <w:r w:rsidRPr="00B859F2">
        <w:rPr>
          <w:rFonts w:ascii="Lato" w:eastAsia="Times New Roman" w:hAnsi="Lato" w:cs="Arial"/>
          <w:bCs/>
          <w:i/>
          <w:spacing w:val="4"/>
          <w:sz w:val="20"/>
          <w:szCs w:val="20"/>
          <w:lang w:eastAsia="pl-PL" w:bidi="pl-PL"/>
        </w:rPr>
        <w:t>specustawy gazowej</w:t>
      </w:r>
      <w:r w:rsidRPr="00B859F2">
        <w:rPr>
          <w:rFonts w:ascii="Lato" w:eastAsia="Times New Roman" w:hAnsi="Lato" w:cs="Arial"/>
          <w:bCs/>
          <w:iCs/>
          <w:spacing w:val="4"/>
          <w:sz w:val="20"/>
          <w:szCs w:val="20"/>
          <w:lang w:eastAsia="pl-PL" w:bidi="pl-PL"/>
        </w:rPr>
        <w:t xml:space="preserve"> poprzez określenie sposobu korzystania z tych nieruchomości przez udzielenie zezwolenia w szczególności na zakładanie </w:t>
      </w:r>
      <w:r w:rsidRPr="00B859F2">
        <w:rPr>
          <w:rFonts w:ascii="Lato" w:eastAsia="Times New Roman" w:hAnsi="Lato" w:cs="Arial"/>
          <w:bCs/>
          <w:iCs/>
          <w:spacing w:val="4"/>
          <w:sz w:val="20"/>
          <w:szCs w:val="20"/>
          <w:lang w:eastAsia="pl-PL" w:bidi="pl-PL"/>
        </w:rPr>
        <w:br/>
        <w:t xml:space="preserve">i przeprowadzenie na nieruchomości ciągów drenażowych, przewodów i urządzeń służących do przesyłania płynów, pary, gazów i energii elektrycznej oraz urządzeń łączności publicznej i sygnalizacji, a także innych podziemnych, naziemnych lub nadziemnych obiektów i urządzeń niezbędnych do założenia, przeprowadzenia oraz korzystania z tych przewodów i urządzeń. Jednocześnie wskazano cel, dla którego wprowadza się takie ograniczenie – zapewnienie prawa do wejścia na teren nieruchomości dla prowadzenia na nich budowy inwestycji w zakresie terminalu, </w:t>
      </w:r>
      <w:r w:rsidRPr="00B859F2">
        <w:rPr>
          <w:rFonts w:ascii="Lato" w:eastAsia="Times New Roman" w:hAnsi="Lato" w:cs="Arial"/>
          <w:bCs/>
          <w:iCs/>
          <w:spacing w:val="4"/>
          <w:sz w:val="20"/>
          <w:szCs w:val="20"/>
          <w:lang w:eastAsia="pl-PL" w:bidi="pl-PL"/>
        </w:rPr>
        <w:br/>
        <w:t xml:space="preserve">a także prac związanych z rozbiórką, przebudową, zmianą sposobu użytkowania, utrzymaniem, eksploatacją, użytkowaniem, remontami oraz usuwaniem awarii. W myśl art. 24 ust. 1b </w:t>
      </w:r>
      <w:r w:rsidRPr="00B859F2">
        <w:rPr>
          <w:rFonts w:ascii="Lato" w:eastAsia="Times New Roman" w:hAnsi="Lato" w:cs="Arial"/>
          <w:bCs/>
          <w:i/>
          <w:spacing w:val="4"/>
          <w:sz w:val="20"/>
          <w:szCs w:val="20"/>
          <w:lang w:eastAsia="pl-PL" w:bidi="pl-PL"/>
        </w:rPr>
        <w:t>specustawy gazowej</w:t>
      </w:r>
      <w:r w:rsidRPr="00B859F2">
        <w:rPr>
          <w:rFonts w:ascii="Lato" w:eastAsia="Times New Roman" w:hAnsi="Lato" w:cs="Arial"/>
          <w:bCs/>
          <w:iCs/>
          <w:spacing w:val="4"/>
          <w:sz w:val="20"/>
          <w:szCs w:val="20"/>
          <w:lang w:eastAsia="pl-PL" w:bidi="pl-PL"/>
        </w:rPr>
        <w:t>, na wniosek inwestora ograniczenie sposobu korzystania z nieruchomości, o którym mowa w ust. 1, może nastąpić na czas określony.</w:t>
      </w:r>
    </w:p>
    <w:p w14:paraId="359AC880" w14:textId="7A69880F" w:rsidR="00B859F2" w:rsidRPr="00B859F2" w:rsidRDefault="00B859F2" w:rsidP="00B859F2">
      <w:pPr>
        <w:tabs>
          <w:tab w:val="left" w:pos="9639"/>
        </w:tabs>
        <w:autoSpaceDE w:val="0"/>
        <w:autoSpaceDN w:val="0"/>
        <w:adjustRightInd w:val="0"/>
        <w:spacing w:after="240" w:line="240" w:lineRule="exact"/>
        <w:jc w:val="both"/>
        <w:rPr>
          <w:rFonts w:ascii="Lato" w:eastAsia="Times New Roman" w:hAnsi="Lato" w:cs="Arial"/>
          <w:bCs/>
          <w:iCs/>
          <w:spacing w:val="4"/>
          <w:sz w:val="20"/>
          <w:szCs w:val="20"/>
          <w:lang w:eastAsia="pl-PL"/>
        </w:rPr>
      </w:pPr>
      <w:r w:rsidRPr="00B859F2">
        <w:rPr>
          <w:rFonts w:ascii="Lato" w:eastAsia="Times New Roman" w:hAnsi="Lato" w:cs="Arial"/>
          <w:bCs/>
          <w:iCs/>
          <w:spacing w:val="4"/>
          <w:sz w:val="20"/>
          <w:szCs w:val="20"/>
          <w:lang w:eastAsia="pl-PL" w:bidi="pl-PL"/>
        </w:rPr>
        <w:t>Takie ograniczenie jest nazywane w doktrynie prawa służebnością publiczną (por.</w:t>
      </w:r>
      <w:r w:rsidR="009966B6">
        <w:rPr>
          <w:rFonts w:ascii="Lato" w:eastAsia="Times New Roman" w:hAnsi="Lato" w:cs="Arial"/>
          <w:bCs/>
          <w:iCs/>
          <w:spacing w:val="4"/>
          <w:sz w:val="20"/>
          <w:szCs w:val="20"/>
          <w:lang w:eastAsia="pl-PL" w:bidi="pl-PL"/>
        </w:rPr>
        <w:t> </w:t>
      </w:r>
      <w:r w:rsidRPr="00B859F2">
        <w:rPr>
          <w:rFonts w:ascii="Lato" w:eastAsia="Times New Roman" w:hAnsi="Lato" w:cs="Arial"/>
          <w:bCs/>
          <w:iCs/>
          <w:spacing w:val="4"/>
          <w:sz w:val="20"/>
          <w:szCs w:val="20"/>
          <w:lang w:eastAsia="pl-PL" w:bidi="pl-PL"/>
        </w:rPr>
        <w:t>M.</w:t>
      </w:r>
      <w:r w:rsidR="009966B6">
        <w:rPr>
          <w:rFonts w:ascii="Lato" w:eastAsia="Times New Roman" w:hAnsi="Lato" w:cs="Arial"/>
          <w:bCs/>
          <w:iCs/>
          <w:spacing w:val="4"/>
          <w:sz w:val="20"/>
          <w:szCs w:val="20"/>
          <w:lang w:eastAsia="pl-PL" w:bidi="pl-PL"/>
        </w:rPr>
        <w:t> </w:t>
      </w:r>
      <w:proofErr w:type="spellStart"/>
      <w:r w:rsidRPr="00B859F2">
        <w:rPr>
          <w:rFonts w:ascii="Lato" w:eastAsia="Times New Roman" w:hAnsi="Lato" w:cs="Arial"/>
          <w:bCs/>
          <w:iCs/>
          <w:spacing w:val="4"/>
          <w:sz w:val="20"/>
          <w:szCs w:val="20"/>
          <w:lang w:eastAsia="pl-PL" w:bidi="pl-PL"/>
        </w:rPr>
        <w:t>Gdesz</w:t>
      </w:r>
      <w:proofErr w:type="spellEnd"/>
      <w:r w:rsidRPr="00B859F2">
        <w:rPr>
          <w:rFonts w:ascii="Lato" w:eastAsia="Times New Roman" w:hAnsi="Lato" w:cs="Arial"/>
          <w:bCs/>
          <w:iCs/>
          <w:spacing w:val="4"/>
          <w:sz w:val="20"/>
          <w:szCs w:val="20"/>
          <w:lang w:eastAsia="pl-PL" w:bidi="pl-PL"/>
        </w:rPr>
        <w:t xml:space="preserve">, A. </w:t>
      </w:r>
      <w:proofErr w:type="spellStart"/>
      <w:r w:rsidRPr="00B859F2">
        <w:rPr>
          <w:rFonts w:ascii="Lato" w:eastAsia="Times New Roman" w:hAnsi="Lato" w:cs="Arial"/>
          <w:bCs/>
          <w:iCs/>
          <w:spacing w:val="4"/>
          <w:sz w:val="20"/>
          <w:szCs w:val="20"/>
          <w:lang w:eastAsia="pl-PL" w:bidi="pl-PL"/>
        </w:rPr>
        <w:t>Milicka-Stojek</w:t>
      </w:r>
      <w:proofErr w:type="spellEnd"/>
      <w:r w:rsidRPr="00B859F2">
        <w:rPr>
          <w:rFonts w:ascii="Lato" w:eastAsia="Times New Roman" w:hAnsi="Lato" w:cs="Arial"/>
          <w:bCs/>
          <w:iCs/>
          <w:spacing w:val="4"/>
          <w:sz w:val="20"/>
          <w:szCs w:val="20"/>
          <w:lang w:eastAsia="pl-PL" w:bidi="pl-PL"/>
        </w:rPr>
        <w:t>, C. Kowalczyk, D. Konieczny: „Aspekty prawne i</w:t>
      </w:r>
      <w:r w:rsidR="009966B6">
        <w:rPr>
          <w:rFonts w:ascii="Lato" w:eastAsia="Times New Roman" w:hAnsi="Lato" w:cs="Arial"/>
          <w:bCs/>
          <w:iCs/>
          <w:spacing w:val="4"/>
          <w:sz w:val="20"/>
          <w:szCs w:val="20"/>
          <w:lang w:eastAsia="pl-PL" w:bidi="pl-PL"/>
        </w:rPr>
        <w:t> </w:t>
      </w:r>
      <w:r w:rsidRPr="00B859F2">
        <w:rPr>
          <w:rFonts w:ascii="Lato" w:eastAsia="Times New Roman" w:hAnsi="Lato" w:cs="Arial"/>
          <w:bCs/>
          <w:iCs/>
          <w:spacing w:val="4"/>
          <w:sz w:val="20"/>
          <w:szCs w:val="20"/>
          <w:lang w:eastAsia="pl-PL" w:bidi="pl-PL"/>
        </w:rPr>
        <w:t>ekonomiczne administracyjnego ograniczenia korzystania z nieruchomości – służebność publiczna i</w:t>
      </w:r>
      <w:r>
        <w:rPr>
          <w:rFonts w:ascii="Lato" w:eastAsia="Times New Roman" w:hAnsi="Lato" w:cs="Arial"/>
          <w:bCs/>
          <w:iCs/>
          <w:spacing w:val="4"/>
          <w:sz w:val="20"/>
          <w:szCs w:val="20"/>
          <w:lang w:eastAsia="pl-PL" w:bidi="pl-PL"/>
        </w:rPr>
        <w:t> </w:t>
      </w:r>
      <w:r w:rsidRPr="00B859F2">
        <w:rPr>
          <w:rFonts w:ascii="Lato" w:eastAsia="Times New Roman" w:hAnsi="Lato" w:cs="Arial"/>
          <w:bCs/>
          <w:iCs/>
          <w:spacing w:val="4"/>
          <w:sz w:val="20"/>
          <w:szCs w:val="20"/>
          <w:lang w:eastAsia="pl-PL" w:bidi="pl-PL"/>
        </w:rPr>
        <w:t xml:space="preserve">odszkodowania”, wyd. Instytut Infrastruktury Liniowej, Olsztyn 2016). </w:t>
      </w:r>
    </w:p>
    <w:p w14:paraId="0E0AAAF3" w14:textId="287AE408" w:rsidR="00B859F2" w:rsidRPr="00B859F2" w:rsidRDefault="00B859F2" w:rsidP="00B859F2">
      <w:pPr>
        <w:spacing w:after="240" w:line="240" w:lineRule="exact"/>
        <w:jc w:val="both"/>
        <w:rPr>
          <w:rFonts w:ascii="Lato" w:eastAsia="Times New Roman" w:hAnsi="Lato" w:cs="Arial"/>
          <w:bCs/>
          <w:iCs/>
          <w:spacing w:val="4"/>
          <w:sz w:val="20"/>
          <w:szCs w:val="20"/>
          <w:lang w:eastAsia="pl-PL" w:bidi="pl-PL"/>
        </w:rPr>
      </w:pPr>
      <w:r w:rsidRPr="00B859F2">
        <w:rPr>
          <w:rFonts w:ascii="Lato" w:eastAsia="Times New Roman" w:hAnsi="Lato" w:cs="Arial"/>
          <w:bCs/>
          <w:iCs/>
          <w:spacing w:val="4"/>
          <w:sz w:val="20"/>
          <w:szCs w:val="20"/>
          <w:lang w:eastAsia="pl-PL" w:bidi="pl-PL"/>
        </w:rPr>
        <w:t xml:space="preserve">Autorzy powołanej publikacji zwrócili m.in. uwagę, że konstrukcja prawna służebności publicznej staje się coraz ważniejszym publicznoprawnym instrumentem kształtowania treści prawa własności w rozumieniu art. 140 </w:t>
      </w:r>
      <w:proofErr w:type="spellStart"/>
      <w:r w:rsidRPr="00B859F2">
        <w:rPr>
          <w:rFonts w:ascii="Lato" w:eastAsia="Times New Roman" w:hAnsi="Lato" w:cs="Arial"/>
          <w:bCs/>
          <w:i/>
          <w:spacing w:val="4"/>
          <w:sz w:val="20"/>
          <w:szCs w:val="20"/>
          <w:lang w:eastAsia="pl-PL" w:bidi="pl-PL"/>
        </w:rPr>
        <w:t>kc</w:t>
      </w:r>
      <w:proofErr w:type="spellEnd"/>
      <w:r w:rsidRPr="00B859F2">
        <w:rPr>
          <w:rFonts w:ascii="Lato" w:eastAsia="Times New Roman" w:hAnsi="Lato" w:cs="Arial"/>
          <w:bCs/>
          <w:iCs/>
          <w:spacing w:val="4"/>
          <w:sz w:val="20"/>
          <w:szCs w:val="20"/>
          <w:lang w:eastAsia="pl-PL" w:bidi="pl-PL"/>
        </w:rPr>
        <w:t>. Służebność publiczna jest ustanawiana w interesie publicznym, które to pojęcie w polskim systemie prawnym zostało na</w:t>
      </w:r>
      <w:r>
        <w:rPr>
          <w:rFonts w:ascii="Lato" w:eastAsia="Times New Roman" w:hAnsi="Lato" w:cs="Arial"/>
          <w:bCs/>
          <w:iCs/>
          <w:spacing w:val="4"/>
          <w:sz w:val="20"/>
          <w:szCs w:val="20"/>
          <w:lang w:eastAsia="pl-PL" w:bidi="pl-PL"/>
        </w:rPr>
        <w:t> </w:t>
      </w:r>
      <w:r w:rsidRPr="00B859F2">
        <w:rPr>
          <w:rFonts w:ascii="Lato" w:eastAsia="Times New Roman" w:hAnsi="Lato" w:cs="Arial"/>
          <w:bCs/>
          <w:iCs/>
          <w:spacing w:val="4"/>
          <w:sz w:val="20"/>
          <w:szCs w:val="20"/>
          <w:lang w:eastAsia="pl-PL" w:bidi="pl-PL"/>
        </w:rPr>
        <w:t xml:space="preserve">poziomie ustawowym zdefiniowane w art. 6 </w:t>
      </w:r>
      <w:r w:rsidRPr="00B859F2">
        <w:rPr>
          <w:rFonts w:ascii="Lato" w:eastAsia="Times New Roman" w:hAnsi="Lato" w:cs="Arial"/>
          <w:bCs/>
          <w:spacing w:val="4"/>
          <w:sz w:val="20"/>
          <w:szCs w:val="20"/>
          <w:lang w:eastAsia="pl-PL"/>
        </w:rPr>
        <w:t>ustawy z dnia 21 sierpnia 1997 r. o</w:t>
      </w:r>
      <w:r>
        <w:rPr>
          <w:rFonts w:ascii="Lato" w:eastAsia="Times New Roman" w:hAnsi="Lato" w:cs="Arial"/>
          <w:bCs/>
          <w:spacing w:val="4"/>
          <w:sz w:val="20"/>
          <w:szCs w:val="20"/>
          <w:lang w:eastAsia="pl-PL"/>
        </w:rPr>
        <w:t> </w:t>
      </w:r>
      <w:r w:rsidRPr="00B859F2">
        <w:rPr>
          <w:rFonts w:ascii="Lato" w:eastAsia="Times New Roman" w:hAnsi="Lato" w:cs="Arial"/>
          <w:bCs/>
          <w:spacing w:val="4"/>
          <w:sz w:val="20"/>
          <w:szCs w:val="20"/>
          <w:lang w:eastAsia="pl-PL"/>
        </w:rPr>
        <w:t>gospodarce nieruchomościami (Dz. U. z 2021 r. poz. 1899, z późn. zm.), zwanej dalej „</w:t>
      </w:r>
      <w:proofErr w:type="spellStart"/>
      <w:r w:rsidRPr="00B859F2">
        <w:rPr>
          <w:rFonts w:ascii="Lato" w:eastAsia="Times New Roman" w:hAnsi="Lato" w:cs="Arial"/>
          <w:i/>
          <w:iCs/>
          <w:spacing w:val="4"/>
          <w:sz w:val="20"/>
          <w:szCs w:val="20"/>
          <w:lang w:eastAsia="pl-PL"/>
        </w:rPr>
        <w:t>ugn</w:t>
      </w:r>
      <w:proofErr w:type="spellEnd"/>
      <w:r w:rsidRPr="00B859F2">
        <w:rPr>
          <w:rFonts w:ascii="Lato" w:eastAsia="Times New Roman" w:hAnsi="Lato" w:cs="Arial"/>
          <w:spacing w:val="4"/>
          <w:sz w:val="20"/>
          <w:szCs w:val="20"/>
          <w:lang w:eastAsia="pl-PL"/>
        </w:rPr>
        <w:t>”</w:t>
      </w:r>
      <w:r w:rsidRPr="00B859F2">
        <w:rPr>
          <w:rFonts w:ascii="Lato" w:eastAsia="Times New Roman" w:hAnsi="Lato" w:cs="Arial"/>
          <w:bCs/>
          <w:iCs/>
          <w:spacing w:val="4"/>
          <w:sz w:val="20"/>
          <w:szCs w:val="20"/>
          <w:lang w:eastAsia="pl-PL" w:bidi="pl-PL"/>
        </w:rPr>
        <w:t>, jako cele publiczne. Podstawowym elementem służebności publicznej jest ograniczenie prawa własności właśnie w drodze aktu administracyjnego (decyzji</w:t>
      </w:r>
      <w:r>
        <w:rPr>
          <w:rFonts w:ascii="Lato" w:eastAsia="Times New Roman" w:hAnsi="Lato" w:cs="Arial"/>
          <w:bCs/>
          <w:iCs/>
          <w:spacing w:val="4"/>
          <w:sz w:val="20"/>
          <w:szCs w:val="20"/>
          <w:lang w:eastAsia="pl-PL" w:bidi="pl-PL"/>
        </w:rPr>
        <w:t> </w:t>
      </w:r>
      <w:r w:rsidRPr="00B859F2">
        <w:rPr>
          <w:rFonts w:ascii="Lato" w:eastAsia="Times New Roman" w:hAnsi="Lato" w:cs="Arial"/>
          <w:bCs/>
          <w:iCs/>
          <w:spacing w:val="4"/>
          <w:sz w:val="20"/>
          <w:szCs w:val="20"/>
          <w:lang w:eastAsia="pl-PL" w:bidi="pl-PL"/>
        </w:rPr>
        <w:t>administracyjnej). Decyzja administracyjna o ograniczeniu narzuca określoną treść służebności publicznej każdoczesnemu właścicielowi nieruchomości. Innymi słowy jest regulowana "pozycja rzeczy", a nie osoby. Decyzja taka wiąże każdoczesnego właściciela tak długo, jak nie zostanie wyeliminowana z obrotu prawnego. Nie wywołuje ona jednak skutków w sferze prawa cywilnego. Akt ten nakłada na adresata (każdoczesnego właściciela) obowiązek znoszenia określonej ingerencji. Służebność publiczna kształtuje treść prawa własności w ramach kompetencji regulacyjnej – narzucając właścicielowi obowiązek określonego zachowania (znoszenia ingerencji). Jej</w:t>
      </w:r>
      <w:r>
        <w:rPr>
          <w:rFonts w:ascii="Lato" w:eastAsia="Times New Roman" w:hAnsi="Lato" w:cs="Arial"/>
          <w:bCs/>
          <w:iCs/>
          <w:spacing w:val="4"/>
          <w:sz w:val="20"/>
          <w:szCs w:val="20"/>
          <w:lang w:eastAsia="pl-PL" w:bidi="pl-PL"/>
        </w:rPr>
        <w:t> </w:t>
      </w:r>
      <w:r w:rsidRPr="00B859F2">
        <w:rPr>
          <w:rFonts w:ascii="Lato" w:eastAsia="Times New Roman" w:hAnsi="Lato" w:cs="Arial"/>
          <w:bCs/>
          <w:iCs/>
          <w:spacing w:val="4"/>
          <w:sz w:val="20"/>
          <w:szCs w:val="20"/>
          <w:lang w:eastAsia="pl-PL" w:bidi="pl-PL"/>
        </w:rPr>
        <w:t>istotą jest właśnie ograniczenie uprawnień właścicielskich i narzucenie publicznego współkorzystania z nieruchomości w interesie publicznym.</w:t>
      </w:r>
    </w:p>
    <w:p w14:paraId="4A4CD497" w14:textId="531558E1" w:rsidR="00B859F2" w:rsidRPr="00B859F2" w:rsidRDefault="00B859F2" w:rsidP="00B859F2">
      <w:pPr>
        <w:spacing w:after="240" w:line="240" w:lineRule="exact"/>
        <w:jc w:val="both"/>
        <w:rPr>
          <w:rFonts w:ascii="Lato" w:eastAsia="Times New Roman" w:hAnsi="Lato" w:cs="Arial"/>
          <w:bCs/>
          <w:spacing w:val="4"/>
          <w:sz w:val="20"/>
          <w:szCs w:val="20"/>
          <w:lang w:eastAsia="pl-PL"/>
        </w:rPr>
      </w:pPr>
      <w:r w:rsidRPr="00B859F2">
        <w:rPr>
          <w:rFonts w:ascii="Lato" w:eastAsia="Times New Roman" w:hAnsi="Lato" w:cs="Arial"/>
          <w:bCs/>
          <w:iCs/>
          <w:spacing w:val="4"/>
          <w:sz w:val="20"/>
          <w:szCs w:val="20"/>
          <w:lang w:eastAsia="pl-PL" w:bidi="pl-PL"/>
        </w:rPr>
        <w:t xml:space="preserve">Należy przy tym zauważyć, iż w omawianym przypadku nie stosuje się procedury uzyskiwania zgody właściciela nieruchomości na ograniczenie w korzystaniu. </w:t>
      </w:r>
      <w:r w:rsidRPr="00B859F2">
        <w:rPr>
          <w:rFonts w:ascii="Lato" w:eastAsia="Times New Roman" w:hAnsi="Lato" w:cs="Arial"/>
          <w:spacing w:val="4"/>
          <w:sz w:val="20"/>
          <w:szCs w:val="20"/>
          <w:lang w:eastAsia="pl-PL"/>
        </w:rPr>
        <w:t xml:space="preserve">Zauważyć bowiem należy, że art. 10 ust. 1 pkt 8 w zw. z art. 24 </w:t>
      </w:r>
      <w:r w:rsidRPr="00B859F2">
        <w:rPr>
          <w:rFonts w:ascii="Lato" w:eastAsia="Times New Roman" w:hAnsi="Lato" w:cs="Arial"/>
          <w:i/>
          <w:iCs/>
          <w:spacing w:val="4"/>
          <w:sz w:val="20"/>
          <w:szCs w:val="20"/>
          <w:lang w:eastAsia="pl-PL"/>
        </w:rPr>
        <w:t>specustawy gazowej</w:t>
      </w:r>
      <w:r w:rsidRPr="00B859F2">
        <w:rPr>
          <w:rFonts w:ascii="Lato" w:eastAsia="Times New Roman" w:hAnsi="Lato" w:cs="Arial"/>
          <w:spacing w:val="4"/>
          <w:sz w:val="20"/>
          <w:szCs w:val="20"/>
          <w:lang w:eastAsia="pl-PL"/>
        </w:rPr>
        <w:t xml:space="preserve"> stanowi normę szczególną wobec art. 124 ust. 1 i ust. 3 </w:t>
      </w:r>
      <w:proofErr w:type="spellStart"/>
      <w:r w:rsidRPr="00B859F2">
        <w:rPr>
          <w:rFonts w:ascii="Lato" w:eastAsia="Times New Roman" w:hAnsi="Lato" w:cs="Arial"/>
          <w:i/>
          <w:iCs/>
          <w:spacing w:val="4"/>
          <w:sz w:val="20"/>
          <w:szCs w:val="20"/>
          <w:lang w:eastAsia="pl-PL"/>
        </w:rPr>
        <w:t>ugn</w:t>
      </w:r>
      <w:proofErr w:type="spellEnd"/>
      <w:r w:rsidRPr="00B859F2">
        <w:rPr>
          <w:rFonts w:ascii="Lato" w:eastAsia="Times New Roman" w:hAnsi="Lato" w:cs="Arial"/>
          <w:spacing w:val="4"/>
          <w:sz w:val="20"/>
          <w:szCs w:val="20"/>
          <w:lang w:eastAsia="pl-PL"/>
        </w:rPr>
        <w:t xml:space="preserve"> i okoliczność określenia ograniczeń w</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korzystaniu z nieruchomości i prowadzenia robót może być w tym przypadku oparta tylko na ww. przepisach </w:t>
      </w:r>
      <w:r w:rsidRPr="00B859F2">
        <w:rPr>
          <w:rFonts w:ascii="Lato" w:eastAsia="Times New Roman" w:hAnsi="Lato" w:cs="Arial"/>
          <w:i/>
          <w:iCs/>
          <w:spacing w:val="4"/>
          <w:sz w:val="20"/>
          <w:szCs w:val="20"/>
          <w:lang w:eastAsia="pl-PL"/>
        </w:rPr>
        <w:t>specustawy gazowej</w:t>
      </w:r>
      <w:r w:rsidRPr="00B859F2">
        <w:rPr>
          <w:rFonts w:ascii="Lato" w:eastAsia="Times New Roman" w:hAnsi="Lato" w:cs="Arial"/>
          <w:spacing w:val="4"/>
          <w:sz w:val="20"/>
          <w:szCs w:val="20"/>
          <w:lang w:eastAsia="pl-PL"/>
        </w:rPr>
        <w:t xml:space="preserve">. W tym przypadku wyłączony jest </w:t>
      </w:r>
      <w:r w:rsidRPr="00B859F2">
        <w:rPr>
          <w:rFonts w:ascii="Lato" w:eastAsia="Times New Roman" w:hAnsi="Lato" w:cs="Arial"/>
          <w:spacing w:val="4"/>
          <w:sz w:val="20"/>
          <w:szCs w:val="20"/>
          <w:lang w:eastAsia="pl-PL"/>
        </w:rPr>
        <w:lastRenderedPageBreak/>
        <w:t xml:space="preserve">obowiązek prowadzenia rokowań między właścicielem nieruchomości a inwestorem </w:t>
      </w:r>
      <w:r w:rsidRPr="00B859F2">
        <w:rPr>
          <w:rFonts w:ascii="Lato" w:eastAsia="Times New Roman" w:hAnsi="Lato" w:cs="Arial"/>
          <w:spacing w:val="4"/>
          <w:sz w:val="20"/>
          <w:szCs w:val="20"/>
          <w:lang w:eastAsia="pl-PL"/>
        </w:rPr>
        <w:br/>
        <w:t>co do przeprowadzenia takich robót.</w:t>
      </w:r>
      <w:r w:rsidRPr="00B859F2">
        <w:rPr>
          <w:rFonts w:ascii="Lato" w:eastAsia="Times New Roman" w:hAnsi="Lato" w:cs="Arial"/>
          <w:bCs/>
          <w:spacing w:val="4"/>
          <w:sz w:val="20"/>
          <w:szCs w:val="20"/>
          <w:lang w:eastAsia="pl-PL"/>
        </w:rPr>
        <w:t xml:space="preserve"> Wszystkie działania w ramach lokalizacji inwestycji gazowej dokonywane są w oparciu o władztwo administracyjne, a </w:t>
      </w:r>
      <w:r w:rsidRPr="00B859F2">
        <w:rPr>
          <w:rFonts w:ascii="Lato" w:eastAsia="Times New Roman" w:hAnsi="Lato" w:cs="Arial"/>
          <w:bCs/>
          <w:i/>
          <w:iCs/>
          <w:spacing w:val="4"/>
          <w:sz w:val="20"/>
          <w:szCs w:val="20"/>
          <w:lang w:eastAsia="pl-PL"/>
        </w:rPr>
        <w:t>specustawa gazowa</w:t>
      </w:r>
      <w:r w:rsidRPr="00B859F2">
        <w:rPr>
          <w:rFonts w:ascii="Lato" w:eastAsia="Times New Roman" w:hAnsi="Lato" w:cs="Arial"/>
          <w:bCs/>
          <w:spacing w:val="4"/>
          <w:sz w:val="20"/>
          <w:szCs w:val="20"/>
          <w:lang w:eastAsia="pl-PL"/>
        </w:rPr>
        <w:t xml:space="preserve"> nie przewiduje w tej materii konsultacji lub uzyskania zezwoleń właścicieli nieruchomości objętych zakresem inwestycji. </w:t>
      </w:r>
    </w:p>
    <w:p w14:paraId="0084740F" w14:textId="2E792402" w:rsidR="00B859F2" w:rsidRPr="00B859F2" w:rsidRDefault="00B859F2" w:rsidP="00B859F2">
      <w:pPr>
        <w:spacing w:after="240" w:line="240" w:lineRule="exact"/>
        <w:jc w:val="both"/>
        <w:rPr>
          <w:rFonts w:ascii="Lato" w:eastAsia="Times New Roman" w:hAnsi="Lato" w:cs="Arial"/>
          <w:bCs/>
          <w:spacing w:val="4"/>
          <w:sz w:val="20"/>
          <w:szCs w:val="20"/>
          <w:lang w:eastAsia="pl-PL"/>
        </w:rPr>
      </w:pPr>
      <w:r w:rsidRPr="00B859F2">
        <w:rPr>
          <w:rFonts w:ascii="Lato" w:eastAsia="Times New Roman" w:hAnsi="Lato" w:cs="Arial"/>
          <w:bCs/>
          <w:spacing w:val="4"/>
          <w:sz w:val="20"/>
          <w:szCs w:val="20"/>
          <w:lang w:eastAsia="pl-PL"/>
        </w:rPr>
        <w:t xml:space="preserve">Regulacje </w:t>
      </w:r>
      <w:r w:rsidRPr="00B859F2">
        <w:rPr>
          <w:rFonts w:ascii="Lato" w:eastAsia="Times New Roman" w:hAnsi="Lato" w:cs="Arial"/>
          <w:bCs/>
          <w:i/>
          <w:iCs/>
          <w:spacing w:val="4"/>
          <w:sz w:val="20"/>
          <w:szCs w:val="20"/>
          <w:lang w:eastAsia="pl-PL"/>
        </w:rPr>
        <w:t>specustawy gazowej</w:t>
      </w:r>
      <w:r w:rsidRPr="00B859F2">
        <w:rPr>
          <w:rFonts w:ascii="Lato" w:eastAsia="Times New Roman" w:hAnsi="Lato" w:cs="Arial"/>
          <w:bCs/>
          <w:spacing w:val="4"/>
          <w:sz w:val="20"/>
          <w:szCs w:val="20"/>
          <w:lang w:eastAsia="pl-PL"/>
        </w:rPr>
        <w:t xml:space="preserve"> nie wymagają, aby wnioskodawca był właścicielem lub</w:t>
      </w:r>
      <w:r w:rsidR="009966B6">
        <w:rPr>
          <w:rFonts w:ascii="Lato" w:eastAsia="Times New Roman" w:hAnsi="Lato" w:cs="Arial"/>
          <w:bCs/>
          <w:spacing w:val="4"/>
          <w:sz w:val="20"/>
          <w:szCs w:val="20"/>
          <w:lang w:eastAsia="pl-PL"/>
        </w:rPr>
        <w:t> </w:t>
      </w:r>
      <w:r w:rsidRPr="00B859F2">
        <w:rPr>
          <w:rFonts w:ascii="Lato" w:eastAsia="Times New Roman" w:hAnsi="Lato" w:cs="Arial"/>
          <w:bCs/>
          <w:spacing w:val="4"/>
          <w:sz w:val="20"/>
          <w:szCs w:val="20"/>
          <w:lang w:eastAsia="pl-PL"/>
        </w:rPr>
        <w:t>użytkownikiem wieczystym nieruchomości, na których ma być realizowana inwestycja towarzysząca inwestycji w zakresie terminalu (por. wyrok Wojewódzkiego Sądu Administracyjnego w Warszawie z dnia 19 listopada 2019 r., sygn. akt IV SA/</w:t>
      </w:r>
      <w:proofErr w:type="spellStart"/>
      <w:r w:rsidRPr="00B859F2">
        <w:rPr>
          <w:rFonts w:ascii="Lato" w:eastAsia="Times New Roman" w:hAnsi="Lato" w:cs="Arial"/>
          <w:bCs/>
          <w:spacing w:val="4"/>
          <w:sz w:val="20"/>
          <w:szCs w:val="20"/>
          <w:lang w:eastAsia="pl-PL"/>
        </w:rPr>
        <w:t>Wa</w:t>
      </w:r>
      <w:proofErr w:type="spellEnd"/>
      <w:r w:rsidRPr="00B859F2">
        <w:rPr>
          <w:rFonts w:ascii="Lato" w:eastAsia="Times New Roman" w:hAnsi="Lato" w:cs="Arial"/>
          <w:bCs/>
          <w:spacing w:val="4"/>
          <w:sz w:val="20"/>
          <w:szCs w:val="20"/>
          <w:lang w:eastAsia="pl-PL"/>
        </w:rPr>
        <w:t xml:space="preserve"> 1496/19, </w:t>
      </w:r>
      <w:proofErr w:type="spellStart"/>
      <w:r w:rsidRPr="00B859F2">
        <w:rPr>
          <w:rFonts w:ascii="Lato" w:eastAsia="Times New Roman" w:hAnsi="Lato" w:cs="Arial"/>
          <w:bCs/>
          <w:spacing w:val="4"/>
          <w:sz w:val="20"/>
          <w:szCs w:val="20"/>
          <w:lang w:eastAsia="pl-PL"/>
        </w:rPr>
        <w:t>opubl</w:t>
      </w:r>
      <w:proofErr w:type="spellEnd"/>
      <w:r w:rsidRPr="00B859F2">
        <w:rPr>
          <w:rFonts w:ascii="Lato" w:eastAsia="Times New Roman" w:hAnsi="Lato" w:cs="Arial"/>
          <w:bCs/>
          <w:spacing w:val="4"/>
          <w:sz w:val="20"/>
          <w:szCs w:val="20"/>
          <w:lang w:eastAsia="pl-PL"/>
        </w:rPr>
        <w:t>. Centralna Baza Orzeczeń Sądów Administracyjnych).</w:t>
      </w:r>
    </w:p>
    <w:p w14:paraId="746516B3" w14:textId="77777777"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bCs/>
          <w:iCs/>
          <w:spacing w:val="4"/>
          <w:sz w:val="20"/>
          <w:szCs w:val="20"/>
          <w:lang w:eastAsia="pl-PL" w:bidi="pl-PL"/>
        </w:rPr>
        <w:t xml:space="preserve">Wskazać bowiem należy, iż </w:t>
      </w:r>
      <w:r w:rsidRPr="00B859F2">
        <w:rPr>
          <w:rFonts w:ascii="Lato" w:eastAsia="Times New Roman" w:hAnsi="Lato" w:cs="Arial"/>
          <w:bCs/>
          <w:i/>
          <w:spacing w:val="4"/>
          <w:sz w:val="20"/>
          <w:szCs w:val="20"/>
          <w:lang w:eastAsia="pl-PL" w:bidi="pl-PL"/>
        </w:rPr>
        <w:t>specustawa gazowa</w:t>
      </w:r>
      <w:r w:rsidRPr="00B859F2">
        <w:rPr>
          <w:rFonts w:ascii="Lato" w:eastAsia="Times New Roman" w:hAnsi="Lato" w:cs="Arial"/>
          <w:bCs/>
          <w:iCs/>
          <w:spacing w:val="4"/>
          <w:sz w:val="20"/>
          <w:szCs w:val="20"/>
          <w:lang w:eastAsia="pl-PL" w:bidi="pl-PL"/>
        </w:rPr>
        <w:t xml:space="preserve">, w oparciu o której przepisy wydano zaskarżoną </w:t>
      </w:r>
      <w:r w:rsidRPr="00B859F2">
        <w:rPr>
          <w:rFonts w:ascii="Lato" w:eastAsia="Times New Roman" w:hAnsi="Lato" w:cs="Arial"/>
          <w:bCs/>
          <w:i/>
          <w:spacing w:val="4"/>
          <w:sz w:val="20"/>
          <w:szCs w:val="20"/>
          <w:lang w:eastAsia="pl-PL" w:bidi="pl-PL"/>
        </w:rPr>
        <w:t>decyzję Wojewody Świętokrzyskiego</w:t>
      </w:r>
      <w:r w:rsidRPr="00B859F2">
        <w:rPr>
          <w:rFonts w:ascii="Lato" w:eastAsia="Times New Roman" w:hAnsi="Lato" w:cs="Arial"/>
          <w:bCs/>
          <w:iCs/>
          <w:spacing w:val="4"/>
          <w:sz w:val="20"/>
          <w:szCs w:val="20"/>
          <w:lang w:eastAsia="pl-PL" w:bidi="pl-PL"/>
        </w:rPr>
        <w:t>, jest aktem prawnym szczególnym, przewidującym uproszczoną (przyśpieszoną) procedurę przygotowania i realizacji inwestycji w zakresie terminalu</w:t>
      </w:r>
      <w:r w:rsidRPr="00B859F2">
        <w:rPr>
          <w:rFonts w:ascii="Lato" w:eastAsia="Times New Roman" w:hAnsi="Lato" w:cs="Arial"/>
          <w:spacing w:val="4"/>
          <w:sz w:val="20"/>
          <w:szCs w:val="20"/>
          <w:lang w:eastAsia="pl-PL"/>
        </w:rPr>
        <w:t xml:space="preserve"> </w:t>
      </w:r>
      <w:r w:rsidRPr="00B859F2">
        <w:rPr>
          <w:rFonts w:ascii="Lato" w:eastAsia="Times New Roman" w:hAnsi="Lato" w:cs="Arial"/>
          <w:bCs/>
          <w:iCs/>
          <w:spacing w:val="4"/>
          <w:sz w:val="20"/>
          <w:szCs w:val="20"/>
          <w:lang w:eastAsia="pl-PL" w:bidi="pl-PL"/>
        </w:rPr>
        <w:t>oraz inwestycji towarzyszących.</w:t>
      </w:r>
    </w:p>
    <w:p w14:paraId="6524B428" w14:textId="3252A161"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 xml:space="preserve">Inwestycje tego rodzaju zostały zaliczone w art. 4 </w:t>
      </w:r>
      <w:r w:rsidRPr="00B859F2">
        <w:rPr>
          <w:rFonts w:ascii="Lato" w:eastAsia="Times New Roman" w:hAnsi="Lato" w:cs="Arial"/>
          <w:i/>
          <w:iCs/>
          <w:spacing w:val="4"/>
          <w:sz w:val="20"/>
          <w:szCs w:val="20"/>
          <w:lang w:eastAsia="pl-PL"/>
        </w:rPr>
        <w:t>specustawy gazowej</w:t>
      </w:r>
      <w:r w:rsidRPr="00B859F2">
        <w:rPr>
          <w:rFonts w:ascii="Lato" w:eastAsia="Times New Roman" w:hAnsi="Lato" w:cs="Arial"/>
          <w:spacing w:val="4"/>
          <w:sz w:val="20"/>
          <w:szCs w:val="20"/>
          <w:lang w:eastAsia="pl-PL"/>
        </w:rPr>
        <w:t xml:space="preserve"> do celów publicznych w rozumieniu </w:t>
      </w:r>
      <w:proofErr w:type="spellStart"/>
      <w:r w:rsidRPr="00B859F2">
        <w:rPr>
          <w:rFonts w:ascii="Lato" w:eastAsia="Times New Roman" w:hAnsi="Lato" w:cs="Arial"/>
          <w:i/>
          <w:spacing w:val="4"/>
          <w:sz w:val="20"/>
          <w:szCs w:val="20"/>
          <w:lang w:eastAsia="pl-PL" w:bidi="pl-PL"/>
        </w:rPr>
        <w:t>ugn</w:t>
      </w:r>
      <w:proofErr w:type="spellEnd"/>
      <w:r w:rsidRPr="00B859F2">
        <w:rPr>
          <w:rFonts w:ascii="Lato" w:eastAsia="Times New Roman" w:hAnsi="Lato" w:cs="Arial"/>
          <w:iCs/>
          <w:spacing w:val="4"/>
          <w:sz w:val="20"/>
          <w:szCs w:val="20"/>
          <w:lang w:eastAsia="pl-PL" w:bidi="pl-PL"/>
        </w:rPr>
        <w:t>.</w:t>
      </w:r>
      <w:r w:rsidRPr="00B859F2">
        <w:rPr>
          <w:rFonts w:ascii="Lato" w:eastAsia="Times New Roman" w:hAnsi="Lato" w:cs="Arial"/>
          <w:spacing w:val="4"/>
          <w:sz w:val="20"/>
          <w:szCs w:val="20"/>
          <w:lang w:eastAsia="pl-PL"/>
        </w:rPr>
        <w:t xml:space="preserve"> Ustawodawca uchwalając szczególne przepisy </w:t>
      </w:r>
      <w:r w:rsidRPr="00B859F2">
        <w:rPr>
          <w:rFonts w:ascii="Lato" w:eastAsia="Times New Roman" w:hAnsi="Lato" w:cs="Arial"/>
          <w:i/>
          <w:iCs/>
          <w:spacing w:val="4"/>
          <w:sz w:val="20"/>
          <w:szCs w:val="20"/>
          <w:lang w:eastAsia="pl-PL"/>
        </w:rPr>
        <w:t>specustawy gazowej</w:t>
      </w:r>
      <w:r w:rsidRPr="00B859F2">
        <w:rPr>
          <w:rFonts w:ascii="Lato" w:eastAsia="Times New Roman" w:hAnsi="Lato" w:cs="Arial"/>
          <w:spacing w:val="4"/>
          <w:sz w:val="20"/>
          <w:szCs w:val="20"/>
          <w:lang w:eastAsia="pl-PL"/>
        </w:rPr>
        <w:t xml:space="preserve"> zdecydował, iż inwestycje w zakresie terminalu oraz inwestycje towarzyszące będą korzystały z priorytetowej, przyspieszonej ścieżki pozyskiwania decyzji i zezwoleń niezbędnych do realizacji tych przedsięwzięć. Pośród celów regulacji </w:t>
      </w:r>
      <w:r w:rsidRPr="00B859F2">
        <w:rPr>
          <w:rFonts w:ascii="Lato" w:eastAsia="Times New Roman" w:hAnsi="Lato" w:cs="Arial"/>
          <w:i/>
          <w:iCs/>
          <w:spacing w:val="4"/>
          <w:sz w:val="20"/>
          <w:szCs w:val="20"/>
          <w:lang w:eastAsia="pl-PL"/>
        </w:rPr>
        <w:t>specustawy gazowej</w:t>
      </w:r>
      <w:r w:rsidRPr="00B859F2">
        <w:rPr>
          <w:rFonts w:ascii="Lato" w:eastAsia="Times New Roman" w:hAnsi="Lato" w:cs="Arial"/>
          <w:spacing w:val="4"/>
          <w:sz w:val="20"/>
          <w:szCs w:val="20"/>
          <w:lang w:eastAsia="pl-PL"/>
        </w:rPr>
        <w:t xml:space="preserve"> wymienić można ograniczenie ilości pozwoleń niezbędnych </w:t>
      </w:r>
      <w:r w:rsidRPr="00B859F2">
        <w:rPr>
          <w:rFonts w:ascii="Lato" w:eastAsia="Times New Roman" w:hAnsi="Lato" w:cs="Arial"/>
          <w:spacing w:val="4"/>
          <w:sz w:val="20"/>
          <w:szCs w:val="20"/>
          <w:lang w:eastAsia="pl-PL"/>
        </w:rPr>
        <w:br/>
        <w:t>do rozpoczęcia inwestycji oraz skrócenie czasu trwania procedur niezbędnych do</w:t>
      </w:r>
      <w:r w:rsidR="009C166E">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uzyskania wymaganych decyzji. Z analizy uzasadnienia projektu </w:t>
      </w:r>
      <w:r w:rsidRPr="00B859F2">
        <w:rPr>
          <w:rFonts w:ascii="Lato" w:eastAsia="Times New Roman" w:hAnsi="Lato" w:cs="Arial"/>
          <w:i/>
          <w:iCs/>
          <w:spacing w:val="4"/>
          <w:sz w:val="20"/>
          <w:szCs w:val="20"/>
          <w:lang w:eastAsia="pl-PL"/>
        </w:rPr>
        <w:t>specustawy gazowej</w:t>
      </w:r>
      <w:r w:rsidRPr="00B859F2">
        <w:rPr>
          <w:rFonts w:ascii="Lato" w:eastAsia="Times New Roman" w:hAnsi="Lato" w:cs="Arial"/>
          <w:spacing w:val="4"/>
          <w:sz w:val="20"/>
          <w:szCs w:val="20"/>
          <w:lang w:eastAsia="pl-PL"/>
        </w:rPr>
        <w:t xml:space="preserve"> wyraźnie wynika dążenie twórców tego aktu prawnego do przyspieszenia i usprawnienia postępowania w przedmiocie lokalizacji oraz realizacji inwestycji w zakresie terminalu oraz inwestycji towarzyszących (zob. uzasadnienie projektu specustawy gazowej, </w:t>
      </w:r>
      <w:hyperlink r:id="rId8" w:history="1">
        <w:r w:rsidRPr="00B859F2">
          <w:rPr>
            <w:rFonts w:ascii="Lato" w:eastAsia="Times New Roman" w:hAnsi="Lato" w:cs="Arial"/>
            <w:spacing w:val="4"/>
            <w:sz w:val="20"/>
            <w:szCs w:val="20"/>
            <w:lang w:eastAsia="pl-PL"/>
          </w:rPr>
          <w:t>http://www.sejm.gov.pl</w:t>
        </w:r>
      </w:hyperlink>
      <w:r w:rsidRPr="00B859F2">
        <w:rPr>
          <w:rFonts w:ascii="Lato" w:eastAsia="Times New Roman" w:hAnsi="Lato" w:cs="Arial"/>
          <w:spacing w:val="4"/>
          <w:sz w:val="20"/>
          <w:szCs w:val="20"/>
          <w:lang w:eastAsia="pl-PL"/>
        </w:rPr>
        <w:t xml:space="preserve">). </w:t>
      </w:r>
    </w:p>
    <w:p w14:paraId="4C2053E6" w14:textId="77777777" w:rsidR="00B859F2" w:rsidRPr="00B859F2" w:rsidRDefault="00B859F2" w:rsidP="00B859F2">
      <w:pPr>
        <w:spacing w:after="240" w:line="240" w:lineRule="exact"/>
        <w:jc w:val="both"/>
        <w:outlineLvl w:val="0"/>
        <w:rPr>
          <w:rFonts w:ascii="Lato" w:eastAsia="Times New Roman" w:hAnsi="Lato" w:cs="Arial"/>
          <w:bCs/>
          <w:iCs/>
          <w:spacing w:val="4"/>
          <w:sz w:val="20"/>
          <w:szCs w:val="20"/>
          <w:lang w:eastAsia="pl-PL" w:bidi="pl-PL"/>
        </w:rPr>
      </w:pPr>
      <w:r w:rsidRPr="00B859F2">
        <w:rPr>
          <w:rFonts w:ascii="Lato" w:eastAsia="Times New Roman" w:hAnsi="Lato" w:cs="Arial"/>
          <w:bCs/>
          <w:iCs/>
          <w:spacing w:val="4"/>
          <w:sz w:val="20"/>
          <w:szCs w:val="20"/>
          <w:lang w:eastAsia="pl-PL" w:bidi="pl-PL"/>
        </w:rPr>
        <w:t xml:space="preserve">Powyższymi okolicznościami należy uzasadniać z jednej strony znaczne zwiększenie uprawnień inwestora, natomiast z drugiej zdecydowane ograniczenie uprawnień właścicieli nieruchomości znajdujących się w obszarze inwestycji. </w:t>
      </w:r>
    </w:p>
    <w:p w14:paraId="0F3F7194" w14:textId="388085D0"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bCs/>
          <w:iCs/>
          <w:spacing w:val="4"/>
          <w:sz w:val="20"/>
          <w:szCs w:val="20"/>
          <w:lang w:eastAsia="pl-PL" w:bidi="pl-PL"/>
        </w:rPr>
        <w:t>Rolą orzekających w sprawie organów jest natomiast sprawdzenie kompletności wniosku inwestora w świetle wymogów ustawowych oraz czy koncepcja składającego wniosek mieści się w granicach wyznaczonych przez prawo.</w:t>
      </w:r>
      <w:r w:rsidRPr="00B859F2">
        <w:rPr>
          <w:rFonts w:ascii="Lato" w:eastAsia="Times New Roman" w:hAnsi="Lato" w:cs="Arial"/>
          <w:spacing w:val="4"/>
          <w:sz w:val="20"/>
          <w:szCs w:val="20"/>
          <w:lang w:eastAsia="pl-PL"/>
        </w:rPr>
        <w:t xml:space="preserve"> </w:t>
      </w:r>
      <w:r w:rsidRPr="00B859F2">
        <w:rPr>
          <w:rFonts w:ascii="Lato" w:eastAsia="Times New Roman" w:hAnsi="Lato" w:cs="Arial"/>
          <w:bCs/>
          <w:iCs/>
          <w:spacing w:val="4"/>
          <w:sz w:val="20"/>
          <w:szCs w:val="20"/>
          <w:lang w:eastAsia="pl-PL" w:bidi="pl-PL"/>
        </w:rPr>
        <w:t xml:space="preserve">Tylko w przypadku stwierdzenia przez organy, że kształt inwestycji w wersji zgłoszonej we wniosku narusza określony przepis prawa, zobowiązuje te organy do odmowy ustalenia lokalizacji inwestycji w wersji wnioskowanej przez inwestora. </w:t>
      </w:r>
      <w:r w:rsidRPr="00B859F2">
        <w:rPr>
          <w:rFonts w:ascii="Lato" w:eastAsia="Times New Roman" w:hAnsi="Lato" w:cs="Arial"/>
          <w:spacing w:val="4"/>
          <w:sz w:val="20"/>
          <w:szCs w:val="20"/>
          <w:lang w:eastAsia="pl-PL"/>
        </w:rPr>
        <w:t xml:space="preserve">W niniejszej sprawie, w zakresie interesu prawnego strony skarżącej, po dokonaniu kontroli </w:t>
      </w:r>
      <w:r w:rsidRPr="00B859F2">
        <w:rPr>
          <w:rFonts w:ascii="Lato" w:eastAsia="Times New Roman" w:hAnsi="Lato" w:cs="Arial"/>
          <w:i/>
          <w:spacing w:val="4"/>
          <w:sz w:val="20"/>
          <w:szCs w:val="20"/>
          <w:lang w:eastAsia="pl-PL"/>
        </w:rPr>
        <w:t>decyzji Wojewody Świętokrzyskiego</w:t>
      </w:r>
      <w:r w:rsidRPr="00B859F2">
        <w:rPr>
          <w:rFonts w:ascii="Lato" w:eastAsia="Times New Roman" w:hAnsi="Lato" w:cs="Arial"/>
          <w:spacing w:val="4"/>
          <w:sz w:val="20"/>
          <w:szCs w:val="20"/>
          <w:lang w:eastAsia="pl-PL"/>
        </w:rPr>
        <w:t xml:space="preserve">, organ odwoławczy nie dopatrzył się żadnych uchybień, które stanowiłyby o konieczności wyeliminowania jej z obrotu prawnego. W ocenie </w:t>
      </w:r>
      <w:r w:rsidRPr="00B859F2">
        <w:rPr>
          <w:rFonts w:ascii="Lato" w:eastAsia="Times New Roman" w:hAnsi="Lato" w:cs="Arial"/>
          <w:i/>
          <w:spacing w:val="4"/>
          <w:sz w:val="20"/>
          <w:szCs w:val="20"/>
          <w:lang w:eastAsia="pl-PL"/>
        </w:rPr>
        <w:t>Ministra</w:t>
      </w:r>
      <w:r w:rsidRPr="00B859F2">
        <w:rPr>
          <w:rFonts w:ascii="Lato" w:eastAsia="Times New Roman" w:hAnsi="Lato" w:cs="Arial"/>
          <w:spacing w:val="4"/>
          <w:sz w:val="20"/>
          <w:szCs w:val="20"/>
          <w:lang w:eastAsia="pl-PL"/>
        </w:rPr>
        <w:t>, projektowane przedsięwzięcie, w kształcie zaproponowanym przez wnioskodawcę, jest zgodne z przepisami prawa powszechnie obowiązującego, co obligowało organ I</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instancji do ustalenia lokalizacji przedmiotowej inwestycji w drodze zaskarżonej decyzji.</w:t>
      </w:r>
    </w:p>
    <w:p w14:paraId="0FF4F823" w14:textId="53BC2F80" w:rsidR="00B859F2" w:rsidRPr="00B859F2" w:rsidRDefault="00B859F2" w:rsidP="00B859F2">
      <w:pPr>
        <w:spacing w:after="240" w:line="240" w:lineRule="exact"/>
        <w:jc w:val="both"/>
        <w:outlineLvl w:val="0"/>
        <w:rPr>
          <w:rFonts w:ascii="Lato" w:eastAsia="Times New Roman" w:hAnsi="Lato" w:cs="Arial"/>
          <w:spacing w:val="4"/>
          <w:sz w:val="20"/>
          <w:szCs w:val="20"/>
          <w:shd w:val="clear" w:color="auto" w:fill="FFFFFF"/>
          <w:lang w:eastAsia="pl-PL"/>
        </w:rPr>
      </w:pPr>
      <w:r w:rsidRPr="00B859F2">
        <w:rPr>
          <w:rFonts w:ascii="Lato" w:eastAsia="Arial" w:hAnsi="Lato" w:cs="Arial"/>
          <w:spacing w:val="4"/>
          <w:position w:val="-1"/>
          <w:sz w:val="20"/>
          <w:szCs w:val="20"/>
          <w:lang w:eastAsia="pl-PL"/>
        </w:rPr>
        <w:t xml:space="preserve">Jak już wyżej wskazano, </w:t>
      </w:r>
      <w:r w:rsidRPr="00B859F2">
        <w:rPr>
          <w:rFonts w:ascii="Lato" w:eastAsia="Times New Roman" w:hAnsi="Lato" w:cs="Arial"/>
          <w:spacing w:val="4"/>
          <w:sz w:val="20"/>
          <w:szCs w:val="20"/>
          <w:lang w:eastAsia="pl-PL"/>
        </w:rPr>
        <w:t>działka, stanowiąca własność Pani M</w:t>
      </w:r>
      <w:r w:rsidR="00D12946">
        <w:rPr>
          <w:rFonts w:ascii="Lato" w:eastAsia="Times New Roman" w:hAnsi="Lato" w:cs="Arial"/>
          <w:spacing w:val="4"/>
          <w:sz w:val="20"/>
          <w:szCs w:val="20"/>
          <w:lang w:eastAsia="pl-PL"/>
        </w:rPr>
        <w:t>.</w:t>
      </w:r>
      <w:r w:rsidRPr="00B859F2">
        <w:rPr>
          <w:rFonts w:ascii="Lato" w:eastAsia="Times New Roman" w:hAnsi="Lato" w:cs="Arial"/>
          <w:spacing w:val="4"/>
          <w:sz w:val="20"/>
          <w:szCs w:val="20"/>
          <w:lang w:eastAsia="pl-PL"/>
        </w:rPr>
        <w:t xml:space="preserve"> M</w:t>
      </w:r>
      <w:r w:rsidR="00D12946">
        <w:rPr>
          <w:rFonts w:ascii="Lato" w:eastAsia="Times New Roman" w:hAnsi="Lato" w:cs="Arial"/>
          <w:spacing w:val="4"/>
          <w:sz w:val="20"/>
          <w:szCs w:val="20"/>
          <w:lang w:eastAsia="pl-PL"/>
        </w:rPr>
        <w:t>.</w:t>
      </w:r>
      <w:r w:rsidRPr="00B859F2">
        <w:rPr>
          <w:rFonts w:ascii="Lato" w:eastAsia="Times New Roman" w:hAnsi="Lato" w:cs="Arial"/>
          <w:spacing w:val="4"/>
          <w:sz w:val="20"/>
          <w:szCs w:val="20"/>
          <w:lang w:eastAsia="pl-PL"/>
        </w:rPr>
        <w:t>-A</w:t>
      </w:r>
      <w:r w:rsidR="00D12946">
        <w:rPr>
          <w:rFonts w:ascii="Lato" w:eastAsia="Times New Roman" w:hAnsi="Lato" w:cs="Arial"/>
          <w:spacing w:val="4"/>
          <w:sz w:val="20"/>
          <w:szCs w:val="20"/>
          <w:lang w:eastAsia="pl-PL"/>
        </w:rPr>
        <w:t>.</w:t>
      </w:r>
      <w:r w:rsidRPr="00B859F2">
        <w:rPr>
          <w:rFonts w:ascii="Lato" w:eastAsia="Times New Roman" w:hAnsi="Lato" w:cs="Arial"/>
          <w:spacing w:val="4"/>
          <w:sz w:val="20"/>
          <w:szCs w:val="20"/>
          <w:lang w:eastAsia="pl-PL"/>
        </w:rPr>
        <w:t xml:space="preserve">, została wskazana w tabeli </w:t>
      </w:r>
      <w:r w:rsidRPr="00B859F2">
        <w:rPr>
          <w:rFonts w:ascii="Lato" w:eastAsia="Times New Roman" w:hAnsi="Lato" w:cs="Arial"/>
          <w:spacing w:val="4"/>
          <w:sz w:val="20"/>
          <w:szCs w:val="20"/>
          <w:shd w:val="clear" w:color="auto" w:fill="FFFFFF"/>
          <w:lang w:eastAsia="pl-PL"/>
        </w:rPr>
        <w:t xml:space="preserve">w pkt 1.3., na str. 2-4 </w:t>
      </w:r>
      <w:r w:rsidRPr="00B859F2">
        <w:rPr>
          <w:rFonts w:ascii="Lato" w:eastAsia="Times New Roman" w:hAnsi="Lato" w:cs="Arial"/>
          <w:i/>
          <w:spacing w:val="4"/>
          <w:sz w:val="20"/>
          <w:szCs w:val="20"/>
          <w:shd w:val="clear" w:color="auto" w:fill="FFFFFF"/>
          <w:lang w:eastAsia="pl-PL"/>
        </w:rPr>
        <w:t>decyzji Wojewody Świętokrzyskiego</w:t>
      </w:r>
      <w:r w:rsidRPr="00B859F2">
        <w:rPr>
          <w:rFonts w:ascii="Lato" w:eastAsia="Times New Roman" w:hAnsi="Lato" w:cs="Arial"/>
          <w:spacing w:val="4"/>
          <w:sz w:val="20"/>
          <w:szCs w:val="20"/>
          <w:shd w:val="clear" w:color="auto" w:fill="FFFFFF"/>
          <w:lang w:eastAsia="pl-PL"/>
        </w:rPr>
        <w:t>, zawierającej oznaczenie nieruchomości podlegających ograniczeniu w korzystaniu. Ponadto, wskazano, że ww.  ograniczenie sposobu korzystania z nieruchomości następuje:</w:t>
      </w:r>
    </w:p>
    <w:p w14:paraId="43E00120" w14:textId="77777777" w:rsidR="00B859F2" w:rsidRPr="00B859F2" w:rsidRDefault="00B859F2" w:rsidP="00B859F2">
      <w:pPr>
        <w:numPr>
          <w:ilvl w:val="0"/>
          <w:numId w:val="45"/>
        </w:numPr>
        <w:spacing w:after="240" w:line="240" w:lineRule="exact"/>
        <w:ind w:left="426" w:hanging="284"/>
        <w:jc w:val="both"/>
        <w:outlineLvl w:val="0"/>
        <w:rPr>
          <w:rFonts w:ascii="Lato" w:eastAsia="Times New Roman" w:hAnsi="Lato" w:cs="Arial"/>
          <w:spacing w:val="4"/>
          <w:sz w:val="20"/>
          <w:szCs w:val="20"/>
          <w:shd w:val="clear" w:color="auto" w:fill="FFFFFF"/>
          <w:lang w:eastAsia="pl-PL"/>
        </w:rPr>
      </w:pPr>
      <w:r w:rsidRPr="00B859F2">
        <w:rPr>
          <w:rFonts w:ascii="Lato" w:eastAsia="Times New Roman" w:hAnsi="Lato" w:cs="Arial"/>
          <w:spacing w:val="4"/>
          <w:sz w:val="20"/>
          <w:szCs w:val="20"/>
          <w:shd w:val="clear" w:color="auto" w:fill="FFFFFF"/>
          <w:lang w:eastAsia="pl-PL"/>
        </w:rPr>
        <w:lastRenderedPageBreak/>
        <w:t>na czas określony, tj. od dnia wydania niniejszej decyzji do dnia 31 grudnia 2023 r., w zakresie określonym na załączniku nr 2 do decyzji szrafurą koloru błękitnego – opisaną jako „</w:t>
      </w:r>
      <w:bookmarkStart w:id="2" w:name="_Hlk116299378"/>
      <w:r w:rsidRPr="00B859F2">
        <w:rPr>
          <w:rFonts w:ascii="Lato" w:eastAsia="Times New Roman" w:hAnsi="Lato" w:cs="Arial"/>
          <w:spacing w:val="4"/>
          <w:sz w:val="20"/>
          <w:szCs w:val="20"/>
          <w:shd w:val="clear" w:color="auto" w:fill="FFFFFF"/>
          <w:lang w:eastAsia="pl-PL"/>
        </w:rPr>
        <w:t>proj. pas montażowy dla przyłącza gazowego DN300</w:t>
      </w:r>
      <w:bookmarkEnd w:id="2"/>
      <w:r w:rsidRPr="00B859F2">
        <w:rPr>
          <w:rFonts w:ascii="Lato" w:eastAsia="Times New Roman" w:hAnsi="Lato" w:cs="Arial"/>
          <w:spacing w:val="4"/>
          <w:sz w:val="20"/>
          <w:szCs w:val="20"/>
          <w:shd w:val="clear" w:color="auto" w:fill="FFFFFF"/>
          <w:lang w:eastAsia="pl-PL"/>
        </w:rPr>
        <w:t>”;</w:t>
      </w:r>
    </w:p>
    <w:p w14:paraId="0397FB20" w14:textId="77777777" w:rsidR="00B859F2" w:rsidRPr="00B859F2" w:rsidRDefault="00B859F2" w:rsidP="00B859F2">
      <w:pPr>
        <w:numPr>
          <w:ilvl w:val="0"/>
          <w:numId w:val="45"/>
        </w:numPr>
        <w:spacing w:after="240" w:line="240" w:lineRule="exact"/>
        <w:ind w:left="426" w:hanging="284"/>
        <w:jc w:val="both"/>
        <w:outlineLvl w:val="0"/>
        <w:rPr>
          <w:rFonts w:ascii="Lato" w:eastAsia="Times New Roman" w:hAnsi="Lato" w:cs="Arial"/>
          <w:spacing w:val="4"/>
          <w:sz w:val="20"/>
          <w:szCs w:val="20"/>
          <w:shd w:val="clear" w:color="auto" w:fill="FFFFFF"/>
          <w:lang w:eastAsia="pl-PL"/>
        </w:rPr>
      </w:pPr>
      <w:r w:rsidRPr="00B859F2">
        <w:rPr>
          <w:rFonts w:ascii="Lato" w:eastAsia="Times New Roman" w:hAnsi="Lato" w:cs="Arial"/>
          <w:spacing w:val="4"/>
          <w:sz w:val="20"/>
          <w:szCs w:val="20"/>
          <w:shd w:val="clear" w:color="auto" w:fill="FFFFFF"/>
          <w:lang w:eastAsia="pl-PL"/>
        </w:rPr>
        <w:t xml:space="preserve">bezterminowo w zakresie określonym na załączniku nr 2 do decyzji szrafurą koloru czerwonego – opisaną jako „proj. strefa kontrolowana przyłącza gazowego DN300”. </w:t>
      </w:r>
    </w:p>
    <w:p w14:paraId="7889AD93" w14:textId="61DC7D39" w:rsidR="00B859F2" w:rsidRPr="00B859F2" w:rsidRDefault="00B859F2" w:rsidP="00B859F2">
      <w:pPr>
        <w:spacing w:after="240" w:line="240" w:lineRule="exact"/>
        <w:jc w:val="both"/>
        <w:outlineLvl w:val="0"/>
        <w:rPr>
          <w:rFonts w:ascii="Lato" w:eastAsia="Times New Roman" w:hAnsi="Lato" w:cs="Arial"/>
          <w:spacing w:val="4"/>
          <w:sz w:val="20"/>
          <w:szCs w:val="20"/>
          <w:shd w:val="clear" w:color="auto" w:fill="FFFFFF"/>
          <w:lang w:eastAsia="pl-PL"/>
        </w:rPr>
      </w:pPr>
      <w:r w:rsidRPr="00B859F2">
        <w:rPr>
          <w:rFonts w:ascii="Lato" w:eastAsia="Times New Roman" w:hAnsi="Lato" w:cs="Arial"/>
          <w:spacing w:val="4"/>
          <w:sz w:val="20"/>
          <w:szCs w:val="20"/>
          <w:shd w:val="clear" w:color="auto" w:fill="FFFFFF"/>
          <w:lang w:eastAsia="pl-PL"/>
        </w:rPr>
        <w:t>Wskazać zatem należy, iż działka</w:t>
      </w:r>
      <w:r w:rsidRPr="00B859F2">
        <w:rPr>
          <w:rFonts w:ascii="Lato" w:eastAsia="Times New Roman" w:hAnsi="Lato" w:cs="Arial"/>
          <w:spacing w:val="4"/>
          <w:sz w:val="20"/>
          <w:szCs w:val="20"/>
          <w:lang w:eastAsia="pl-PL"/>
        </w:rPr>
        <w:t xml:space="preserve">, </w:t>
      </w:r>
      <w:r w:rsidRPr="00B859F2">
        <w:rPr>
          <w:rFonts w:ascii="Lato" w:eastAsia="Times New Roman" w:hAnsi="Lato" w:cs="Arial"/>
          <w:spacing w:val="4"/>
          <w:sz w:val="20"/>
          <w:szCs w:val="20"/>
          <w:shd w:val="clear" w:color="auto" w:fill="FFFFFF"/>
          <w:lang w:eastAsia="pl-PL"/>
        </w:rPr>
        <w:t xml:space="preserve">została objęta regulacją art. 24 ust. 1 </w:t>
      </w:r>
      <w:r w:rsidRPr="00B859F2">
        <w:rPr>
          <w:rFonts w:ascii="Lato" w:eastAsia="Times New Roman" w:hAnsi="Lato" w:cs="Arial"/>
          <w:i/>
          <w:iCs/>
          <w:spacing w:val="4"/>
          <w:sz w:val="20"/>
          <w:szCs w:val="20"/>
          <w:shd w:val="clear" w:color="auto" w:fill="FFFFFF"/>
          <w:lang w:eastAsia="pl-PL"/>
        </w:rPr>
        <w:t xml:space="preserve">specustawy gazowej </w:t>
      </w:r>
      <w:r w:rsidRPr="00B859F2">
        <w:rPr>
          <w:rFonts w:ascii="Lato" w:eastAsia="Times New Roman" w:hAnsi="Lato" w:cs="Arial"/>
          <w:spacing w:val="4"/>
          <w:sz w:val="20"/>
          <w:szCs w:val="20"/>
          <w:shd w:val="clear" w:color="auto" w:fill="FFFFFF"/>
          <w:lang w:eastAsia="pl-PL"/>
        </w:rPr>
        <w:t>oraz</w:t>
      </w:r>
      <w:r w:rsidRPr="00B859F2">
        <w:rPr>
          <w:rFonts w:ascii="Lato" w:eastAsia="Times New Roman" w:hAnsi="Lato" w:cs="Arial"/>
          <w:i/>
          <w:iCs/>
          <w:spacing w:val="4"/>
          <w:sz w:val="20"/>
          <w:szCs w:val="20"/>
          <w:shd w:val="clear" w:color="auto" w:fill="FFFFFF"/>
          <w:lang w:eastAsia="pl-PL"/>
        </w:rPr>
        <w:t xml:space="preserve"> </w:t>
      </w:r>
      <w:r w:rsidRPr="00B859F2">
        <w:rPr>
          <w:rFonts w:ascii="Lato" w:eastAsia="Times New Roman" w:hAnsi="Lato" w:cs="Arial"/>
          <w:spacing w:val="4"/>
          <w:sz w:val="20"/>
          <w:szCs w:val="20"/>
          <w:shd w:val="clear" w:color="auto" w:fill="FFFFFF"/>
          <w:lang w:eastAsia="pl-PL"/>
        </w:rPr>
        <w:t xml:space="preserve">art. 24 ust. 1b </w:t>
      </w:r>
      <w:r w:rsidRPr="00B859F2">
        <w:rPr>
          <w:rFonts w:ascii="Lato" w:eastAsia="Times New Roman" w:hAnsi="Lato" w:cs="Arial"/>
          <w:i/>
          <w:spacing w:val="4"/>
          <w:sz w:val="20"/>
          <w:szCs w:val="20"/>
          <w:shd w:val="clear" w:color="auto" w:fill="FFFFFF"/>
          <w:lang w:eastAsia="pl-PL"/>
        </w:rPr>
        <w:t>specustawy gazowej</w:t>
      </w:r>
      <w:r w:rsidRPr="00B859F2">
        <w:rPr>
          <w:rFonts w:ascii="Lato" w:eastAsia="Times New Roman" w:hAnsi="Lato" w:cs="Arial"/>
          <w:spacing w:val="4"/>
          <w:sz w:val="20"/>
          <w:szCs w:val="20"/>
          <w:shd w:val="clear" w:color="auto" w:fill="FFFFFF"/>
          <w:lang w:eastAsia="pl-PL"/>
        </w:rPr>
        <w:t xml:space="preserve"> – jako nieruchomość, co do której ograniczenie w korzystaniu nastąpi na czas oznaczony oraz bezterminowo. </w:t>
      </w:r>
    </w:p>
    <w:p w14:paraId="54D4CE06" w14:textId="6E35C0F0" w:rsidR="00B859F2" w:rsidRPr="00B859F2" w:rsidRDefault="00B859F2" w:rsidP="00B859F2">
      <w:pPr>
        <w:spacing w:after="240" w:line="240" w:lineRule="exact"/>
        <w:jc w:val="both"/>
        <w:rPr>
          <w:rFonts w:ascii="Lato" w:eastAsia="Times New Roman" w:hAnsi="Lato" w:cs="Arial"/>
          <w:iCs/>
          <w:spacing w:val="4"/>
          <w:sz w:val="20"/>
          <w:szCs w:val="20"/>
          <w:lang w:eastAsia="pl-PL" w:bidi="pl-PL"/>
        </w:rPr>
      </w:pPr>
      <w:r w:rsidRPr="00B859F2">
        <w:rPr>
          <w:rFonts w:ascii="Lato" w:eastAsia="Times New Roman" w:hAnsi="Lato" w:cs="Arial"/>
          <w:iCs/>
          <w:spacing w:val="4"/>
          <w:sz w:val="20"/>
          <w:szCs w:val="20"/>
          <w:lang w:eastAsia="pl-PL" w:bidi="pl-PL"/>
        </w:rPr>
        <w:t xml:space="preserve">W piśmie z dnia </w:t>
      </w:r>
      <w:r w:rsidRPr="00B859F2">
        <w:rPr>
          <w:rFonts w:ascii="Lato" w:eastAsia="Times New Roman" w:hAnsi="Lato" w:cs="Arial"/>
          <w:spacing w:val="4"/>
          <w:sz w:val="20"/>
          <w:szCs w:val="20"/>
          <w:lang w:eastAsia="pl-PL"/>
        </w:rPr>
        <w:t>20 lipca 2022 r., znak: MP-MOSTY/458/P/DM/16/21-8/1005</w:t>
      </w:r>
      <w:r w:rsidRPr="00B859F2">
        <w:rPr>
          <w:rFonts w:ascii="Lato" w:eastAsia="Times New Roman" w:hAnsi="Lato" w:cs="Arial"/>
          <w:iCs/>
          <w:spacing w:val="4"/>
          <w:sz w:val="20"/>
          <w:szCs w:val="20"/>
          <w:lang w:eastAsia="pl-PL" w:bidi="pl-PL"/>
        </w:rPr>
        <w:t xml:space="preserve">, </w:t>
      </w:r>
      <w:r w:rsidRPr="00B859F2">
        <w:rPr>
          <w:rFonts w:ascii="Lato" w:eastAsia="Times New Roman" w:hAnsi="Lato" w:cs="Arial"/>
          <w:i/>
          <w:iCs/>
          <w:spacing w:val="4"/>
          <w:sz w:val="20"/>
          <w:szCs w:val="20"/>
          <w:lang w:eastAsia="pl-PL" w:bidi="pl-PL"/>
        </w:rPr>
        <w:t>inwestor</w:t>
      </w:r>
      <w:r w:rsidRPr="00B859F2">
        <w:rPr>
          <w:rFonts w:ascii="Lato" w:eastAsia="Times New Roman" w:hAnsi="Lato" w:cs="Arial"/>
          <w:iCs/>
          <w:spacing w:val="4"/>
          <w:sz w:val="20"/>
          <w:szCs w:val="20"/>
          <w:lang w:eastAsia="pl-PL" w:bidi="pl-PL"/>
        </w:rPr>
        <w:t xml:space="preserve">, uzasadniając konieczność takiego, a nie innego zajęcia nieruchomości Skarżącej wyjaśnił m.in., że podczas wyznaczania trasy projektowanego przyłącza gazociągu projektant, pomimo iż nie musiał analizować i stosować się do zapisów obowiązujących miejscowych planów zagospodarowania terenu, chcąc nie ograniczać możliwość wykorzystania nieruchomości przez właścicielkę umieścił gazociąg w terenie do tego zarezerwowanym w miejscowym planie zagospodarowania przestrzennego. Przedmiotowe działanie potwierdza, iż projektant działał w ogólnym interesie społecznym. W ww. piśmie </w:t>
      </w:r>
      <w:r w:rsidRPr="00B859F2">
        <w:rPr>
          <w:rFonts w:ascii="Lato" w:eastAsia="Times New Roman" w:hAnsi="Lato" w:cs="Arial"/>
          <w:i/>
          <w:spacing w:val="4"/>
          <w:sz w:val="20"/>
          <w:szCs w:val="20"/>
          <w:lang w:eastAsia="pl-PL" w:bidi="pl-PL"/>
        </w:rPr>
        <w:t>inwestor</w:t>
      </w:r>
      <w:r w:rsidRPr="00B859F2">
        <w:rPr>
          <w:rFonts w:ascii="Lato" w:eastAsia="Times New Roman" w:hAnsi="Lato" w:cs="Arial"/>
          <w:iCs/>
          <w:spacing w:val="4"/>
          <w:sz w:val="20"/>
          <w:szCs w:val="20"/>
          <w:lang w:eastAsia="pl-PL" w:bidi="pl-PL"/>
        </w:rPr>
        <w:t xml:space="preserve"> zaznaczył, że działka</w:t>
      </w:r>
      <w:r w:rsidRPr="00B859F2">
        <w:rPr>
          <w:rFonts w:ascii="Lato" w:eastAsia="Times New Roman" w:hAnsi="Lato" w:cs="Arial"/>
          <w:spacing w:val="4"/>
          <w:sz w:val="20"/>
          <w:szCs w:val="20"/>
          <w:lang w:eastAsia="pl-PL"/>
        </w:rPr>
        <w:t xml:space="preserve">, </w:t>
      </w:r>
      <w:r w:rsidRPr="00B859F2">
        <w:rPr>
          <w:rFonts w:ascii="Lato" w:eastAsia="Times New Roman" w:hAnsi="Lato" w:cs="Arial"/>
          <w:iCs/>
          <w:spacing w:val="4"/>
          <w:sz w:val="20"/>
          <w:szCs w:val="20"/>
          <w:lang w:eastAsia="pl-PL" w:bidi="pl-PL"/>
        </w:rPr>
        <w:t>stanowiąca własność Skarżącej, na mocy zmiany nr 21 w miejscowym planie zagospodarowania przestrzennego miasta Kielce, uchwalonej Uchwałą</w:t>
      </w:r>
      <w:r w:rsidR="009E1541">
        <w:rPr>
          <w:rFonts w:ascii="Lato" w:eastAsia="Times New Roman" w:hAnsi="Lato" w:cs="Arial"/>
          <w:iCs/>
          <w:spacing w:val="4"/>
          <w:sz w:val="20"/>
          <w:szCs w:val="20"/>
          <w:lang w:eastAsia="pl-PL" w:bidi="pl-PL"/>
        </w:rPr>
        <w:t xml:space="preserve"> </w:t>
      </w:r>
      <w:r w:rsidRPr="00B859F2">
        <w:rPr>
          <w:rFonts w:ascii="Lato" w:eastAsia="Times New Roman" w:hAnsi="Lato" w:cs="Arial"/>
          <w:iCs/>
          <w:spacing w:val="4"/>
          <w:sz w:val="20"/>
          <w:szCs w:val="20"/>
          <w:lang w:eastAsia="pl-PL" w:bidi="pl-PL"/>
        </w:rPr>
        <w:t>Nr</w:t>
      </w:r>
      <w:r>
        <w:rPr>
          <w:rFonts w:ascii="Lato" w:eastAsia="Times New Roman" w:hAnsi="Lato" w:cs="Arial"/>
          <w:iCs/>
          <w:spacing w:val="4"/>
          <w:sz w:val="20"/>
          <w:szCs w:val="20"/>
          <w:lang w:eastAsia="pl-PL" w:bidi="pl-PL"/>
        </w:rPr>
        <w:t> </w:t>
      </w:r>
      <w:r w:rsidRPr="00B859F2">
        <w:rPr>
          <w:rFonts w:ascii="Lato" w:eastAsia="Times New Roman" w:hAnsi="Lato" w:cs="Arial"/>
          <w:iCs/>
          <w:spacing w:val="4"/>
          <w:sz w:val="20"/>
          <w:szCs w:val="20"/>
          <w:lang w:eastAsia="pl-PL" w:bidi="pl-PL"/>
        </w:rPr>
        <w:t>XVII/303/2003 Rady Miejskiej w Kielcach z dnia 22 października 2003 r., w § 5</w:t>
      </w:r>
      <w:r w:rsidR="009E1541">
        <w:rPr>
          <w:rFonts w:ascii="Lato" w:eastAsia="Times New Roman" w:hAnsi="Lato" w:cs="Arial"/>
          <w:iCs/>
          <w:spacing w:val="4"/>
          <w:sz w:val="20"/>
          <w:szCs w:val="20"/>
          <w:lang w:eastAsia="pl-PL" w:bidi="pl-PL"/>
        </w:rPr>
        <w:t xml:space="preserve"> </w:t>
      </w:r>
      <w:r w:rsidRPr="00B859F2">
        <w:rPr>
          <w:rFonts w:ascii="Lato" w:eastAsia="Times New Roman" w:hAnsi="Lato" w:cs="Arial"/>
          <w:iCs/>
          <w:spacing w:val="4"/>
          <w:sz w:val="20"/>
          <w:szCs w:val="20"/>
          <w:lang w:eastAsia="pl-PL" w:bidi="pl-PL"/>
        </w:rPr>
        <w:t>Rozdziału 2 Ustalenia szczegółowe, spisanym w ww. Uchwale Nr XVII/303/2003 Rady Miejskiej w Kielcach z dnia 22 października 2003 r., w której ustalone zostały określone zakazy, tj. m.in. zakaz wznoszenia obiektów budowlanych niezwiązanych  z</w:t>
      </w:r>
      <w:r w:rsidR="009E1541">
        <w:rPr>
          <w:rFonts w:ascii="Lato" w:eastAsia="Times New Roman" w:hAnsi="Lato" w:cs="Arial"/>
          <w:iCs/>
          <w:spacing w:val="4"/>
          <w:sz w:val="20"/>
          <w:szCs w:val="20"/>
          <w:lang w:eastAsia="pl-PL" w:bidi="pl-PL"/>
        </w:rPr>
        <w:t> </w:t>
      </w:r>
      <w:r w:rsidRPr="00B859F2">
        <w:rPr>
          <w:rFonts w:ascii="Lato" w:eastAsia="Times New Roman" w:hAnsi="Lato" w:cs="Arial"/>
          <w:iCs/>
          <w:spacing w:val="4"/>
          <w:sz w:val="20"/>
          <w:szCs w:val="20"/>
          <w:lang w:eastAsia="pl-PL" w:bidi="pl-PL"/>
        </w:rPr>
        <w:t>przeznaczeniem terenu, zakaz sadzenia drzew i krzewów w strefach kontrolowanych,</w:t>
      </w:r>
      <w:r>
        <w:rPr>
          <w:rFonts w:ascii="Lato" w:eastAsia="Times New Roman" w:hAnsi="Lato" w:cs="Arial"/>
          <w:iCs/>
          <w:spacing w:val="4"/>
          <w:sz w:val="20"/>
          <w:szCs w:val="20"/>
          <w:lang w:eastAsia="pl-PL" w:bidi="pl-PL"/>
        </w:rPr>
        <w:t xml:space="preserve"> </w:t>
      </w:r>
      <w:r w:rsidRPr="00B859F2">
        <w:rPr>
          <w:rFonts w:ascii="Lato" w:eastAsia="Times New Roman" w:hAnsi="Lato" w:cs="Arial"/>
          <w:iCs/>
          <w:spacing w:val="4"/>
          <w:sz w:val="20"/>
          <w:szCs w:val="20"/>
          <w:lang w:eastAsia="pl-PL" w:bidi="pl-PL"/>
        </w:rPr>
        <w:t>czy też zakaz wznoszenia stałych i tymczasowych ogrodzeń. Jak zatem wynika z</w:t>
      </w:r>
      <w:r w:rsidR="009E1541">
        <w:rPr>
          <w:rFonts w:ascii="Lato" w:eastAsia="Times New Roman" w:hAnsi="Lato" w:cs="Arial"/>
          <w:iCs/>
          <w:spacing w:val="4"/>
          <w:sz w:val="20"/>
          <w:szCs w:val="20"/>
          <w:lang w:eastAsia="pl-PL" w:bidi="pl-PL"/>
        </w:rPr>
        <w:t> </w:t>
      </w:r>
      <w:r w:rsidRPr="00B859F2">
        <w:rPr>
          <w:rFonts w:ascii="Lato" w:eastAsia="Times New Roman" w:hAnsi="Lato" w:cs="Arial"/>
          <w:iCs/>
          <w:spacing w:val="4"/>
          <w:sz w:val="20"/>
          <w:szCs w:val="20"/>
          <w:lang w:eastAsia="pl-PL" w:bidi="pl-PL"/>
        </w:rPr>
        <w:t>ww.</w:t>
      </w:r>
      <w:r w:rsidR="009E1541">
        <w:rPr>
          <w:rFonts w:ascii="Lato" w:eastAsia="Times New Roman" w:hAnsi="Lato" w:cs="Arial"/>
          <w:iCs/>
          <w:spacing w:val="4"/>
          <w:sz w:val="20"/>
          <w:szCs w:val="20"/>
          <w:lang w:eastAsia="pl-PL" w:bidi="pl-PL"/>
        </w:rPr>
        <w:t> </w:t>
      </w:r>
      <w:r w:rsidRPr="00B859F2">
        <w:rPr>
          <w:rFonts w:ascii="Lato" w:eastAsia="Times New Roman" w:hAnsi="Lato" w:cs="Arial"/>
          <w:iCs/>
          <w:spacing w:val="4"/>
          <w:sz w:val="20"/>
          <w:szCs w:val="20"/>
          <w:lang w:eastAsia="pl-PL" w:bidi="pl-PL"/>
        </w:rPr>
        <w:t>dokumentu, niezależnie od planowanej budowy przyłącza gazociągu wysokiego ciśnienia DN300 Pani M</w:t>
      </w:r>
      <w:r w:rsidR="00983349">
        <w:rPr>
          <w:rFonts w:ascii="Lato" w:eastAsia="Times New Roman" w:hAnsi="Lato" w:cs="Arial"/>
          <w:iCs/>
          <w:spacing w:val="4"/>
          <w:sz w:val="20"/>
          <w:szCs w:val="20"/>
          <w:lang w:eastAsia="pl-PL" w:bidi="pl-PL"/>
        </w:rPr>
        <w:t>.</w:t>
      </w:r>
      <w:r w:rsidRPr="00B859F2">
        <w:rPr>
          <w:rFonts w:ascii="Lato" w:eastAsia="Times New Roman" w:hAnsi="Lato" w:cs="Arial"/>
          <w:iCs/>
          <w:spacing w:val="4"/>
          <w:sz w:val="20"/>
          <w:szCs w:val="20"/>
          <w:lang w:eastAsia="pl-PL" w:bidi="pl-PL"/>
        </w:rPr>
        <w:t xml:space="preserve"> M</w:t>
      </w:r>
      <w:r w:rsidR="00983349">
        <w:rPr>
          <w:rFonts w:ascii="Lato" w:eastAsia="Times New Roman" w:hAnsi="Lato" w:cs="Arial"/>
          <w:iCs/>
          <w:spacing w:val="4"/>
          <w:sz w:val="20"/>
          <w:szCs w:val="20"/>
          <w:lang w:eastAsia="pl-PL" w:bidi="pl-PL"/>
        </w:rPr>
        <w:t>.</w:t>
      </w:r>
      <w:r w:rsidRPr="00B859F2">
        <w:rPr>
          <w:rFonts w:ascii="Lato" w:eastAsia="Times New Roman" w:hAnsi="Lato" w:cs="Arial"/>
          <w:iCs/>
          <w:spacing w:val="4"/>
          <w:sz w:val="20"/>
          <w:szCs w:val="20"/>
          <w:lang w:eastAsia="pl-PL" w:bidi="pl-PL"/>
        </w:rPr>
        <w:t>-A</w:t>
      </w:r>
      <w:r w:rsidR="00983349">
        <w:rPr>
          <w:rFonts w:ascii="Lato" w:eastAsia="Times New Roman" w:hAnsi="Lato" w:cs="Arial"/>
          <w:iCs/>
          <w:spacing w:val="4"/>
          <w:sz w:val="20"/>
          <w:szCs w:val="20"/>
          <w:lang w:eastAsia="pl-PL" w:bidi="pl-PL"/>
        </w:rPr>
        <w:t>.</w:t>
      </w:r>
      <w:r w:rsidRPr="00B859F2">
        <w:rPr>
          <w:rFonts w:ascii="Lato" w:eastAsia="Times New Roman" w:hAnsi="Lato" w:cs="Arial"/>
          <w:iCs/>
          <w:spacing w:val="4"/>
          <w:sz w:val="20"/>
          <w:szCs w:val="20"/>
          <w:lang w:eastAsia="pl-PL" w:bidi="pl-PL"/>
        </w:rPr>
        <w:t xml:space="preserve"> nie</w:t>
      </w:r>
      <w:r w:rsidR="00983349">
        <w:rPr>
          <w:rFonts w:ascii="Lato" w:eastAsia="Times New Roman" w:hAnsi="Lato" w:cs="Arial"/>
          <w:iCs/>
          <w:spacing w:val="4"/>
          <w:sz w:val="20"/>
          <w:szCs w:val="20"/>
          <w:lang w:eastAsia="pl-PL" w:bidi="pl-PL"/>
        </w:rPr>
        <w:t> </w:t>
      </w:r>
      <w:r w:rsidRPr="00B859F2">
        <w:rPr>
          <w:rFonts w:ascii="Lato" w:eastAsia="Times New Roman" w:hAnsi="Lato" w:cs="Arial"/>
          <w:iCs/>
          <w:spacing w:val="4"/>
          <w:sz w:val="20"/>
          <w:szCs w:val="20"/>
          <w:lang w:eastAsia="pl-PL" w:bidi="pl-PL"/>
        </w:rPr>
        <w:t xml:space="preserve">mogłaby na części działki oznaczonej symbolem Z.G. zabudować innych obiektów budowlanych niż sieci techniczne powszechnego użytku. </w:t>
      </w:r>
    </w:p>
    <w:p w14:paraId="02F08C22" w14:textId="66C5191E" w:rsidR="00B859F2" w:rsidRPr="00B859F2" w:rsidRDefault="00B859F2" w:rsidP="00B859F2">
      <w:pPr>
        <w:spacing w:after="240" w:line="240" w:lineRule="exact"/>
        <w:jc w:val="both"/>
        <w:rPr>
          <w:rFonts w:ascii="Lato" w:eastAsia="Times New Roman" w:hAnsi="Lato" w:cs="Arial"/>
          <w:color w:val="000000"/>
          <w:spacing w:val="4"/>
          <w:sz w:val="20"/>
          <w:szCs w:val="20"/>
          <w:lang w:eastAsia="pl-PL"/>
        </w:rPr>
      </w:pPr>
      <w:r w:rsidRPr="00B859F2">
        <w:rPr>
          <w:rFonts w:ascii="Lato" w:eastAsia="Times New Roman" w:hAnsi="Lato" w:cs="Arial"/>
          <w:iCs/>
          <w:spacing w:val="4"/>
          <w:sz w:val="20"/>
          <w:szCs w:val="20"/>
          <w:lang w:eastAsia="pl-PL" w:bidi="pl-PL"/>
        </w:rPr>
        <w:t>Jednocześnie, biorąc pod uwagę argumenty Skarżącej o braku możliwości w przyszłości wykorzystania ww. działki na cele budowlane, jak i utraty jej wartości w</w:t>
      </w:r>
      <w:r>
        <w:rPr>
          <w:rFonts w:ascii="Lato" w:eastAsia="Times New Roman" w:hAnsi="Lato" w:cs="Arial"/>
          <w:iCs/>
          <w:spacing w:val="4"/>
          <w:sz w:val="20"/>
          <w:szCs w:val="20"/>
          <w:lang w:eastAsia="pl-PL" w:bidi="pl-PL"/>
        </w:rPr>
        <w:t> </w:t>
      </w:r>
      <w:r w:rsidRPr="00B859F2">
        <w:rPr>
          <w:rFonts w:ascii="Lato" w:eastAsia="Times New Roman" w:hAnsi="Lato" w:cs="Arial"/>
          <w:iCs/>
          <w:spacing w:val="4"/>
          <w:sz w:val="20"/>
          <w:szCs w:val="20"/>
          <w:lang w:eastAsia="pl-PL" w:bidi="pl-PL"/>
        </w:rPr>
        <w:t>związku z</w:t>
      </w:r>
      <w:r w:rsidR="00983349">
        <w:rPr>
          <w:rFonts w:ascii="Lato" w:eastAsia="Times New Roman" w:hAnsi="Lato" w:cs="Arial"/>
          <w:iCs/>
          <w:spacing w:val="4"/>
          <w:sz w:val="20"/>
          <w:szCs w:val="20"/>
          <w:lang w:eastAsia="pl-PL" w:bidi="pl-PL"/>
        </w:rPr>
        <w:t> </w:t>
      </w:r>
      <w:r w:rsidRPr="00B859F2">
        <w:rPr>
          <w:rFonts w:ascii="Lato" w:eastAsia="Times New Roman" w:hAnsi="Lato" w:cs="Arial"/>
          <w:iCs/>
          <w:spacing w:val="4"/>
          <w:sz w:val="20"/>
          <w:szCs w:val="20"/>
          <w:lang w:eastAsia="pl-PL" w:bidi="pl-PL"/>
        </w:rPr>
        <w:t>realizacją przedmiotowej inwestycji, wyraźnie zaznaczyć trzeba, że tego typu kwestie nie stanowią przedmiotu rozważań organu orzekającego o lokalizacji inwestycji gazowej.</w:t>
      </w:r>
      <w:r w:rsidRPr="00B859F2">
        <w:rPr>
          <w:rFonts w:ascii="Lato" w:eastAsia="Times New Roman" w:hAnsi="Lato" w:cs="Arial"/>
          <w:spacing w:val="4"/>
          <w:sz w:val="20"/>
          <w:szCs w:val="20"/>
          <w:lang w:eastAsia="pl-PL"/>
        </w:rPr>
        <w:t xml:space="preserve"> Jak już zaznaczono, obowiązkiem organu administracji jest jedynie ocena wniosku </w:t>
      </w:r>
      <w:r w:rsidRPr="00B859F2">
        <w:rPr>
          <w:rFonts w:ascii="Lato" w:eastAsia="Times New Roman" w:hAnsi="Lato" w:cs="Arial"/>
          <w:i/>
          <w:iCs/>
          <w:spacing w:val="4"/>
          <w:sz w:val="20"/>
          <w:szCs w:val="20"/>
          <w:lang w:eastAsia="pl-PL"/>
        </w:rPr>
        <w:t>inwestora</w:t>
      </w:r>
      <w:r w:rsidRPr="00B859F2">
        <w:rPr>
          <w:rFonts w:ascii="Lato" w:eastAsia="Times New Roman" w:hAnsi="Lato" w:cs="Arial"/>
          <w:spacing w:val="4"/>
          <w:sz w:val="20"/>
          <w:szCs w:val="20"/>
          <w:lang w:eastAsia="pl-PL"/>
        </w:rPr>
        <w:t xml:space="preserve"> pod względem jego zgodności z prawem powszechnie obowiązującym, nie zaś następstw, jakie inwestycja wywoła wobec nieruchomości nią objętych. Zauważyć przy tym trzeba, że z samej istoty przedsięwzięcia w zakresie gazociągu, będącego inwestycją liniową, wynika ingerencja w prawa przysługujące innym podmiotom w stosunku do nieruchomości objętych planowaną inwestycją. Z</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omawianej ingerencji wynikać mogą z kolei inne utrudnienia dla podmiotów dotychczas wykorzystujących daną nieruchomość w określony sposób. Nie oznacza to</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jednak, że taka decyzja o ustaleniu lokalizacji inwestycji towarzyszącej inwestycjom w zakresie terminalu jest wadliwa. </w:t>
      </w:r>
    </w:p>
    <w:p w14:paraId="613CA08F" w14:textId="4B8AA821" w:rsidR="00B859F2" w:rsidRPr="00B859F2" w:rsidRDefault="00B859F2" w:rsidP="00B859F2">
      <w:pPr>
        <w:spacing w:after="240" w:line="240" w:lineRule="exact"/>
        <w:jc w:val="both"/>
        <w:rPr>
          <w:rFonts w:ascii="Lato" w:eastAsia="Times New Roman" w:hAnsi="Lato" w:cs="Arial"/>
          <w:spacing w:val="4"/>
          <w:sz w:val="20"/>
          <w:szCs w:val="20"/>
          <w:lang w:eastAsia="pl-PL"/>
        </w:rPr>
      </w:pPr>
      <w:r w:rsidRPr="00B859F2">
        <w:rPr>
          <w:rFonts w:ascii="Lato" w:eastAsia="Times New Roman" w:hAnsi="Lato" w:cs="Arial"/>
          <w:bCs/>
          <w:iCs/>
          <w:spacing w:val="4"/>
          <w:sz w:val="20"/>
          <w:szCs w:val="20"/>
          <w:lang w:eastAsia="pl-PL" w:bidi="pl-PL"/>
        </w:rPr>
        <w:t>W opinii organu odwoławczego, całokształt okoliczności niniejszej sprawy dowodzi, iż</w:t>
      </w:r>
      <w:r>
        <w:rPr>
          <w:rFonts w:ascii="Lato" w:eastAsia="Times New Roman" w:hAnsi="Lato" w:cs="Arial"/>
          <w:bCs/>
          <w:iCs/>
          <w:spacing w:val="4"/>
          <w:sz w:val="20"/>
          <w:szCs w:val="20"/>
          <w:lang w:eastAsia="pl-PL" w:bidi="pl-PL"/>
        </w:rPr>
        <w:t> </w:t>
      </w:r>
      <w:r w:rsidRPr="00B859F2">
        <w:rPr>
          <w:rFonts w:ascii="Lato" w:eastAsia="Times New Roman" w:hAnsi="Lato" w:cs="Arial"/>
          <w:bCs/>
          <w:iCs/>
          <w:spacing w:val="4"/>
          <w:sz w:val="20"/>
          <w:szCs w:val="20"/>
          <w:lang w:eastAsia="pl-PL" w:bidi="pl-PL"/>
        </w:rPr>
        <w:t xml:space="preserve">ograniczenie w korzystaniu z ww. działki Skarżącej jest w niniejszej sprawie uzasadnione i </w:t>
      </w:r>
      <w:r w:rsidRPr="00B859F2">
        <w:rPr>
          <w:rFonts w:ascii="Lato" w:eastAsia="Times New Roman" w:hAnsi="Lato" w:cs="Arial"/>
          <w:bCs/>
          <w:spacing w:val="4"/>
          <w:sz w:val="20"/>
          <w:szCs w:val="20"/>
          <w:lang w:eastAsia="pl-PL"/>
        </w:rPr>
        <w:t xml:space="preserve">niezbędne dla realizacji przedmiotowej </w:t>
      </w:r>
      <w:r w:rsidRPr="00B859F2">
        <w:rPr>
          <w:rFonts w:ascii="Lato" w:eastAsia="Times New Roman" w:hAnsi="Lato" w:cs="Arial"/>
          <w:spacing w:val="4"/>
          <w:sz w:val="20"/>
          <w:szCs w:val="20"/>
          <w:lang w:eastAsia="pl-PL"/>
        </w:rPr>
        <w:t xml:space="preserve">inwestycji towarzyszącej inwestycjom w zakresie terminalu. Po szczegółowej analizie zgromadzonego w sprawie materiału dowodowego </w:t>
      </w:r>
      <w:r w:rsidRPr="00B859F2">
        <w:rPr>
          <w:rFonts w:ascii="Lato" w:eastAsia="Times New Roman" w:hAnsi="Lato" w:cs="Arial"/>
          <w:i/>
          <w:spacing w:val="4"/>
          <w:sz w:val="20"/>
          <w:szCs w:val="20"/>
          <w:lang w:eastAsia="pl-PL"/>
        </w:rPr>
        <w:t>Minister</w:t>
      </w:r>
      <w:r w:rsidRPr="00B859F2">
        <w:rPr>
          <w:rFonts w:ascii="Lato" w:eastAsia="Times New Roman" w:hAnsi="Lato" w:cs="Arial"/>
          <w:spacing w:val="4"/>
          <w:sz w:val="20"/>
          <w:szCs w:val="20"/>
          <w:lang w:eastAsia="pl-PL"/>
        </w:rPr>
        <w:t xml:space="preserve"> doszedł do przekonania, że </w:t>
      </w:r>
      <w:r w:rsidRPr="00B859F2">
        <w:rPr>
          <w:rFonts w:ascii="Lato" w:eastAsia="Times New Roman" w:hAnsi="Lato" w:cs="Arial"/>
          <w:spacing w:val="4"/>
          <w:sz w:val="20"/>
          <w:szCs w:val="20"/>
          <w:lang w:eastAsia="pl-PL" w:bidi="pl-PL"/>
        </w:rPr>
        <w:t>przebieg ww. inwestycji w</w:t>
      </w:r>
      <w:r>
        <w:rPr>
          <w:rFonts w:ascii="Lato" w:eastAsia="Times New Roman" w:hAnsi="Lato" w:cs="Arial"/>
          <w:spacing w:val="4"/>
          <w:sz w:val="20"/>
          <w:szCs w:val="20"/>
          <w:lang w:eastAsia="pl-PL" w:bidi="pl-PL"/>
        </w:rPr>
        <w:t> </w:t>
      </w:r>
      <w:r w:rsidRPr="00B859F2">
        <w:rPr>
          <w:rFonts w:ascii="Lato" w:eastAsia="Times New Roman" w:hAnsi="Lato" w:cs="Arial"/>
          <w:spacing w:val="4"/>
          <w:sz w:val="20"/>
          <w:szCs w:val="20"/>
          <w:lang w:eastAsia="pl-PL" w:bidi="pl-PL"/>
        </w:rPr>
        <w:t xml:space="preserve">zakresie interesu prawnego Skarżącej został wytyczony optymalnie, a zaskarżona </w:t>
      </w:r>
      <w:r w:rsidRPr="00B859F2">
        <w:rPr>
          <w:rFonts w:ascii="Lato" w:eastAsia="Times New Roman" w:hAnsi="Lato" w:cs="Arial"/>
          <w:spacing w:val="4"/>
          <w:sz w:val="20"/>
          <w:szCs w:val="20"/>
          <w:lang w:eastAsia="pl-PL" w:bidi="pl-PL"/>
        </w:rPr>
        <w:lastRenderedPageBreak/>
        <w:t>decyzja</w:t>
      </w:r>
      <w:r w:rsidRPr="00B859F2">
        <w:rPr>
          <w:rFonts w:ascii="Lato" w:eastAsia="Times New Roman" w:hAnsi="Lato" w:cs="Arial"/>
          <w:i/>
          <w:spacing w:val="4"/>
          <w:sz w:val="20"/>
          <w:szCs w:val="20"/>
          <w:lang w:eastAsia="pl-PL" w:bidi="pl-PL"/>
        </w:rPr>
        <w:t xml:space="preserve"> </w:t>
      </w:r>
      <w:r w:rsidRPr="00B859F2">
        <w:rPr>
          <w:rFonts w:ascii="Lato" w:eastAsia="Times New Roman" w:hAnsi="Lato" w:cs="Arial"/>
          <w:spacing w:val="4"/>
          <w:sz w:val="20"/>
          <w:szCs w:val="20"/>
          <w:lang w:eastAsia="pl-PL" w:bidi="pl-PL"/>
        </w:rPr>
        <w:t>nie przewiduje rozwiązań, które wprowadzają nadmierną, a w szczególności nieuzasadnioną ingerencję w przysługujące Skarżącej prawo własności nieruchomości.</w:t>
      </w:r>
    </w:p>
    <w:p w14:paraId="6DE86E3B" w14:textId="2160DFD1" w:rsidR="00B859F2" w:rsidRPr="00B859F2" w:rsidRDefault="00B859F2" w:rsidP="00B859F2">
      <w:pPr>
        <w:spacing w:after="240" w:line="240" w:lineRule="exact"/>
        <w:jc w:val="both"/>
        <w:outlineLvl w:val="0"/>
        <w:rPr>
          <w:rFonts w:ascii="Lato" w:eastAsia="Times New Roman" w:hAnsi="Lato" w:cs="Arial"/>
          <w:spacing w:val="4"/>
          <w:sz w:val="20"/>
          <w:szCs w:val="20"/>
          <w:lang w:eastAsia="pl-PL" w:bidi="pl-PL"/>
        </w:rPr>
      </w:pPr>
      <w:r w:rsidRPr="00B859F2">
        <w:rPr>
          <w:rFonts w:ascii="Lato" w:eastAsia="Times New Roman" w:hAnsi="Lato" w:cs="Arial"/>
          <w:spacing w:val="4"/>
          <w:sz w:val="20"/>
          <w:szCs w:val="20"/>
          <w:lang w:eastAsia="pl-PL" w:bidi="pl-PL"/>
        </w:rPr>
        <w:t xml:space="preserve">Nie wydaje się możliwe zaprojektowanie inwestycji </w:t>
      </w:r>
      <w:r w:rsidRPr="00B859F2">
        <w:rPr>
          <w:rFonts w:ascii="Lato" w:eastAsia="Times New Roman" w:hAnsi="Lato" w:cs="Arial"/>
          <w:spacing w:val="4"/>
          <w:sz w:val="20"/>
          <w:szCs w:val="20"/>
          <w:shd w:val="clear" w:color="auto" w:fill="FFFFFF"/>
          <w:lang w:eastAsia="pl-PL"/>
        </w:rPr>
        <w:t>w zakresie terminalu</w:t>
      </w:r>
      <w:r w:rsidRPr="00B859F2">
        <w:rPr>
          <w:rFonts w:ascii="Lato" w:eastAsia="Times New Roman" w:hAnsi="Lato" w:cs="Arial"/>
          <w:spacing w:val="4"/>
          <w:sz w:val="20"/>
          <w:szCs w:val="20"/>
          <w:lang w:eastAsia="pl-PL" w:bidi="pl-PL"/>
        </w:rPr>
        <w:t xml:space="preserve"> o takim przebiegu, który nie wzbudzałby sprzeciwu przynajmniej części właścicieli nieruchomości objętych inwestycją. Sprzeciw taki wydaje się być oczywiście naturalnym odruchem ochrony sposobu wykonywania własności nieruchomości przez jej właściciela, jednakże rozwój urbanizacyjny skutkuje zwiększającym się ograniczaniem indywidualnych praw właścicielskich na rzecz konieczności rozwoju infrastruktury </w:t>
      </w:r>
      <w:r w:rsidRPr="00B859F2">
        <w:rPr>
          <w:rFonts w:ascii="Lato" w:eastAsia="Times New Roman" w:hAnsi="Lato" w:cs="Arial"/>
          <w:spacing w:val="4"/>
          <w:sz w:val="20"/>
          <w:szCs w:val="20"/>
          <w:lang w:eastAsia="pl-PL" w:bidi="pl-PL"/>
        </w:rPr>
        <w:br/>
        <w:t>o publicznej lub społecznej użyteczności w ramach społecznej funkcji prawa własności. W takich okolicznościach inwestor zawsze będzie narażony na wywołanie lokalnego konfliktu społecznego, ponieważ to on samodzielnie dokonuje wyboru najbardziej korzystnych rozwiązań lokalizacyjnych, a następnie techniczno-wykonawczych,</w:t>
      </w:r>
      <w:r w:rsidRPr="00B859F2">
        <w:rPr>
          <w:rFonts w:ascii="Lato" w:eastAsia="Times New Roman" w:hAnsi="Lato" w:cs="Arial"/>
          <w:spacing w:val="4"/>
          <w:sz w:val="20"/>
          <w:szCs w:val="20"/>
          <w:lang w:eastAsia="pl-PL"/>
        </w:rPr>
        <w:t xml:space="preserve"> mając na uwadze spowodowanie jak najmniejszych uciążliwości dla właścicieli nieruchomości</w:t>
      </w:r>
      <w:r w:rsidRPr="00B859F2">
        <w:rPr>
          <w:rFonts w:ascii="Lato" w:eastAsia="Times New Roman" w:hAnsi="Lato" w:cs="Arial"/>
          <w:spacing w:val="4"/>
          <w:sz w:val="20"/>
          <w:szCs w:val="20"/>
          <w:lang w:eastAsia="pl-PL" w:bidi="pl-PL"/>
        </w:rPr>
        <w:t>.</w:t>
      </w:r>
    </w:p>
    <w:p w14:paraId="08D9CDF0" w14:textId="226C90D6" w:rsidR="00B859F2" w:rsidRPr="00B859F2" w:rsidRDefault="00B859F2" w:rsidP="00B859F2">
      <w:pPr>
        <w:spacing w:after="240" w:line="240" w:lineRule="exact"/>
        <w:jc w:val="both"/>
        <w:outlineLvl w:val="0"/>
        <w:rPr>
          <w:rFonts w:ascii="Lato" w:eastAsia="Times New Roman" w:hAnsi="Lato" w:cs="Arial"/>
          <w:spacing w:val="4"/>
          <w:sz w:val="20"/>
          <w:szCs w:val="20"/>
          <w:lang w:eastAsia="pl-PL" w:bidi="pl-PL"/>
        </w:rPr>
      </w:pPr>
      <w:r w:rsidRPr="00B859F2">
        <w:rPr>
          <w:rFonts w:ascii="Lato" w:eastAsia="Times New Roman" w:hAnsi="Lato" w:cs="Arial"/>
          <w:spacing w:val="4"/>
          <w:sz w:val="20"/>
          <w:szCs w:val="20"/>
          <w:lang w:eastAsia="pl-PL" w:bidi="pl-PL"/>
        </w:rPr>
        <w:t xml:space="preserve">Ustalenie lokalizacji inwestycji </w:t>
      </w:r>
      <w:r w:rsidRPr="00B859F2">
        <w:rPr>
          <w:rFonts w:ascii="Lato" w:eastAsia="Times New Roman" w:hAnsi="Lato" w:cs="Arial"/>
          <w:spacing w:val="4"/>
          <w:sz w:val="20"/>
          <w:szCs w:val="20"/>
          <w:shd w:val="clear" w:color="auto" w:fill="FFFFFF"/>
          <w:lang w:eastAsia="pl-PL"/>
        </w:rPr>
        <w:t>w zakresie terminalu</w:t>
      </w:r>
      <w:r w:rsidRPr="00B859F2">
        <w:rPr>
          <w:rFonts w:ascii="Lato" w:eastAsia="Times New Roman" w:hAnsi="Lato" w:cs="Arial"/>
          <w:spacing w:val="4"/>
          <w:sz w:val="20"/>
          <w:szCs w:val="20"/>
          <w:lang w:eastAsia="pl-PL" w:bidi="pl-PL"/>
        </w:rPr>
        <w:t>, zwłaszcza na obszarach zurbanizowanych, w wielu wypadkach musi uwzględniać sprzeczne interesy, z jednej strony inwestora, a z drugiej strony osób, których prawa lub interesy mogą być zagrożone lub naruszone w związku z realizacją takiej inwestycji. Granice tych praw i</w:t>
      </w:r>
      <w:r>
        <w:rPr>
          <w:rFonts w:ascii="Lato" w:eastAsia="Times New Roman" w:hAnsi="Lato" w:cs="Arial"/>
          <w:spacing w:val="4"/>
          <w:sz w:val="20"/>
          <w:szCs w:val="20"/>
          <w:lang w:eastAsia="pl-PL" w:bidi="pl-PL"/>
        </w:rPr>
        <w:t> </w:t>
      </w:r>
      <w:r w:rsidRPr="00B859F2">
        <w:rPr>
          <w:rFonts w:ascii="Lato" w:eastAsia="Times New Roman" w:hAnsi="Lato" w:cs="Arial"/>
          <w:spacing w:val="4"/>
          <w:sz w:val="20"/>
          <w:szCs w:val="20"/>
          <w:lang w:eastAsia="pl-PL" w:bidi="pl-PL"/>
        </w:rPr>
        <w:t xml:space="preserve">interesów określają przepisy </w:t>
      </w:r>
      <w:r w:rsidRPr="00B859F2">
        <w:rPr>
          <w:rFonts w:ascii="Lato" w:eastAsia="Times New Roman" w:hAnsi="Lato" w:cs="Arial"/>
          <w:i/>
          <w:spacing w:val="4"/>
          <w:sz w:val="20"/>
          <w:szCs w:val="20"/>
          <w:lang w:eastAsia="pl-PL" w:bidi="pl-PL"/>
        </w:rPr>
        <w:t xml:space="preserve">specustawy gazowej </w:t>
      </w:r>
      <w:r w:rsidRPr="00B859F2">
        <w:rPr>
          <w:rFonts w:ascii="Lato" w:eastAsia="Times New Roman" w:hAnsi="Lato" w:cs="Arial"/>
          <w:spacing w:val="4"/>
          <w:sz w:val="20"/>
          <w:szCs w:val="20"/>
          <w:lang w:eastAsia="pl-PL" w:bidi="pl-PL"/>
        </w:rPr>
        <w:t xml:space="preserve">oraz innych aktów prawnych wydanych na podstawie i w wykonaniu przepisów tego prawa lub przepisów wydanych dla ochrony środowiska. Poza tymi granicami, a zatem poza ochroną prawną wynikającą z norm prawa pozytywnego, pozostają natomiast protesty obywateli wyrażające ich osobiste zapatrywania, oczekiwania, postulaty i życzenia co do określonej polityki planowania przestrzennego, wzajemnych relacji między planowanymi lub realizowanymi inwestycjami. Nieuwzględnienie ich nie może jednak stanowić podstawy kwestionowania legalności ustalenia lokalizacji inwestycji </w:t>
      </w:r>
      <w:r w:rsidRPr="00B859F2">
        <w:rPr>
          <w:rFonts w:ascii="Lato" w:eastAsia="Times New Roman" w:hAnsi="Lato" w:cs="Arial"/>
          <w:spacing w:val="4"/>
          <w:sz w:val="20"/>
          <w:szCs w:val="20"/>
          <w:shd w:val="clear" w:color="auto" w:fill="FFFFFF"/>
          <w:lang w:eastAsia="pl-PL"/>
        </w:rPr>
        <w:t>w zakresie terminalu</w:t>
      </w:r>
      <w:r w:rsidRPr="00B859F2">
        <w:rPr>
          <w:rFonts w:ascii="Lato" w:eastAsia="Times New Roman" w:hAnsi="Lato" w:cs="Arial"/>
          <w:spacing w:val="4"/>
          <w:sz w:val="20"/>
          <w:szCs w:val="20"/>
          <w:lang w:eastAsia="pl-PL" w:bidi="pl-PL"/>
        </w:rPr>
        <w:t>.</w:t>
      </w:r>
    </w:p>
    <w:p w14:paraId="26BE3772" w14:textId="3EA225D1" w:rsidR="00B859F2" w:rsidRPr="00B859F2" w:rsidRDefault="00B859F2" w:rsidP="00B859F2">
      <w:pPr>
        <w:spacing w:after="240" w:line="240" w:lineRule="exact"/>
        <w:jc w:val="both"/>
        <w:rPr>
          <w:rFonts w:ascii="Lato" w:eastAsia="Times New Roman" w:hAnsi="Lato" w:cs="Arial"/>
          <w:spacing w:val="4"/>
          <w:sz w:val="20"/>
          <w:szCs w:val="20"/>
          <w:lang w:eastAsia="pl-PL"/>
        </w:rPr>
      </w:pPr>
      <w:r w:rsidRPr="00B859F2">
        <w:rPr>
          <w:rFonts w:ascii="Lato" w:eastAsia="Times New Roman" w:hAnsi="Lato" w:cs="Arial"/>
          <w:bCs/>
          <w:iCs/>
          <w:spacing w:val="4"/>
          <w:sz w:val="20"/>
          <w:szCs w:val="20"/>
          <w:lang w:eastAsia="pl-PL"/>
        </w:rPr>
        <w:t xml:space="preserve">Realizacja inwestycji </w:t>
      </w:r>
      <w:r w:rsidRPr="00B859F2">
        <w:rPr>
          <w:rFonts w:ascii="Lato" w:eastAsia="Times New Roman" w:hAnsi="Lato" w:cs="Arial"/>
          <w:spacing w:val="4"/>
          <w:sz w:val="20"/>
          <w:szCs w:val="20"/>
          <w:shd w:val="clear" w:color="auto" w:fill="FFFFFF"/>
          <w:lang w:eastAsia="pl-PL"/>
        </w:rPr>
        <w:t>w zakresie terminalu</w:t>
      </w:r>
      <w:r w:rsidRPr="00B859F2">
        <w:rPr>
          <w:rFonts w:ascii="Lato" w:eastAsia="Times New Roman" w:hAnsi="Lato" w:cs="Arial"/>
          <w:bCs/>
          <w:iCs/>
          <w:spacing w:val="4"/>
          <w:sz w:val="20"/>
          <w:szCs w:val="20"/>
          <w:lang w:eastAsia="pl-PL"/>
        </w:rPr>
        <w:t xml:space="preserve"> stwarza określone uciążliwości dla właścicieli nieruchomości objętych jej zakresem. Ocena decyzji w aspekcie poszanowania uzasadnionych interesów osób trzecich wymaga uwzględnienia</w:t>
      </w:r>
      <w:r w:rsidRPr="00B859F2">
        <w:rPr>
          <w:rFonts w:ascii="Lato" w:eastAsia="Times New Roman" w:hAnsi="Lato" w:cs="Arial"/>
          <w:spacing w:val="4"/>
          <w:sz w:val="20"/>
          <w:szCs w:val="20"/>
          <w:lang w:eastAsia="pl-PL"/>
        </w:rPr>
        <w:t>, że inwestor – występując o ustalenie lokalizacji sieci gazowej na danej nieruchomości – działa w</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interesie publicznym, który ma prymat nad interesem prawnym jednostki, o ile nie narusza tego interesu prawnego w sposób niezgodny z prawem, co w niniejszej sprawie nie miało miejsca. </w:t>
      </w:r>
    </w:p>
    <w:p w14:paraId="6A61E049" w14:textId="29715C47" w:rsidR="00B859F2" w:rsidRPr="00B859F2" w:rsidRDefault="00B859F2" w:rsidP="00B859F2">
      <w:pPr>
        <w:spacing w:after="240" w:line="240" w:lineRule="exact"/>
        <w:jc w:val="both"/>
        <w:rPr>
          <w:rFonts w:ascii="Lato" w:eastAsia="Times New Roman" w:hAnsi="Lato" w:cs="Arial"/>
          <w:iCs/>
          <w:spacing w:val="4"/>
          <w:sz w:val="20"/>
          <w:szCs w:val="20"/>
          <w:lang w:eastAsia="pl-PL" w:bidi="pl-PL"/>
        </w:rPr>
      </w:pPr>
      <w:r w:rsidRPr="00B859F2">
        <w:rPr>
          <w:rFonts w:ascii="Lato" w:eastAsia="Times New Roman" w:hAnsi="Lato" w:cs="Arial"/>
          <w:iCs/>
          <w:spacing w:val="4"/>
          <w:sz w:val="20"/>
          <w:szCs w:val="20"/>
          <w:lang w:eastAsia="pl-PL" w:bidi="pl-PL"/>
        </w:rPr>
        <w:t>Lokalizacja inwestycji w zakresie budowy gazociągu z samej istoty tego przedsięwzięcia zawsze stanowi ingerencję w prawo własności. Dla decyzji o ustaleniu lokalizacji inwestycji dotychczasowe przeznaczenie nieruchomości należącej do strony skarżącej pozostaje bez znaczenia i nie podważa prawidłowości decyzji. Może mieć jednak znaczenie dla ewentualnego roszczenia odszkodowawczego przysługującego zgodnie z</w:t>
      </w:r>
      <w:r>
        <w:rPr>
          <w:rFonts w:ascii="Lato" w:eastAsia="Times New Roman" w:hAnsi="Lato" w:cs="Arial"/>
          <w:iCs/>
          <w:spacing w:val="4"/>
          <w:sz w:val="20"/>
          <w:szCs w:val="20"/>
          <w:lang w:eastAsia="pl-PL" w:bidi="pl-PL"/>
        </w:rPr>
        <w:t> </w:t>
      </w:r>
      <w:r w:rsidRPr="00B859F2">
        <w:rPr>
          <w:rFonts w:ascii="Lato" w:eastAsia="Times New Roman" w:hAnsi="Lato" w:cs="Arial"/>
          <w:iCs/>
          <w:spacing w:val="4"/>
          <w:sz w:val="20"/>
          <w:szCs w:val="20"/>
          <w:lang w:eastAsia="pl-PL" w:bidi="pl-PL"/>
        </w:rPr>
        <w:t xml:space="preserve">art. 124 ust. 5 </w:t>
      </w:r>
      <w:proofErr w:type="spellStart"/>
      <w:r w:rsidRPr="00B859F2">
        <w:rPr>
          <w:rFonts w:ascii="Lato" w:eastAsia="Times New Roman" w:hAnsi="Lato" w:cs="Arial"/>
          <w:i/>
          <w:iCs/>
          <w:spacing w:val="4"/>
          <w:sz w:val="20"/>
          <w:szCs w:val="20"/>
          <w:lang w:eastAsia="pl-PL" w:bidi="pl-PL"/>
        </w:rPr>
        <w:t>ugn</w:t>
      </w:r>
      <w:proofErr w:type="spellEnd"/>
      <w:r w:rsidRPr="00B859F2">
        <w:rPr>
          <w:rFonts w:ascii="Lato" w:eastAsia="Times New Roman" w:hAnsi="Lato" w:cs="Arial"/>
          <w:iCs/>
          <w:spacing w:val="4"/>
          <w:sz w:val="20"/>
          <w:szCs w:val="20"/>
          <w:lang w:eastAsia="pl-PL" w:bidi="pl-PL"/>
        </w:rPr>
        <w:t xml:space="preserve">. Według bowiem art. 24 ust. 1 </w:t>
      </w:r>
      <w:r w:rsidRPr="00B859F2">
        <w:rPr>
          <w:rFonts w:ascii="Lato" w:eastAsia="Times New Roman" w:hAnsi="Lato" w:cs="Arial"/>
          <w:i/>
          <w:iCs/>
          <w:spacing w:val="4"/>
          <w:sz w:val="20"/>
          <w:szCs w:val="20"/>
          <w:lang w:eastAsia="pl-PL" w:bidi="pl-PL"/>
        </w:rPr>
        <w:t>specustawy gazowej</w:t>
      </w:r>
      <w:r w:rsidRPr="00B859F2">
        <w:rPr>
          <w:rFonts w:ascii="Lato" w:eastAsia="Times New Roman" w:hAnsi="Lato" w:cs="Arial"/>
          <w:iCs/>
          <w:spacing w:val="4"/>
          <w:sz w:val="20"/>
          <w:szCs w:val="20"/>
          <w:lang w:eastAsia="pl-PL" w:bidi="pl-PL"/>
        </w:rPr>
        <w:t>, przepisy art.</w:t>
      </w:r>
      <w:r>
        <w:rPr>
          <w:rFonts w:ascii="Lato" w:eastAsia="Times New Roman" w:hAnsi="Lato" w:cs="Arial"/>
          <w:iCs/>
          <w:spacing w:val="4"/>
          <w:sz w:val="20"/>
          <w:szCs w:val="20"/>
          <w:lang w:eastAsia="pl-PL" w:bidi="pl-PL"/>
        </w:rPr>
        <w:t> </w:t>
      </w:r>
      <w:r w:rsidRPr="00B859F2">
        <w:rPr>
          <w:rFonts w:ascii="Lato" w:eastAsia="Times New Roman" w:hAnsi="Lato" w:cs="Arial"/>
          <w:iCs/>
          <w:spacing w:val="4"/>
          <w:sz w:val="20"/>
          <w:szCs w:val="20"/>
          <w:lang w:eastAsia="pl-PL" w:bidi="pl-PL"/>
        </w:rPr>
        <w:t xml:space="preserve">124 ust. 4-7 </w:t>
      </w:r>
      <w:proofErr w:type="spellStart"/>
      <w:r w:rsidRPr="00B859F2">
        <w:rPr>
          <w:rFonts w:ascii="Lato" w:eastAsia="Times New Roman" w:hAnsi="Lato" w:cs="Arial"/>
          <w:i/>
          <w:iCs/>
          <w:spacing w:val="4"/>
          <w:sz w:val="20"/>
          <w:szCs w:val="20"/>
          <w:lang w:eastAsia="pl-PL" w:bidi="pl-PL"/>
        </w:rPr>
        <w:t>ugn</w:t>
      </w:r>
      <w:proofErr w:type="spellEnd"/>
      <w:r w:rsidRPr="00B859F2">
        <w:rPr>
          <w:rFonts w:ascii="Lato" w:eastAsia="Times New Roman" w:hAnsi="Lato" w:cs="Arial"/>
          <w:iCs/>
          <w:spacing w:val="4"/>
          <w:sz w:val="20"/>
          <w:szCs w:val="20"/>
          <w:lang w:eastAsia="pl-PL" w:bidi="pl-PL"/>
        </w:rPr>
        <w:t xml:space="preserve"> stosuje się odpowiednio, z uwzględnieniem przepisów ww. ustawy (por. wyroki Wojewódzkiego Sądu Administracyjnego z dnia 30 sierpnia 2019 r., sygn. akt IV SA/</w:t>
      </w:r>
      <w:proofErr w:type="spellStart"/>
      <w:r w:rsidRPr="00B859F2">
        <w:rPr>
          <w:rFonts w:ascii="Lato" w:eastAsia="Times New Roman" w:hAnsi="Lato" w:cs="Arial"/>
          <w:iCs/>
          <w:spacing w:val="4"/>
          <w:sz w:val="20"/>
          <w:szCs w:val="20"/>
          <w:lang w:eastAsia="pl-PL" w:bidi="pl-PL"/>
        </w:rPr>
        <w:t>Wa</w:t>
      </w:r>
      <w:proofErr w:type="spellEnd"/>
      <w:r w:rsidRPr="00B859F2">
        <w:rPr>
          <w:rFonts w:ascii="Lato" w:eastAsia="Times New Roman" w:hAnsi="Lato" w:cs="Arial"/>
          <w:iCs/>
          <w:spacing w:val="4"/>
          <w:sz w:val="20"/>
          <w:szCs w:val="20"/>
          <w:lang w:eastAsia="pl-PL" w:bidi="pl-PL"/>
        </w:rPr>
        <w:t xml:space="preserve"> 1477/19, i z dnia 31 sierpnia 2018 r., sygn. akt IV SA/</w:t>
      </w:r>
      <w:proofErr w:type="spellStart"/>
      <w:r w:rsidRPr="00B859F2">
        <w:rPr>
          <w:rFonts w:ascii="Lato" w:eastAsia="Times New Roman" w:hAnsi="Lato" w:cs="Arial"/>
          <w:iCs/>
          <w:spacing w:val="4"/>
          <w:sz w:val="20"/>
          <w:szCs w:val="20"/>
          <w:lang w:eastAsia="pl-PL" w:bidi="pl-PL"/>
        </w:rPr>
        <w:t>Wa</w:t>
      </w:r>
      <w:proofErr w:type="spellEnd"/>
      <w:r w:rsidRPr="00B859F2">
        <w:rPr>
          <w:rFonts w:ascii="Lato" w:eastAsia="Times New Roman" w:hAnsi="Lato" w:cs="Arial"/>
          <w:iCs/>
          <w:spacing w:val="4"/>
          <w:sz w:val="20"/>
          <w:szCs w:val="20"/>
          <w:lang w:eastAsia="pl-PL" w:bidi="pl-PL"/>
        </w:rPr>
        <w:t xml:space="preserve"> 3345/17, </w:t>
      </w:r>
      <w:proofErr w:type="spellStart"/>
      <w:r w:rsidRPr="00B859F2">
        <w:rPr>
          <w:rFonts w:ascii="Lato" w:eastAsia="Times New Roman" w:hAnsi="Lato" w:cs="Arial"/>
          <w:iCs/>
          <w:spacing w:val="4"/>
          <w:sz w:val="20"/>
          <w:szCs w:val="20"/>
          <w:lang w:eastAsia="pl-PL" w:bidi="pl-PL"/>
        </w:rPr>
        <w:t>opubl</w:t>
      </w:r>
      <w:proofErr w:type="spellEnd"/>
      <w:r w:rsidRPr="00B859F2">
        <w:rPr>
          <w:rFonts w:ascii="Lato" w:eastAsia="Times New Roman" w:hAnsi="Lato" w:cs="Arial"/>
          <w:iCs/>
          <w:spacing w:val="4"/>
          <w:sz w:val="20"/>
          <w:szCs w:val="20"/>
          <w:lang w:eastAsia="pl-PL" w:bidi="pl-PL"/>
        </w:rPr>
        <w:t>. Centralna Baza Orzeczeń Sądów Administracyjnych).</w:t>
      </w:r>
    </w:p>
    <w:p w14:paraId="47E6427C" w14:textId="7A03590B" w:rsidR="00B859F2" w:rsidRPr="00B859F2" w:rsidRDefault="00B859F2" w:rsidP="00B859F2">
      <w:pPr>
        <w:spacing w:after="240" w:line="240" w:lineRule="exact"/>
        <w:jc w:val="both"/>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 xml:space="preserve">W związku z powyższym, w pierwszej kolejności warto wyjaśnić, iż zgodnie z art. 124 ust. 4 </w:t>
      </w:r>
      <w:proofErr w:type="spellStart"/>
      <w:r w:rsidRPr="00B859F2">
        <w:rPr>
          <w:rFonts w:ascii="Lato" w:eastAsia="Times New Roman" w:hAnsi="Lato" w:cs="Arial"/>
          <w:i/>
          <w:spacing w:val="4"/>
          <w:sz w:val="20"/>
          <w:szCs w:val="20"/>
          <w:lang w:eastAsia="pl-PL"/>
        </w:rPr>
        <w:t>ugn</w:t>
      </w:r>
      <w:proofErr w:type="spellEnd"/>
      <w:r w:rsidRPr="00B859F2">
        <w:rPr>
          <w:rFonts w:ascii="Lato" w:eastAsia="Times New Roman" w:hAnsi="Lato" w:cs="Arial"/>
          <w:spacing w:val="4"/>
          <w:sz w:val="20"/>
          <w:szCs w:val="20"/>
          <w:lang w:eastAsia="pl-PL"/>
        </w:rPr>
        <w:t>, na osobie lub jednostce organizacyjnej występującej o zezwolenie ciąży obowiązek przywrócenia nieruchomości do stanu poprzedniego, niezwłocznie po</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założeniu lub przeprowadzeniu ciągów, przewodów i urządzeń, o których mowa w</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ust. 1. Jeżeli przywrócenie nieruchomości do stanu poprzedniego jest niemożliwe albo powoduje nadmierne trudności lub koszty, stosuje się odpowiednio przepis art. 128 ust. </w:t>
      </w:r>
      <w:r w:rsidRPr="00B859F2">
        <w:rPr>
          <w:rFonts w:ascii="Lato" w:eastAsia="Times New Roman" w:hAnsi="Lato" w:cs="Arial"/>
          <w:spacing w:val="4"/>
          <w:sz w:val="20"/>
          <w:szCs w:val="20"/>
          <w:lang w:eastAsia="pl-PL"/>
        </w:rPr>
        <w:lastRenderedPageBreak/>
        <w:t xml:space="preserve">4 </w:t>
      </w:r>
      <w:proofErr w:type="spellStart"/>
      <w:r w:rsidRPr="00B859F2">
        <w:rPr>
          <w:rFonts w:ascii="Lato" w:eastAsia="Times New Roman" w:hAnsi="Lato" w:cs="Arial"/>
          <w:i/>
          <w:iCs/>
          <w:spacing w:val="4"/>
          <w:sz w:val="20"/>
          <w:szCs w:val="20"/>
          <w:lang w:eastAsia="pl-PL"/>
        </w:rPr>
        <w:t>ugn</w:t>
      </w:r>
      <w:proofErr w:type="spellEnd"/>
      <w:r w:rsidRPr="00B859F2">
        <w:rPr>
          <w:rFonts w:ascii="Lato" w:eastAsia="Times New Roman" w:hAnsi="Lato" w:cs="Arial"/>
          <w:spacing w:val="4"/>
          <w:sz w:val="20"/>
          <w:szCs w:val="20"/>
          <w:lang w:eastAsia="pl-PL"/>
        </w:rPr>
        <w:t>. Z tej regulacji wynika jednoznacznie, iż odszkodowanie może być przyznane dopiero po zakończeniu na nieruchomości prac, związanych z realizacją inwestycji i</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przysługuje ono jedynie wówczas, gdy przywrócenie nieruchomości do stanu poprzedniego jest niemożliwe albo powoduje nadmierne trudności lub koszty.</w:t>
      </w:r>
    </w:p>
    <w:p w14:paraId="67917373" w14:textId="4DEE4546" w:rsidR="00B859F2" w:rsidRPr="00B859F2" w:rsidRDefault="00B859F2" w:rsidP="00B859F2">
      <w:pPr>
        <w:spacing w:after="240" w:line="240" w:lineRule="exact"/>
        <w:jc w:val="both"/>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 xml:space="preserve">Odszkodowanie, o którym mowa w art. 124 ust. 4 w zw. z art. 128 ust. 4 </w:t>
      </w:r>
      <w:proofErr w:type="spellStart"/>
      <w:r w:rsidRPr="00B859F2">
        <w:rPr>
          <w:rFonts w:ascii="Lato" w:eastAsia="Times New Roman" w:hAnsi="Lato" w:cs="Arial"/>
          <w:i/>
          <w:spacing w:val="4"/>
          <w:sz w:val="20"/>
          <w:szCs w:val="20"/>
          <w:lang w:eastAsia="pl-PL"/>
        </w:rPr>
        <w:t>ugn</w:t>
      </w:r>
      <w:proofErr w:type="spellEnd"/>
      <w:r w:rsidRPr="00B859F2">
        <w:rPr>
          <w:rFonts w:ascii="Lato" w:eastAsia="Times New Roman" w:hAnsi="Lato" w:cs="Arial"/>
          <w:iCs/>
          <w:spacing w:val="4"/>
          <w:sz w:val="20"/>
          <w:szCs w:val="20"/>
          <w:lang w:eastAsia="pl-PL"/>
        </w:rPr>
        <w:t>,</w:t>
      </w:r>
      <w:r w:rsidRPr="00B859F2">
        <w:rPr>
          <w:rFonts w:ascii="Lato" w:eastAsia="Times New Roman" w:hAnsi="Lato" w:cs="Arial"/>
          <w:spacing w:val="4"/>
          <w:sz w:val="20"/>
          <w:szCs w:val="20"/>
          <w:lang w:eastAsia="pl-PL"/>
        </w:rPr>
        <w:t xml:space="preserve"> jest odszkodowaniem za szkody wynikające z ograniczenia sposobu korzystania z</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nieruchomości, a więc w istocie za ograniczenia prawa do nieruchomości. </w:t>
      </w:r>
      <w:r w:rsidRPr="00B859F2">
        <w:rPr>
          <w:rFonts w:ascii="Lato" w:eastAsia="Times New Roman" w:hAnsi="Lato" w:cs="Arial"/>
          <w:bCs/>
          <w:spacing w:val="4"/>
          <w:sz w:val="20"/>
          <w:szCs w:val="20"/>
          <w:lang w:eastAsia="pl-PL"/>
        </w:rPr>
        <w:t>Odszkodowanie</w:t>
      </w:r>
      <w:r w:rsidRPr="00B859F2">
        <w:rPr>
          <w:rFonts w:ascii="Lato" w:eastAsia="Times New Roman" w:hAnsi="Lato" w:cs="Arial"/>
          <w:spacing w:val="4"/>
          <w:sz w:val="20"/>
          <w:szCs w:val="20"/>
          <w:lang w:eastAsia="pl-PL"/>
        </w:rPr>
        <w:t xml:space="preserve"> jest jednak </w:t>
      </w:r>
      <w:r w:rsidRPr="00B859F2">
        <w:rPr>
          <w:rFonts w:ascii="Lato" w:eastAsia="Times New Roman" w:hAnsi="Lato" w:cs="Arial"/>
          <w:bCs/>
          <w:spacing w:val="4"/>
          <w:sz w:val="20"/>
          <w:szCs w:val="20"/>
          <w:lang w:eastAsia="pl-PL"/>
        </w:rPr>
        <w:t>należne</w:t>
      </w:r>
      <w:r w:rsidRPr="00B859F2">
        <w:rPr>
          <w:rFonts w:ascii="Lato" w:eastAsia="Times New Roman" w:hAnsi="Lato" w:cs="Arial"/>
          <w:spacing w:val="4"/>
          <w:sz w:val="20"/>
          <w:szCs w:val="20"/>
          <w:lang w:eastAsia="pl-PL"/>
        </w:rPr>
        <w:t xml:space="preserve"> tylko </w:t>
      </w:r>
      <w:r w:rsidRPr="00B859F2">
        <w:rPr>
          <w:rFonts w:ascii="Lato" w:eastAsia="Times New Roman" w:hAnsi="Lato" w:cs="Arial"/>
          <w:bCs/>
          <w:spacing w:val="4"/>
          <w:sz w:val="20"/>
          <w:szCs w:val="20"/>
          <w:lang w:eastAsia="pl-PL"/>
        </w:rPr>
        <w:t>po wykazaniu zaistnienia szkody</w:t>
      </w:r>
      <w:r w:rsidRPr="00B859F2">
        <w:rPr>
          <w:rFonts w:ascii="Lato" w:eastAsia="Times New Roman" w:hAnsi="Lato" w:cs="Arial"/>
          <w:spacing w:val="4"/>
          <w:sz w:val="20"/>
          <w:szCs w:val="20"/>
          <w:lang w:eastAsia="pl-PL"/>
        </w:rPr>
        <w:t>, a nie samej potencjalności jej zaistnienia. Szkoda stanowi różnicę między stanem nieruchomości (jej</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części składowych, lub praw z nią związanych) przed rozpoczęciem działań inwestycyjnych w zakresie budowy urządzeń infrastruktury technicznej, a stanem po ich wybudowaniu.</w:t>
      </w:r>
    </w:p>
    <w:p w14:paraId="5206EBE7" w14:textId="378A0708" w:rsidR="00B859F2" w:rsidRPr="00B859F2" w:rsidRDefault="00B859F2" w:rsidP="00B859F2">
      <w:pPr>
        <w:spacing w:after="240" w:line="240" w:lineRule="exact"/>
        <w:jc w:val="both"/>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Jednakże kwestie związane z ustaleniem wysokości i wypłatą odszkodowań, mimo</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iż</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w</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pewnym stopniu są związane z decyzją o ustaleniu lokalizacji inwestycji towarzyszącej inwestycjom w zakresie terminalu, stanowią oddzielne byty, podlegające odrębnym trybom zaskarżenia.</w:t>
      </w:r>
    </w:p>
    <w:p w14:paraId="6E94D0AF" w14:textId="385EC650"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Wysokość odszkodowania jest przedmiotem odrębnego postępowania</w:t>
      </w:r>
      <w:r w:rsidR="009E1541">
        <w:rPr>
          <w:rFonts w:ascii="Lato" w:eastAsia="Times New Roman" w:hAnsi="Lato" w:cs="Arial"/>
          <w:spacing w:val="4"/>
          <w:sz w:val="20"/>
          <w:szCs w:val="20"/>
          <w:lang w:eastAsia="pl-PL"/>
        </w:rPr>
        <w:t xml:space="preserve"> </w:t>
      </w:r>
      <w:r w:rsidRPr="00B859F2">
        <w:rPr>
          <w:rFonts w:ascii="Lato" w:eastAsia="Times New Roman" w:hAnsi="Lato" w:cs="Arial"/>
          <w:spacing w:val="4"/>
          <w:sz w:val="20"/>
          <w:szCs w:val="20"/>
          <w:lang w:eastAsia="pl-PL"/>
        </w:rPr>
        <w:t xml:space="preserve">administracyjnego prowadzonego przez Wojewodę na podstawie przepisów </w:t>
      </w:r>
      <w:r w:rsidRPr="00B859F2">
        <w:rPr>
          <w:rFonts w:ascii="Lato" w:eastAsia="Times New Roman" w:hAnsi="Lato" w:cs="Arial"/>
          <w:i/>
          <w:spacing w:val="4"/>
          <w:sz w:val="20"/>
          <w:szCs w:val="20"/>
          <w:lang w:eastAsia="pl-PL"/>
        </w:rPr>
        <w:t>specustawy gazowej</w:t>
      </w:r>
      <w:r w:rsidRPr="00B859F2">
        <w:rPr>
          <w:rFonts w:ascii="Lato" w:eastAsia="Times New Roman" w:hAnsi="Lato" w:cs="Arial"/>
          <w:spacing w:val="4"/>
          <w:sz w:val="20"/>
          <w:szCs w:val="20"/>
          <w:lang w:eastAsia="pl-PL"/>
        </w:rPr>
        <w:t xml:space="preserve"> oraz odpowiednich przepisów</w:t>
      </w:r>
      <w:r w:rsidRPr="00B859F2">
        <w:rPr>
          <w:rFonts w:ascii="Lato" w:eastAsia="Times New Roman" w:hAnsi="Lato" w:cs="Arial"/>
          <w:spacing w:val="4"/>
          <w:sz w:val="20"/>
          <w:szCs w:val="20"/>
          <w:shd w:val="clear" w:color="auto" w:fill="FFFFFF"/>
          <w:lang w:eastAsia="pl-PL"/>
        </w:rPr>
        <w:t xml:space="preserve"> </w:t>
      </w:r>
      <w:proofErr w:type="spellStart"/>
      <w:r w:rsidRPr="00B859F2">
        <w:rPr>
          <w:rFonts w:ascii="Lato" w:eastAsia="Times New Roman" w:hAnsi="Lato" w:cs="Arial"/>
          <w:i/>
          <w:spacing w:val="4"/>
          <w:sz w:val="20"/>
          <w:szCs w:val="20"/>
          <w:shd w:val="clear" w:color="auto" w:fill="FFFFFF"/>
          <w:lang w:eastAsia="pl-PL"/>
        </w:rPr>
        <w:t>ugn</w:t>
      </w:r>
      <w:proofErr w:type="spellEnd"/>
      <w:r w:rsidRPr="00B859F2">
        <w:rPr>
          <w:rFonts w:ascii="Lato" w:eastAsia="Times New Roman" w:hAnsi="Lato" w:cs="Arial"/>
          <w:i/>
          <w:spacing w:val="4"/>
          <w:sz w:val="20"/>
          <w:szCs w:val="20"/>
          <w:shd w:val="clear" w:color="auto" w:fill="FFFFFF"/>
          <w:lang w:eastAsia="pl-PL"/>
        </w:rPr>
        <w:t>.</w:t>
      </w:r>
      <w:r w:rsidRPr="00B859F2">
        <w:rPr>
          <w:rFonts w:ascii="Lato" w:eastAsia="Times New Roman" w:hAnsi="Lato" w:cs="Arial"/>
          <w:spacing w:val="4"/>
          <w:sz w:val="20"/>
          <w:szCs w:val="20"/>
          <w:shd w:val="clear" w:color="auto" w:fill="FFFFFF"/>
          <w:lang w:eastAsia="pl-PL"/>
        </w:rPr>
        <w:t xml:space="preserve"> </w:t>
      </w:r>
      <w:r w:rsidRPr="00B859F2">
        <w:rPr>
          <w:rFonts w:ascii="Lato" w:eastAsia="Times New Roman" w:hAnsi="Lato" w:cs="Arial"/>
          <w:spacing w:val="4"/>
          <w:sz w:val="20"/>
          <w:szCs w:val="20"/>
          <w:lang w:eastAsia="pl-PL"/>
        </w:rPr>
        <w:t xml:space="preserve">Podstawą wypłaty odszkodowań są decyzje administracyjne wydawane po uzyskaniu przez organ opinii rzeczoznawców majątkowych. Kwestia dotycząca wypłaty odszkodowania, jak również ustalenie </w:t>
      </w:r>
      <w:r w:rsidRPr="00B859F2">
        <w:rPr>
          <w:rFonts w:ascii="Lato" w:eastAsia="Times New Roman" w:hAnsi="Lato" w:cs="Arial"/>
          <w:spacing w:val="4"/>
          <w:sz w:val="20"/>
          <w:szCs w:val="20"/>
          <w:lang w:eastAsia="pl-PL"/>
        </w:rPr>
        <w:br/>
        <w:t xml:space="preserve">jego wysokości, może nastąpić ewentualnie po zrealizowaniu inwestycji. Wobec powyższego, szeroko rozumiane kwestie odszkodowawcze za ustanowienie służebności publicznej, na podstawie ww. </w:t>
      </w:r>
      <w:r w:rsidRPr="00B859F2">
        <w:rPr>
          <w:rFonts w:ascii="Lato" w:eastAsia="Times New Roman" w:hAnsi="Lato" w:cs="Arial"/>
          <w:bCs/>
          <w:iCs/>
          <w:spacing w:val="4"/>
          <w:sz w:val="20"/>
          <w:szCs w:val="20"/>
          <w:lang w:eastAsia="pl-PL" w:bidi="pl-PL"/>
        </w:rPr>
        <w:t xml:space="preserve">art.  24 ust. 1 </w:t>
      </w:r>
      <w:r w:rsidRPr="00B859F2">
        <w:rPr>
          <w:rFonts w:ascii="Lato" w:eastAsia="Times New Roman" w:hAnsi="Lato" w:cs="Arial"/>
          <w:bCs/>
          <w:i/>
          <w:iCs/>
          <w:spacing w:val="4"/>
          <w:sz w:val="20"/>
          <w:szCs w:val="20"/>
          <w:lang w:eastAsia="pl-PL" w:bidi="pl-PL"/>
        </w:rPr>
        <w:t>specustawy gazowej</w:t>
      </w:r>
      <w:r w:rsidRPr="00B859F2">
        <w:rPr>
          <w:rFonts w:ascii="Lato" w:eastAsia="Times New Roman" w:hAnsi="Lato" w:cs="Arial"/>
          <w:spacing w:val="4"/>
          <w:sz w:val="20"/>
          <w:szCs w:val="20"/>
          <w:lang w:eastAsia="pl-PL"/>
        </w:rPr>
        <w:t xml:space="preserve">, nie są przedmiotem decyzji o ustaleniu lokalizacji inwestycji towarzyszącej inwestycjom w zakresie terminalu. </w:t>
      </w:r>
    </w:p>
    <w:p w14:paraId="5E16CC9F" w14:textId="04B1E98B" w:rsidR="00B859F2" w:rsidRPr="00B859F2" w:rsidRDefault="00B859F2" w:rsidP="00B859F2">
      <w:pPr>
        <w:spacing w:after="240" w:line="240" w:lineRule="exact"/>
        <w:jc w:val="both"/>
        <w:outlineLvl w:val="0"/>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Pomimo zatem ingerencji w prawo własności, dochodzi do równoważenia strat i szkód związanych z planowaną inwestycją, co w konsekwencji nie narusza proporcji między interesem publicznym, a ingerencją w sferę praw i wolności, które na mocy ustawy są</w:t>
      </w:r>
      <w:r>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rekompensowane stosownym odszkodowaniem.</w:t>
      </w:r>
    </w:p>
    <w:p w14:paraId="2BB4E420" w14:textId="4EAC4ED0" w:rsidR="00B859F2" w:rsidRPr="00B859F2" w:rsidRDefault="00B859F2" w:rsidP="00B859F2">
      <w:pPr>
        <w:spacing w:after="240" w:line="240" w:lineRule="exact"/>
        <w:jc w:val="both"/>
        <w:rPr>
          <w:rFonts w:ascii="Lato" w:eastAsia="Times New Roman" w:hAnsi="Lato" w:cs="Arial"/>
          <w:spacing w:val="4"/>
          <w:sz w:val="20"/>
          <w:szCs w:val="20"/>
          <w:lang w:eastAsia="pl-PL"/>
        </w:rPr>
      </w:pPr>
      <w:r w:rsidRPr="00B859F2">
        <w:rPr>
          <w:rFonts w:ascii="Lato" w:eastAsia="Times New Roman" w:hAnsi="Lato" w:cs="Arial"/>
          <w:iCs/>
          <w:spacing w:val="4"/>
          <w:sz w:val="20"/>
          <w:szCs w:val="20"/>
          <w:lang w:eastAsia="pl-PL" w:bidi="pl-PL"/>
        </w:rPr>
        <w:t xml:space="preserve">Natomiast ustawodawca wyraźnie przesądził, że właściwym instrumentem prawnym, służącym ochronie właściciela gruntu, zajętego jedynie częściowo na potrzeby inwestycji, jest możliwość żądania wykupu przez </w:t>
      </w:r>
      <w:r w:rsidRPr="00B859F2">
        <w:rPr>
          <w:rFonts w:ascii="Lato" w:eastAsia="Times New Roman" w:hAnsi="Lato" w:cs="Arial"/>
          <w:spacing w:val="4"/>
          <w:sz w:val="20"/>
          <w:szCs w:val="20"/>
          <w:lang w:eastAsia="pl-PL" w:bidi="pl-PL"/>
        </w:rPr>
        <w:t>inwestora</w:t>
      </w:r>
      <w:r w:rsidRPr="00B859F2">
        <w:rPr>
          <w:rFonts w:ascii="Lato" w:eastAsia="Times New Roman" w:hAnsi="Lato" w:cs="Arial"/>
          <w:iCs/>
          <w:spacing w:val="4"/>
          <w:sz w:val="20"/>
          <w:szCs w:val="20"/>
          <w:lang w:eastAsia="pl-PL" w:bidi="pl-PL"/>
        </w:rPr>
        <w:t xml:space="preserve"> całości nieruchomości na</w:t>
      </w:r>
      <w:r>
        <w:rPr>
          <w:rFonts w:ascii="Lato" w:eastAsia="Times New Roman" w:hAnsi="Lato" w:cs="Arial"/>
          <w:iCs/>
          <w:spacing w:val="4"/>
          <w:sz w:val="20"/>
          <w:szCs w:val="20"/>
          <w:lang w:eastAsia="pl-PL" w:bidi="pl-PL"/>
        </w:rPr>
        <w:t> </w:t>
      </w:r>
      <w:r w:rsidRPr="00B859F2">
        <w:rPr>
          <w:rFonts w:ascii="Lato" w:eastAsia="Times New Roman" w:hAnsi="Lato" w:cs="Arial"/>
          <w:iCs/>
          <w:spacing w:val="4"/>
          <w:sz w:val="20"/>
          <w:szCs w:val="20"/>
          <w:lang w:eastAsia="pl-PL" w:bidi="pl-PL"/>
        </w:rPr>
        <w:t xml:space="preserve">zasadach przewidzianych w art. 124 ust. 5 </w:t>
      </w:r>
      <w:proofErr w:type="spellStart"/>
      <w:r w:rsidRPr="00B859F2">
        <w:rPr>
          <w:rFonts w:ascii="Lato" w:eastAsia="Times New Roman" w:hAnsi="Lato" w:cs="Arial"/>
          <w:i/>
          <w:iCs/>
          <w:spacing w:val="4"/>
          <w:sz w:val="20"/>
          <w:szCs w:val="20"/>
          <w:lang w:eastAsia="pl-PL" w:bidi="pl-PL"/>
        </w:rPr>
        <w:t>ugn</w:t>
      </w:r>
      <w:proofErr w:type="spellEnd"/>
      <w:r w:rsidRPr="00B859F2">
        <w:rPr>
          <w:rFonts w:ascii="Lato" w:eastAsia="Times New Roman" w:hAnsi="Lato" w:cs="Arial"/>
          <w:iCs/>
          <w:spacing w:val="4"/>
          <w:sz w:val="20"/>
          <w:szCs w:val="20"/>
          <w:lang w:eastAsia="pl-PL" w:bidi="pl-PL"/>
        </w:rPr>
        <w:t>, gdyby zachodziła rzeczywista przeszkoda w dalszym prawidłowym korzystaniu z nieruchomości w sposób dotychczasowy albo w sposób zgodny z jej dotychczasowym przeznaczeniem.</w:t>
      </w:r>
    </w:p>
    <w:p w14:paraId="55A07CD6" w14:textId="5F610469" w:rsidR="00B859F2" w:rsidRPr="00B859F2" w:rsidRDefault="00B859F2" w:rsidP="00B859F2">
      <w:pPr>
        <w:spacing w:after="240" w:line="240" w:lineRule="exact"/>
        <w:jc w:val="both"/>
        <w:rPr>
          <w:rFonts w:ascii="Lato" w:eastAsia="Times New Roman" w:hAnsi="Lato" w:cs="Arial"/>
          <w:color w:val="000000"/>
          <w:spacing w:val="4"/>
          <w:sz w:val="20"/>
          <w:szCs w:val="20"/>
          <w:u w:color="000000"/>
          <w:bdr w:val="nil"/>
          <w:lang w:eastAsia="pl-PL"/>
        </w:rPr>
      </w:pPr>
      <w:r w:rsidRPr="00B859F2">
        <w:rPr>
          <w:rFonts w:ascii="Lato" w:eastAsia="Times New Roman" w:hAnsi="Lato" w:cs="Arial"/>
          <w:color w:val="000000"/>
          <w:spacing w:val="4"/>
          <w:sz w:val="20"/>
          <w:szCs w:val="20"/>
          <w:u w:color="000000"/>
          <w:bdr w:val="nil"/>
          <w:lang w:eastAsia="pl-PL"/>
        </w:rPr>
        <w:t xml:space="preserve">Przepis art. 124 ust. 5 </w:t>
      </w:r>
      <w:proofErr w:type="spellStart"/>
      <w:r w:rsidRPr="00B859F2">
        <w:rPr>
          <w:rFonts w:ascii="Lato" w:eastAsia="Times New Roman" w:hAnsi="Lato" w:cs="Arial"/>
          <w:i/>
          <w:color w:val="000000"/>
          <w:spacing w:val="4"/>
          <w:sz w:val="20"/>
          <w:szCs w:val="20"/>
          <w:u w:color="000000"/>
          <w:bdr w:val="nil"/>
          <w:lang w:eastAsia="pl-PL"/>
        </w:rPr>
        <w:t>ugn</w:t>
      </w:r>
      <w:proofErr w:type="spellEnd"/>
      <w:r w:rsidRPr="00B859F2">
        <w:rPr>
          <w:rFonts w:ascii="Lato" w:eastAsia="Times New Roman" w:hAnsi="Lato" w:cs="Arial"/>
          <w:color w:val="000000"/>
          <w:spacing w:val="4"/>
          <w:sz w:val="20"/>
          <w:szCs w:val="20"/>
          <w:u w:color="000000"/>
          <w:bdr w:val="nil"/>
          <w:lang w:eastAsia="pl-PL"/>
        </w:rPr>
        <w:t xml:space="preserve"> przyznaje właścicielowi albo użytkownikowi wieczystemu nieruchomości prawo żądania nabycia od niego w drodze umowy własności lub prawa użytkowania wieczystego, jeżeli założenie lub przeprowadzenie ciągów, przewodów i</w:t>
      </w:r>
      <w:r>
        <w:rPr>
          <w:rFonts w:ascii="Lato" w:eastAsia="Times New Roman" w:hAnsi="Lato" w:cs="Arial"/>
          <w:color w:val="000000"/>
          <w:spacing w:val="4"/>
          <w:sz w:val="20"/>
          <w:szCs w:val="20"/>
          <w:u w:color="000000"/>
          <w:bdr w:val="nil"/>
          <w:lang w:eastAsia="pl-PL"/>
        </w:rPr>
        <w:t> </w:t>
      </w:r>
      <w:r w:rsidRPr="00B859F2">
        <w:rPr>
          <w:rFonts w:ascii="Lato" w:eastAsia="Times New Roman" w:hAnsi="Lato" w:cs="Arial"/>
          <w:color w:val="000000"/>
          <w:spacing w:val="4"/>
          <w:sz w:val="20"/>
          <w:szCs w:val="20"/>
          <w:u w:color="000000"/>
          <w:bdr w:val="nil"/>
          <w:lang w:eastAsia="pl-PL"/>
        </w:rPr>
        <w:t>urządzeń uniemożliwia właścicielowi albo użytkownikowi wieczystemu dalsze prawidłowe korzystanie z nieruchomości w sposób dotychczasowy albo w sposób zgodny z jej dotychczasowym przeznaczeniem. Sprawy te należą do właściwości sądów powszechnych (por. postanowienie Naczelnego Sądu Administracyjnego z dnia 22</w:t>
      </w:r>
      <w:r>
        <w:rPr>
          <w:rFonts w:ascii="Lato" w:eastAsia="Times New Roman" w:hAnsi="Lato" w:cs="Arial"/>
          <w:color w:val="000000"/>
          <w:spacing w:val="4"/>
          <w:sz w:val="20"/>
          <w:szCs w:val="20"/>
          <w:u w:color="000000"/>
          <w:bdr w:val="nil"/>
          <w:lang w:eastAsia="pl-PL"/>
        </w:rPr>
        <w:t> </w:t>
      </w:r>
      <w:r w:rsidRPr="00B859F2">
        <w:rPr>
          <w:rFonts w:ascii="Lato" w:eastAsia="Times New Roman" w:hAnsi="Lato" w:cs="Arial"/>
          <w:color w:val="000000"/>
          <w:spacing w:val="4"/>
          <w:sz w:val="20"/>
          <w:szCs w:val="20"/>
          <w:u w:color="000000"/>
          <w:bdr w:val="nil"/>
          <w:lang w:eastAsia="pl-PL"/>
        </w:rPr>
        <w:t>czerwca 1998 r., sygn. akt II SA/Ka 921/98, CBOSA). Roszczenie o wykup nieruchomości, w sytuacji uregulowanej ww. przepisem następuje w drodze umowy, a</w:t>
      </w:r>
      <w:r>
        <w:rPr>
          <w:rFonts w:ascii="Lato" w:eastAsia="Times New Roman" w:hAnsi="Lato" w:cs="Arial"/>
          <w:color w:val="000000"/>
          <w:spacing w:val="4"/>
          <w:sz w:val="20"/>
          <w:szCs w:val="20"/>
          <w:u w:color="000000"/>
          <w:bdr w:val="nil"/>
          <w:lang w:eastAsia="pl-PL"/>
        </w:rPr>
        <w:t> </w:t>
      </w:r>
      <w:r w:rsidRPr="00B859F2">
        <w:rPr>
          <w:rFonts w:ascii="Lato" w:eastAsia="Times New Roman" w:hAnsi="Lato" w:cs="Arial"/>
          <w:color w:val="000000"/>
          <w:spacing w:val="4"/>
          <w:sz w:val="20"/>
          <w:szCs w:val="20"/>
          <w:u w:color="000000"/>
          <w:bdr w:val="nil"/>
          <w:lang w:eastAsia="pl-PL"/>
        </w:rPr>
        <w:t>nie w drodze decyzji administracyjnej. W sytuacji więc, gdy nie doszło do zawarcia</w:t>
      </w:r>
      <w:r>
        <w:rPr>
          <w:rFonts w:ascii="Lato" w:eastAsia="Times New Roman" w:hAnsi="Lato" w:cs="Arial"/>
          <w:color w:val="000000"/>
          <w:spacing w:val="4"/>
          <w:sz w:val="20"/>
          <w:szCs w:val="20"/>
          <w:u w:color="000000"/>
          <w:bdr w:val="nil"/>
          <w:lang w:eastAsia="pl-PL"/>
        </w:rPr>
        <w:t xml:space="preserve"> </w:t>
      </w:r>
      <w:r w:rsidRPr="00B859F2">
        <w:rPr>
          <w:rFonts w:ascii="Lato" w:eastAsia="Times New Roman" w:hAnsi="Lato" w:cs="Arial"/>
          <w:color w:val="000000"/>
          <w:spacing w:val="4"/>
          <w:sz w:val="20"/>
          <w:szCs w:val="20"/>
          <w:u w:color="000000"/>
          <w:bdr w:val="nil"/>
          <w:lang w:eastAsia="pl-PL"/>
        </w:rPr>
        <w:lastRenderedPageBreak/>
        <w:t>umowy zainteresowany może wystąpić do sądu powszechnego z roszczeniem o wydanie wyroku zastępującego oświadczenie woli (por. ww. wyrok Wojewódzkiego Sądu Administracyjnego w Warszawie z dnia 30 sierpnia 2019 r., sygn. akt IV SA/</w:t>
      </w:r>
      <w:proofErr w:type="spellStart"/>
      <w:r w:rsidRPr="00B859F2">
        <w:rPr>
          <w:rFonts w:ascii="Lato" w:eastAsia="Times New Roman" w:hAnsi="Lato" w:cs="Arial"/>
          <w:color w:val="000000"/>
          <w:spacing w:val="4"/>
          <w:sz w:val="20"/>
          <w:szCs w:val="20"/>
          <w:u w:color="000000"/>
          <w:bdr w:val="nil"/>
          <w:lang w:eastAsia="pl-PL"/>
        </w:rPr>
        <w:t>Wa</w:t>
      </w:r>
      <w:proofErr w:type="spellEnd"/>
      <w:r w:rsidRPr="00B859F2">
        <w:rPr>
          <w:rFonts w:ascii="Lato" w:eastAsia="Times New Roman" w:hAnsi="Lato" w:cs="Arial"/>
          <w:color w:val="000000"/>
          <w:spacing w:val="4"/>
          <w:sz w:val="20"/>
          <w:szCs w:val="20"/>
          <w:u w:color="000000"/>
          <w:bdr w:val="nil"/>
          <w:lang w:eastAsia="pl-PL"/>
        </w:rPr>
        <w:t xml:space="preserve"> 1477/19).</w:t>
      </w:r>
    </w:p>
    <w:p w14:paraId="08E1F616" w14:textId="77777777" w:rsidR="00B859F2" w:rsidRPr="00B859F2" w:rsidRDefault="00B859F2" w:rsidP="00B859F2">
      <w:pPr>
        <w:spacing w:after="240" w:line="240" w:lineRule="exact"/>
        <w:jc w:val="both"/>
        <w:rPr>
          <w:rFonts w:ascii="Lato" w:eastAsia="Times New Roman" w:hAnsi="Lato" w:cs="Arial"/>
          <w:bCs/>
          <w:iCs/>
          <w:spacing w:val="4"/>
          <w:sz w:val="20"/>
          <w:szCs w:val="20"/>
          <w:lang w:eastAsia="pl-PL"/>
        </w:rPr>
      </w:pPr>
      <w:r w:rsidRPr="00B859F2">
        <w:rPr>
          <w:rFonts w:ascii="Lato" w:eastAsia="Times New Roman" w:hAnsi="Lato" w:cs="Arial"/>
          <w:bCs/>
          <w:iCs/>
          <w:spacing w:val="4"/>
          <w:sz w:val="20"/>
          <w:szCs w:val="20"/>
          <w:lang w:eastAsia="pl-PL"/>
        </w:rPr>
        <w:t xml:space="preserve">Jak wskazuje się w doktrynie: „Z pewnością roszczenie [wynikające z 124 ust. 5 </w:t>
      </w:r>
      <w:proofErr w:type="spellStart"/>
      <w:r w:rsidRPr="00B859F2">
        <w:rPr>
          <w:rFonts w:ascii="Lato" w:eastAsia="Times New Roman" w:hAnsi="Lato" w:cs="Arial"/>
          <w:bCs/>
          <w:i/>
          <w:iCs/>
          <w:spacing w:val="4"/>
          <w:sz w:val="20"/>
          <w:szCs w:val="20"/>
          <w:lang w:eastAsia="pl-PL"/>
        </w:rPr>
        <w:t>ugn</w:t>
      </w:r>
      <w:proofErr w:type="spellEnd"/>
      <w:r w:rsidRPr="00B859F2">
        <w:rPr>
          <w:rFonts w:ascii="Lato" w:eastAsia="Times New Roman" w:hAnsi="Lato" w:cs="Arial"/>
          <w:bCs/>
          <w:iCs/>
          <w:spacing w:val="4"/>
          <w:sz w:val="20"/>
          <w:szCs w:val="20"/>
          <w:lang w:eastAsia="pl-PL"/>
        </w:rPr>
        <w:t xml:space="preserve">] może powstać dopiero po fizycznym posadowieniu urządzeń w przestrzeni nieruchomości. Treść planu miejscowego lub decyzji o ustaleniu lokalizacji przed fizycznym wkroczeniem na nieruchomości nie spowoduje powstania tego roszczenia” (G. Matusik: Komentarz do art. 124 </w:t>
      </w:r>
      <w:proofErr w:type="spellStart"/>
      <w:r w:rsidRPr="00B859F2">
        <w:rPr>
          <w:rFonts w:ascii="Lato" w:eastAsia="Times New Roman" w:hAnsi="Lato" w:cs="Arial"/>
          <w:bCs/>
          <w:i/>
          <w:iCs/>
          <w:spacing w:val="4"/>
          <w:sz w:val="20"/>
          <w:szCs w:val="20"/>
          <w:lang w:eastAsia="pl-PL"/>
        </w:rPr>
        <w:t>ugn</w:t>
      </w:r>
      <w:proofErr w:type="spellEnd"/>
      <w:r w:rsidRPr="00B859F2">
        <w:rPr>
          <w:rFonts w:ascii="Lato" w:eastAsia="Times New Roman" w:hAnsi="Lato" w:cs="Arial"/>
          <w:bCs/>
          <w:iCs/>
          <w:spacing w:val="4"/>
          <w:sz w:val="20"/>
          <w:szCs w:val="20"/>
          <w:lang w:eastAsia="pl-PL"/>
        </w:rPr>
        <w:t xml:space="preserve"> [w:] Kalus S. (red.), Bieniek G., </w:t>
      </w:r>
      <w:proofErr w:type="spellStart"/>
      <w:r w:rsidRPr="00B859F2">
        <w:rPr>
          <w:rFonts w:ascii="Lato" w:eastAsia="Times New Roman" w:hAnsi="Lato" w:cs="Arial"/>
          <w:bCs/>
          <w:iCs/>
          <w:spacing w:val="4"/>
          <w:sz w:val="20"/>
          <w:szCs w:val="20"/>
          <w:lang w:eastAsia="pl-PL"/>
        </w:rPr>
        <w:t>Gdesz</w:t>
      </w:r>
      <w:proofErr w:type="spellEnd"/>
      <w:r w:rsidRPr="00B859F2">
        <w:rPr>
          <w:rFonts w:ascii="Lato" w:eastAsia="Times New Roman" w:hAnsi="Lato" w:cs="Arial"/>
          <w:bCs/>
          <w:iCs/>
          <w:spacing w:val="4"/>
          <w:sz w:val="20"/>
          <w:szCs w:val="20"/>
          <w:lang w:eastAsia="pl-PL"/>
        </w:rPr>
        <w:t xml:space="preserve"> M., Matusik G., Mzyk E., Ustawa o gospodarce nieruchomościami. Komentarz, </w:t>
      </w:r>
      <w:proofErr w:type="spellStart"/>
      <w:r w:rsidRPr="00B859F2">
        <w:rPr>
          <w:rFonts w:ascii="Lato" w:eastAsia="Times New Roman" w:hAnsi="Lato" w:cs="Arial"/>
          <w:bCs/>
          <w:iCs/>
          <w:spacing w:val="4"/>
          <w:sz w:val="20"/>
          <w:szCs w:val="20"/>
          <w:lang w:eastAsia="pl-PL"/>
        </w:rPr>
        <w:t>LexisNexis</w:t>
      </w:r>
      <w:proofErr w:type="spellEnd"/>
      <w:r w:rsidRPr="00B859F2">
        <w:rPr>
          <w:rFonts w:ascii="Lato" w:eastAsia="Times New Roman" w:hAnsi="Lato" w:cs="Arial"/>
          <w:bCs/>
          <w:iCs/>
          <w:spacing w:val="4"/>
          <w:sz w:val="20"/>
          <w:szCs w:val="20"/>
          <w:lang w:eastAsia="pl-PL"/>
        </w:rPr>
        <w:t>, 2012, Lex/el.).</w:t>
      </w:r>
    </w:p>
    <w:p w14:paraId="5FAA6363" w14:textId="45511F61" w:rsidR="00B859F2" w:rsidRPr="00B859F2" w:rsidRDefault="00B859F2" w:rsidP="00B859F2">
      <w:pPr>
        <w:spacing w:after="240" w:line="240" w:lineRule="exact"/>
        <w:jc w:val="both"/>
        <w:rPr>
          <w:rFonts w:ascii="Lato" w:eastAsia="Times New Roman" w:hAnsi="Lato" w:cs="Arial"/>
          <w:bCs/>
          <w:iCs/>
          <w:spacing w:val="4"/>
          <w:sz w:val="20"/>
          <w:szCs w:val="20"/>
          <w:lang w:eastAsia="pl-PL"/>
        </w:rPr>
      </w:pPr>
      <w:r w:rsidRPr="00B859F2">
        <w:rPr>
          <w:rFonts w:ascii="Lato" w:eastAsia="Times New Roman" w:hAnsi="Lato" w:cs="Arial"/>
          <w:bCs/>
          <w:iCs/>
          <w:spacing w:val="4"/>
          <w:sz w:val="20"/>
          <w:szCs w:val="20"/>
          <w:lang w:eastAsia="pl-PL"/>
        </w:rPr>
        <w:t>Uzasadnienie ww. zarzutów zawarte w odwołaniu wskazuje, iż podniesienie przez skarżącą stronę ww. zarzutów, jest w rzeczywistości wyrazem niezadowolenia z zasad i</w:t>
      </w:r>
      <w:r w:rsidR="009E1541">
        <w:rPr>
          <w:rFonts w:ascii="Lato" w:eastAsia="Times New Roman" w:hAnsi="Lato" w:cs="Arial"/>
          <w:bCs/>
          <w:iCs/>
          <w:spacing w:val="4"/>
          <w:sz w:val="20"/>
          <w:szCs w:val="20"/>
          <w:lang w:eastAsia="pl-PL"/>
        </w:rPr>
        <w:t> </w:t>
      </w:r>
      <w:r w:rsidRPr="00B859F2">
        <w:rPr>
          <w:rFonts w:ascii="Lato" w:eastAsia="Times New Roman" w:hAnsi="Lato" w:cs="Arial"/>
          <w:bCs/>
          <w:iCs/>
          <w:spacing w:val="4"/>
          <w:sz w:val="20"/>
          <w:szCs w:val="20"/>
          <w:lang w:eastAsia="pl-PL"/>
        </w:rPr>
        <w:t xml:space="preserve">reguł odnoszących się do zasad lokalizacji inwestycji przewidzianych w </w:t>
      </w:r>
      <w:r w:rsidRPr="00B859F2">
        <w:rPr>
          <w:rFonts w:ascii="Lato" w:eastAsia="Times New Roman" w:hAnsi="Lato" w:cs="Arial"/>
          <w:bCs/>
          <w:i/>
          <w:spacing w:val="4"/>
          <w:sz w:val="20"/>
          <w:szCs w:val="20"/>
          <w:lang w:eastAsia="pl-PL"/>
        </w:rPr>
        <w:t>specustawie gazowej</w:t>
      </w:r>
      <w:r w:rsidRPr="00B859F2">
        <w:rPr>
          <w:rFonts w:ascii="Lato" w:eastAsia="Times New Roman" w:hAnsi="Lato" w:cs="Arial"/>
          <w:bCs/>
          <w:iCs/>
          <w:spacing w:val="4"/>
          <w:sz w:val="20"/>
          <w:szCs w:val="20"/>
          <w:lang w:eastAsia="pl-PL"/>
        </w:rPr>
        <w:t xml:space="preserve">. Mając to na uwadze, zauważyć należy, iż organy administracji nie są uprawnione do oceny zgodności stosowanego przepisu prawa z zasadami społecznymi i Konstytucją RP. Zgodnie z art. 6 </w:t>
      </w:r>
      <w:r w:rsidRPr="00B859F2">
        <w:rPr>
          <w:rFonts w:ascii="Lato" w:eastAsia="Times New Roman" w:hAnsi="Lato" w:cs="Arial"/>
          <w:bCs/>
          <w:i/>
          <w:spacing w:val="4"/>
          <w:sz w:val="20"/>
          <w:szCs w:val="20"/>
          <w:lang w:eastAsia="pl-PL"/>
        </w:rPr>
        <w:t>kpa</w:t>
      </w:r>
      <w:r w:rsidRPr="00B859F2">
        <w:rPr>
          <w:rFonts w:ascii="Lato" w:eastAsia="Times New Roman" w:hAnsi="Lato" w:cs="Arial"/>
          <w:bCs/>
          <w:iCs/>
          <w:spacing w:val="4"/>
          <w:sz w:val="20"/>
          <w:szCs w:val="20"/>
          <w:lang w:eastAsia="pl-PL"/>
        </w:rPr>
        <w:t>, organy administracji publicznej działają na podstawie przepisów prawa. Wydając zaskarżoną decyzję organ kierował się treścią przepisów prawa materialnego (</w:t>
      </w:r>
      <w:r w:rsidRPr="00B859F2">
        <w:rPr>
          <w:rFonts w:ascii="Lato" w:eastAsia="Times New Roman" w:hAnsi="Lato" w:cs="Arial"/>
          <w:bCs/>
          <w:i/>
          <w:spacing w:val="4"/>
          <w:sz w:val="20"/>
          <w:szCs w:val="20"/>
          <w:lang w:eastAsia="pl-PL"/>
        </w:rPr>
        <w:t>specustawy gazowej</w:t>
      </w:r>
      <w:r w:rsidRPr="00B859F2">
        <w:rPr>
          <w:rFonts w:ascii="Lato" w:eastAsia="Times New Roman" w:hAnsi="Lato" w:cs="Arial"/>
          <w:bCs/>
          <w:iCs/>
          <w:spacing w:val="4"/>
          <w:sz w:val="20"/>
          <w:szCs w:val="20"/>
          <w:lang w:eastAsia="pl-PL"/>
        </w:rPr>
        <w:t xml:space="preserve">), mających w sprawie zastosowanie. </w:t>
      </w:r>
      <w:r w:rsidRPr="00B859F2">
        <w:rPr>
          <w:rFonts w:ascii="Lato" w:eastAsia="Times New Roman" w:hAnsi="Lato" w:cs="Arial"/>
          <w:bCs/>
          <w:i/>
          <w:spacing w:val="4"/>
          <w:sz w:val="20"/>
          <w:szCs w:val="20"/>
          <w:lang w:eastAsia="pl-PL"/>
        </w:rPr>
        <w:t>Minister</w:t>
      </w:r>
      <w:r w:rsidRPr="00B859F2">
        <w:rPr>
          <w:rFonts w:ascii="Lato" w:eastAsia="Times New Roman" w:hAnsi="Lato" w:cs="Arial"/>
          <w:bCs/>
          <w:iCs/>
          <w:spacing w:val="4"/>
          <w:sz w:val="20"/>
          <w:szCs w:val="20"/>
          <w:lang w:eastAsia="pl-PL"/>
        </w:rPr>
        <w:t xml:space="preserve"> nie jest organem właściwym do oceny zgodności z prawem tego aktu prawnego. Organem władzy sądowniczej, powołanym do badania zgodności z Konstytucją RP aktów normatywnych i umów międzynarodowych oraz wykonywania zadań określonych w Konstytucji jest Trybunał Konstytucyjny.</w:t>
      </w:r>
    </w:p>
    <w:p w14:paraId="26B3AC0D" w14:textId="59730FA7" w:rsidR="00B859F2" w:rsidRPr="00B859F2" w:rsidRDefault="00B859F2" w:rsidP="00B859F2">
      <w:pPr>
        <w:spacing w:after="240" w:line="240" w:lineRule="exact"/>
        <w:jc w:val="both"/>
        <w:rPr>
          <w:rFonts w:ascii="Lato" w:eastAsia="Times New Roman" w:hAnsi="Lato" w:cs="Arial"/>
          <w:bCs/>
          <w:iCs/>
          <w:spacing w:val="4"/>
          <w:sz w:val="20"/>
          <w:szCs w:val="20"/>
          <w:lang w:eastAsia="pl-PL"/>
        </w:rPr>
      </w:pPr>
      <w:r w:rsidRPr="00B859F2">
        <w:rPr>
          <w:rFonts w:ascii="Lato" w:eastAsia="Times New Roman" w:hAnsi="Lato" w:cs="Arial"/>
          <w:bCs/>
          <w:iCs/>
          <w:spacing w:val="4"/>
          <w:sz w:val="20"/>
          <w:szCs w:val="20"/>
          <w:lang w:eastAsia="pl-PL"/>
        </w:rPr>
        <w:t>Wbrew stanowisku Skarżącej ograniczenie jej prawa własności nastąpiło z</w:t>
      </w:r>
      <w:r w:rsidR="009E1541">
        <w:rPr>
          <w:rFonts w:ascii="Lato" w:eastAsia="Times New Roman" w:hAnsi="Lato" w:cs="Arial"/>
          <w:bCs/>
          <w:iCs/>
          <w:spacing w:val="4"/>
          <w:sz w:val="20"/>
          <w:szCs w:val="20"/>
          <w:lang w:eastAsia="pl-PL"/>
        </w:rPr>
        <w:t> </w:t>
      </w:r>
      <w:r w:rsidRPr="00B859F2">
        <w:rPr>
          <w:rFonts w:ascii="Lato" w:eastAsia="Times New Roman" w:hAnsi="Lato" w:cs="Arial"/>
          <w:bCs/>
          <w:iCs/>
          <w:spacing w:val="4"/>
          <w:sz w:val="20"/>
          <w:szCs w:val="20"/>
          <w:lang w:eastAsia="pl-PL"/>
        </w:rPr>
        <w:t xml:space="preserve">poszanowaniem norm konstytucyjnych. Nie ulega wątpliwości, z obiektywnych względów, że realizacja terminalu </w:t>
      </w:r>
      <w:proofErr w:type="spellStart"/>
      <w:r w:rsidRPr="00B859F2">
        <w:rPr>
          <w:rFonts w:ascii="Lato" w:eastAsia="Times New Roman" w:hAnsi="Lato" w:cs="Arial"/>
          <w:bCs/>
          <w:iCs/>
          <w:spacing w:val="4"/>
          <w:sz w:val="20"/>
          <w:szCs w:val="20"/>
          <w:lang w:eastAsia="pl-PL"/>
        </w:rPr>
        <w:t>regazyfikacji</w:t>
      </w:r>
      <w:proofErr w:type="spellEnd"/>
      <w:r w:rsidRPr="00B859F2">
        <w:rPr>
          <w:rFonts w:ascii="Lato" w:eastAsia="Times New Roman" w:hAnsi="Lato" w:cs="Arial"/>
          <w:bCs/>
          <w:iCs/>
          <w:spacing w:val="4"/>
          <w:sz w:val="20"/>
          <w:szCs w:val="20"/>
          <w:lang w:eastAsia="pl-PL"/>
        </w:rPr>
        <w:t xml:space="preserve"> gazu ziemnego w Świnoujściu z</w:t>
      </w:r>
      <w:r w:rsidR="009E1541">
        <w:rPr>
          <w:rFonts w:ascii="Lato" w:eastAsia="Times New Roman" w:hAnsi="Lato" w:cs="Arial"/>
          <w:bCs/>
          <w:iCs/>
          <w:spacing w:val="4"/>
          <w:sz w:val="20"/>
          <w:szCs w:val="20"/>
          <w:lang w:eastAsia="pl-PL"/>
        </w:rPr>
        <w:t> </w:t>
      </w:r>
      <w:r w:rsidRPr="00B859F2">
        <w:rPr>
          <w:rFonts w:ascii="Lato" w:eastAsia="Times New Roman" w:hAnsi="Lato" w:cs="Arial"/>
          <w:bCs/>
          <w:iCs/>
          <w:spacing w:val="4"/>
          <w:sz w:val="20"/>
          <w:szCs w:val="20"/>
          <w:lang w:eastAsia="pl-PL"/>
        </w:rPr>
        <w:t xml:space="preserve">inwestycjami towarzyszącymi stanowi ważne ze względu na bezpieczeństwo państwa oraz interes ogólnospołeczny zadanie wykonywane na podstawie szczególnej ustawy (por. Naczelny Sąd Administracyjny w wyroku z dnia 14 listopada 2012 r., sygn. akt II OSK 2295/12, </w:t>
      </w:r>
      <w:proofErr w:type="spellStart"/>
      <w:r w:rsidRPr="00B859F2">
        <w:rPr>
          <w:rFonts w:ascii="Lato" w:eastAsia="Times New Roman" w:hAnsi="Lato" w:cs="Arial"/>
          <w:bCs/>
          <w:iCs/>
          <w:spacing w:val="4"/>
          <w:sz w:val="20"/>
          <w:szCs w:val="20"/>
          <w:lang w:eastAsia="pl-PL"/>
        </w:rPr>
        <w:t>opubl</w:t>
      </w:r>
      <w:proofErr w:type="spellEnd"/>
      <w:r w:rsidRPr="00B859F2">
        <w:rPr>
          <w:rFonts w:ascii="Lato" w:eastAsia="Times New Roman" w:hAnsi="Lato" w:cs="Arial"/>
          <w:bCs/>
          <w:iCs/>
          <w:spacing w:val="4"/>
          <w:sz w:val="20"/>
          <w:szCs w:val="20"/>
          <w:lang w:eastAsia="pl-PL"/>
        </w:rPr>
        <w:t>. Centralna Baza Orzeczeń Sądów Administracyjnych).</w:t>
      </w:r>
    </w:p>
    <w:p w14:paraId="55DC3574" w14:textId="68E090B3" w:rsidR="00B859F2" w:rsidRPr="00B859F2" w:rsidRDefault="00B859F2" w:rsidP="00B859F2">
      <w:pPr>
        <w:spacing w:after="240" w:line="240" w:lineRule="exact"/>
        <w:jc w:val="both"/>
        <w:rPr>
          <w:rFonts w:ascii="Lato" w:eastAsia="Times New Roman" w:hAnsi="Lato" w:cs="Arial"/>
          <w:bCs/>
          <w:iCs/>
          <w:spacing w:val="4"/>
          <w:sz w:val="20"/>
          <w:szCs w:val="20"/>
          <w:lang w:eastAsia="pl-PL"/>
        </w:rPr>
      </w:pPr>
      <w:r w:rsidRPr="00B859F2">
        <w:rPr>
          <w:rFonts w:ascii="Lato" w:eastAsia="Times New Roman" w:hAnsi="Lato" w:cs="Arial"/>
          <w:bCs/>
          <w:iCs/>
          <w:spacing w:val="4"/>
          <w:sz w:val="20"/>
          <w:szCs w:val="20"/>
          <w:lang w:eastAsia="pl-PL"/>
        </w:rPr>
        <w:t xml:space="preserve">Jak już to zostało wskazane powyżej w uzasadnieniu niniejszej decyzji, ustawodawca uchwalając szczególne przepisy </w:t>
      </w:r>
      <w:r w:rsidRPr="00B859F2">
        <w:rPr>
          <w:rFonts w:ascii="Lato" w:eastAsia="Times New Roman" w:hAnsi="Lato" w:cs="Arial"/>
          <w:bCs/>
          <w:i/>
          <w:spacing w:val="4"/>
          <w:sz w:val="20"/>
          <w:szCs w:val="20"/>
          <w:lang w:eastAsia="pl-PL"/>
        </w:rPr>
        <w:t>specustawy gazowe</w:t>
      </w:r>
      <w:r w:rsidRPr="00B859F2">
        <w:rPr>
          <w:rFonts w:ascii="Lato" w:eastAsia="Times New Roman" w:hAnsi="Lato" w:cs="Arial"/>
          <w:bCs/>
          <w:iCs/>
          <w:spacing w:val="4"/>
          <w:sz w:val="20"/>
          <w:szCs w:val="20"/>
          <w:lang w:eastAsia="pl-PL"/>
        </w:rPr>
        <w:t>j zdecydował, iż inwestycje w</w:t>
      </w:r>
      <w:r w:rsidR="009E1541">
        <w:rPr>
          <w:rFonts w:ascii="Lato" w:eastAsia="Times New Roman" w:hAnsi="Lato" w:cs="Arial"/>
          <w:bCs/>
          <w:iCs/>
          <w:spacing w:val="4"/>
          <w:sz w:val="20"/>
          <w:szCs w:val="20"/>
          <w:lang w:eastAsia="pl-PL"/>
        </w:rPr>
        <w:t> </w:t>
      </w:r>
      <w:r w:rsidRPr="00B859F2">
        <w:rPr>
          <w:rFonts w:ascii="Lato" w:eastAsia="Times New Roman" w:hAnsi="Lato" w:cs="Arial"/>
          <w:bCs/>
          <w:iCs/>
          <w:spacing w:val="4"/>
          <w:sz w:val="20"/>
          <w:szCs w:val="20"/>
          <w:lang w:eastAsia="pl-PL"/>
        </w:rPr>
        <w:t>zakresie terminalu oraz inwestycje towarzyszące będą korzystały z priorytetowej, przyspieszonej ścieżki pozyskiwania decyzji i zezwoleń niezbędnych do realizacji tych przedsięwzięć. Nie wymaga bowiem dowodzenia, iż zapewnienie szeroko rozumianego bezpieczeństwa energetycznego państwa stanowi nadal priorytetowe zadanie władz publicznych. Takie postrzeganie interesu publicznego od dawna stosowane jest w</w:t>
      </w:r>
      <w:r w:rsidR="009E1541">
        <w:rPr>
          <w:rFonts w:ascii="Lato" w:eastAsia="Times New Roman" w:hAnsi="Lato" w:cs="Arial"/>
          <w:bCs/>
          <w:iCs/>
          <w:spacing w:val="4"/>
          <w:sz w:val="20"/>
          <w:szCs w:val="20"/>
          <w:lang w:eastAsia="pl-PL"/>
        </w:rPr>
        <w:t> </w:t>
      </w:r>
      <w:r w:rsidRPr="00B859F2">
        <w:rPr>
          <w:rFonts w:ascii="Lato" w:eastAsia="Times New Roman" w:hAnsi="Lato" w:cs="Arial"/>
          <w:bCs/>
          <w:iCs/>
          <w:spacing w:val="4"/>
          <w:sz w:val="20"/>
          <w:szCs w:val="20"/>
          <w:lang w:eastAsia="pl-PL"/>
        </w:rPr>
        <w:t>orzecznictwie europejskim. W orzeczeniu z 10 października 1979 r. w sprawie "</w:t>
      </w:r>
      <w:proofErr w:type="spellStart"/>
      <w:r w:rsidRPr="00B859F2">
        <w:rPr>
          <w:rFonts w:ascii="Lato" w:eastAsia="Times New Roman" w:hAnsi="Lato" w:cs="Arial"/>
          <w:bCs/>
          <w:iCs/>
          <w:spacing w:val="4"/>
          <w:sz w:val="20"/>
          <w:szCs w:val="20"/>
          <w:lang w:eastAsia="pl-PL"/>
        </w:rPr>
        <w:t>Rassemblement</w:t>
      </w:r>
      <w:proofErr w:type="spellEnd"/>
      <w:r w:rsidRPr="00B859F2">
        <w:rPr>
          <w:rFonts w:ascii="Lato" w:eastAsia="Times New Roman" w:hAnsi="Lato" w:cs="Arial"/>
          <w:bCs/>
          <w:iCs/>
          <w:spacing w:val="4"/>
          <w:sz w:val="20"/>
          <w:szCs w:val="20"/>
          <w:lang w:eastAsia="pl-PL"/>
        </w:rPr>
        <w:t xml:space="preserve"> </w:t>
      </w:r>
      <w:proofErr w:type="spellStart"/>
      <w:r w:rsidRPr="00B859F2">
        <w:rPr>
          <w:rFonts w:ascii="Lato" w:eastAsia="Times New Roman" w:hAnsi="Lato" w:cs="Arial"/>
          <w:bCs/>
          <w:iCs/>
          <w:spacing w:val="4"/>
          <w:sz w:val="20"/>
          <w:szCs w:val="20"/>
          <w:lang w:eastAsia="pl-PL"/>
        </w:rPr>
        <w:t>Jurassien</w:t>
      </w:r>
      <w:proofErr w:type="spellEnd"/>
      <w:r w:rsidRPr="00B859F2">
        <w:rPr>
          <w:rFonts w:ascii="Lato" w:eastAsia="Times New Roman" w:hAnsi="Lato" w:cs="Arial"/>
          <w:bCs/>
          <w:iCs/>
          <w:spacing w:val="4"/>
          <w:sz w:val="20"/>
          <w:szCs w:val="20"/>
          <w:lang w:eastAsia="pl-PL"/>
        </w:rPr>
        <w:t>" przeciwko Szwajcarii, Europejski Trybunał Praw Człowieka podkreślił, że zwrot "konieczne w demokratycznym społeczeństwie" oznacza, iż</w:t>
      </w:r>
      <w:r w:rsidR="009E1541">
        <w:rPr>
          <w:rFonts w:ascii="Lato" w:eastAsia="Times New Roman" w:hAnsi="Lato" w:cs="Arial"/>
          <w:bCs/>
          <w:iCs/>
          <w:spacing w:val="4"/>
          <w:sz w:val="20"/>
          <w:szCs w:val="20"/>
          <w:lang w:eastAsia="pl-PL"/>
        </w:rPr>
        <w:t> </w:t>
      </w:r>
      <w:r w:rsidRPr="00B859F2">
        <w:rPr>
          <w:rFonts w:ascii="Lato" w:eastAsia="Times New Roman" w:hAnsi="Lato" w:cs="Arial"/>
          <w:bCs/>
          <w:iCs/>
          <w:spacing w:val="4"/>
          <w:sz w:val="20"/>
          <w:szCs w:val="20"/>
          <w:lang w:eastAsia="pl-PL"/>
        </w:rPr>
        <w:t>ingerencja odpowiada "naglącej potrzebie społecznej" (por. wyrok Wojewódzkiego Sądu Administracyjnego w Warszawie  z dnia 30 sierpnia 2019 r., sygn. akt IV SA/</w:t>
      </w:r>
      <w:proofErr w:type="spellStart"/>
      <w:r w:rsidRPr="00B859F2">
        <w:rPr>
          <w:rFonts w:ascii="Lato" w:eastAsia="Times New Roman" w:hAnsi="Lato" w:cs="Arial"/>
          <w:bCs/>
          <w:iCs/>
          <w:spacing w:val="4"/>
          <w:sz w:val="20"/>
          <w:szCs w:val="20"/>
          <w:lang w:eastAsia="pl-PL"/>
        </w:rPr>
        <w:t>Wa</w:t>
      </w:r>
      <w:proofErr w:type="spellEnd"/>
      <w:r w:rsidRPr="00B859F2">
        <w:rPr>
          <w:rFonts w:ascii="Lato" w:eastAsia="Times New Roman" w:hAnsi="Lato" w:cs="Arial"/>
          <w:bCs/>
          <w:iCs/>
          <w:spacing w:val="4"/>
          <w:sz w:val="20"/>
          <w:szCs w:val="20"/>
          <w:lang w:eastAsia="pl-PL"/>
        </w:rPr>
        <w:t xml:space="preserve"> 1477/19, </w:t>
      </w:r>
      <w:proofErr w:type="spellStart"/>
      <w:r w:rsidRPr="00B859F2">
        <w:rPr>
          <w:rFonts w:ascii="Lato" w:eastAsia="Times New Roman" w:hAnsi="Lato" w:cs="Arial"/>
          <w:bCs/>
          <w:iCs/>
          <w:spacing w:val="4"/>
          <w:sz w:val="20"/>
          <w:szCs w:val="20"/>
          <w:lang w:eastAsia="pl-PL"/>
        </w:rPr>
        <w:t>opubl</w:t>
      </w:r>
      <w:proofErr w:type="spellEnd"/>
      <w:r w:rsidRPr="00B859F2">
        <w:rPr>
          <w:rFonts w:ascii="Lato" w:eastAsia="Times New Roman" w:hAnsi="Lato" w:cs="Arial"/>
          <w:bCs/>
          <w:iCs/>
          <w:spacing w:val="4"/>
          <w:sz w:val="20"/>
          <w:szCs w:val="20"/>
          <w:lang w:eastAsia="pl-PL"/>
        </w:rPr>
        <w:t xml:space="preserve">. Centralna Baza Orzeczeń Sądów Administracyjnych). </w:t>
      </w:r>
    </w:p>
    <w:p w14:paraId="7BFB8EF6" w14:textId="71C5DF87" w:rsidR="00B859F2" w:rsidRPr="00B859F2" w:rsidRDefault="00B859F2" w:rsidP="00B859F2">
      <w:pPr>
        <w:spacing w:after="240" w:line="240" w:lineRule="exact"/>
        <w:jc w:val="both"/>
        <w:rPr>
          <w:rFonts w:ascii="Lato" w:eastAsia="Times New Roman" w:hAnsi="Lato" w:cs="Arial"/>
          <w:bCs/>
          <w:iCs/>
          <w:spacing w:val="4"/>
          <w:sz w:val="20"/>
          <w:szCs w:val="20"/>
          <w:lang w:eastAsia="pl-PL"/>
        </w:rPr>
      </w:pPr>
      <w:r w:rsidRPr="00B859F2">
        <w:rPr>
          <w:rFonts w:ascii="Lato" w:eastAsia="Times New Roman" w:hAnsi="Lato" w:cs="Arial"/>
          <w:bCs/>
          <w:iCs/>
          <w:spacing w:val="4"/>
          <w:sz w:val="20"/>
          <w:szCs w:val="20"/>
          <w:lang w:eastAsia="pl-PL"/>
        </w:rPr>
        <w:t xml:space="preserve">Stworzenie szczególnej procedury pozwalającej na lokalizację inwestycji towarzyszącej inwestycji w zakresie terminalu </w:t>
      </w:r>
      <w:proofErr w:type="spellStart"/>
      <w:r w:rsidRPr="00B859F2">
        <w:rPr>
          <w:rFonts w:ascii="Lato" w:eastAsia="Times New Roman" w:hAnsi="Lato" w:cs="Arial"/>
          <w:bCs/>
          <w:iCs/>
          <w:spacing w:val="4"/>
          <w:sz w:val="20"/>
          <w:szCs w:val="20"/>
          <w:lang w:eastAsia="pl-PL"/>
        </w:rPr>
        <w:t>regazyfikacyjnego</w:t>
      </w:r>
      <w:proofErr w:type="spellEnd"/>
      <w:r w:rsidRPr="00B859F2">
        <w:rPr>
          <w:rFonts w:ascii="Lato" w:eastAsia="Times New Roman" w:hAnsi="Lato" w:cs="Arial"/>
          <w:bCs/>
          <w:iCs/>
          <w:spacing w:val="4"/>
          <w:sz w:val="20"/>
          <w:szCs w:val="20"/>
          <w:lang w:eastAsia="pl-PL"/>
        </w:rPr>
        <w:t xml:space="preserve"> skroplonego gazu ziemnego, było zatem rozwiązaniem proporcjonalnym do zamierzonego przez ustawodawcę celu, w</w:t>
      </w:r>
      <w:r w:rsidR="009E1541">
        <w:rPr>
          <w:rFonts w:ascii="Lato" w:eastAsia="Times New Roman" w:hAnsi="Lato" w:cs="Arial"/>
          <w:bCs/>
          <w:iCs/>
          <w:spacing w:val="4"/>
          <w:sz w:val="20"/>
          <w:szCs w:val="20"/>
          <w:lang w:eastAsia="pl-PL"/>
        </w:rPr>
        <w:t> </w:t>
      </w:r>
      <w:r w:rsidRPr="00B859F2">
        <w:rPr>
          <w:rFonts w:ascii="Lato" w:eastAsia="Times New Roman" w:hAnsi="Lato" w:cs="Arial"/>
          <w:bCs/>
          <w:iCs/>
          <w:spacing w:val="4"/>
          <w:sz w:val="20"/>
          <w:szCs w:val="20"/>
          <w:lang w:eastAsia="pl-PL"/>
        </w:rPr>
        <w:t xml:space="preserve">pełni legitymowanego w demokratycznym państwie prawa. Skoro nie stanowi naruszenia praw obywateli uchwalenie ustaw zawierających takie wyjątkowe, surowe </w:t>
      </w:r>
      <w:r w:rsidRPr="00B859F2">
        <w:rPr>
          <w:rFonts w:ascii="Lato" w:eastAsia="Times New Roman" w:hAnsi="Lato" w:cs="Arial"/>
          <w:bCs/>
          <w:iCs/>
          <w:spacing w:val="4"/>
          <w:sz w:val="20"/>
          <w:szCs w:val="20"/>
          <w:lang w:eastAsia="pl-PL"/>
        </w:rPr>
        <w:lastRenderedPageBreak/>
        <w:t xml:space="preserve">regulacje, to nie można twierdzić, że stosowanie ich przez organy administracji zgodnie z ich brzmieniem prowadzi do naruszenia prawa. </w:t>
      </w:r>
    </w:p>
    <w:p w14:paraId="7CA85BD0" w14:textId="77777777" w:rsidR="00B859F2" w:rsidRPr="00B859F2" w:rsidRDefault="00B859F2" w:rsidP="00B859F2">
      <w:pPr>
        <w:spacing w:after="240" w:line="240" w:lineRule="exact"/>
        <w:jc w:val="both"/>
        <w:rPr>
          <w:rFonts w:ascii="Lato" w:eastAsia="Times New Roman" w:hAnsi="Lato" w:cs="Arial"/>
          <w:bCs/>
          <w:iCs/>
          <w:spacing w:val="4"/>
          <w:sz w:val="20"/>
          <w:szCs w:val="20"/>
          <w:lang w:eastAsia="pl-PL"/>
        </w:rPr>
      </w:pPr>
      <w:r w:rsidRPr="00B859F2">
        <w:rPr>
          <w:rFonts w:ascii="Lato" w:eastAsia="Times New Roman" w:hAnsi="Lato" w:cs="Arial"/>
          <w:bCs/>
          <w:iCs/>
          <w:spacing w:val="4"/>
          <w:sz w:val="20"/>
          <w:szCs w:val="20"/>
          <w:lang w:eastAsia="pl-PL"/>
        </w:rPr>
        <w:t xml:space="preserve">Własność nieruchomości Skarżącej została ograniczona na realizację celu publicznego – w sposób i na zasadach określonych w </w:t>
      </w:r>
      <w:r w:rsidRPr="00B859F2">
        <w:rPr>
          <w:rFonts w:ascii="Lato" w:eastAsia="Times New Roman" w:hAnsi="Lato" w:cs="Arial"/>
          <w:bCs/>
          <w:i/>
          <w:spacing w:val="4"/>
          <w:sz w:val="20"/>
          <w:szCs w:val="20"/>
          <w:lang w:eastAsia="pl-PL"/>
        </w:rPr>
        <w:t>specustawie gazowej</w:t>
      </w:r>
      <w:r w:rsidRPr="00B859F2">
        <w:rPr>
          <w:rFonts w:ascii="Lato" w:eastAsia="Times New Roman" w:hAnsi="Lato" w:cs="Arial"/>
          <w:bCs/>
          <w:iCs/>
          <w:spacing w:val="4"/>
          <w:sz w:val="20"/>
          <w:szCs w:val="20"/>
          <w:lang w:eastAsia="pl-PL"/>
        </w:rPr>
        <w:t xml:space="preserve">. W ocenie </w:t>
      </w:r>
      <w:r w:rsidRPr="00B859F2">
        <w:rPr>
          <w:rFonts w:ascii="Lato" w:eastAsia="Times New Roman" w:hAnsi="Lato" w:cs="Arial"/>
          <w:bCs/>
          <w:i/>
          <w:spacing w:val="4"/>
          <w:sz w:val="20"/>
          <w:szCs w:val="20"/>
          <w:lang w:eastAsia="pl-PL"/>
        </w:rPr>
        <w:t>Ministra</w:t>
      </w:r>
      <w:r w:rsidRPr="00B859F2">
        <w:rPr>
          <w:rFonts w:ascii="Lato" w:eastAsia="Times New Roman" w:hAnsi="Lato" w:cs="Arial"/>
          <w:bCs/>
          <w:iCs/>
          <w:spacing w:val="4"/>
          <w:sz w:val="20"/>
          <w:szCs w:val="20"/>
          <w:lang w:eastAsia="pl-PL"/>
        </w:rPr>
        <w:t xml:space="preserve"> ograniczenie prawa własności Skarżącej nastąpiło w zakresie, w jakim nie narusza istoty prawa własności. W rozpoznawanej sprawie interes ogólny (publiczny) jest na tyle ważny i znaczący, że bezwzględnie wymaga ograniczenia uprawnień indywidualnych podmiotów i powoduje konieczność przedłożenia w tym konkretnym wypadku interesu publicznego nad indywidualny, bowiem w interesie publicznym leży ograniczenie, chronionego przez Konstytucję RP prawa własności.</w:t>
      </w:r>
    </w:p>
    <w:p w14:paraId="61D742DB" w14:textId="37E67B5A" w:rsidR="00B859F2" w:rsidRPr="00B859F2" w:rsidRDefault="00B859F2" w:rsidP="00B859F2">
      <w:pPr>
        <w:spacing w:after="240" w:line="240" w:lineRule="exact"/>
        <w:jc w:val="both"/>
        <w:rPr>
          <w:rFonts w:ascii="Lato" w:eastAsia="Times New Roman" w:hAnsi="Lato" w:cs="Arial"/>
          <w:spacing w:val="4"/>
          <w:sz w:val="20"/>
          <w:szCs w:val="20"/>
          <w:lang w:eastAsia="pl-PL"/>
        </w:rPr>
      </w:pPr>
      <w:r w:rsidRPr="00B859F2">
        <w:rPr>
          <w:rFonts w:ascii="Lato" w:eastAsia="Times New Roman" w:hAnsi="Lato" w:cs="Arial"/>
          <w:bCs/>
          <w:iCs/>
          <w:spacing w:val="4"/>
          <w:sz w:val="20"/>
          <w:szCs w:val="20"/>
          <w:lang w:eastAsia="pl-PL"/>
        </w:rPr>
        <w:t>Podsumowując powyższe ustalenia, nie sposób uznać – jak stwierdziła Skarżąca – aby</w:t>
      </w:r>
      <w:r w:rsidR="009E1541">
        <w:rPr>
          <w:rFonts w:ascii="Lato" w:eastAsia="Times New Roman" w:hAnsi="Lato" w:cs="Arial"/>
          <w:bCs/>
          <w:iCs/>
          <w:spacing w:val="4"/>
          <w:sz w:val="20"/>
          <w:szCs w:val="20"/>
          <w:lang w:eastAsia="pl-PL"/>
        </w:rPr>
        <w:t> </w:t>
      </w:r>
      <w:r w:rsidRPr="00B859F2">
        <w:rPr>
          <w:rFonts w:ascii="Lato" w:eastAsia="Times New Roman" w:hAnsi="Lato" w:cs="Arial"/>
          <w:bCs/>
          <w:iCs/>
          <w:spacing w:val="4"/>
          <w:sz w:val="20"/>
          <w:szCs w:val="20"/>
          <w:lang w:eastAsia="pl-PL"/>
        </w:rPr>
        <w:t xml:space="preserve">Wojewoda Świętokrzyski w zakresie jej interesu prawnego dopuścił się naruszenia </w:t>
      </w:r>
      <w:r w:rsidRPr="00B859F2">
        <w:rPr>
          <w:rFonts w:ascii="Lato" w:eastAsia="Times New Roman" w:hAnsi="Lato" w:cs="Arial"/>
          <w:bCs/>
          <w:iCs/>
          <w:spacing w:val="4"/>
          <w:sz w:val="20"/>
          <w:szCs w:val="20"/>
          <w:lang w:eastAsia="pl-PL" w:bidi="pl-PL"/>
        </w:rPr>
        <w:t xml:space="preserve">art. 7 </w:t>
      </w:r>
      <w:r w:rsidRPr="00B859F2">
        <w:rPr>
          <w:rFonts w:ascii="Lato" w:eastAsia="Times New Roman" w:hAnsi="Lato" w:cs="Arial"/>
          <w:bCs/>
          <w:i/>
          <w:spacing w:val="4"/>
          <w:sz w:val="20"/>
          <w:szCs w:val="20"/>
          <w:lang w:eastAsia="pl-PL" w:bidi="pl-PL"/>
        </w:rPr>
        <w:t>kpa</w:t>
      </w:r>
      <w:r w:rsidRPr="00B859F2">
        <w:rPr>
          <w:rFonts w:ascii="Lato" w:eastAsia="Times New Roman" w:hAnsi="Lato" w:cs="Arial"/>
          <w:bCs/>
          <w:iCs/>
          <w:spacing w:val="4"/>
          <w:sz w:val="20"/>
          <w:szCs w:val="20"/>
          <w:lang w:eastAsia="pl-PL" w:bidi="pl-PL"/>
        </w:rPr>
        <w:t>, poprzez nieuwzględnienie słusznego interesu stron oraz pominięcie jej</w:t>
      </w:r>
      <w:r w:rsidR="009E1541">
        <w:rPr>
          <w:rFonts w:ascii="Lato" w:eastAsia="Times New Roman" w:hAnsi="Lato" w:cs="Arial"/>
          <w:bCs/>
          <w:iCs/>
          <w:spacing w:val="4"/>
          <w:sz w:val="20"/>
          <w:szCs w:val="20"/>
          <w:lang w:eastAsia="pl-PL" w:bidi="pl-PL"/>
        </w:rPr>
        <w:t> </w:t>
      </w:r>
      <w:r w:rsidRPr="00B859F2">
        <w:rPr>
          <w:rFonts w:ascii="Lato" w:eastAsia="Times New Roman" w:hAnsi="Lato" w:cs="Arial"/>
          <w:bCs/>
          <w:iCs/>
          <w:spacing w:val="4"/>
          <w:sz w:val="20"/>
          <w:szCs w:val="20"/>
          <w:lang w:eastAsia="pl-PL" w:bidi="pl-PL"/>
        </w:rPr>
        <w:t xml:space="preserve">stanowiska względem planowanej inwestycji w zakresie terminalu. </w:t>
      </w:r>
      <w:r w:rsidRPr="00B859F2">
        <w:rPr>
          <w:rFonts w:ascii="Lato" w:eastAsia="Times New Roman" w:hAnsi="Lato" w:cs="Arial"/>
          <w:spacing w:val="4"/>
          <w:sz w:val="20"/>
          <w:szCs w:val="20"/>
          <w:lang w:eastAsia="pl-PL"/>
        </w:rPr>
        <w:t xml:space="preserve">Skoro bowiem we wniosku </w:t>
      </w:r>
      <w:r w:rsidRPr="00B859F2">
        <w:rPr>
          <w:rFonts w:ascii="Lato" w:eastAsia="Times New Roman" w:hAnsi="Lato" w:cs="Arial"/>
          <w:i/>
          <w:iCs/>
          <w:spacing w:val="4"/>
          <w:sz w:val="20"/>
          <w:szCs w:val="20"/>
          <w:lang w:eastAsia="pl-PL"/>
        </w:rPr>
        <w:t>inwestora</w:t>
      </w:r>
      <w:r w:rsidRPr="00B859F2">
        <w:rPr>
          <w:rFonts w:ascii="Lato" w:eastAsia="Times New Roman" w:hAnsi="Lato" w:cs="Arial"/>
          <w:spacing w:val="4"/>
          <w:sz w:val="20"/>
          <w:szCs w:val="20"/>
          <w:lang w:eastAsia="pl-PL"/>
        </w:rPr>
        <w:t xml:space="preserve"> działka należąca do Skarżącej została wymieniona jako taka, wobec której decyzja lokalizacyjna ma wywołać skutki określone w przepisie art. 24 ust. 1 i ust. 1b </w:t>
      </w:r>
      <w:r w:rsidRPr="00B859F2">
        <w:rPr>
          <w:rFonts w:ascii="Lato" w:eastAsia="Times New Roman" w:hAnsi="Lato" w:cs="Arial"/>
          <w:i/>
          <w:spacing w:val="4"/>
          <w:sz w:val="20"/>
          <w:szCs w:val="20"/>
          <w:lang w:eastAsia="pl-PL"/>
        </w:rPr>
        <w:t>specustawy gazowej</w:t>
      </w:r>
      <w:r w:rsidRPr="00B859F2">
        <w:rPr>
          <w:rFonts w:ascii="Lato" w:eastAsia="Times New Roman" w:hAnsi="Lato" w:cs="Arial"/>
          <w:spacing w:val="4"/>
          <w:sz w:val="20"/>
          <w:szCs w:val="20"/>
          <w:lang w:eastAsia="pl-PL"/>
        </w:rPr>
        <w:t xml:space="preserve">, to organ orzekający w sprawie, działając m.in. w myśl zasady praworządności wyrażonej w art. 6 </w:t>
      </w:r>
      <w:r w:rsidRPr="00B859F2">
        <w:rPr>
          <w:rFonts w:ascii="Lato" w:eastAsia="Times New Roman" w:hAnsi="Lato" w:cs="Arial"/>
          <w:i/>
          <w:spacing w:val="4"/>
          <w:sz w:val="20"/>
          <w:szCs w:val="20"/>
          <w:lang w:eastAsia="pl-PL"/>
        </w:rPr>
        <w:t>kpa</w:t>
      </w:r>
      <w:r w:rsidRPr="00B859F2">
        <w:rPr>
          <w:rFonts w:ascii="Lato" w:eastAsia="Times New Roman" w:hAnsi="Lato" w:cs="Arial"/>
          <w:spacing w:val="4"/>
          <w:sz w:val="20"/>
          <w:szCs w:val="20"/>
          <w:lang w:eastAsia="pl-PL"/>
        </w:rPr>
        <w:t xml:space="preserve"> - zgodnie z którą organy winny działać na podstawie przepisów prawa i w oparciu o zgromadzone dowody, a nie w oparciu </w:t>
      </w:r>
      <w:r w:rsidRPr="00B859F2">
        <w:rPr>
          <w:rFonts w:ascii="Lato" w:eastAsia="Times New Roman" w:hAnsi="Lato" w:cs="Arial"/>
          <w:spacing w:val="4"/>
          <w:sz w:val="20"/>
          <w:szCs w:val="20"/>
          <w:lang w:eastAsia="pl-PL"/>
        </w:rPr>
        <w:br/>
        <w:t>o przekonanie stron postępowania o istnieniu nieprawidłowości – obowiązany był do</w:t>
      </w:r>
      <w:r w:rsidR="009E1541">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uwzględnienia wniosku </w:t>
      </w:r>
      <w:r w:rsidRPr="00B859F2">
        <w:rPr>
          <w:rFonts w:ascii="Lato" w:eastAsia="Times New Roman" w:hAnsi="Lato" w:cs="Arial"/>
          <w:i/>
          <w:spacing w:val="4"/>
          <w:sz w:val="20"/>
          <w:szCs w:val="20"/>
          <w:lang w:eastAsia="pl-PL"/>
        </w:rPr>
        <w:t>inwestora</w:t>
      </w:r>
      <w:r w:rsidRPr="00B859F2">
        <w:rPr>
          <w:rFonts w:ascii="Lato" w:eastAsia="Times New Roman" w:hAnsi="Lato" w:cs="Arial"/>
          <w:spacing w:val="4"/>
          <w:sz w:val="20"/>
          <w:szCs w:val="20"/>
          <w:lang w:eastAsia="pl-PL"/>
        </w:rPr>
        <w:t xml:space="preserve"> i wydania przedmiotowej decyzji, wywołującej określone skutki w odniesieniu do działki Skarżącej. Jednocześnie zauważenia wymaga, iż – w ocenie </w:t>
      </w:r>
      <w:r w:rsidRPr="00B859F2">
        <w:rPr>
          <w:rFonts w:ascii="Lato" w:eastAsia="Times New Roman" w:hAnsi="Lato" w:cs="Arial"/>
          <w:i/>
          <w:iCs/>
          <w:spacing w:val="4"/>
          <w:sz w:val="20"/>
          <w:szCs w:val="20"/>
          <w:lang w:eastAsia="pl-PL"/>
        </w:rPr>
        <w:t>Ministra</w:t>
      </w:r>
      <w:r w:rsidRPr="00B859F2">
        <w:rPr>
          <w:rFonts w:ascii="Lato" w:eastAsia="Times New Roman" w:hAnsi="Lato" w:cs="Arial"/>
          <w:spacing w:val="4"/>
          <w:sz w:val="20"/>
          <w:szCs w:val="20"/>
          <w:lang w:eastAsia="pl-PL"/>
        </w:rPr>
        <w:t xml:space="preserve"> – postępowanie </w:t>
      </w:r>
      <w:proofErr w:type="spellStart"/>
      <w:r w:rsidRPr="00B859F2">
        <w:rPr>
          <w:rFonts w:ascii="Lato" w:eastAsia="Times New Roman" w:hAnsi="Lato" w:cs="Arial"/>
          <w:spacing w:val="4"/>
          <w:sz w:val="20"/>
          <w:szCs w:val="20"/>
          <w:lang w:eastAsia="pl-PL"/>
        </w:rPr>
        <w:t>pierwszoinstancyjne</w:t>
      </w:r>
      <w:proofErr w:type="spellEnd"/>
      <w:r w:rsidRPr="00B859F2">
        <w:rPr>
          <w:rFonts w:ascii="Lato" w:eastAsia="Times New Roman" w:hAnsi="Lato" w:cs="Arial"/>
          <w:spacing w:val="4"/>
          <w:sz w:val="20"/>
          <w:szCs w:val="20"/>
          <w:lang w:eastAsia="pl-PL"/>
        </w:rPr>
        <w:t xml:space="preserve"> w zakresie interesu prawnego Skarżącej przeprowadzone zostało z zachowaniem zasady prawdy obiektywnej wyrażonej w art. 7 </w:t>
      </w:r>
      <w:r w:rsidRPr="00B859F2">
        <w:rPr>
          <w:rFonts w:ascii="Lato" w:eastAsia="Times New Roman" w:hAnsi="Lato" w:cs="Arial"/>
          <w:i/>
          <w:iCs/>
          <w:spacing w:val="4"/>
          <w:sz w:val="20"/>
          <w:szCs w:val="20"/>
          <w:lang w:eastAsia="pl-PL"/>
        </w:rPr>
        <w:t>kpa</w:t>
      </w:r>
      <w:r w:rsidRPr="00B859F2">
        <w:rPr>
          <w:rFonts w:ascii="Lato" w:eastAsia="Times New Roman" w:hAnsi="Lato" w:cs="Arial"/>
          <w:spacing w:val="4"/>
          <w:sz w:val="20"/>
          <w:szCs w:val="20"/>
          <w:lang w:eastAsia="pl-PL"/>
        </w:rPr>
        <w:t xml:space="preserve">. </w:t>
      </w:r>
    </w:p>
    <w:p w14:paraId="1A2CB4FC" w14:textId="42ECB700" w:rsidR="00B859F2" w:rsidRPr="00B859F2" w:rsidRDefault="00B859F2" w:rsidP="00B859F2">
      <w:pPr>
        <w:spacing w:after="240" w:line="240" w:lineRule="exact"/>
        <w:jc w:val="both"/>
        <w:outlineLvl w:val="0"/>
        <w:rPr>
          <w:rFonts w:ascii="Lato" w:eastAsia="Times New Roman" w:hAnsi="Lato" w:cs="Arial"/>
          <w:bCs/>
          <w:iCs/>
          <w:spacing w:val="4"/>
          <w:sz w:val="20"/>
          <w:szCs w:val="20"/>
          <w:lang w:eastAsia="pl-PL"/>
        </w:rPr>
      </w:pPr>
      <w:r w:rsidRPr="00B859F2">
        <w:rPr>
          <w:rFonts w:ascii="Lato" w:eastAsia="Times New Roman" w:hAnsi="Lato" w:cs="Arial"/>
          <w:bCs/>
          <w:iCs/>
          <w:spacing w:val="4"/>
          <w:sz w:val="20"/>
          <w:szCs w:val="20"/>
          <w:lang w:eastAsia="pl-PL"/>
        </w:rPr>
        <w:t xml:space="preserve">Za chybiony również należy uznać zarzut Skarżącej dotyczący pominięcia stanowiska Skarżącej, w tym jej wniosków o zmianę przebiegu inwestycji, na co Skarżąca wskazywała w trakcie prowadzonej korespondencji z </w:t>
      </w:r>
      <w:r w:rsidRPr="00B859F2">
        <w:rPr>
          <w:rFonts w:ascii="Lato" w:eastAsia="Times New Roman" w:hAnsi="Lato" w:cs="Arial"/>
          <w:bCs/>
          <w:i/>
          <w:spacing w:val="4"/>
          <w:sz w:val="20"/>
          <w:szCs w:val="20"/>
          <w:lang w:eastAsia="pl-PL"/>
        </w:rPr>
        <w:t>inwestorem</w:t>
      </w:r>
      <w:r w:rsidRPr="00B859F2">
        <w:rPr>
          <w:rFonts w:ascii="Lato" w:eastAsia="Times New Roman" w:hAnsi="Lato" w:cs="Arial"/>
          <w:bCs/>
          <w:iCs/>
          <w:spacing w:val="4"/>
          <w:sz w:val="20"/>
          <w:szCs w:val="20"/>
          <w:lang w:eastAsia="pl-PL"/>
        </w:rPr>
        <w:t>. Należy podkreślić, że</w:t>
      </w:r>
      <w:r w:rsidR="009E1541">
        <w:rPr>
          <w:rFonts w:ascii="Lato" w:eastAsia="Times New Roman" w:hAnsi="Lato" w:cs="Arial"/>
          <w:bCs/>
          <w:iCs/>
          <w:spacing w:val="4"/>
          <w:sz w:val="20"/>
          <w:szCs w:val="20"/>
          <w:lang w:eastAsia="pl-PL"/>
        </w:rPr>
        <w:t> </w:t>
      </w:r>
      <w:r w:rsidRPr="00B859F2">
        <w:rPr>
          <w:rFonts w:ascii="Lato" w:eastAsia="Times New Roman" w:hAnsi="Lato" w:cs="Arial"/>
          <w:bCs/>
          <w:iCs/>
          <w:spacing w:val="4"/>
          <w:sz w:val="20"/>
          <w:szCs w:val="20"/>
          <w:lang w:eastAsia="pl-PL"/>
        </w:rPr>
        <w:t>rozmowy prowadzone pomiędzy inwestorem a właścicielami działek nie są elementem postępowania w sprawie wydania decyzji o ustaleniu lokalizacji inwestycji w</w:t>
      </w:r>
      <w:r w:rsidR="009E1541">
        <w:rPr>
          <w:rFonts w:ascii="Lato" w:eastAsia="Times New Roman" w:hAnsi="Lato" w:cs="Arial"/>
          <w:bCs/>
          <w:iCs/>
          <w:spacing w:val="4"/>
          <w:sz w:val="20"/>
          <w:szCs w:val="20"/>
          <w:lang w:eastAsia="pl-PL"/>
        </w:rPr>
        <w:t> </w:t>
      </w:r>
      <w:r w:rsidRPr="00B859F2">
        <w:rPr>
          <w:rFonts w:ascii="Lato" w:eastAsia="Times New Roman" w:hAnsi="Lato" w:cs="Arial"/>
          <w:bCs/>
          <w:iCs/>
          <w:spacing w:val="4"/>
          <w:sz w:val="20"/>
          <w:szCs w:val="20"/>
          <w:lang w:eastAsia="pl-PL"/>
        </w:rPr>
        <w:t>zakresie terminalu, a zatem nie podlegają weryfikacji przez organy właściwe w sprawie wydania ww. decyzji. Organy administracji publicznej prowadzą bowiem postępowanie w sprawie wydania decyzji o ustaleniu lokalizacji inwestycji w zakresie terminalu na podstawie złożonego przez inwestora wniosku (wraz z niezbędnymi załącznikami), a tym samym oceniają przebieg i kształt inwestycji przedstawiony we</w:t>
      </w:r>
      <w:r w:rsidR="009E1541">
        <w:rPr>
          <w:rFonts w:ascii="Lato" w:eastAsia="Times New Roman" w:hAnsi="Lato" w:cs="Arial"/>
          <w:bCs/>
          <w:iCs/>
          <w:spacing w:val="4"/>
          <w:sz w:val="20"/>
          <w:szCs w:val="20"/>
          <w:lang w:eastAsia="pl-PL"/>
        </w:rPr>
        <w:t> </w:t>
      </w:r>
      <w:r w:rsidRPr="00B859F2">
        <w:rPr>
          <w:rFonts w:ascii="Lato" w:eastAsia="Times New Roman" w:hAnsi="Lato" w:cs="Arial"/>
          <w:bCs/>
          <w:iCs/>
          <w:spacing w:val="4"/>
          <w:sz w:val="20"/>
          <w:szCs w:val="20"/>
          <w:lang w:eastAsia="pl-PL"/>
        </w:rPr>
        <w:t>wniosku i załączonej do niego dokumentacji projektowej. Poza oceną organów pozostają inne, np. wcześniejsze, koncepcje planowanej inwestycji.</w:t>
      </w:r>
    </w:p>
    <w:p w14:paraId="4027F0D4" w14:textId="2E1318A4" w:rsidR="00B859F2" w:rsidRPr="00B859F2" w:rsidRDefault="00B859F2" w:rsidP="00B859F2">
      <w:pPr>
        <w:spacing w:after="240" w:line="240" w:lineRule="exact"/>
        <w:jc w:val="both"/>
        <w:outlineLvl w:val="0"/>
        <w:rPr>
          <w:rFonts w:ascii="Lato" w:eastAsia="Times New Roman" w:hAnsi="Lato" w:cs="Arial"/>
          <w:spacing w:val="4"/>
          <w:sz w:val="20"/>
          <w:szCs w:val="20"/>
          <w:lang w:eastAsia="pl-PL" w:bidi="pl-PL"/>
        </w:rPr>
      </w:pPr>
      <w:r w:rsidRPr="00B859F2">
        <w:rPr>
          <w:rFonts w:ascii="Lato" w:eastAsia="Times New Roman" w:hAnsi="Lato" w:cs="Arial"/>
          <w:bCs/>
          <w:spacing w:val="4"/>
          <w:sz w:val="20"/>
          <w:szCs w:val="20"/>
          <w:lang w:eastAsia="pl-PL" w:bidi="pl-PL"/>
        </w:rPr>
        <w:t xml:space="preserve">Podkreślić ponownie należy, że </w:t>
      </w:r>
      <w:r w:rsidRPr="00B859F2">
        <w:rPr>
          <w:rFonts w:ascii="Lato" w:eastAsia="Times New Roman" w:hAnsi="Lato" w:cs="Arial"/>
          <w:spacing w:val="4"/>
          <w:sz w:val="20"/>
          <w:szCs w:val="20"/>
          <w:lang w:eastAsia="pl-PL" w:bidi="pl-PL"/>
        </w:rPr>
        <w:t>to inwestor, jako podmiot wyspecjalizowany w danej dziedzinie, posiadający odpowiednią wiedzę, decyduje o kształcie inwestycji i przyjętych rozwiązaniach technicznych. Niedopuszczalne jest dokonywanie przez organ administracji właściwy w sprawie wydania decyzji o ustaleniu lokalizacji inwestycji w</w:t>
      </w:r>
      <w:r w:rsidR="009E1541">
        <w:rPr>
          <w:rFonts w:ascii="Lato" w:eastAsia="Times New Roman" w:hAnsi="Lato" w:cs="Arial"/>
          <w:spacing w:val="4"/>
          <w:sz w:val="20"/>
          <w:szCs w:val="20"/>
          <w:lang w:eastAsia="pl-PL" w:bidi="pl-PL"/>
        </w:rPr>
        <w:t> </w:t>
      </w:r>
      <w:r w:rsidRPr="00B859F2">
        <w:rPr>
          <w:rFonts w:ascii="Lato" w:eastAsia="Times New Roman" w:hAnsi="Lato" w:cs="Arial"/>
          <w:spacing w:val="4"/>
          <w:sz w:val="20"/>
          <w:szCs w:val="20"/>
          <w:lang w:eastAsia="pl-PL" w:bidi="pl-PL"/>
        </w:rPr>
        <w:t xml:space="preserve">zakresie terminalu oceny racjonalności, czy słuszności koncepcji przedstawionej przez inwestora, bowiem miałaby ona charakter pozaprawny. Organ administracji bada jedynie legalność inwestycji będącej przedmiotem wniosku inwestora. Tylko bowiem stwierdzenie przez organ, iż kształt inwestycji w wersji zgłoszonej we wniosku narusza normę wynikającą z określonych przepisów prawa, zobowiązuje ten organ do wydania decyzji odmawiającej ustalenia lokalizacji inwestycji w zakresie terminalu. Jeśli nie występuje taka sytuacja, organ jest zobligowany wydać decyzję o ustaleniu lokalizacji ww. inwestycji. </w:t>
      </w:r>
    </w:p>
    <w:p w14:paraId="574EC137" w14:textId="77777777" w:rsidR="00B859F2" w:rsidRPr="00B859F2" w:rsidRDefault="00B859F2" w:rsidP="00B859F2">
      <w:pPr>
        <w:spacing w:after="240" w:line="240" w:lineRule="exact"/>
        <w:jc w:val="both"/>
        <w:rPr>
          <w:rFonts w:ascii="Lato" w:eastAsia="Times New Roman" w:hAnsi="Lato" w:cs="Arial"/>
          <w:bCs/>
          <w:iCs/>
          <w:spacing w:val="4"/>
          <w:sz w:val="20"/>
          <w:szCs w:val="20"/>
          <w:lang w:eastAsia="pl-PL"/>
        </w:rPr>
      </w:pPr>
      <w:r w:rsidRPr="00B859F2">
        <w:rPr>
          <w:rFonts w:ascii="Lato" w:eastAsia="Times New Roman" w:hAnsi="Lato" w:cs="Arial"/>
          <w:bCs/>
          <w:iCs/>
          <w:spacing w:val="4"/>
          <w:sz w:val="20"/>
          <w:szCs w:val="20"/>
          <w:lang w:eastAsia="pl-PL"/>
        </w:rPr>
        <w:lastRenderedPageBreak/>
        <w:t xml:space="preserve">Wojewoda Świętokrzyski, w zakresie interesu prawnego strony skarżącej, przeprowadził kontrolowane postępowanie </w:t>
      </w:r>
      <w:r w:rsidRPr="00B859F2">
        <w:rPr>
          <w:rFonts w:ascii="Lato" w:eastAsia="Times New Roman" w:hAnsi="Lato" w:cs="Arial"/>
          <w:iCs/>
          <w:spacing w:val="4"/>
          <w:sz w:val="20"/>
          <w:szCs w:val="20"/>
          <w:lang w:eastAsia="pl-PL"/>
        </w:rPr>
        <w:t xml:space="preserve">w sposób zgodny z wymogami </w:t>
      </w:r>
      <w:r w:rsidRPr="00B859F2">
        <w:rPr>
          <w:rFonts w:ascii="Lato" w:eastAsia="Times New Roman" w:hAnsi="Lato" w:cs="Arial"/>
          <w:i/>
          <w:spacing w:val="4"/>
          <w:sz w:val="20"/>
          <w:szCs w:val="20"/>
          <w:lang w:eastAsia="pl-PL"/>
        </w:rPr>
        <w:t>kpa</w:t>
      </w:r>
      <w:r w:rsidRPr="00B859F2">
        <w:rPr>
          <w:rFonts w:ascii="Lato" w:eastAsia="Times New Roman" w:hAnsi="Lato" w:cs="Arial"/>
          <w:iCs/>
          <w:spacing w:val="4"/>
          <w:sz w:val="20"/>
          <w:szCs w:val="20"/>
          <w:lang w:eastAsia="pl-PL"/>
        </w:rPr>
        <w:t xml:space="preserve">, o czym świadczą ustalenia dokonane w całokształcie materiału dowodowego (art. 80 </w:t>
      </w:r>
      <w:r w:rsidRPr="00B859F2">
        <w:rPr>
          <w:rFonts w:ascii="Lato" w:eastAsia="Times New Roman" w:hAnsi="Lato" w:cs="Arial"/>
          <w:i/>
          <w:spacing w:val="4"/>
          <w:sz w:val="20"/>
          <w:szCs w:val="20"/>
          <w:lang w:eastAsia="pl-PL"/>
        </w:rPr>
        <w:t>kpa</w:t>
      </w:r>
      <w:r w:rsidRPr="00B859F2">
        <w:rPr>
          <w:rFonts w:ascii="Lato" w:eastAsia="Times New Roman" w:hAnsi="Lato" w:cs="Arial"/>
          <w:iCs/>
          <w:spacing w:val="4"/>
          <w:sz w:val="20"/>
          <w:szCs w:val="20"/>
          <w:lang w:eastAsia="pl-PL"/>
        </w:rPr>
        <w:t>), zgromadzonego i zbadanego w sposób wyczerpujący (art. 77 § 1 </w:t>
      </w:r>
      <w:r w:rsidRPr="00B859F2">
        <w:rPr>
          <w:rFonts w:ascii="Lato" w:eastAsia="Times New Roman" w:hAnsi="Lato" w:cs="Arial"/>
          <w:i/>
          <w:spacing w:val="4"/>
          <w:sz w:val="20"/>
          <w:szCs w:val="20"/>
          <w:lang w:eastAsia="pl-PL"/>
        </w:rPr>
        <w:t>kpa</w:t>
      </w:r>
      <w:r w:rsidRPr="00B859F2">
        <w:rPr>
          <w:rFonts w:ascii="Lato" w:eastAsia="Times New Roman" w:hAnsi="Lato" w:cs="Arial"/>
          <w:iCs/>
          <w:spacing w:val="4"/>
          <w:sz w:val="20"/>
          <w:szCs w:val="20"/>
          <w:lang w:eastAsia="pl-PL"/>
        </w:rPr>
        <w:t>), a więc przy podjęciu wszystkich kroków niezbędnych dla dokładnego wyjaśnienia stanu faktycznego, jako warunku niezbędnego do wydania decyzji o przekonującej treści (art. 7 </w:t>
      </w:r>
      <w:r w:rsidRPr="00B859F2">
        <w:rPr>
          <w:rFonts w:ascii="Lato" w:eastAsia="Times New Roman" w:hAnsi="Lato" w:cs="Arial"/>
          <w:i/>
          <w:spacing w:val="4"/>
          <w:sz w:val="20"/>
          <w:szCs w:val="20"/>
          <w:lang w:eastAsia="pl-PL"/>
        </w:rPr>
        <w:t>kpa</w:t>
      </w:r>
      <w:r w:rsidRPr="00B859F2">
        <w:rPr>
          <w:rFonts w:ascii="Lato" w:eastAsia="Times New Roman" w:hAnsi="Lato" w:cs="Arial"/>
          <w:iCs/>
          <w:spacing w:val="4"/>
          <w:sz w:val="20"/>
          <w:szCs w:val="20"/>
          <w:lang w:eastAsia="pl-PL"/>
        </w:rPr>
        <w:t xml:space="preserve">). Ponadto, </w:t>
      </w:r>
      <w:r w:rsidRPr="00B859F2">
        <w:rPr>
          <w:rFonts w:ascii="Lato" w:eastAsia="Times New Roman" w:hAnsi="Lato" w:cs="Arial"/>
          <w:bCs/>
          <w:iCs/>
          <w:spacing w:val="4"/>
          <w:sz w:val="20"/>
          <w:szCs w:val="20"/>
          <w:lang w:eastAsia="pl-PL"/>
        </w:rPr>
        <w:t xml:space="preserve">organ wojewódzki prowadził postępowanie, kierując się zasadami proporcjonalności, bezstronności i równego traktowania (art. 8 </w:t>
      </w:r>
      <w:r w:rsidRPr="00B859F2">
        <w:rPr>
          <w:rFonts w:ascii="Lato" w:eastAsia="Times New Roman" w:hAnsi="Lato" w:cs="Arial"/>
          <w:bCs/>
          <w:i/>
          <w:spacing w:val="4"/>
          <w:sz w:val="20"/>
          <w:szCs w:val="20"/>
          <w:lang w:eastAsia="pl-PL"/>
        </w:rPr>
        <w:t>kpa</w:t>
      </w:r>
      <w:r w:rsidRPr="00B859F2">
        <w:rPr>
          <w:rFonts w:ascii="Lato" w:eastAsia="Times New Roman" w:hAnsi="Lato" w:cs="Arial"/>
          <w:bCs/>
          <w:iCs/>
          <w:spacing w:val="4"/>
          <w:sz w:val="20"/>
          <w:szCs w:val="20"/>
          <w:lang w:eastAsia="pl-PL"/>
        </w:rPr>
        <w:t xml:space="preserve">). </w:t>
      </w:r>
    </w:p>
    <w:p w14:paraId="035750C6" w14:textId="77777777" w:rsidR="00B859F2" w:rsidRPr="00B859F2" w:rsidRDefault="00B859F2" w:rsidP="00B859F2">
      <w:pPr>
        <w:spacing w:after="240" w:line="240" w:lineRule="exact"/>
        <w:jc w:val="both"/>
        <w:rPr>
          <w:rFonts w:ascii="Lato" w:eastAsia="Times New Roman" w:hAnsi="Lato" w:cs="Arial"/>
          <w:iCs/>
          <w:spacing w:val="4"/>
          <w:sz w:val="20"/>
          <w:szCs w:val="20"/>
          <w:lang w:eastAsia="pl-PL"/>
        </w:rPr>
      </w:pPr>
      <w:r w:rsidRPr="00B859F2">
        <w:rPr>
          <w:rFonts w:ascii="Lato" w:eastAsia="Times New Roman" w:hAnsi="Lato" w:cs="Arial"/>
          <w:iCs/>
          <w:spacing w:val="4"/>
          <w:sz w:val="20"/>
          <w:szCs w:val="20"/>
          <w:lang w:eastAsia="pl-PL"/>
        </w:rPr>
        <w:t xml:space="preserve">Dotychczasowe ustalenia pozwalają zatem stwierdzić, iż </w:t>
      </w:r>
      <w:r w:rsidRPr="00B859F2">
        <w:rPr>
          <w:rFonts w:ascii="Lato" w:eastAsia="Times New Roman" w:hAnsi="Lato" w:cs="Arial"/>
          <w:i/>
          <w:spacing w:val="4"/>
          <w:sz w:val="20"/>
          <w:szCs w:val="20"/>
          <w:lang w:eastAsia="pl-PL"/>
        </w:rPr>
        <w:t>decyzja Wojewody Świętokrzyskiego</w:t>
      </w:r>
      <w:r w:rsidRPr="00B859F2">
        <w:rPr>
          <w:rFonts w:ascii="Lato" w:eastAsia="Times New Roman" w:hAnsi="Lato" w:cs="Arial"/>
          <w:iCs/>
          <w:spacing w:val="4"/>
          <w:sz w:val="20"/>
          <w:szCs w:val="20"/>
          <w:lang w:eastAsia="pl-PL"/>
        </w:rPr>
        <w:t xml:space="preserve"> została wydana z poszanowaniem zarówno przepisów </w:t>
      </w:r>
      <w:r w:rsidRPr="00B859F2">
        <w:rPr>
          <w:rFonts w:ascii="Lato" w:eastAsia="Times New Roman" w:hAnsi="Lato" w:cs="Arial"/>
          <w:i/>
          <w:spacing w:val="4"/>
          <w:sz w:val="20"/>
          <w:szCs w:val="20"/>
          <w:lang w:eastAsia="pl-PL"/>
        </w:rPr>
        <w:t xml:space="preserve">specustawy gazowej, </w:t>
      </w:r>
      <w:r w:rsidRPr="00B859F2">
        <w:rPr>
          <w:rFonts w:ascii="Lato" w:eastAsia="Times New Roman" w:hAnsi="Lato" w:cs="Arial"/>
          <w:iCs/>
          <w:spacing w:val="4"/>
          <w:sz w:val="20"/>
          <w:szCs w:val="20"/>
          <w:lang w:eastAsia="pl-PL"/>
        </w:rPr>
        <w:t xml:space="preserve"> jak i </w:t>
      </w:r>
      <w:r w:rsidRPr="00B859F2">
        <w:rPr>
          <w:rFonts w:ascii="Lato" w:eastAsia="Times New Roman" w:hAnsi="Lato" w:cs="Arial"/>
          <w:i/>
          <w:spacing w:val="4"/>
          <w:sz w:val="20"/>
          <w:szCs w:val="20"/>
          <w:lang w:eastAsia="pl-PL"/>
        </w:rPr>
        <w:t>kpa</w:t>
      </w:r>
      <w:r w:rsidRPr="00B859F2">
        <w:rPr>
          <w:rFonts w:ascii="Lato" w:eastAsia="Times New Roman" w:hAnsi="Lato" w:cs="Arial"/>
          <w:iCs/>
          <w:spacing w:val="4"/>
          <w:sz w:val="20"/>
          <w:szCs w:val="20"/>
          <w:lang w:eastAsia="pl-PL"/>
        </w:rPr>
        <w:t xml:space="preserve">. </w:t>
      </w:r>
    </w:p>
    <w:p w14:paraId="47C25DB9" w14:textId="26E070A8" w:rsidR="00B859F2" w:rsidRPr="00B859F2" w:rsidRDefault="00B859F2" w:rsidP="00B859F2">
      <w:pPr>
        <w:spacing w:after="240" w:line="240" w:lineRule="exact"/>
        <w:jc w:val="both"/>
        <w:rPr>
          <w:rFonts w:ascii="Lato" w:eastAsia="Times New Roman" w:hAnsi="Lato" w:cs="Arial"/>
          <w:iCs/>
          <w:spacing w:val="4"/>
          <w:sz w:val="20"/>
          <w:szCs w:val="20"/>
          <w:lang w:eastAsia="pl-PL"/>
        </w:rPr>
      </w:pPr>
      <w:r w:rsidRPr="00B859F2">
        <w:rPr>
          <w:rFonts w:ascii="Lato" w:eastAsia="Times New Roman" w:hAnsi="Lato" w:cs="Arial"/>
          <w:iCs/>
          <w:spacing w:val="4"/>
          <w:sz w:val="20"/>
          <w:szCs w:val="20"/>
          <w:lang w:eastAsia="pl-PL"/>
        </w:rPr>
        <w:t>Zaznaczenia wymaga, że podjęcie przez organ rozstrzygnięcia odmiennego od</w:t>
      </w:r>
      <w:r w:rsidR="009E1541">
        <w:rPr>
          <w:rFonts w:ascii="Lato" w:eastAsia="Times New Roman" w:hAnsi="Lato" w:cs="Arial"/>
          <w:iCs/>
          <w:spacing w:val="4"/>
          <w:sz w:val="20"/>
          <w:szCs w:val="20"/>
          <w:lang w:eastAsia="pl-PL"/>
        </w:rPr>
        <w:t> </w:t>
      </w:r>
      <w:r w:rsidRPr="00B859F2">
        <w:rPr>
          <w:rFonts w:ascii="Lato" w:eastAsia="Times New Roman" w:hAnsi="Lato" w:cs="Arial"/>
          <w:iCs/>
          <w:spacing w:val="4"/>
          <w:sz w:val="20"/>
          <w:szCs w:val="20"/>
          <w:lang w:eastAsia="pl-PL"/>
        </w:rPr>
        <w:t>oczekiwanego przez strony skarżące w sytuacji, gdy organ prawidłowo zebrał materiał dowodowy, a ocena tego materiału jest logiczna, nie przekroczył zasady swobodnej oceny dowodów oraz wskazał prawidłową podstawę prawną, nie oznacza niezgodności zaskarżonego rozstrzygnięcia z prawem. Strony mają natomiast prawo do</w:t>
      </w:r>
      <w:r w:rsidR="009966B6">
        <w:rPr>
          <w:rFonts w:ascii="Lato" w:eastAsia="Times New Roman" w:hAnsi="Lato" w:cs="Arial"/>
          <w:iCs/>
          <w:spacing w:val="4"/>
          <w:sz w:val="20"/>
          <w:szCs w:val="20"/>
          <w:lang w:eastAsia="pl-PL"/>
        </w:rPr>
        <w:t> </w:t>
      </w:r>
      <w:r w:rsidRPr="00B859F2">
        <w:rPr>
          <w:rFonts w:ascii="Lato" w:eastAsia="Times New Roman" w:hAnsi="Lato" w:cs="Arial"/>
          <w:iCs/>
          <w:spacing w:val="4"/>
          <w:sz w:val="20"/>
          <w:szCs w:val="20"/>
          <w:lang w:eastAsia="pl-PL"/>
        </w:rPr>
        <w:t>własnego subiektywnego przekonania o zasadności wniesionego środka zaskarżenia, zaś przekonanie to nie musi mieć odzwierciedlenia w obowiązujących przepisach prawnych i ich wykładni (por. wyrok Wojewódzkiego Sądu Administracyjnego w Łodzi z dnia 26 września 2012 r., sygn. akt I SA/</w:t>
      </w:r>
      <w:proofErr w:type="spellStart"/>
      <w:r w:rsidRPr="00B859F2">
        <w:rPr>
          <w:rFonts w:ascii="Lato" w:eastAsia="Times New Roman" w:hAnsi="Lato" w:cs="Arial"/>
          <w:iCs/>
          <w:spacing w:val="4"/>
          <w:sz w:val="20"/>
          <w:szCs w:val="20"/>
          <w:lang w:eastAsia="pl-PL"/>
        </w:rPr>
        <w:t>Łd</w:t>
      </w:r>
      <w:proofErr w:type="spellEnd"/>
      <w:r w:rsidRPr="00B859F2">
        <w:rPr>
          <w:rFonts w:ascii="Lato" w:eastAsia="Times New Roman" w:hAnsi="Lato" w:cs="Arial"/>
          <w:iCs/>
          <w:spacing w:val="4"/>
          <w:sz w:val="20"/>
          <w:szCs w:val="20"/>
          <w:lang w:eastAsia="pl-PL"/>
        </w:rPr>
        <w:t xml:space="preserve"> 961/12).</w:t>
      </w:r>
    </w:p>
    <w:p w14:paraId="069258FA" w14:textId="7EB79E82" w:rsidR="00B859F2" w:rsidRPr="00B859F2" w:rsidRDefault="00B859F2" w:rsidP="00B859F2">
      <w:pPr>
        <w:spacing w:after="240" w:line="240" w:lineRule="exact"/>
        <w:jc w:val="both"/>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 xml:space="preserve">Podsumowując, organ odwoławczy uznał, że przebieg planowanej inwestycji został ustalony prawidłowo. Organ uznał argumentację przemawiającą za ustaloną lokalizacją, którą przedstawił </w:t>
      </w:r>
      <w:r w:rsidRPr="00B859F2">
        <w:rPr>
          <w:rFonts w:ascii="Lato" w:eastAsia="Times New Roman" w:hAnsi="Lato" w:cs="Arial"/>
          <w:i/>
          <w:spacing w:val="4"/>
          <w:sz w:val="20"/>
          <w:szCs w:val="20"/>
          <w:lang w:eastAsia="pl-PL"/>
        </w:rPr>
        <w:t xml:space="preserve">inwestor </w:t>
      </w:r>
      <w:r w:rsidRPr="00B859F2">
        <w:rPr>
          <w:rFonts w:ascii="Lato" w:eastAsia="Times New Roman" w:hAnsi="Lato" w:cs="Arial"/>
          <w:spacing w:val="4"/>
          <w:sz w:val="20"/>
          <w:szCs w:val="20"/>
          <w:lang w:eastAsia="pl-PL"/>
        </w:rPr>
        <w:t xml:space="preserve">w załączonej do wniosku dokumentacji. Stwierdzić należy także, że zarówno wniosek </w:t>
      </w:r>
      <w:r w:rsidRPr="00B859F2">
        <w:rPr>
          <w:rFonts w:ascii="Lato" w:eastAsia="Times New Roman" w:hAnsi="Lato" w:cs="Arial"/>
          <w:i/>
          <w:spacing w:val="4"/>
          <w:sz w:val="20"/>
          <w:szCs w:val="20"/>
          <w:lang w:eastAsia="pl-PL"/>
        </w:rPr>
        <w:t>inwestora</w:t>
      </w:r>
      <w:r w:rsidRPr="00B859F2">
        <w:rPr>
          <w:rFonts w:ascii="Lato" w:eastAsia="Times New Roman" w:hAnsi="Lato" w:cs="Arial"/>
          <w:spacing w:val="4"/>
          <w:sz w:val="20"/>
          <w:szCs w:val="20"/>
          <w:lang w:eastAsia="pl-PL"/>
        </w:rPr>
        <w:t>, postępowanie przeprowadzone przez organ I</w:t>
      </w:r>
      <w:r w:rsidR="009E1541">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 xml:space="preserve">instancji, jak i zaskarżona </w:t>
      </w:r>
      <w:r w:rsidRPr="00B859F2">
        <w:rPr>
          <w:rFonts w:ascii="Lato" w:eastAsia="Times New Roman" w:hAnsi="Lato" w:cs="Arial"/>
          <w:i/>
          <w:spacing w:val="4"/>
          <w:sz w:val="20"/>
          <w:szCs w:val="20"/>
          <w:lang w:eastAsia="pl-PL"/>
        </w:rPr>
        <w:t>decyzja Wojewody Świętokrzyskiego</w:t>
      </w:r>
      <w:r w:rsidRPr="00B859F2">
        <w:rPr>
          <w:rFonts w:ascii="Lato" w:eastAsia="Times New Roman" w:hAnsi="Lato" w:cs="Arial"/>
          <w:iCs/>
          <w:spacing w:val="4"/>
          <w:sz w:val="20"/>
          <w:szCs w:val="20"/>
          <w:lang w:eastAsia="pl-PL"/>
        </w:rPr>
        <w:t xml:space="preserve"> </w:t>
      </w:r>
      <w:r w:rsidRPr="00B859F2">
        <w:rPr>
          <w:rFonts w:ascii="Lato" w:eastAsia="Times New Roman" w:hAnsi="Lato" w:cs="Arial"/>
          <w:bCs/>
          <w:iCs/>
          <w:spacing w:val="4"/>
          <w:sz w:val="20"/>
          <w:szCs w:val="20"/>
          <w:lang w:eastAsia="pl-PL"/>
        </w:rPr>
        <w:t>nie naruszają prawa, a</w:t>
      </w:r>
      <w:r w:rsidR="009E1541">
        <w:rPr>
          <w:rFonts w:ascii="Lato" w:eastAsia="Times New Roman" w:hAnsi="Lato" w:cs="Arial"/>
          <w:bCs/>
          <w:iCs/>
          <w:spacing w:val="4"/>
          <w:sz w:val="20"/>
          <w:szCs w:val="20"/>
          <w:lang w:eastAsia="pl-PL"/>
        </w:rPr>
        <w:t> </w:t>
      </w:r>
      <w:r w:rsidRPr="00B859F2">
        <w:rPr>
          <w:rFonts w:ascii="Lato" w:eastAsia="Times New Roman" w:hAnsi="Lato" w:cs="Arial"/>
          <w:bCs/>
          <w:iCs/>
          <w:spacing w:val="4"/>
          <w:sz w:val="20"/>
          <w:szCs w:val="20"/>
          <w:lang w:eastAsia="pl-PL"/>
        </w:rPr>
        <w:t>wniesione zarzuty nie zasługują na uwzględnienie</w:t>
      </w:r>
      <w:r w:rsidRPr="00B859F2">
        <w:rPr>
          <w:rFonts w:ascii="Lato" w:eastAsia="Times New Roman" w:hAnsi="Lato" w:cs="Arial"/>
          <w:spacing w:val="4"/>
          <w:sz w:val="20"/>
          <w:szCs w:val="20"/>
          <w:lang w:eastAsia="pl-PL"/>
        </w:rPr>
        <w:t>, wobec czego orzeczono jak</w:t>
      </w:r>
      <w:r w:rsidR="009E1541">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w</w:t>
      </w:r>
      <w:r w:rsidR="009E1541">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rozstrzygnięciu.</w:t>
      </w:r>
    </w:p>
    <w:p w14:paraId="376C2F56" w14:textId="77777777" w:rsidR="00B859F2" w:rsidRPr="00B859F2" w:rsidRDefault="00B859F2" w:rsidP="00B859F2">
      <w:pPr>
        <w:shd w:val="clear" w:color="auto" w:fill="FFFFFF"/>
        <w:spacing w:after="240" w:line="240" w:lineRule="exact"/>
        <w:jc w:val="both"/>
        <w:rPr>
          <w:rFonts w:ascii="Lato" w:eastAsia="Times New Roman" w:hAnsi="Lato" w:cs="Arial"/>
          <w:spacing w:val="4"/>
          <w:sz w:val="20"/>
          <w:szCs w:val="20"/>
        </w:rPr>
      </w:pPr>
      <w:r w:rsidRPr="00B859F2">
        <w:rPr>
          <w:rFonts w:ascii="Lato" w:eastAsia="Times New Roman" w:hAnsi="Lato" w:cs="Arial"/>
          <w:spacing w:val="4"/>
          <w:sz w:val="20"/>
          <w:szCs w:val="20"/>
        </w:rPr>
        <w:t xml:space="preserve">Niniejsza decyzja jest ostateczna. </w:t>
      </w:r>
    </w:p>
    <w:p w14:paraId="4C60B8C7" w14:textId="5B60E4B8" w:rsidR="00B859F2" w:rsidRPr="00B859F2" w:rsidRDefault="00B859F2" w:rsidP="00B859F2">
      <w:pPr>
        <w:spacing w:after="240" w:line="240" w:lineRule="exact"/>
        <w:jc w:val="both"/>
        <w:rPr>
          <w:rFonts w:ascii="Lato" w:eastAsia="Times New Roman" w:hAnsi="Lato" w:cs="Arial"/>
          <w:spacing w:val="4"/>
          <w:sz w:val="20"/>
          <w:szCs w:val="20"/>
          <w:lang w:eastAsia="pl-PL"/>
        </w:rPr>
      </w:pPr>
      <w:r w:rsidRPr="00B859F2">
        <w:rPr>
          <w:rFonts w:ascii="Lato" w:eastAsia="Times New Roman" w:hAnsi="Lato" w:cs="Arial"/>
          <w:spacing w:val="4"/>
          <w:sz w:val="20"/>
          <w:szCs w:val="20"/>
          <w:lang w:eastAsia="pl-PL"/>
        </w:rPr>
        <w:t>Na podstawie art. 53 § 1 i art. 54 § 1 ustawy z dnia 30 sierpnia 2002 r. – Prawo o</w:t>
      </w:r>
      <w:r w:rsidR="009E1541">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postępowaniu przed sądami administracyjnymi (Dz. U. z 2022 r., poz. 329, z późn. zm.), zwanej dalej „</w:t>
      </w:r>
      <w:proofErr w:type="spellStart"/>
      <w:r w:rsidRPr="00B859F2">
        <w:rPr>
          <w:rFonts w:ascii="Lato" w:eastAsia="Times New Roman" w:hAnsi="Lato" w:cs="Arial"/>
          <w:i/>
          <w:iCs/>
          <w:spacing w:val="4"/>
          <w:sz w:val="20"/>
          <w:szCs w:val="20"/>
          <w:lang w:eastAsia="pl-PL"/>
        </w:rPr>
        <w:t>ppsa</w:t>
      </w:r>
      <w:proofErr w:type="spellEnd"/>
      <w:r w:rsidRPr="00B859F2">
        <w:rPr>
          <w:rFonts w:ascii="Lato" w:eastAsia="Times New Roman" w:hAnsi="Lato" w:cs="Arial"/>
          <w:spacing w:val="4"/>
          <w:sz w:val="20"/>
          <w:szCs w:val="20"/>
          <w:lang w:eastAsia="pl-PL"/>
        </w:rPr>
        <w:t>”, na decyzję przysługuje prawo złożenia skargi do Wojewódzkiego Sądu Administracyjnego w Warszawie, za pośrednictwem Ministra Rozwoju i</w:t>
      </w:r>
      <w:r w:rsidR="009E1541">
        <w:rPr>
          <w:rFonts w:ascii="Lato" w:eastAsia="Times New Roman" w:hAnsi="Lato" w:cs="Arial"/>
          <w:spacing w:val="4"/>
          <w:sz w:val="20"/>
          <w:szCs w:val="20"/>
          <w:lang w:eastAsia="pl-PL"/>
        </w:rPr>
        <w:t> </w:t>
      </w:r>
      <w:r w:rsidRPr="00B859F2">
        <w:rPr>
          <w:rFonts w:ascii="Lato" w:eastAsia="Times New Roman" w:hAnsi="Lato" w:cs="Arial"/>
          <w:spacing w:val="4"/>
          <w:sz w:val="20"/>
          <w:szCs w:val="20"/>
          <w:lang w:eastAsia="pl-PL"/>
        </w:rPr>
        <w:t>Technologii, w terminie 30 dni od dnia doręczenia decyzji.</w:t>
      </w:r>
    </w:p>
    <w:p w14:paraId="359D8F86" w14:textId="40104DA4" w:rsidR="00B859F2" w:rsidRPr="00B859F2" w:rsidRDefault="004F6512" w:rsidP="00B859F2">
      <w:pPr>
        <w:spacing w:after="240" w:line="240" w:lineRule="exact"/>
        <w:jc w:val="both"/>
        <w:rPr>
          <w:rFonts w:ascii="Lato" w:eastAsia="Times New Roman" w:hAnsi="Lato" w:cs="Arial"/>
          <w:spacing w:val="4"/>
          <w:sz w:val="20"/>
          <w:szCs w:val="20"/>
          <w:lang w:eastAsia="pl-PL"/>
        </w:rPr>
      </w:pPr>
      <w:r w:rsidRPr="00010C92">
        <w:rPr>
          <w:noProof/>
          <w:lang w:eastAsia="pl-PL"/>
        </w:rPr>
        <mc:AlternateContent>
          <mc:Choice Requires="wps">
            <w:drawing>
              <wp:anchor distT="0" distB="0" distL="114300" distR="114300" simplePos="0" relativeHeight="251659264" behindDoc="0" locked="0" layoutInCell="1" allowOverlap="1" wp14:anchorId="3F836BFA" wp14:editId="0D0C44EB">
                <wp:simplePos x="0" y="0"/>
                <wp:positionH relativeFrom="margin">
                  <wp:posOffset>1425575</wp:posOffset>
                </wp:positionH>
                <wp:positionV relativeFrom="paragraph">
                  <wp:posOffset>1077595</wp:posOffset>
                </wp:positionV>
                <wp:extent cx="3667760" cy="1009650"/>
                <wp:effectExtent l="0" t="0" r="889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475D3" w14:textId="77777777" w:rsidR="004F6512" w:rsidRPr="00AA5544" w:rsidRDefault="004F6512" w:rsidP="004F6512">
                            <w:pPr>
                              <w:pStyle w:val="Bezodstpw"/>
                              <w:ind w:firstLine="708"/>
                              <w:jc w:val="center"/>
                              <w:rPr>
                                <w:rFonts w:cs="Calibri"/>
                                <w:color w:val="FF0000"/>
                                <w:sz w:val="20"/>
                                <w:szCs w:val="20"/>
                              </w:rPr>
                            </w:pPr>
                            <w:r>
                              <w:rPr>
                                <w:rFonts w:cs="Calibri"/>
                                <w:color w:val="FF0000"/>
                                <w:sz w:val="20"/>
                                <w:szCs w:val="20"/>
                              </w:rPr>
                              <w:t xml:space="preserve">MINISTER ROZWOJU </w:t>
                            </w:r>
                            <w:r w:rsidRPr="00AA5544">
                              <w:rPr>
                                <w:rFonts w:cs="Calibri"/>
                                <w:color w:val="FF0000"/>
                                <w:sz w:val="20"/>
                                <w:szCs w:val="20"/>
                              </w:rPr>
                              <w:t>I TECHNOLOGII</w:t>
                            </w:r>
                          </w:p>
                          <w:p w14:paraId="75391776" w14:textId="77777777" w:rsidR="004F6512" w:rsidRPr="00AA5544" w:rsidRDefault="004F6512" w:rsidP="004F6512">
                            <w:pPr>
                              <w:pStyle w:val="Bezodstpw"/>
                              <w:ind w:firstLine="1701"/>
                              <w:rPr>
                                <w:rFonts w:cs="Calibri"/>
                                <w:color w:val="FF0000"/>
                                <w:sz w:val="20"/>
                                <w:szCs w:val="20"/>
                              </w:rPr>
                            </w:pPr>
                            <w:r w:rsidRPr="00AA5544">
                              <w:rPr>
                                <w:rFonts w:cs="Calibri"/>
                                <w:color w:val="FF0000"/>
                                <w:sz w:val="20"/>
                                <w:szCs w:val="20"/>
                              </w:rPr>
                              <w:t>z up.</w:t>
                            </w:r>
                          </w:p>
                          <w:p w14:paraId="2A45F4B7" w14:textId="77777777" w:rsidR="004F6512" w:rsidRDefault="004F6512" w:rsidP="004F6512">
                            <w:pPr>
                              <w:pStyle w:val="Bezodstpw"/>
                              <w:ind w:left="1416" w:firstLine="708"/>
                              <w:rPr>
                                <w:rFonts w:cs="Calibri"/>
                                <w:color w:val="FF0000"/>
                                <w:sz w:val="20"/>
                                <w:szCs w:val="20"/>
                              </w:rPr>
                            </w:pPr>
                            <w:r>
                              <w:rPr>
                                <w:rFonts w:cs="Calibri"/>
                                <w:color w:val="FF0000"/>
                                <w:sz w:val="20"/>
                                <w:szCs w:val="20"/>
                              </w:rPr>
                              <w:t>Marta Maikowska</w:t>
                            </w:r>
                          </w:p>
                          <w:p w14:paraId="58C9EB38" w14:textId="77777777" w:rsidR="004F6512" w:rsidRDefault="004F6512" w:rsidP="004F6512">
                            <w:pPr>
                              <w:pStyle w:val="Bezodstpw"/>
                              <w:ind w:left="1416" w:firstLine="569"/>
                              <w:rPr>
                                <w:rFonts w:cs="Calibri"/>
                                <w:color w:val="FF0000"/>
                                <w:sz w:val="20"/>
                                <w:szCs w:val="20"/>
                              </w:rPr>
                            </w:pPr>
                            <w:r>
                              <w:rPr>
                                <w:rFonts w:cs="Calibri"/>
                                <w:color w:val="FF0000"/>
                                <w:sz w:val="20"/>
                                <w:szCs w:val="20"/>
                              </w:rPr>
                              <w:t>ZASTĘPCA DYREKTORA</w:t>
                            </w:r>
                          </w:p>
                          <w:p w14:paraId="55519BE8" w14:textId="77777777" w:rsidR="004F6512" w:rsidRPr="00AA5544" w:rsidRDefault="004F6512" w:rsidP="004F6512">
                            <w:pPr>
                              <w:pStyle w:val="Bezodstpw"/>
                              <w:jc w:val="center"/>
                              <w:rPr>
                                <w:rFonts w:cs="Calibri"/>
                                <w:color w:val="FF0000"/>
                                <w:sz w:val="20"/>
                                <w:szCs w:val="20"/>
                              </w:rPr>
                            </w:pPr>
                            <w:r>
                              <w:rPr>
                                <w:rFonts w:cs="Calibri"/>
                                <w:color w:val="FF0000"/>
                                <w:sz w:val="20"/>
                                <w:szCs w:val="20"/>
                              </w:rPr>
                              <w:t>DEPARTAMENTU LOKALIZACJI INWESTYCJI</w:t>
                            </w:r>
                          </w:p>
                          <w:p w14:paraId="36D707F2" w14:textId="77777777" w:rsidR="004F6512" w:rsidRPr="00AA5544" w:rsidRDefault="004F6512" w:rsidP="004F6512">
                            <w:pPr>
                              <w:spacing w:after="0" w:line="240" w:lineRule="auto"/>
                              <w:jc w:val="center"/>
                              <w:rPr>
                                <w:rFonts w:cs="Calibri"/>
                                <w:color w:val="FF0000"/>
                                <w:sz w:val="20"/>
                                <w:szCs w:val="20"/>
                              </w:rPr>
                            </w:pPr>
                            <w:r w:rsidRPr="00AA5544">
                              <w:rPr>
                                <w:rFonts w:cs="Calibri"/>
                                <w:color w:val="FF0000"/>
                                <w:sz w:val="20"/>
                                <w:szCs w:val="20"/>
                              </w:rPr>
                              <w:t>/podpisano kwalifikowanym podpisem elektronicznym/</w:t>
                            </w:r>
                          </w:p>
                          <w:p w14:paraId="7258A1A2" w14:textId="77777777" w:rsidR="004F6512" w:rsidRPr="00AA5544" w:rsidRDefault="004F6512" w:rsidP="004F6512">
                            <w:pPr>
                              <w:pStyle w:val="Bezodstpw"/>
                              <w:ind w:firstLine="708"/>
                              <w:rPr>
                                <w:rFonts w:cs="Calibri"/>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836BFA" id="_x0000_t202" coordsize="21600,21600" o:spt="202" path="m,l,21600r21600,l21600,xe">
                <v:stroke joinstyle="miter"/>
                <v:path gradientshapeok="t" o:connecttype="rect"/>
              </v:shapetype>
              <v:shape id="Pole tekstowe 1" o:spid="_x0000_s1026" type="#_x0000_t202" style="position:absolute;left:0;text-align:left;margin-left:112.25pt;margin-top:84.85pt;width:288.8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9AEAAMsDAAAOAAAAZHJzL2Uyb0RvYy54bWysU1Fv0zAQfkfiP1h+p0lL17G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" stroked="f">
                <v:textbox>
                  <w:txbxContent>
                    <w:p w14:paraId="5A5475D3" w14:textId="77777777" w:rsidR="004F6512" w:rsidRPr="00AA5544" w:rsidRDefault="004F6512" w:rsidP="004F6512">
                      <w:pPr>
                        <w:pStyle w:val="Bezodstpw"/>
                        <w:ind w:firstLine="708"/>
                        <w:jc w:val="center"/>
                        <w:rPr>
                          <w:rFonts w:cs="Calibri"/>
                          <w:color w:val="FF0000"/>
                          <w:sz w:val="20"/>
                          <w:szCs w:val="20"/>
                        </w:rPr>
                      </w:pPr>
                      <w:r>
                        <w:rPr>
                          <w:rFonts w:cs="Calibri"/>
                          <w:color w:val="FF0000"/>
                          <w:sz w:val="20"/>
                          <w:szCs w:val="20"/>
                        </w:rPr>
                        <w:t xml:space="preserve">MINISTER ROZWOJU </w:t>
                      </w:r>
                      <w:r w:rsidRPr="00AA5544">
                        <w:rPr>
                          <w:rFonts w:cs="Calibri"/>
                          <w:color w:val="FF0000"/>
                          <w:sz w:val="20"/>
                          <w:szCs w:val="20"/>
                        </w:rPr>
                        <w:t>I TECHNOLOGII</w:t>
                      </w:r>
                    </w:p>
                    <w:p w14:paraId="75391776" w14:textId="77777777" w:rsidR="004F6512" w:rsidRPr="00AA5544" w:rsidRDefault="004F6512" w:rsidP="004F6512">
                      <w:pPr>
                        <w:pStyle w:val="Bezodstpw"/>
                        <w:ind w:firstLine="1701"/>
                        <w:rPr>
                          <w:rFonts w:cs="Calibri"/>
                          <w:color w:val="FF0000"/>
                          <w:sz w:val="20"/>
                          <w:szCs w:val="20"/>
                        </w:rPr>
                      </w:pPr>
                      <w:r w:rsidRPr="00AA5544">
                        <w:rPr>
                          <w:rFonts w:cs="Calibri"/>
                          <w:color w:val="FF0000"/>
                          <w:sz w:val="20"/>
                          <w:szCs w:val="20"/>
                        </w:rPr>
                        <w:t>z up.</w:t>
                      </w:r>
                    </w:p>
                    <w:p w14:paraId="2A45F4B7" w14:textId="77777777" w:rsidR="004F6512" w:rsidRDefault="004F6512" w:rsidP="004F6512">
                      <w:pPr>
                        <w:pStyle w:val="Bezodstpw"/>
                        <w:ind w:left="1416" w:firstLine="708"/>
                        <w:rPr>
                          <w:rFonts w:cs="Calibri"/>
                          <w:color w:val="FF0000"/>
                          <w:sz w:val="20"/>
                          <w:szCs w:val="20"/>
                        </w:rPr>
                      </w:pPr>
                      <w:r>
                        <w:rPr>
                          <w:rFonts w:cs="Calibri"/>
                          <w:color w:val="FF0000"/>
                          <w:sz w:val="20"/>
                          <w:szCs w:val="20"/>
                        </w:rPr>
                        <w:t>Marta Maikowska</w:t>
                      </w:r>
                    </w:p>
                    <w:p w14:paraId="58C9EB38" w14:textId="77777777" w:rsidR="004F6512" w:rsidRDefault="004F6512" w:rsidP="004F6512">
                      <w:pPr>
                        <w:pStyle w:val="Bezodstpw"/>
                        <w:ind w:left="1416" w:firstLine="569"/>
                        <w:rPr>
                          <w:rFonts w:cs="Calibri"/>
                          <w:color w:val="FF0000"/>
                          <w:sz w:val="20"/>
                          <w:szCs w:val="20"/>
                        </w:rPr>
                      </w:pPr>
                      <w:r>
                        <w:rPr>
                          <w:rFonts w:cs="Calibri"/>
                          <w:color w:val="FF0000"/>
                          <w:sz w:val="20"/>
                          <w:szCs w:val="20"/>
                        </w:rPr>
                        <w:t>ZASTĘPCA DYREKTORA</w:t>
                      </w:r>
                    </w:p>
                    <w:p w14:paraId="55519BE8" w14:textId="77777777" w:rsidR="004F6512" w:rsidRPr="00AA5544" w:rsidRDefault="004F6512" w:rsidP="004F6512">
                      <w:pPr>
                        <w:pStyle w:val="Bezodstpw"/>
                        <w:jc w:val="center"/>
                        <w:rPr>
                          <w:rFonts w:cs="Calibri"/>
                          <w:color w:val="FF0000"/>
                          <w:sz w:val="20"/>
                          <w:szCs w:val="20"/>
                        </w:rPr>
                      </w:pPr>
                      <w:r>
                        <w:rPr>
                          <w:rFonts w:cs="Calibri"/>
                          <w:color w:val="FF0000"/>
                          <w:sz w:val="20"/>
                          <w:szCs w:val="20"/>
                        </w:rPr>
                        <w:t>DEPARTAMENTU LOKALIZACJI INWESTYCJI</w:t>
                      </w:r>
                    </w:p>
                    <w:p w14:paraId="36D707F2" w14:textId="77777777" w:rsidR="004F6512" w:rsidRPr="00AA5544" w:rsidRDefault="004F6512" w:rsidP="004F6512">
                      <w:pPr>
                        <w:spacing w:after="0" w:line="240" w:lineRule="auto"/>
                        <w:jc w:val="center"/>
                        <w:rPr>
                          <w:rFonts w:cs="Calibri"/>
                          <w:color w:val="FF0000"/>
                          <w:sz w:val="20"/>
                          <w:szCs w:val="20"/>
                        </w:rPr>
                      </w:pPr>
                      <w:r w:rsidRPr="00AA5544">
                        <w:rPr>
                          <w:rFonts w:cs="Calibri"/>
                          <w:color w:val="FF0000"/>
                          <w:sz w:val="20"/>
                          <w:szCs w:val="20"/>
                        </w:rPr>
                        <w:t>/podpisano kwalifikowanym podpisem elektronicznym/</w:t>
                      </w:r>
                    </w:p>
                    <w:p w14:paraId="7258A1A2" w14:textId="77777777" w:rsidR="004F6512" w:rsidRPr="00AA5544" w:rsidRDefault="004F6512" w:rsidP="004F6512">
                      <w:pPr>
                        <w:pStyle w:val="Bezodstpw"/>
                        <w:ind w:firstLine="708"/>
                        <w:rPr>
                          <w:rFonts w:cs="Calibri"/>
                          <w:color w:val="FF0000"/>
                          <w:sz w:val="20"/>
                          <w:szCs w:val="20"/>
                        </w:rPr>
                      </w:pPr>
                    </w:p>
                  </w:txbxContent>
                </v:textbox>
                <w10:wrap anchorx="margin"/>
              </v:shape>
            </w:pict>
          </mc:Fallback>
        </mc:AlternateContent>
      </w:r>
      <w:r w:rsidR="00B859F2" w:rsidRPr="00B859F2">
        <w:rPr>
          <w:rFonts w:ascii="Lato" w:eastAsia="Times New Roman" w:hAnsi="Lato" w:cs="Arial"/>
          <w:spacing w:val="4"/>
          <w:sz w:val="20"/>
          <w:szCs w:val="20"/>
          <w:lang w:eastAsia="pl-PL"/>
        </w:rPr>
        <w:t>Jednocześnie informuję, że do skargi należy załączyć dowód uiszczenia wpisu od</w:t>
      </w:r>
      <w:r w:rsidR="009E1541">
        <w:rPr>
          <w:rFonts w:ascii="Lato" w:eastAsia="Times New Roman" w:hAnsi="Lato" w:cs="Arial"/>
          <w:spacing w:val="4"/>
          <w:sz w:val="20"/>
          <w:szCs w:val="20"/>
          <w:lang w:eastAsia="pl-PL"/>
        </w:rPr>
        <w:t> </w:t>
      </w:r>
      <w:r w:rsidR="00B859F2" w:rsidRPr="00B859F2">
        <w:rPr>
          <w:rFonts w:ascii="Lato" w:eastAsia="Times New Roman" w:hAnsi="Lato" w:cs="Arial"/>
          <w:spacing w:val="4"/>
          <w:sz w:val="20"/>
          <w:szCs w:val="20"/>
          <w:lang w:eastAsia="pl-PL"/>
        </w:rPr>
        <w:t xml:space="preserve">wniesienia skargi w kwocie 500 zł, płatnego w kasie sądu lub na rachunek bankowy sądu wskazany w publikatorze teleinformatycznym – Biuletynie Informacji Publicznej sądu (http://bip.warszawa.wsa.gov.pl). Strony mogą ubiegać się o przyznanie prawa pomocy, polegającego na zwolnieniu z kosztów sądowych oraz ustanowieniu adwokata lub radcy prawnego. Szczegółowe zasady dotyczące przyznawania prawa pomocy uregulowane są w art. 243-262 </w:t>
      </w:r>
      <w:proofErr w:type="spellStart"/>
      <w:r w:rsidR="00B859F2" w:rsidRPr="00B859F2">
        <w:rPr>
          <w:rFonts w:ascii="Lato" w:eastAsia="Times New Roman" w:hAnsi="Lato" w:cs="Arial"/>
          <w:i/>
          <w:iCs/>
          <w:spacing w:val="4"/>
          <w:sz w:val="20"/>
          <w:szCs w:val="20"/>
          <w:lang w:eastAsia="pl-PL"/>
        </w:rPr>
        <w:t>ppsa</w:t>
      </w:r>
      <w:proofErr w:type="spellEnd"/>
      <w:r w:rsidR="00B859F2" w:rsidRPr="00B859F2">
        <w:rPr>
          <w:rFonts w:ascii="Lato" w:eastAsia="Times New Roman" w:hAnsi="Lato" w:cs="Arial"/>
          <w:spacing w:val="4"/>
          <w:sz w:val="20"/>
          <w:szCs w:val="20"/>
          <w:lang w:eastAsia="pl-PL"/>
        </w:rPr>
        <w:t>.</w:t>
      </w:r>
    </w:p>
    <w:p w14:paraId="7897CA5D" w14:textId="7BDD7624" w:rsidR="00B859F2" w:rsidRPr="00B859F2" w:rsidRDefault="00B859F2" w:rsidP="00B859F2">
      <w:pPr>
        <w:widowControl w:val="0"/>
        <w:tabs>
          <w:tab w:val="left" w:pos="284"/>
        </w:tabs>
        <w:suppressAutoHyphens/>
        <w:spacing w:after="0" w:line="240" w:lineRule="auto"/>
        <w:jc w:val="both"/>
        <w:textAlignment w:val="baseline"/>
        <w:rPr>
          <w:rFonts w:ascii="Lato" w:eastAsia="Times New Roman" w:hAnsi="Lato" w:cs="Arial"/>
          <w:color w:val="000000"/>
          <w:spacing w:val="4"/>
          <w:sz w:val="20"/>
          <w:szCs w:val="20"/>
          <w:lang w:eastAsia="pl-PL"/>
        </w:rPr>
      </w:pPr>
    </w:p>
    <w:p w14:paraId="271F6123" w14:textId="6E655239" w:rsidR="00B859F2" w:rsidRPr="00B859F2" w:rsidRDefault="00B859F2" w:rsidP="00B859F2">
      <w:pPr>
        <w:widowControl w:val="0"/>
        <w:tabs>
          <w:tab w:val="left" w:pos="284"/>
        </w:tabs>
        <w:suppressAutoHyphens/>
        <w:spacing w:after="0" w:line="240" w:lineRule="auto"/>
        <w:jc w:val="both"/>
        <w:textAlignment w:val="baseline"/>
        <w:rPr>
          <w:rFonts w:ascii="Lato" w:eastAsia="Times New Roman" w:hAnsi="Lato" w:cs="Arial"/>
          <w:color w:val="000000"/>
          <w:spacing w:val="4"/>
          <w:sz w:val="20"/>
          <w:szCs w:val="20"/>
          <w:lang w:eastAsia="pl-PL"/>
        </w:rPr>
      </w:pPr>
    </w:p>
    <w:p w14:paraId="649BB59C" w14:textId="0A9517C6" w:rsidR="009966B6" w:rsidRDefault="009966B6" w:rsidP="00B859F2">
      <w:pPr>
        <w:tabs>
          <w:tab w:val="left" w:pos="851"/>
        </w:tabs>
        <w:spacing w:after="0" w:line="240" w:lineRule="auto"/>
        <w:jc w:val="both"/>
        <w:rPr>
          <w:rFonts w:ascii="Lato" w:eastAsia="Times New Roman" w:hAnsi="Lato" w:cs="Arial"/>
          <w:color w:val="000000"/>
          <w:spacing w:val="4"/>
          <w:sz w:val="20"/>
          <w:szCs w:val="20"/>
          <w:lang w:eastAsia="pl-PL"/>
        </w:rPr>
      </w:pPr>
    </w:p>
    <w:p w14:paraId="388DC574" w14:textId="77777777" w:rsidR="00B41D82" w:rsidRDefault="00B41D82" w:rsidP="00B859F2">
      <w:pPr>
        <w:tabs>
          <w:tab w:val="left" w:pos="851"/>
        </w:tabs>
        <w:spacing w:after="0" w:line="240" w:lineRule="auto"/>
        <w:jc w:val="both"/>
        <w:rPr>
          <w:rFonts w:ascii="Lato" w:eastAsia="Times New Roman" w:hAnsi="Lato" w:cs="Arial"/>
          <w:b/>
          <w:spacing w:val="4"/>
          <w:sz w:val="20"/>
          <w:szCs w:val="24"/>
          <w:u w:val="single"/>
          <w:lang w:eastAsia="pl-PL"/>
        </w:rPr>
      </w:pPr>
    </w:p>
    <w:p w14:paraId="57431131" w14:textId="77777777" w:rsidR="009966B6" w:rsidRDefault="009966B6" w:rsidP="00B859F2">
      <w:pPr>
        <w:tabs>
          <w:tab w:val="left" w:pos="851"/>
        </w:tabs>
        <w:spacing w:after="0" w:line="240" w:lineRule="auto"/>
        <w:jc w:val="both"/>
        <w:rPr>
          <w:rFonts w:ascii="Lato" w:eastAsia="Times New Roman" w:hAnsi="Lato" w:cs="Arial"/>
          <w:b/>
          <w:spacing w:val="4"/>
          <w:sz w:val="20"/>
          <w:szCs w:val="24"/>
          <w:u w:val="single"/>
          <w:lang w:eastAsia="pl-PL"/>
        </w:rPr>
      </w:pPr>
    </w:p>
    <w:p w14:paraId="357CAEA1" w14:textId="086402EE" w:rsidR="00947F4D" w:rsidRPr="00B859F2" w:rsidRDefault="00000000" w:rsidP="00B859F2">
      <w:pPr>
        <w:spacing w:after="0" w:line="240" w:lineRule="auto"/>
        <w:rPr>
          <w:rFonts w:ascii="Lato" w:hAnsi="Lato" w:cstheme="minorHAnsi"/>
          <w:sz w:val="20"/>
          <w:szCs w:val="20"/>
        </w:rPr>
      </w:pPr>
    </w:p>
    <w:sectPr w:rsidR="00947F4D" w:rsidRPr="00B859F2" w:rsidSect="006A3063">
      <w:headerReference w:type="default" r:id="rId9"/>
      <w:footerReference w:type="default" r:id="rId10"/>
      <w:headerReference w:type="first" r:id="rId11"/>
      <w:footerReference w:type="first" r:id="rId12"/>
      <w:pgSz w:w="11906" w:h="16838"/>
      <w:pgMar w:top="2113" w:right="1985"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D526" w14:textId="77777777" w:rsidR="00AC5CC5" w:rsidRDefault="00AC5CC5">
      <w:pPr>
        <w:spacing w:after="0" w:line="240" w:lineRule="auto"/>
      </w:pPr>
      <w:r>
        <w:separator/>
      </w:r>
    </w:p>
  </w:endnote>
  <w:endnote w:type="continuationSeparator" w:id="0">
    <w:p w14:paraId="05C648DC" w14:textId="77777777" w:rsidR="00AC5CC5" w:rsidRDefault="00AC5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611184"/>
      <w:docPartObj>
        <w:docPartGallery w:val="Page Numbers (Bottom of Page)"/>
        <w:docPartUnique/>
      </w:docPartObj>
    </w:sdtPr>
    <w:sdtEndPr>
      <w:rPr>
        <w:rFonts w:ascii="Lato" w:hAnsi="Lato"/>
        <w:sz w:val="18"/>
        <w:szCs w:val="18"/>
      </w:rPr>
    </w:sdtEndPr>
    <w:sdtContent>
      <w:p w14:paraId="135A9A65" w14:textId="742F9173" w:rsidR="006A3063" w:rsidRPr="00B41D82" w:rsidRDefault="006A3063">
        <w:pPr>
          <w:pStyle w:val="Stopka"/>
          <w:jc w:val="center"/>
          <w:rPr>
            <w:rFonts w:ascii="Lato" w:hAnsi="Lato"/>
            <w:sz w:val="18"/>
            <w:szCs w:val="18"/>
          </w:rPr>
        </w:pPr>
        <w:r w:rsidRPr="00B41D82">
          <w:rPr>
            <w:rFonts w:ascii="Lato" w:hAnsi="Lato"/>
            <w:sz w:val="18"/>
            <w:szCs w:val="18"/>
          </w:rPr>
          <w:fldChar w:fldCharType="begin"/>
        </w:r>
        <w:r w:rsidRPr="00B41D82">
          <w:rPr>
            <w:rFonts w:ascii="Lato" w:hAnsi="Lato"/>
            <w:sz w:val="18"/>
            <w:szCs w:val="18"/>
          </w:rPr>
          <w:instrText>PAGE   \* MERGEFORMAT</w:instrText>
        </w:r>
        <w:r w:rsidRPr="00B41D82">
          <w:rPr>
            <w:rFonts w:ascii="Lato" w:hAnsi="Lato"/>
            <w:sz w:val="18"/>
            <w:szCs w:val="18"/>
          </w:rPr>
          <w:fldChar w:fldCharType="separate"/>
        </w:r>
        <w:r w:rsidRPr="00B41D82">
          <w:rPr>
            <w:rFonts w:ascii="Lato" w:hAnsi="Lato"/>
            <w:sz w:val="18"/>
            <w:szCs w:val="18"/>
          </w:rPr>
          <w:t>2</w:t>
        </w:r>
        <w:r w:rsidRPr="00B41D82">
          <w:rPr>
            <w:rFonts w:ascii="Lato" w:hAnsi="Lato"/>
            <w:sz w:val="18"/>
            <w:szCs w:val="18"/>
          </w:rPr>
          <w:fldChar w:fldCharType="end"/>
        </w:r>
        <w:r w:rsidRPr="00B41D82">
          <w:rPr>
            <w:rFonts w:ascii="Lato" w:hAnsi="Lato"/>
            <w:sz w:val="18"/>
            <w:szCs w:val="18"/>
          </w:rPr>
          <w:t>(1</w:t>
        </w:r>
        <w:r w:rsidR="00983349">
          <w:rPr>
            <w:rFonts w:ascii="Lato" w:hAnsi="Lato"/>
            <w:sz w:val="18"/>
            <w:szCs w:val="18"/>
          </w:rPr>
          <w:t>3</w:t>
        </w:r>
        <w:r w:rsidRPr="00B41D82">
          <w:rPr>
            <w:rFonts w:ascii="Lato" w:hAnsi="Lato"/>
            <w:sz w:val="18"/>
            <w:szCs w:val="18"/>
          </w:rPr>
          <w:t>)</w:t>
        </w:r>
      </w:p>
    </w:sdtContent>
  </w:sdt>
  <w:p w14:paraId="72F01619" w14:textId="77777777" w:rsidR="00947F4D" w:rsidRPr="00590C4E" w:rsidRDefault="00000000" w:rsidP="00947F4D">
    <w:pPr>
      <w:pStyle w:val="Stopka"/>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0BE1" w14:textId="1F59D4ED" w:rsidR="00947F4D" w:rsidRPr="00590C4E" w:rsidRDefault="00000000" w:rsidP="00947F4D">
    <w:pPr>
      <w:pStyle w:val="Stopka"/>
      <w:tabs>
        <w:tab w:val="clear" w:pos="4536"/>
        <w:tab w:val="clear" w:pos="9072"/>
        <w:tab w:val="left" w:pos="5529"/>
      </w:tabs>
      <w:rPr>
        <w:sz w:val="16"/>
      </w:rPr>
    </w:pPr>
    <w:r w:rsidRPr="00565D32">
      <w:rPr>
        <w:rFonts w:ascii="Lato" w:hAnsi="Lato"/>
        <w:noProof/>
        <w:sz w:val="16"/>
        <w:szCs w:val="24"/>
        <w:lang w:eastAsia="pl-PL"/>
      </w:rPr>
      <mc:AlternateContent>
        <mc:Choice Requires="wps">
          <w:drawing>
            <wp:anchor distT="0" distB="0" distL="114300" distR="114300" simplePos="0" relativeHeight="251659264" behindDoc="0" locked="0" layoutInCell="1" allowOverlap="1" wp14:anchorId="47D32D80" wp14:editId="0B8555A7">
              <wp:simplePos x="0" y="0"/>
              <wp:positionH relativeFrom="margin">
                <wp:posOffset>0</wp:posOffset>
              </wp:positionH>
              <wp:positionV relativeFrom="paragraph">
                <wp:posOffset>-120650</wp:posOffset>
              </wp:positionV>
              <wp:extent cx="5040000" cy="0"/>
              <wp:effectExtent l="0" t="0" r="27305" b="19050"/>
              <wp:wrapNone/>
              <wp:docPr id="31" name="Łącznik prosty 31"/>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31" o:spid="_x0000_s2050" style="mso-height-percent:0;mso-height-relative:margin;mso-position-horizontal-relative:margin;mso-width-percent:0;mso-width-relative:margin;mso-wrap-distance-bottom:0;mso-wrap-distance-left:9pt;mso-wrap-distance-right:9pt;mso-wrap-distance-top:0;mso-wrap-style:square;position:absolute;visibility:visible;z-index:251660288" from="0,-9.5pt" to="396.85pt,-9.5pt" strokecolor="black" strokeweight="0.5pt">
              <v:stroke joinstyle="miter"/>
              <w10:wrap anchorx="margin"/>
            </v:line>
          </w:pict>
        </mc:Fallback>
      </mc:AlternateContent>
    </w:r>
    <w:r w:rsidR="00356307" w:rsidRPr="00356307">
      <w:rPr>
        <w:rFonts w:ascii="Lato" w:hAnsi="Lato"/>
        <w:noProof/>
        <w:sz w:val="16"/>
        <w:szCs w:val="24"/>
        <w:lang w:eastAsia="pl-PL"/>
      </w:rPr>
      <w:t>+48 222 500 123</w:t>
    </w:r>
    <w:r w:rsidRPr="00590C4E">
      <w:rPr>
        <w:sz w:val="16"/>
      </w:rPr>
      <w:tab/>
    </w:r>
    <w:r w:rsidRPr="00565D32">
      <w:rPr>
        <w:sz w:val="16"/>
      </w:rPr>
      <w:t>Pl. Trzech Krzyży 3/5</w:t>
    </w:r>
  </w:p>
  <w:p w14:paraId="58BE91ED" w14:textId="77777777" w:rsidR="00947F4D" w:rsidRPr="00590C4E" w:rsidRDefault="00000000" w:rsidP="00947F4D">
    <w:pPr>
      <w:pStyle w:val="Stopka"/>
      <w:tabs>
        <w:tab w:val="clear" w:pos="4536"/>
        <w:tab w:val="clear" w:pos="9072"/>
        <w:tab w:val="left" w:pos="5529"/>
      </w:tabs>
      <w:rPr>
        <w:sz w:val="16"/>
      </w:rPr>
    </w:pPr>
    <w:r w:rsidRPr="00565D32">
      <w:rPr>
        <w:sz w:val="16"/>
      </w:rPr>
      <w:t>kancelaria@mrit.gov.pl</w:t>
    </w:r>
    <w:r>
      <w:rPr>
        <w:sz w:val="16"/>
      </w:rPr>
      <w:tab/>
    </w:r>
    <w:r w:rsidRPr="00565D32">
      <w:rPr>
        <w:sz w:val="16"/>
      </w:rPr>
      <w:t>00-507 Warszawa</w:t>
    </w:r>
  </w:p>
  <w:p w14:paraId="21F10D1D" w14:textId="77777777" w:rsidR="00947F4D" w:rsidRPr="00590C4E" w:rsidRDefault="00000000" w:rsidP="00947F4D">
    <w:pPr>
      <w:pStyle w:val="Stopka"/>
      <w:tabs>
        <w:tab w:val="clear" w:pos="4536"/>
        <w:tab w:val="clear" w:pos="9072"/>
      </w:tabs>
      <w:jc w:val="both"/>
      <w:rPr>
        <w:sz w:val="16"/>
      </w:rPr>
    </w:pPr>
    <w:r>
      <w:rPr>
        <w:sz w:val="16"/>
      </w:rPr>
      <w:t>gov.pl/</w:t>
    </w:r>
    <w:proofErr w:type="spellStart"/>
    <w:r>
      <w:rPr>
        <w:sz w:val="16"/>
      </w:rPr>
      <w:t>rozwoj</w:t>
    </w:r>
    <w:proofErr w:type="spellEnd"/>
    <w:r>
      <w:rPr>
        <w:sz w:val="16"/>
      </w:rPr>
      <w:t>-technologia</w:t>
    </w:r>
    <w:r>
      <w:rPr>
        <w:sz w:val="16"/>
      </w:rPr>
      <w:tab/>
      <w:t>Ministerstwo Rozwoju i Technologii</w:t>
    </w:r>
  </w:p>
  <w:p w14:paraId="3790C71C" w14:textId="77777777" w:rsidR="00947F4D" w:rsidRPr="00590C4E" w:rsidRDefault="00000000" w:rsidP="00947F4D">
    <w:pPr>
      <w:pStyle w:val="Stopka"/>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DE3F" w14:textId="77777777" w:rsidR="00AC5CC5" w:rsidRDefault="00AC5CC5">
      <w:pPr>
        <w:spacing w:after="0" w:line="240" w:lineRule="auto"/>
      </w:pPr>
      <w:r>
        <w:separator/>
      </w:r>
    </w:p>
  </w:footnote>
  <w:footnote w:type="continuationSeparator" w:id="0">
    <w:p w14:paraId="0F9D6910" w14:textId="77777777" w:rsidR="00AC5CC5" w:rsidRDefault="00AC5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AD90" w14:textId="77777777" w:rsidR="009276B2" w:rsidRDefault="00000000" w:rsidP="009276B2">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8C5F" w14:textId="77777777" w:rsidR="00947F4D" w:rsidRDefault="00000000">
    <w:pPr>
      <w:pStyle w:val="Nagwek"/>
    </w:pPr>
    <w:r>
      <w:rPr>
        <w:noProof/>
        <w:lang w:eastAsia="pl-PL"/>
      </w:rPr>
      <w:drawing>
        <wp:anchor distT="0" distB="0" distL="114300" distR="114300" simplePos="0" relativeHeight="251658240" behindDoc="0" locked="0" layoutInCell="1" allowOverlap="1" wp14:anchorId="3549DE2A" wp14:editId="6DDCB9DC">
          <wp:simplePos x="0" y="0"/>
          <wp:positionH relativeFrom="column">
            <wp:posOffset>-914400</wp:posOffset>
          </wp:positionH>
          <wp:positionV relativeFrom="paragraph">
            <wp:posOffset>-80120</wp:posOffset>
          </wp:positionV>
          <wp:extent cx="3276600" cy="1061720"/>
          <wp:effectExtent l="0" t="0" r="0" b="0"/>
          <wp:wrapThrough wrapText="bothSides">
            <wp:wrapPolygon edited="0">
              <wp:start x="3014" y="2325"/>
              <wp:lineTo x="1633" y="3876"/>
              <wp:lineTo x="753" y="6589"/>
              <wp:lineTo x="1256" y="17053"/>
              <wp:lineTo x="3391" y="18215"/>
              <wp:lineTo x="5777" y="18990"/>
              <wp:lineTo x="20721" y="18990"/>
              <wp:lineTo x="20972" y="15890"/>
              <wp:lineTo x="19967" y="14727"/>
              <wp:lineTo x="19967" y="9689"/>
              <wp:lineTo x="11679" y="8914"/>
              <wp:lineTo x="11553" y="5426"/>
              <wp:lineTo x="3516" y="2325"/>
              <wp:lineTo x="3014" y="2325"/>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7660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5A87224"/>
    <w:lvl w:ilvl="0">
      <w:start w:val="1"/>
      <w:numFmt w:val="upperRoman"/>
      <w:lvlText w:val="%1."/>
      <w:lvlJc w:val="left"/>
      <w:pPr>
        <w:tabs>
          <w:tab w:val="num" w:pos="0"/>
        </w:tabs>
        <w:ind w:left="0" w:firstLine="0"/>
      </w:pPr>
      <w:rPr>
        <w:rFonts w:cs="Times New Roman"/>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 w15:restartNumberingAfterBreak="0">
    <w:nsid w:val="00A0329D"/>
    <w:multiLevelType w:val="hybridMultilevel"/>
    <w:tmpl w:val="D3D6788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0D46AD0"/>
    <w:multiLevelType w:val="hybridMultilevel"/>
    <w:tmpl w:val="125C9796"/>
    <w:lvl w:ilvl="0" w:tplc="73C6FDD0">
      <w:start w:val="1"/>
      <w:numFmt w:val="decimal"/>
      <w:lvlText w:val="%1."/>
      <w:lvlJc w:val="left"/>
      <w:pPr>
        <w:ind w:left="720" w:hanging="360"/>
      </w:pPr>
      <w:rPr>
        <w:rFonts w:hint="default"/>
      </w:rPr>
    </w:lvl>
    <w:lvl w:ilvl="1" w:tplc="E1C27F60" w:tentative="1">
      <w:start w:val="1"/>
      <w:numFmt w:val="lowerLetter"/>
      <w:lvlText w:val="%2."/>
      <w:lvlJc w:val="left"/>
      <w:pPr>
        <w:ind w:left="1440" w:hanging="360"/>
      </w:pPr>
    </w:lvl>
    <w:lvl w:ilvl="2" w:tplc="1230371A" w:tentative="1">
      <w:start w:val="1"/>
      <w:numFmt w:val="lowerRoman"/>
      <w:lvlText w:val="%3."/>
      <w:lvlJc w:val="right"/>
      <w:pPr>
        <w:ind w:left="2160" w:hanging="180"/>
      </w:pPr>
    </w:lvl>
    <w:lvl w:ilvl="3" w:tplc="4B74137E" w:tentative="1">
      <w:start w:val="1"/>
      <w:numFmt w:val="decimal"/>
      <w:lvlText w:val="%4."/>
      <w:lvlJc w:val="left"/>
      <w:pPr>
        <w:ind w:left="2880" w:hanging="360"/>
      </w:pPr>
    </w:lvl>
    <w:lvl w:ilvl="4" w:tplc="2A627EA2" w:tentative="1">
      <w:start w:val="1"/>
      <w:numFmt w:val="lowerLetter"/>
      <w:lvlText w:val="%5."/>
      <w:lvlJc w:val="left"/>
      <w:pPr>
        <w:ind w:left="3600" w:hanging="360"/>
      </w:pPr>
    </w:lvl>
    <w:lvl w:ilvl="5" w:tplc="9686FF16" w:tentative="1">
      <w:start w:val="1"/>
      <w:numFmt w:val="lowerRoman"/>
      <w:lvlText w:val="%6."/>
      <w:lvlJc w:val="right"/>
      <w:pPr>
        <w:ind w:left="4320" w:hanging="180"/>
      </w:pPr>
    </w:lvl>
    <w:lvl w:ilvl="6" w:tplc="A5263604" w:tentative="1">
      <w:start w:val="1"/>
      <w:numFmt w:val="decimal"/>
      <w:lvlText w:val="%7."/>
      <w:lvlJc w:val="left"/>
      <w:pPr>
        <w:ind w:left="5040" w:hanging="360"/>
      </w:pPr>
    </w:lvl>
    <w:lvl w:ilvl="7" w:tplc="A580C43A" w:tentative="1">
      <w:start w:val="1"/>
      <w:numFmt w:val="lowerLetter"/>
      <w:lvlText w:val="%8."/>
      <w:lvlJc w:val="left"/>
      <w:pPr>
        <w:ind w:left="5760" w:hanging="360"/>
      </w:pPr>
    </w:lvl>
    <w:lvl w:ilvl="8" w:tplc="86529620" w:tentative="1">
      <w:start w:val="1"/>
      <w:numFmt w:val="lowerRoman"/>
      <w:lvlText w:val="%9."/>
      <w:lvlJc w:val="right"/>
      <w:pPr>
        <w:ind w:left="6480" w:hanging="180"/>
      </w:pPr>
    </w:lvl>
  </w:abstractNum>
  <w:abstractNum w:abstractNumId="3" w15:restartNumberingAfterBreak="0">
    <w:nsid w:val="062B603D"/>
    <w:multiLevelType w:val="hybridMultilevel"/>
    <w:tmpl w:val="853A67F8"/>
    <w:lvl w:ilvl="0" w:tplc="E0FE028E">
      <w:start w:val="1"/>
      <w:numFmt w:val="bullet"/>
      <w:lvlText w:val=""/>
      <w:lvlJc w:val="left"/>
      <w:pPr>
        <w:ind w:left="720" w:hanging="360"/>
      </w:pPr>
      <w:rPr>
        <w:rFonts w:ascii="Symbol" w:hAnsi="Symbol" w:hint="default"/>
      </w:rPr>
    </w:lvl>
    <w:lvl w:ilvl="1" w:tplc="3E9431EE" w:tentative="1">
      <w:start w:val="1"/>
      <w:numFmt w:val="bullet"/>
      <w:lvlText w:val="o"/>
      <w:lvlJc w:val="left"/>
      <w:pPr>
        <w:ind w:left="1440" w:hanging="360"/>
      </w:pPr>
      <w:rPr>
        <w:rFonts w:ascii="Courier New" w:hAnsi="Courier New" w:cs="Courier New" w:hint="default"/>
      </w:rPr>
    </w:lvl>
    <w:lvl w:ilvl="2" w:tplc="E07CA28C" w:tentative="1">
      <w:start w:val="1"/>
      <w:numFmt w:val="bullet"/>
      <w:lvlText w:val=""/>
      <w:lvlJc w:val="left"/>
      <w:pPr>
        <w:ind w:left="2160" w:hanging="360"/>
      </w:pPr>
      <w:rPr>
        <w:rFonts w:ascii="Wingdings" w:hAnsi="Wingdings" w:hint="default"/>
      </w:rPr>
    </w:lvl>
    <w:lvl w:ilvl="3" w:tplc="53FC6F00" w:tentative="1">
      <w:start w:val="1"/>
      <w:numFmt w:val="bullet"/>
      <w:lvlText w:val=""/>
      <w:lvlJc w:val="left"/>
      <w:pPr>
        <w:ind w:left="2880" w:hanging="360"/>
      </w:pPr>
      <w:rPr>
        <w:rFonts w:ascii="Symbol" w:hAnsi="Symbol" w:hint="default"/>
      </w:rPr>
    </w:lvl>
    <w:lvl w:ilvl="4" w:tplc="C07C103E" w:tentative="1">
      <w:start w:val="1"/>
      <w:numFmt w:val="bullet"/>
      <w:lvlText w:val="o"/>
      <w:lvlJc w:val="left"/>
      <w:pPr>
        <w:ind w:left="3600" w:hanging="360"/>
      </w:pPr>
      <w:rPr>
        <w:rFonts w:ascii="Courier New" w:hAnsi="Courier New" w:cs="Courier New" w:hint="default"/>
      </w:rPr>
    </w:lvl>
    <w:lvl w:ilvl="5" w:tplc="79E6DC6E" w:tentative="1">
      <w:start w:val="1"/>
      <w:numFmt w:val="bullet"/>
      <w:lvlText w:val=""/>
      <w:lvlJc w:val="left"/>
      <w:pPr>
        <w:ind w:left="4320" w:hanging="360"/>
      </w:pPr>
      <w:rPr>
        <w:rFonts w:ascii="Wingdings" w:hAnsi="Wingdings" w:hint="default"/>
      </w:rPr>
    </w:lvl>
    <w:lvl w:ilvl="6" w:tplc="F4BC90B0" w:tentative="1">
      <w:start w:val="1"/>
      <w:numFmt w:val="bullet"/>
      <w:lvlText w:val=""/>
      <w:lvlJc w:val="left"/>
      <w:pPr>
        <w:ind w:left="5040" w:hanging="360"/>
      </w:pPr>
      <w:rPr>
        <w:rFonts w:ascii="Symbol" w:hAnsi="Symbol" w:hint="default"/>
      </w:rPr>
    </w:lvl>
    <w:lvl w:ilvl="7" w:tplc="4A8C605E" w:tentative="1">
      <w:start w:val="1"/>
      <w:numFmt w:val="bullet"/>
      <w:lvlText w:val="o"/>
      <w:lvlJc w:val="left"/>
      <w:pPr>
        <w:ind w:left="5760" w:hanging="360"/>
      </w:pPr>
      <w:rPr>
        <w:rFonts w:ascii="Courier New" w:hAnsi="Courier New" w:cs="Courier New" w:hint="default"/>
      </w:rPr>
    </w:lvl>
    <w:lvl w:ilvl="8" w:tplc="747EAB30" w:tentative="1">
      <w:start w:val="1"/>
      <w:numFmt w:val="bullet"/>
      <w:lvlText w:val=""/>
      <w:lvlJc w:val="left"/>
      <w:pPr>
        <w:ind w:left="6480" w:hanging="360"/>
      </w:pPr>
      <w:rPr>
        <w:rFonts w:ascii="Wingdings" w:hAnsi="Wingdings" w:hint="default"/>
      </w:rPr>
    </w:lvl>
  </w:abstractNum>
  <w:abstractNum w:abstractNumId="4" w15:restartNumberingAfterBreak="0">
    <w:nsid w:val="06B174B3"/>
    <w:multiLevelType w:val="hybridMultilevel"/>
    <w:tmpl w:val="12883A98"/>
    <w:lvl w:ilvl="0" w:tplc="3C5C1C5C">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15:restartNumberingAfterBreak="0">
    <w:nsid w:val="09AB0F4F"/>
    <w:multiLevelType w:val="hybridMultilevel"/>
    <w:tmpl w:val="B1522AE4"/>
    <w:lvl w:ilvl="0" w:tplc="FC20F01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024CF9"/>
    <w:multiLevelType w:val="hybridMultilevel"/>
    <w:tmpl w:val="41A8246C"/>
    <w:lvl w:ilvl="0" w:tplc="A2DC3B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733B51"/>
    <w:multiLevelType w:val="hybridMultilevel"/>
    <w:tmpl w:val="4462F3E4"/>
    <w:lvl w:ilvl="0" w:tplc="8E1EB392">
      <w:start w:val="1"/>
      <w:numFmt w:val="decimal"/>
      <w:lvlText w:val="%1."/>
      <w:lvlJc w:val="left"/>
      <w:pPr>
        <w:tabs>
          <w:tab w:val="num" w:pos="720"/>
        </w:tabs>
        <w:ind w:left="720" w:hanging="360"/>
      </w:pPr>
      <w:rPr>
        <w:rFonts w:cs="Times New Roman"/>
      </w:rPr>
    </w:lvl>
    <w:lvl w:ilvl="1" w:tplc="81424876">
      <w:start w:val="1"/>
      <w:numFmt w:val="lowerLetter"/>
      <w:lvlText w:val="%2."/>
      <w:lvlJc w:val="left"/>
      <w:pPr>
        <w:tabs>
          <w:tab w:val="num" w:pos="1440"/>
        </w:tabs>
        <w:ind w:left="1440" w:hanging="360"/>
      </w:pPr>
      <w:rPr>
        <w:rFonts w:cs="Times New Roman"/>
      </w:rPr>
    </w:lvl>
    <w:lvl w:ilvl="2" w:tplc="2640ACAE">
      <w:start w:val="1"/>
      <w:numFmt w:val="lowerRoman"/>
      <w:lvlText w:val="%3."/>
      <w:lvlJc w:val="right"/>
      <w:pPr>
        <w:tabs>
          <w:tab w:val="num" w:pos="2160"/>
        </w:tabs>
        <w:ind w:left="2160" w:hanging="180"/>
      </w:pPr>
      <w:rPr>
        <w:rFonts w:cs="Times New Roman"/>
      </w:rPr>
    </w:lvl>
    <w:lvl w:ilvl="3" w:tplc="0A860D40">
      <w:start w:val="1"/>
      <w:numFmt w:val="decimal"/>
      <w:lvlText w:val="%4."/>
      <w:lvlJc w:val="left"/>
      <w:pPr>
        <w:tabs>
          <w:tab w:val="num" w:pos="2880"/>
        </w:tabs>
        <w:ind w:left="2880" w:hanging="360"/>
      </w:pPr>
      <w:rPr>
        <w:rFonts w:cs="Times New Roman"/>
      </w:rPr>
    </w:lvl>
    <w:lvl w:ilvl="4" w:tplc="D6200920">
      <w:start w:val="1"/>
      <w:numFmt w:val="lowerLetter"/>
      <w:lvlText w:val="%5."/>
      <w:lvlJc w:val="left"/>
      <w:pPr>
        <w:tabs>
          <w:tab w:val="num" w:pos="3600"/>
        </w:tabs>
        <w:ind w:left="3600" w:hanging="360"/>
      </w:pPr>
      <w:rPr>
        <w:rFonts w:cs="Times New Roman"/>
      </w:rPr>
    </w:lvl>
    <w:lvl w:ilvl="5" w:tplc="5F8CD6CA">
      <w:start w:val="1"/>
      <w:numFmt w:val="lowerRoman"/>
      <w:lvlText w:val="%6."/>
      <w:lvlJc w:val="right"/>
      <w:pPr>
        <w:tabs>
          <w:tab w:val="num" w:pos="4320"/>
        </w:tabs>
        <w:ind w:left="4320" w:hanging="180"/>
      </w:pPr>
      <w:rPr>
        <w:rFonts w:cs="Times New Roman"/>
      </w:rPr>
    </w:lvl>
    <w:lvl w:ilvl="6" w:tplc="A072D990">
      <w:start w:val="1"/>
      <w:numFmt w:val="decimal"/>
      <w:lvlText w:val="%7."/>
      <w:lvlJc w:val="left"/>
      <w:pPr>
        <w:tabs>
          <w:tab w:val="num" w:pos="5040"/>
        </w:tabs>
        <w:ind w:left="5040" w:hanging="360"/>
      </w:pPr>
      <w:rPr>
        <w:rFonts w:cs="Times New Roman"/>
      </w:rPr>
    </w:lvl>
    <w:lvl w:ilvl="7" w:tplc="EBC22FC6">
      <w:start w:val="1"/>
      <w:numFmt w:val="lowerLetter"/>
      <w:lvlText w:val="%8."/>
      <w:lvlJc w:val="left"/>
      <w:pPr>
        <w:tabs>
          <w:tab w:val="num" w:pos="5760"/>
        </w:tabs>
        <w:ind w:left="5760" w:hanging="360"/>
      </w:pPr>
      <w:rPr>
        <w:rFonts w:cs="Times New Roman"/>
      </w:rPr>
    </w:lvl>
    <w:lvl w:ilvl="8" w:tplc="41943008">
      <w:start w:val="1"/>
      <w:numFmt w:val="lowerRoman"/>
      <w:lvlText w:val="%9."/>
      <w:lvlJc w:val="right"/>
      <w:pPr>
        <w:tabs>
          <w:tab w:val="num" w:pos="6480"/>
        </w:tabs>
        <w:ind w:left="6480" w:hanging="180"/>
      </w:pPr>
      <w:rPr>
        <w:rFonts w:cs="Times New Roman"/>
      </w:rPr>
    </w:lvl>
  </w:abstractNum>
  <w:abstractNum w:abstractNumId="8" w15:restartNumberingAfterBreak="0">
    <w:nsid w:val="119E1E4E"/>
    <w:multiLevelType w:val="hybridMultilevel"/>
    <w:tmpl w:val="AE98877C"/>
    <w:lvl w:ilvl="0" w:tplc="04150011">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9" w15:restartNumberingAfterBreak="0">
    <w:nsid w:val="1574417A"/>
    <w:multiLevelType w:val="hybridMultilevel"/>
    <w:tmpl w:val="22D0FF0E"/>
    <w:lvl w:ilvl="0" w:tplc="72D4CB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72807EB"/>
    <w:multiLevelType w:val="hybridMultilevel"/>
    <w:tmpl w:val="D6901374"/>
    <w:lvl w:ilvl="0" w:tplc="10C0DF56">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1" w15:restartNumberingAfterBreak="0">
    <w:nsid w:val="26220F5E"/>
    <w:multiLevelType w:val="hybridMultilevel"/>
    <w:tmpl w:val="54640F68"/>
    <w:lvl w:ilvl="0" w:tplc="B2D06B36">
      <w:start w:val="1"/>
      <w:numFmt w:val="decimal"/>
      <w:lvlText w:val="%1."/>
      <w:lvlJc w:val="left"/>
      <w:pPr>
        <w:tabs>
          <w:tab w:val="num" w:pos="720"/>
        </w:tabs>
        <w:ind w:left="720" w:hanging="360"/>
      </w:pPr>
      <w:rPr>
        <w:rFonts w:cs="Times New Roman"/>
      </w:rPr>
    </w:lvl>
    <w:lvl w:ilvl="1" w:tplc="8B386B16">
      <w:start w:val="1"/>
      <w:numFmt w:val="lowerLetter"/>
      <w:lvlText w:val="%2."/>
      <w:lvlJc w:val="left"/>
      <w:pPr>
        <w:tabs>
          <w:tab w:val="num" w:pos="1440"/>
        </w:tabs>
        <w:ind w:left="1440" w:hanging="360"/>
      </w:pPr>
      <w:rPr>
        <w:rFonts w:cs="Times New Roman"/>
      </w:rPr>
    </w:lvl>
    <w:lvl w:ilvl="2" w:tplc="C1E619FC">
      <w:start w:val="1"/>
      <w:numFmt w:val="lowerRoman"/>
      <w:lvlText w:val="%3."/>
      <w:lvlJc w:val="right"/>
      <w:pPr>
        <w:tabs>
          <w:tab w:val="num" w:pos="2160"/>
        </w:tabs>
        <w:ind w:left="2160" w:hanging="180"/>
      </w:pPr>
      <w:rPr>
        <w:rFonts w:cs="Times New Roman"/>
      </w:rPr>
    </w:lvl>
    <w:lvl w:ilvl="3" w:tplc="53545838">
      <w:start w:val="1"/>
      <w:numFmt w:val="decimal"/>
      <w:lvlText w:val="%4."/>
      <w:lvlJc w:val="left"/>
      <w:pPr>
        <w:tabs>
          <w:tab w:val="num" w:pos="2880"/>
        </w:tabs>
        <w:ind w:left="2880" w:hanging="360"/>
      </w:pPr>
      <w:rPr>
        <w:rFonts w:cs="Times New Roman"/>
      </w:rPr>
    </w:lvl>
    <w:lvl w:ilvl="4" w:tplc="CBF88CAC">
      <w:start w:val="1"/>
      <w:numFmt w:val="lowerLetter"/>
      <w:lvlText w:val="%5."/>
      <w:lvlJc w:val="left"/>
      <w:pPr>
        <w:tabs>
          <w:tab w:val="num" w:pos="3600"/>
        </w:tabs>
        <w:ind w:left="3600" w:hanging="360"/>
      </w:pPr>
      <w:rPr>
        <w:rFonts w:cs="Times New Roman"/>
      </w:rPr>
    </w:lvl>
    <w:lvl w:ilvl="5" w:tplc="26F4DFBA">
      <w:start w:val="1"/>
      <w:numFmt w:val="lowerRoman"/>
      <w:lvlText w:val="%6."/>
      <w:lvlJc w:val="right"/>
      <w:pPr>
        <w:tabs>
          <w:tab w:val="num" w:pos="4320"/>
        </w:tabs>
        <w:ind w:left="4320" w:hanging="180"/>
      </w:pPr>
      <w:rPr>
        <w:rFonts w:cs="Times New Roman"/>
      </w:rPr>
    </w:lvl>
    <w:lvl w:ilvl="6" w:tplc="92CC1FE2">
      <w:start w:val="1"/>
      <w:numFmt w:val="decimal"/>
      <w:lvlText w:val="%7."/>
      <w:lvlJc w:val="left"/>
      <w:pPr>
        <w:tabs>
          <w:tab w:val="num" w:pos="5040"/>
        </w:tabs>
        <w:ind w:left="5040" w:hanging="360"/>
      </w:pPr>
      <w:rPr>
        <w:rFonts w:cs="Times New Roman"/>
      </w:rPr>
    </w:lvl>
    <w:lvl w:ilvl="7" w:tplc="A2842A62">
      <w:start w:val="1"/>
      <w:numFmt w:val="lowerLetter"/>
      <w:lvlText w:val="%8."/>
      <w:lvlJc w:val="left"/>
      <w:pPr>
        <w:tabs>
          <w:tab w:val="num" w:pos="5760"/>
        </w:tabs>
        <w:ind w:left="5760" w:hanging="360"/>
      </w:pPr>
      <w:rPr>
        <w:rFonts w:cs="Times New Roman"/>
      </w:rPr>
    </w:lvl>
    <w:lvl w:ilvl="8" w:tplc="64625CEE">
      <w:start w:val="1"/>
      <w:numFmt w:val="lowerRoman"/>
      <w:lvlText w:val="%9."/>
      <w:lvlJc w:val="right"/>
      <w:pPr>
        <w:tabs>
          <w:tab w:val="num" w:pos="6480"/>
        </w:tabs>
        <w:ind w:left="6480" w:hanging="180"/>
      </w:pPr>
      <w:rPr>
        <w:rFonts w:cs="Times New Roman"/>
      </w:rPr>
    </w:lvl>
  </w:abstractNum>
  <w:abstractNum w:abstractNumId="12" w15:restartNumberingAfterBreak="0">
    <w:nsid w:val="276458FF"/>
    <w:multiLevelType w:val="hybridMultilevel"/>
    <w:tmpl w:val="4630F80A"/>
    <w:lvl w:ilvl="0" w:tplc="7F1CF1A8">
      <w:start w:val="1"/>
      <w:numFmt w:val="upperRoman"/>
      <w:lvlText w:val="%1."/>
      <w:lvlJc w:val="right"/>
      <w:pPr>
        <w:ind w:left="36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760240"/>
    <w:multiLevelType w:val="hybridMultilevel"/>
    <w:tmpl w:val="C012F310"/>
    <w:lvl w:ilvl="0" w:tplc="4164FF6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15:restartNumberingAfterBreak="0">
    <w:nsid w:val="2B7969C6"/>
    <w:multiLevelType w:val="hybridMultilevel"/>
    <w:tmpl w:val="4666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7622A8"/>
    <w:multiLevelType w:val="hybridMultilevel"/>
    <w:tmpl w:val="99E44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FC594D"/>
    <w:multiLevelType w:val="hybridMultilevel"/>
    <w:tmpl w:val="EECCB950"/>
    <w:styleLink w:val="Zaimportowanystyl31"/>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59C6A23"/>
    <w:multiLevelType w:val="hybridMultilevel"/>
    <w:tmpl w:val="FCE0A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275556"/>
    <w:multiLevelType w:val="hybridMultilevel"/>
    <w:tmpl w:val="38B619A6"/>
    <w:lvl w:ilvl="0" w:tplc="7B5AC326">
      <w:start w:val="1"/>
      <w:numFmt w:val="bullet"/>
      <w:lvlText w:val="−"/>
      <w:lvlJc w:val="left"/>
      <w:pPr>
        <w:ind w:left="1004" w:hanging="360"/>
      </w:pPr>
      <w:rPr>
        <w:rFonts w:ascii="Noto Sans Symbols" w:eastAsia="Noto Sans Symbols" w:hAnsi="Noto Sans Symbols" w:cs="Noto Sans Symbols"/>
        <w:vertAlign w:val="baseline"/>
      </w:rPr>
    </w:lvl>
    <w:lvl w:ilvl="1" w:tplc="FD40395C">
      <w:start w:val="1"/>
      <w:numFmt w:val="bullet"/>
      <w:lvlText w:val="o"/>
      <w:lvlJc w:val="left"/>
      <w:pPr>
        <w:ind w:left="1724" w:hanging="360"/>
      </w:pPr>
      <w:rPr>
        <w:rFonts w:ascii="Courier New" w:eastAsia="Courier New" w:hAnsi="Courier New" w:cs="Courier New"/>
        <w:vertAlign w:val="baseline"/>
      </w:rPr>
    </w:lvl>
    <w:lvl w:ilvl="2" w:tplc="D8D0495C">
      <w:start w:val="1"/>
      <w:numFmt w:val="bullet"/>
      <w:lvlText w:val="▪"/>
      <w:lvlJc w:val="left"/>
      <w:pPr>
        <w:ind w:left="2444" w:hanging="360"/>
      </w:pPr>
      <w:rPr>
        <w:rFonts w:ascii="Noto Sans Symbols" w:eastAsia="Noto Sans Symbols" w:hAnsi="Noto Sans Symbols" w:cs="Noto Sans Symbols"/>
        <w:vertAlign w:val="baseline"/>
      </w:rPr>
    </w:lvl>
    <w:lvl w:ilvl="3" w:tplc="C5E0B58C">
      <w:start w:val="1"/>
      <w:numFmt w:val="bullet"/>
      <w:lvlText w:val="●"/>
      <w:lvlJc w:val="left"/>
      <w:pPr>
        <w:ind w:left="3164" w:hanging="360"/>
      </w:pPr>
      <w:rPr>
        <w:rFonts w:ascii="Noto Sans Symbols" w:eastAsia="Noto Sans Symbols" w:hAnsi="Noto Sans Symbols" w:cs="Noto Sans Symbols"/>
        <w:vertAlign w:val="baseline"/>
      </w:rPr>
    </w:lvl>
    <w:lvl w:ilvl="4" w:tplc="43EAF36A">
      <w:start w:val="1"/>
      <w:numFmt w:val="bullet"/>
      <w:lvlText w:val="o"/>
      <w:lvlJc w:val="left"/>
      <w:pPr>
        <w:ind w:left="3884" w:hanging="360"/>
      </w:pPr>
      <w:rPr>
        <w:rFonts w:ascii="Courier New" w:eastAsia="Courier New" w:hAnsi="Courier New" w:cs="Courier New"/>
        <w:vertAlign w:val="baseline"/>
      </w:rPr>
    </w:lvl>
    <w:lvl w:ilvl="5" w:tplc="BFBAD366">
      <w:start w:val="1"/>
      <w:numFmt w:val="bullet"/>
      <w:lvlText w:val="▪"/>
      <w:lvlJc w:val="left"/>
      <w:pPr>
        <w:ind w:left="4604" w:hanging="360"/>
      </w:pPr>
      <w:rPr>
        <w:rFonts w:ascii="Noto Sans Symbols" w:eastAsia="Noto Sans Symbols" w:hAnsi="Noto Sans Symbols" w:cs="Noto Sans Symbols"/>
        <w:vertAlign w:val="baseline"/>
      </w:rPr>
    </w:lvl>
    <w:lvl w:ilvl="6" w:tplc="A4DE70DA">
      <w:start w:val="1"/>
      <w:numFmt w:val="bullet"/>
      <w:lvlText w:val="●"/>
      <w:lvlJc w:val="left"/>
      <w:pPr>
        <w:ind w:left="5324" w:hanging="360"/>
      </w:pPr>
      <w:rPr>
        <w:rFonts w:ascii="Noto Sans Symbols" w:eastAsia="Noto Sans Symbols" w:hAnsi="Noto Sans Symbols" w:cs="Noto Sans Symbols"/>
        <w:vertAlign w:val="baseline"/>
      </w:rPr>
    </w:lvl>
    <w:lvl w:ilvl="7" w:tplc="C05064DA">
      <w:start w:val="1"/>
      <w:numFmt w:val="bullet"/>
      <w:lvlText w:val="o"/>
      <w:lvlJc w:val="left"/>
      <w:pPr>
        <w:ind w:left="6044" w:hanging="360"/>
      </w:pPr>
      <w:rPr>
        <w:rFonts w:ascii="Courier New" w:eastAsia="Courier New" w:hAnsi="Courier New" w:cs="Courier New"/>
        <w:vertAlign w:val="baseline"/>
      </w:rPr>
    </w:lvl>
    <w:lvl w:ilvl="8" w:tplc="799CF692">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20" w15:restartNumberingAfterBreak="0">
    <w:nsid w:val="3D4C5DE3"/>
    <w:multiLevelType w:val="hybridMultilevel"/>
    <w:tmpl w:val="129EA440"/>
    <w:lvl w:ilvl="0" w:tplc="4164FF60">
      <w:start w:val="1"/>
      <w:numFmt w:val="bullet"/>
      <w:lvlText w:val=""/>
      <w:lvlJc w:val="left"/>
      <w:pPr>
        <w:ind w:left="1004" w:hanging="360"/>
      </w:pPr>
      <w:rPr>
        <w:rFonts w:ascii="Symbol" w:hAnsi="Symbol" w:hint="default"/>
      </w:rPr>
    </w:lvl>
    <w:lvl w:ilvl="1" w:tplc="4164FF60">
      <w:start w:val="1"/>
      <w:numFmt w:val="bullet"/>
      <w:lvlText w:val=""/>
      <w:lvlJc w:val="left"/>
      <w:pPr>
        <w:ind w:left="172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FB82578"/>
    <w:multiLevelType w:val="hybridMultilevel"/>
    <w:tmpl w:val="90EE8858"/>
    <w:lvl w:ilvl="0" w:tplc="074A0B2C">
      <w:start w:val="1"/>
      <w:numFmt w:val="bullet"/>
      <w:lvlText w:val=""/>
      <w:lvlJc w:val="left"/>
      <w:pPr>
        <w:ind w:left="1920" w:hanging="360"/>
      </w:pPr>
      <w:rPr>
        <w:rFonts w:ascii="Symbol" w:hAnsi="Symbol" w:hint="default"/>
        <w:color w:val="auto"/>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2" w15:restartNumberingAfterBreak="0">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81720F"/>
    <w:multiLevelType w:val="hybridMultilevel"/>
    <w:tmpl w:val="718C6A7C"/>
    <w:lvl w:ilvl="0" w:tplc="99D62C36">
      <w:start w:val="3"/>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450B04FF"/>
    <w:multiLevelType w:val="hybridMultilevel"/>
    <w:tmpl w:val="DA36E5A4"/>
    <w:lvl w:ilvl="0" w:tplc="FFCCFACA">
      <w:start w:val="1"/>
      <w:numFmt w:val="bullet"/>
      <w:lvlText w:val=""/>
      <w:lvlJc w:val="left"/>
      <w:pPr>
        <w:ind w:left="1004" w:hanging="360"/>
      </w:pPr>
      <w:rPr>
        <w:rFonts w:ascii="Symbol" w:hAnsi="Symbol" w:hint="default"/>
        <w:color w:val="000000"/>
      </w:rPr>
    </w:lvl>
    <w:lvl w:ilvl="1" w:tplc="4378C376">
      <w:numFmt w:val="bullet"/>
      <w:lvlText w:val=""/>
      <w:lvlJc w:val="left"/>
      <w:pPr>
        <w:ind w:left="1724" w:hanging="360"/>
      </w:pPr>
      <w:rPr>
        <w:rFonts w:ascii="Symbol" w:eastAsia="Times New Roman" w:hAnsi="Symbol" w:cs="Aria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4572721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68F1C04"/>
    <w:multiLevelType w:val="hybridMultilevel"/>
    <w:tmpl w:val="FBC8E4B2"/>
    <w:lvl w:ilvl="0" w:tplc="DCAA0C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98056B"/>
    <w:multiLevelType w:val="hybridMultilevel"/>
    <w:tmpl w:val="AFDAE51C"/>
    <w:lvl w:ilvl="0" w:tplc="4164FF6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4B66473A"/>
    <w:multiLevelType w:val="hybridMultilevel"/>
    <w:tmpl w:val="460498B8"/>
    <w:lvl w:ilvl="0" w:tplc="58A6360E">
      <w:start w:val="3"/>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CEE0E50"/>
    <w:multiLevelType w:val="hybridMultilevel"/>
    <w:tmpl w:val="6F00CC3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4DEC2396"/>
    <w:multiLevelType w:val="hybridMultilevel"/>
    <w:tmpl w:val="E4260F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AB50A8"/>
    <w:multiLevelType w:val="hybridMultilevel"/>
    <w:tmpl w:val="92100D28"/>
    <w:lvl w:ilvl="0" w:tplc="C1847C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734313"/>
    <w:multiLevelType w:val="hybridMultilevel"/>
    <w:tmpl w:val="E1A66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E638C4"/>
    <w:multiLevelType w:val="hybridMultilevel"/>
    <w:tmpl w:val="63D8C772"/>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55EB5428"/>
    <w:multiLevelType w:val="hybridMultilevel"/>
    <w:tmpl w:val="B4FA7CD8"/>
    <w:lvl w:ilvl="0" w:tplc="A2DC3B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F24E69"/>
    <w:multiLevelType w:val="multilevel"/>
    <w:tmpl w:val="AE6E1DA8"/>
    <w:lvl w:ilvl="0">
      <w:start w:val="1"/>
      <w:numFmt w:val="decimal"/>
      <w:lvlText w:val="%1."/>
      <w:lvlJc w:val="left"/>
      <w:pPr>
        <w:tabs>
          <w:tab w:val="num" w:pos="709"/>
        </w:tabs>
        <w:ind w:left="786" w:hanging="360"/>
      </w:pPr>
      <w:rPr>
        <w:rFonts w:ascii="Arial" w:hAnsi="Arial" w:cs="Arial"/>
        <w:b w:val="0"/>
        <w:color w:val="000000"/>
        <w:spacing w:val="4"/>
        <w:sz w:val="2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7" w15:restartNumberingAfterBreak="0">
    <w:nsid w:val="5910093A"/>
    <w:multiLevelType w:val="hybridMultilevel"/>
    <w:tmpl w:val="DA405F90"/>
    <w:styleLink w:val="Zaimportowanystyl311"/>
    <w:lvl w:ilvl="0" w:tplc="FC20F01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9820C3"/>
    <w:multiLevelType w:val="hybridMultilevel"/>
    <w:tmpl w:val="2638A874"/>
    <w:lvl w:ilvl="0" w:tplc="01BCF1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7472F4"/>
    <w:multiLevelType w:val="hybridMultilevel"/>
    <w:tmpl w:val="B5AAE6BE"/>
    <w:lvl w:ilvl="0" w:tplc="A2DC3B0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1" w15:restartNumberingAfterBreak="0">
    <w:nsid w:val="76672B56"/>
    <w:multiLevelType w:val="hybridMultilevel"/>
    <w:tmpl w:val="794234AE"/>
    <w:lvl w:ilvl="0" w:tplc="21AE9228">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75554DE"/>
    <w:multiLevelType w:val="hybridMultilevel"/>
    <w:tmpl w:val="7ADE30FA"/>
    <w:lvl w:ilvl="0" w:tplc="26E6CD3A">
      <w:start w:val="1"/>
      <w:numFmt w:val="lowerLetter"/>
      <w:lvlText w:val="%1)"/>
      <w:lvlJc w:val="left"/>
      <w:pPr>
        <w:ind w:left="1350" w:hanging="360"/>
      </w:pPr>
      <w:rPr>
        <w:color w:val="auto"/>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43" w15:restartNumberingAfterBreak="0">
    <w:nsid w:val="7B610A80"/>
    <w:multiLevelType w:val="hybridMultilevel"/>
    <w:tmpl w:val="0F1C28C4"/>
    <w:lvl w:ilvl="0" w:tplc="309E78B4">
      <w:start w:val="1"/>
      <w:numFmt w:val="bullet"/>
      <w:lvlText w:val="−"/>
      <w:lvlJc w:val="left"/>
      <w:pPr>
        <w:ind w:left="1211" w:hanging="360"/>
      </w:pPr>
      <w:rPr>
        <w:rFonts w:ascii="Noto Sans Symbols" w:eastAsia="Noto Sans Symbols" w:hAnsi="Noto Sans Symbols" w:cs="Noto Sans Symbols"/>
        <w:vertAlign w:val="baseline"/>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4" w15:restartNumberingAfterBreak="0">
    <w:nsid w:val="7C6E65D5"/>
    <w:multiLevelType w:val="hybridMultilevel"/>
    <w:tmpl w:val="CE5C5C4E"/>
    <w:lvl w:ilvl="0" w:tplc="D8721C9A">
      <w:start w:val="1"/>
      <w:numFmt w:val="bullet"/>
      <w:lvlText w:val=""/>
      <w:lvlJc w:val="left"/>
      <w:rPr>
        <w:rFonts w:ascii="Symbol" w:hAnsi="Symbol" w:hint="default"/>
        <w:color w:val="auto"/>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num w:numId="1" w16cid:durableId="1812482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9340070">
    <w:abstractNumId w:val="7"/>
  </w:num>
  <w:num w:numId="3" w16cid:durableId="1665209232">
    <w:abstractNumId w:val="38"/>
  </w:num>
  <w:num w:numId="4" w16cid:durableId="979381347">
    <w:abstractNumId w:val="31"/>
  </w:num>
  <w:num w:numId="5" w16cid:durableId="329219351">
    <w:abstractNumId w:val="10"/>
  </w:num>
  <w:num w:numId="6" w16cid:durableId="13020329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939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01442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9328019">
    <w:abstractNumId w:val="2"/>
  </w:num>
  <w:num w:numId="10" w16cid:durableId="1531843140">
    <w:abstractNumId w:val="3"/>
  </w:num>
  <w:num w:numId="11" w16cid:durableId="1871138334">
    <w:abstractNumId w:val="16"/>
  </w:num>
  <w:num w:numId="12" w16cid:durableId="264850590">
    <w:abstractNumId w:val="22"/>
  </w:num>
  <w:num w:numId="13" w16cid:durableId="73011725">
    <w:abstractNumId w:val="39"/>
  </w:num>
  <w:num w:numId="14" w16cid:durableId="640428697">
    <w:abstractNumId w:val="33"/>
  </w:num>
  <w:num w:numId="15" w16cid:durableId="1718121589">
    <w:abstractNumId w:val="36"/>
  </w:num>
  <w:num w:numId="16" w16cid:durableId="1923447757">
    <w:abstractNumId w:val="32"/>
  </w:num>
  <w:num w:numId="17" w16cid:durableId="1279794442">
    <w:abstractNumId w:val="20"/>
  </w:num>
  <w:num w:numId="18" w16cid:durableId="995957172">
    <w:abstractNumId w:val="18"/>
  </w:num>
  <w:num w:numId="19" w16cid:durableId="1223253679">
    <w:abstractNumId w:val="8"/>
  </w:num>
  <w:num w:numId="20" w16cid:durableId="659886604">
    <w:abstractNumId w:val="30"/>
  </w:num>
  <w:num w:numId="21" w16cid:durableId="425344650">
    <w:abstractNumId w:val="17"/>
  </w:num>
  <w:num w:numId="22" w16cid:durableId="72433282">
    <w:abstractNumId w:val="12"/>
  </w:num>
  <w:num w:numId="23" w16cid:durableId="930164311">
    <w:abstractNumId w:val="37"/>
  </w:num>
  <w:num w:numId="24" w16cid:durableId="1881942156">
    <w:abstractNumId w:val="6"/>
  </w:num>
  <w:num w:numId="25" w16cid:durableId="1034773651">
    <w:abstractNumId w:val="9"/>
  </w:num>
  <w:num w:numId="26" w16cid:durableId="640381841">
    <w:abstractNumId w:val="5"/>
  </w:num>
  <w:num w:numId="27" w16cid:durableId="1099720006">
    <w:abstractNumId w:val="24"/>
  </w:num>
  <w:num w:numId="28" w16cid:durableId="2111392761">
    <w:abstractNumId w:val="34"/>
  </w:num>
  <w:num w:numId="29" w16cid:durableId="1534416552">
    <w:abstractNumId w:val="43"/>
  </w:num>
  <w:num w:numId="30" w16cid:durableId="1093861434">
    <w:abstractNumId w:val="27"/>
  </w:num>
  <w:num w:numId="31" w16cid:durableId="1628319487">
    <w:abstractNumId w:val="19"/>
  </w:num>
  <w:num w:numId="32" w16cid:durableId="592859057">
    <w:abstractNumId w:val="15"/>
  </w:num>
  <w:num w:numId="33" w16cid:durableId="2110346943">
    <w:abstractNumId w:val="29"/>
  </w:num>
  <w:num w:numId="34" w16cid:durableId="938490588">
    <w:abstractNumId w:val="13"/>
  </w:num>
  <w:num w:numId="35" w16cid:durableId="1444232490">
    <w:abstractNumId w:val="42"/>
  </w:num>
  <w:num w:numId="36" w16cid:durableId="796414147">
    <w:abstractNumId w:val="21"/>
  </w:num>
  <w:num w:numId="37" w16cid:durableId="401927">
    <w:abstractNumId w:val="4"/>
  </w:num>
  <w:num w:numId="38" w16cid:durableId="199830943">
    <w:abstractNumId w:val="28"/>
  </w:num>
  <w:num w:numId="39" w16cid:durableId="1829782139">
    <w:abstractNumId w:val="23"/>
  </w:num>
  <w:num w:numId="40" w16cid:durableId="831065518">
    <w:abstractNumId w:val="1"/>
  </w:num>
  <w:num w:numId="41" w16cid:durableId="211969564">
    <w:abstractNumId w:val="0"/>
  </w:num>
  <w:num w:numId="42" w16cid:durableId="2146045698">
    <w:abstractNumId w:val="44"/>
  </w:num>
  <w:num w:numId="43" w16cid:durableId="2141804251">
    <w:abstractNumId w:val="14"/>
  </w:num>
  <w:num w:numId="44" w16cid:durableId="1771658091">
    <w:abstractNumId w:val="26"/>
  </w:num>
  <w:num w:numId="45" w16cid:durableId="1741362925">
    <w:abstractNumId w:val="40"/>
  </w:num>
  <w:num w:numId="46" w16cid:durableId="1033270755">
    <w:abstractNumId w:val="35"/>
  </w:num>
  <w:num w:numId="47" w16cid:durableId="148361586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52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408"/>
    <w:rsid w:val="002643EF"/>
    <w:rsid w:val="00356307"/>
    <w:rsid w:val="004F6512"/>
    <w:rsid w:val="006367AE"/>
    <w:rsid w:val="006A3063"/>
    <w:rsid w:val="006A4778"/>
    <w:rsid w:val="0077727A"/>
    <w:rsid w:val="00781408"/>
    <w:rsid w:val="007C2BFB"/>
    <w:rsid w:val="007D5920"/>
    <w:rsid w:val="00911B48"/>
    <w:rsid w:val="00983349"/>
    <w:rsid w:val="009966B6"/>
    <w:rsid w:val="009C166E"/>
    <w:rsid w:val="009E1541"/>
    <w:rsid w:val="00AC5CC5"/>
    <w:rsid w:val="00B41564"/>
    <w:rsid w:val="00B41D82"/>
    <w:rsid w:val="00B43256"/>
    <w:rsid w:val="00B859F2"/>
    <w:rsid w:val="00D12946"/>
    <w:rsid w:val="00D31192"/>
    <w:rsid w:val="00D8434A"/>
    <w:rsid w:val="00DC2DD0"/>
    <w:rsid w:val="00DC4AD9"/>
    <w:rsid w:val="00DE62E6"/>
    <w:rsid w:val="00ED36EA"/>
    <w:rsid w:val="00EE4A05"/>
    <w:rsid w:val="00F75FF4"/>
    <w:rsid w:val="00FA0D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BAE3C"/>
  <w15:docId w15:val="{A6554D93-3B8A-4FBA-A0FF-32F568BA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link w:val="Nagwek1Znak"/>
    <w:uiPriority w:val="9"/>
    <w:qFormat/>
    <w:rsid w:val="00B859F2"/>
    <w:pPr>
      <w:keepNext/>
      <w:keepLines/>
      <w:spacing w:before="480" w:after="0" w:line="240" w:lineRule="auto"/>
      <w:outlineLvl w:val="0"/>
    </w:pPr>
    <w:rPr>
      <w:rFonts w:ascii="Calibri Light" w:eastAsia="Times New Roman" w:hAnsi="Calibri Light" w:cs="Times New Roman"/>
      <w:b/>
      <w:bCs/>
      <w:color w:val="2E74B5"/>
      <w:sz w:val="28"/>
      <w:szCs w:val="28"/>
      <w:lang w:eastAsia="pl-PL"/>
    </w:rPr>
  </w:style>
  <w:style w:type="paragraph" w:styleId="Nagwek2">
    <w:name w:val="heading 2"/>
    <w:basedOn w:val="Normalny"/>
    <w:next w:val="Normalny"/>
    <w:link w:val="Nagwek2Znak"/>
    <w:qFormat/>
    <w:rsid w:val="00B859F2"/>
    <w:pPr>
      <w:keepNext/>
      <w:spacing w:after="120" w:line="360" w:lineRule="auto"/>
      <w:ind w:firstLine="540"/>
      <w:jc w:val="center"/>
      <w:outlineLvl w:val="1"/>
    </w:pPr>
    <w:rPr>
      <w:rFonts w:ascii="Arial" w:eastAsia="Times New Roman" w:hAnsi="Arial" w:cs="Times New Roman"/>
      <w:b/>
      <w:b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character" w:styleId="Hipercze">
    <w:name w:val="Hyperlink"/>
    <w:basedOn w:val="Domylnaczcionkaakapitu"/>
    <w:unhideWhenUsed/>
    <w:rsid w:val="00565D32"/>
    <w:rPr>
      <w:color w:val="0563C1" w:themeColor="hyperlink"/>
      <w:u w:val="single"/>
    </w:rPr>
  </w:style>
  <w:style w:type="character" w:customStyle="1" w:styleId="Nierozpoznanawzmianka1">
    <w:name w:val="Nierozpoznana wzmianka1"/>
    <w:basedOn w:val="Domylnaczcionkaakapitu"/>
    <w:uiPriority w:val="99"/>
    <w:semiHidden/>
    <w:unhideWhenUsed/>
    <w:rsid w:val="00565D32"/>
    <w:rPr>
      <w:color w:val="605E5C"/>
      <w:shd w:val="clear" w:color="auto" w:fill="E1DFDD"/>
    </w:rPr>
  </w:style>
  <w:style w:type="character" w:customStyle="1" w:styleId="Nagwek1Znak">
    <w:name w:val="Nagłówek 1 Znak"/>
    <w:basedOn w:val="Domylnaczcionkaakapitu"/>
    <w:link w:val="Nagwek1"/>
    <w:uiPriority w:val="9"/>
    <w:rsid w:val="00B859F2"/>
    <w:rPr>
      <w:rFonts w:ascii="Calibri Light" w:eastAsia="Times New Roman" w:hAnsi="Calibri Light" w:cs="Times New Roman"/>
      <w:b/>
      <w:bCs/>
      <w:color w:val="2E74B5"/>
      <w:sz w:val="28"/>
      <w:szCs w:val="28"/>
      <w:lang w:eastAsia="pl-PL"/>
    </w:rPr>
  </w:style>
  <w:style w:type="character" w:customStyle="1" w:styleId="Nagwek2Znak">
    <w:name w:val="Nagłówek 2 Znak"/>
    <w:basedOn w:val="Domylnaczcionkaakapitu"/>
    <w:link w:val="Nagwek2"/>
    <w:rsid w:val="00B859F2"/>
    <w:rPr>
      <w:rFonts w:ascii="Arial" w:eastAsia="Times New Roman" w:hAnsi="Arial" w:cs="Times New Roman"/>
      <w:b/>
      <w:bCs/>
      <w:sz w:val="20"/>
      <w:szCs w:val="24"/>
      <w:lang w:eastAsia="pl-PL"/>
    </w:rPr>
  </w:style>
  <w:style w:type="numbering" w:customStyle="1" w:styleId="Bezlisty1">
    <w:name w:val="Bez listy1"/>
    <w:next w:val="Bezlisty"/>
    <w:uiPriority w:val="99"/>
    <w:semiHidden/>
    <w:unhideWhenUsed/>
    <w:rsid w:val="00B859F2"/>
  </w:style>
  <w:style w:type="paragraph" w:styleId="Mapadokumentu">
    <w:name w:val="Document Map"/>
    <w:aliases w:val="Plan dokumentu"/>
    <w:basedOn w:val="Normalny"/>
    <w:link w:val="MapadokumentuZnak"/>
    <w:semiHidden/>
    <w:rsid w:val="00B859F2"/>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aliases w:val="Plan dokumentu Znak"/>
    <w:basedOn w:val="Domylnaczcionkaakapitu"/>
    <w:link w:val="Mapadokumentu"/>
    <w:semiHidden/>
    <w:rsid w:val="00B859F2"/>
    <w:rPr>
      <w:rFonts w:ascii="Tahoma" w:eastAsia="Times New Roman" w:hAnsi="Tahoma" w:cs="Tahoma"/>
      <w:sz w:val="20"/>
      <w:szCs w:val="20"/>
      <w:shd w:val="clear" w:color="auto" w:fill="000080"/>
      <w:lang w:eastAsia="pl-PL"/>
    </w:rPr>
  </w:style>
  <w:style w:type="paragraph" w:styleId="Tekstdymka">
    <w:name w:val="Balloon Text"/>
    <w:basedOn w:val="Normalny"/>
    <w:link w:val="TekstdymkaZnak"/>
    <w:rsid w:val="00B859F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B859F2"/>
    <w:rPr>
      <w:rFonts w:ascii="Tahoma" w:eastAsia="Times New Roman" w:hAnsi="Tahoma" w:cs="Tahoma"/>
      <w:sz w:val="16"/>
      <w:szCs w:val="16"/>
      <w:lang w:eastAsia="pl-PL"/>
    </w:rPr>
  </w:style>
  <w:style w:type="character" w:styleId="Numerstrony">
    <w:name w:val="page number"/>
    <w:basedOn w:val="Domylnaczcionkaakapitu"/>
    <w:rsid w:val="00B859F2"/>
  </w:style>
  <w:style w:type="character" w:styleId="Pogrubienie">
    <w:name w:val="Strong"/>
    <w:aliases w:val="Tekst treści + 8.5 pt,Małe litery1"/>
    <w:uiPriority w:val="99"/>
    <w:qFormat/>
    <w:rsid w:val="00B859F2"/>
    <w:rPr>
      <w:b/>
      <w:bCs/>
    </w:rPr>
  </w:style>
  <w:style w:type="table" w:styleId="Tabela-Siatka">
    <w:name w:val="Table Grid"/>
    <w:basedOn w:val="Standardowy"/>
    <w:rsid w:val="00B859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B859F2"/>
    <w:pPr>
      <w:spacing w:after="0" w:line="360" w:lineRule="auto"/>
      <w:ind w:left="-426" w:firstLine="709"/>
      <w:jc w:val="both"/>
    </w:pPr>
    <w:rPr>
      <w:rFonts w:ascii="Times New Roman" w:eastAsia="Calibri" w:hAnsi="Times New Roman" w:cs="Times New Roman"/>
      <w:sz w:val="24"/>
      <w:szCs w:val="24"/>
      <w:lang w:eastAsia="pl-PL"/>
    </w:rPr>
  </w:style>
  <w:style w:type="character" w:styleId="Odwoaniedokomentarza">
    <w:name w:val="annotation reference"/>
    <w:uiPriority w:val="99"/>
    <w:semiHidden/>
    <w:unhideWhenUsed/>
    <w:rsid w:val="00B859F2"/>
    <w:rPr>
      <w:sz w:val="16"/>
      <w:szCs w:val="16"/>
    </w:rPr>
  </w:style>
  <w:style w:type="paragraph" w:styleId="Tekstkomentarza">
    <w:name w:val="annotation text"/>
    <w:basedOn w:val="Normalny"/>
    <w:link w:val="TekstkomentarzaZnak"/>
    <w:uiPriority w:val="99"/>
    <w:unhideWhenUsed/>
    <w:rsid w:val="00B859F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B859F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859F2"/>
    <w:rPr>
      <w:b/>
      <w:bCs/>
    </w:rPr>
  </w:style>
  <w:style w:type="character" w:customStyle="1" w:styleId="TematkomentarzaZnak">
    <w:name w:val="Temat komentarza Znak"/>
    <w:basedOn w:val="TekstkomentarzaZnak"/>
    <w:link w:val="Tematkomentarza"/>
    <w:uiPriority w:val="99"/>
    <w:semiHidden/>
    <w:rsid w:val="00B859F2"/>
    <w:rPr>
      <w:rFonts w:ascii="Times New Roman" w:eastAsia="Times New Roman" w:hAnsi="Times New Roman" w:cs="Times New Roman"/>
      <w:b/>
      <w:bCs/>
      <w:sz w:val="20"/>
      <w:szCs w:val="20"/>
      <w:lang w:eastAsia="pl-PL"/>
    </w:rPr>
  </w:style>
  <w:style w:type="paragraph" w:styleId="Akapitzlist">
    <w:name w:val="List Paragraph"/>
    <w:aliases w:val="Nagłówek_ds_3"/>
    <w:basedOn w:val="Normalny"/>
    <w:link w:val="AkapitzlistZnak"/>
    <w:uiPriority w:val="34"/>
    <w:qFormat/>
    <w:rsid w:val="00B859F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highlight-disabled">
    <w:name w:val="highlight-disabled"/>
    <w:basedOn w:val="Domylnaczcionkaakapitu"/>
    <w:rsid w:val="00B859F2"/>
  </w:style>
  <w:style w:type="paragraph" w:styleId="Tekstprzypisukocowego">
    <w:name w:val="endnote text"/>
    <w:basedOn w:val="Normalny"/>
    <w:link w:val="TekstprzypisukocowegoZnak"/>
    <w:semiHidden/>
    <w:unhideWhenUsed/>
    <w:rsid w:val="00B859F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859F2"/>
    <w:rPr>
      <w:rFonts w:ascii="Times New Roman" w:eastAsia="Times New Roman" w:hAnsi="Times New Roman" w:cs="Times New Roman"/>
      <w:sz w:val="20"/>
      <w:szCs w:val="20"/>
      <w:lang w:eastAsia="pl-PL"/>
    </w:rPr>
  </w:style>
  <w:style w:type="character" w:styleId="Odwoanieprzypisukocowego">
    <w:name w:val="endnote reference"/>
    <w:unhideWhenUsed/>
    <w:rsid w:val="00B859F2"/>
    <w:rPr>
      <w:vertAlign w:val="superscript"/>
    </w:rPr>
  </w:style>
  <w:style w:type="paragraph" w:styleId="Bezodstpw">
    <w:name w:val="No Spacing"/>
    <w:uiPriority w:val="1"/>
    <w:qFormat/>
    <w:rsid w:val="00B859F2"/>
    <w:pPr>
      <w:spacing w:after="0" w:line="240" w:lineRule="auto"/>
    </w:pPr>
    <w:rPr>
      <w:rFonts w:ascii="Calibri" w:eastAsia="Calibri" w:hAnsi="Calibri" w:cs="Times New Roman"/>
    </w:rPr>
  </w:style>
  <w:style w:type="numbering" w:customStyle="1" w:styleId="Bezlisty11">
    <w:name w:val="Bez listy11"/>
    <w:next w:val="Bezlisty"/>
    <w:uiPriority w:val="99"/>
    <w:semiHidden/>
    <w:unhideWhenUsed/>
    <w:rsid w:val="00B859F2"/>
  </w:style>
  <w:style w:type="numbering" w:customStyle="1" w:styleId="Bezlisty111">
    <w:name w:val="Bez listy111"/>
    <w:next w:val="Bezlisty"/>
    <w:uiPriority w:val="99"/>
    <w:semiHidden/>
    <w:unhideWhenUsed/>
    <w:rsid w:val="00B859F2"/>
  </w:style>
  <w:style w:type="numbering" w:customStyle="1" w:styleId="Bezlisty1111">
    <w:name w:val="Bez listy1111"/>
    <w:next w:val="Bezlisty"/>
    <w:uiPriority w:val="99"/>
    <w:semiHidden/>
    <w:unhideWhenUsed/>
    <w:rsid w:val="00B859F2"/>
  </w:style>
  <w:style w:type="paragraph" w:styleId="Poprawka">
    <w:name w:val="Revision"/>
    <w:hidden/>
    <w:uiPriority w:val="99"/>
    <w:semiHidden/>
    <w:rsid w:val="00B859F2"/>
    <w:pPr>
      <w:spacing w:after="0" w:line="240" w:lineRule="auto"/>
    </w:pPr>
    <w:rPr>
      <w:rFonts w:ascii="Times New Roman" w:eastAsia="Times New Roman" w:hAnsi="Times New Roman" w:cs="Times New Roman"/>
      <w:sz w:val="24"/>
      <w:szCs w:val="24"/>
      <w:lang w:eastAsia="pl-PL"/>
    </w:rPr>
  </w:style>
  <w:style w:type="character" w:styleId="Tekstzastpczy">
    <w:name w:val="Placeholder Text"/>
    <w:uiPriority w:val="99"/>
    <w:semiHidden/>
    <w:rsid w:val="00B859F2"/>
    <w:rPr>
      <w:color w:val="808080"/>
    </w:rPr>
  </w:style>
  <w:style w:type="character" w:customStyle="1" w:styleId="Teksttreci2">
    <w:name w:val="Tekst treści (2)_"/>
    <w:link w:val="Teksttreci20"/>
    <w:rsid w:val="00B859F2"/>
    <w:rPr>
      <w:sz w:val="21"/>
      <w:szCs w:val="21"/>
      <w:shd w:val="clear" w:color="auto" w:fill="FFFFFF"/>
    </w:rPr>
  </w:style>
  <w:style w:type="paragraph" w:customStyle="1" w:styleId="Teksttreci20">
    <w:name w:val="Tekst treści (2)"/>
    <w:basedOn w:val="Normalny"/>
    <w:link w:val="Teksttreci2"/>
    <w:rsid w:val="00B859F2"/>
    <w:pPr>
      <w:widowControl w:val="0"/>
      <w:shd w:val="clear" w:color="auto" w:fill="FFFFFF"/>
      <w:spacing w:after="0" w:line="250" w:lineRule="exact"/>
      <w:ind w:hanging="340"/>
    </w:pPr>
    <w:rPr>
      <w:sz w:val="21"/>
      <w:szCs w:val="21"/>
    </w:rPr>
  </w:style>
  <w:style w:type="character" w:customStyle="1" w:styleId="warheader">
    <w:name w:val="war_header"/>
    <w:rsid w:val="00B859F2"/>
  </w:style>
  <w:style w:type="character" w:customStyle="1" w:styleId="info-list-value-uzasadnienie">
    <w:name w:val="info-list-value-uzasadnienie"/>
    <w:rsid w:val="00B859F2"/>
  </w:style>
  <w:style w:type="paragraph" w:styleId="Tekstpodstawowywcity3">
    <w:name w:val="Body Text Indent 3"/>
    <w:basedOn w:val="Normalny"/>
    <w:link w:val="Tekstpodstawowywcity3Znak"/>
    <w:rsid w:val="00B859F2"/>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59F2"/>
    <w:rPr>
      <w:rFonts w:ascii="Times New Roman" w:eastAsia="Times New Roman" w:hAnsi="Times New Roman" w:cs="Times New Roman"/>
      <w:sz w:val="16"/>
      <w:szCs w:val="16"/>
      <w:lang w:eastAsia="pl-PL"/>
    </w:rPr>
  </w:style>
  <w:style w:type="paragraph" w:styleId="Tekstpodstawowy">
    <w:name w:val="Body Text"/>
    <w:basedOn w:val="Normalny"/>
    <w:link w:val="TekstpodstawowyZnak"/>
    <w:uiPriority w:val="99"/>
    <w:unhideWhenUsed/>
    <w:rsid w:val="00B859F2"/>
    <w:pPr>
      <w:spacing w:after="12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B859F2"/>
    <w:rPr>
      <w:rFonts w:ascii="Times New Roman" w:eastAsia="Times New Roman" w:hAnsi="Times New Roman" w:cs="Times New Roman"/>
      <w:sz w:val="28"/>
      <w:szCs w:val="20"/>
      <w:lang w:eastAsia="pl-PL"/>
    </w:rPr>
  </w:style>
  <w:style w:type="character" w:customStyle="1" w:styleId="Teksttreci">
    <w:name w:val="Tekst treści_"/>
    <w:link w:val="Teksttreci0"/>
    <w:uiPriority w:val="99"/>
    <w:locked/>
    <w:rsid w:val="00B859F2"/>
    <w:rPr>
      <w:sz w:val="17"/>
      <w:szCs w:val="17"/>
      <w:shd w:val="clear" w:color="auto" w:fill="FFFFFF"/>
    </w:rPr>
  </w:style>
  <w:style w:type="paragraph" w:customStyle="1" w:styleId="Teksttreci0">
    <w:name w:val="Tekst treści"/>
    <w:basedOn w:val="Normalny"/>
    <w:link w:val="Teksttreci"/>
    <w:uiPriority w:val="99"/>
    <w:rsid w:val="00B859F2"/>
    <w:pPr>
      <w:shd w:val="clear" w:color="auto" w:fill="FFFFFF"/>
      <w:spacing w:after="780" w:line="334" w:lineRule="exact"/>
    </w:pPr>
    <w:rPr>
      <w:sz w:val="17"/>
      <w:szCs w:val="17"/>
      <w:shd w:val="clear" w:color="auto" w:fill="FFFFFF"/>
    </w:rPr>
  </w:style>
  <w:style w:type="paragraph" w:styleId="Tekstpodstawowywcity">
    <w:name w:val="Body Text Indent"/>
    <w:basedOn w:val="Normalny"/>
    <w:link w:val="TekstpodstawowywcityZnak"/>
    <w:rsid w:val="00B859F2"/>
    <w:pPr>
      <w:spacing w:after="120" w:line="240" w:lineRule="auto"/>
      <w:ind w:left="283"/>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B859F2"/>
    <w:rPr>
      <w:rFonts w:ascii="Times New Roman" w:eastAsia="Times New Roman" w:hAnsi="Times New Roman" w:cs="Times New Roman"/>
      <w:sz w:val="28"/>
      <w:szCs w:val="20"/>
      <w:lang w:eastAsia="pl-PL"/>
    </w:rPr>
  </w:style>
  <w:style w:type="character" w:customStyle="1" w:styleId="TeksttreciKursywa">
    <w:name w:val="Tekst treści + Kursywa"/>
    <w:rsid w:val="00B859F2"/>
    <w:rPr>
      <w:rFonts w:ascii="Segoe UI" w:eastAsia="Segoe UI" w:hAnsi="Segoe UI" w:cs="Segoe UI"/>
      <w:b w:val="0"/>
      <w:bCs w:val="0"/>
      <w:i/>
      <w:iCs/>
      <w:smallCaps w:val="0"/>
      <w:strike w:val="0"/>
      <w:spacing w:val="0"/>
      <w:shd w:val="clear" w:color="auto" w:fill="FFFFFF"/>
    </w:rPr>
  </w:style>
  <w:style w:type="character" w:customStyle="1" w:styleId="TeksttreciPogrubienie">
    <w:name w:val="Tekst treści + Pogrubienie"/>
    <w:rsid w:val="00B859F2"/>
    <w:rPr>
      <w:rFonts w:ascii="Calibri" w:eastAsia="Calibri" w:hAnsi="Calibri" w:cs="Calibri"/>
      <w:b/>
      <w:bCs/>
      <w:sz w:val="24"/>
      <w:szCs w:val="24"/>
      <w:shd w:val="clear" w:color="auto" w:fill="FFFFFF"/>
    </w:rPr>
  </w:style>
  <w:style w:type="paragraph" w:styleId="Tekstpodstawowy2">
    <w:name w:val="Body Text 2"/>
    <w:basedOn w:val="Normalny"/>
    <w:link w:val="Tekstpodstawowy2Znak"/>
    <w:unhideWhenUsed/>
    <w:rsid w:val="00B859F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59F2"/>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B859F2"/>
    <w:pPr>
      <w:suppressAutoHyphens/>
      <w:spacing w:after="0" w:line="360" w:lineRule="auto"/>
      <w:jc w:val="both"/>
    </w:pPr>
    <w:rPr>
      <w:rFonts w:ascii="Arial" w:eastAsia="Times New Roman" w:hAnsi="Arial" w:cs="Arial"/>
      <w:szCs w:val="24"/>
      <w:lang w:eastAsia="ar-SA"/>
    </w:rPr>
  </w:style>
  <w:style w:type="character" w:customStyle="1" w:styleId="luchili">
    <w:name w:val="luc_hili"/>
    <w:rsid w:val="00B859F2"/>
  </w:style>
  <w:style w:type="character" w:customStyle="1" w:styleId="TeksttreciOdstpy1pt">
    <w:name w:val="Tekst treści + Odstępy 1 pt"/>
    <w:rsid w:val="00B859F2"/>
    <w:rPr>
      <w:rFonts w:ascii="Arial" w:eastAsia="Arial" w:hAnsi="Arial" w:cs="Arial"/>
      <w:b w:val="0"/>
      <w:bCs w:val="0"/>
      <w:i w:val="0"/>
      <w:iCs w:val="0"/>
      <w:smallCaps w:val="0"/>
      <w:strike w:val="0"/>
      <w:spacing w:val="20"/>
      <w:sz w:val="20"/>
      <w:szCs w:val="20"/>
      <w:shd w:val="clear" w:color="auto" w:fill="FFFFFF"/>
    </w:rPr>
  </w:style>
  <w:style w:type="character" w:customStyle="1" w:styleId="Teksttreci9pt">
    <w:name w:val="Tekst treści + 9 pt"/>
    <w:rsid w:val="00B859F2"/>
    <w:rPr>
      <w:rFonts w:ascii="Arial" w:eastAsia="Arial" w:hAnsi="Arial" w:cs="Arial"/>
      <w:b w:val="0"/>
      <w:bCs w:val="0"/>
      <w:i w:val="0"/>
      <w:iCs w:val="0"/>
      <w:smallCaps w:val="0"/>
      <w:strike w:val="0"/>
      <w:spacing w:val="0"/>
      <w:sz w:val="18"/>
      <w:szCs w:val="18"/>
      <w:shd w:val="clear" w:color="auto" w:fill="FFFFFF"/>
    </w:rPr>
  </w:style>
  <w:style w:type="character" w:customStyle="1" w:styleId="Teksttreci9Bezkursywy">
    <w:name w:val="Tekst treści (9) + Bez kursywy"/>
    <w:rsid w:val="00B859F2"/>
    <w:rPr>
      <w:rFonts w:ascii="Arial" w:eastAsia="Arial" w:hAnsi="Arial" w:cs="Arial"/>
      <w:b w:val="0"/>
      <w:bCs w:val="0"/>
      <w:i/>
      <w:iCs/>
      <w:smallCaps w:val="0"/>
      <w:strike w:val="0"/>
      <w:spacing w:val="0"/>
      <w:sz w:val="21"/>
      <w:szCs w:val="21"/>
    </w:rPr>
  </w:style>
  <w:style w:type="character" w:customStyle="1" w:styleId="Nagwek1BezkursywyOdstpy0pt">
    <w:name w:val="Nagłówek #1 + Bez kursywy;Odstępy 0 pt"/>
    <w:rsid w:val="00B859F2"/>
    <w:rPr>
      <w:b w:val="0"/>
      <w:bCs w:val="0"/>
      <w:i/>
      <w:iCs/>
      <w:smallCaps w:val="0"/>
      <w:strike w:val="0"/>
      <w:spacing w:val="0"/>
      <w:sz w:val="21"/>
      <w:szCs w:val="21"/>
    </w:rPr>
  </w:style>
  <w:style w:type="character" w:customStyle="1" w:styleId="Teksttreci2PogrubienieBezkursywy">
    <w:name w:val="Tekst treści (2) + Pogrubienie;Bez kursywy"/>
    <w:rsid w:val="00B859F2"/>
    <w:rPr>
      <w:rFonts w:ascii="Arial" w:eastAsia="Arial" w:hAnsi="Arial" w:cs="Arial"/>
      <w:b/>
      <w:bCs/>
      <w:i/>
      <w:iCs/>
      <w:smallCaps w:val="0"/>
      <w:strike w:val="0"/>
      <w:spacing w:val="0"/>
      <w:sz w:val="21"/>
      <w:szCs w:val="21"/>
      <w:shd w:val="clear" w:color="auto" w:fill="FFFFFF"/>
    </w:rPr>
  </w:style>
  <w:style w:type="character" w:customStyle="1" w:styleId="Teksttreci2Bezkursywy">
    <w:name w:val="Tekst treści (2) + Bez kursywy"/>
    <w:rsid w:val="00B859F2"/>
    <w:rPr>
      <w:rFonts w:ascii="Arial" w:eastAsia="Arial" w:hAnsi="Arial" w:cs="Arial"/>
      <w:b w:val="0"/>
      <w:bCs w:val="0"/>
      <w:i/>
      <w:iCs/>
      <w:smallCaps w:val="0"/>
      <w:strike w:val="0"/>
      <w:spacing w:val="0"/>
      <w:sz w:val="21"/>
      <w:szCs w:val="21"/>
      <w:shd w:val="clear" w:color="auto" w:fill="FFFFFF"/>
    </w:rPr>
  </w:style>
  <w:style w:type="character" w:customStyle="1" w:styleId="Teksttreci3">
    <w:name w:val="Tekst treści (3)_"/>
    <w:link w:val="Teksttreci30"/>
    <w:uiPriority w:val="99"/>
    <w:rsid w:val="00B859F2"/>
    <w:rPr>
      <w:rFonts w:ascii="Arial" w:eastAsia="Arial" w:hAnsi="Arial" w:cs="Arial"/>
      <w:sz w:val="21"/>
      <w:szCs w:val="21"/>
      <w:shd w:val="clear" w:color="auto" w:fill="FFFFFF"/>
    </w:rPr>
  </w:style>
  <w:style w:type="paragraph" w:customStyle="1" w:styleId="Teksttreci30">
    <w:name w:val="Tekst treści (3)"/>
    <w:basedOn w:val="Normalny"/>
    <w:link w:val="Teksttreci3"/>
    <w:uiPriority w:val="99"/>
    <w:rsid w:val="00B859F2"/>
    <w:pPr>
      <w:shd w:val="clear" w:color="auto" w:fill="FFFFFF"/>
      <w:spacing w:after="0" w:line="439" w:lineRule="exact"/>
      <w:jc w:val="both"/>
    </w:pPr>
    <w:rPr>
      <w:rFonts w:ascii="Arial" w:eastAsia="Arial" w:hAnsi="Arial" w:cs="Arial"/>
      <w:sz w:val="21"/>
      <w:szCs w:val="21"/>
    </w:rPr>
  </w:style>
  <w:style w:type="character" w:customStyle="1" w:styleId="Teksttreci3Bezpogrubienia">
    <w:name w:val="Tekst treści (3) + Bez pogrubienia"/>
    <w:rsid w:val="00B859F2"/>
    <w:rPr>
      <w:rFonts w:ascii="Arial" w:eastAsia="Arial" w:hAnsi="Arial" w:cs="Arial"/>
      <w:b/>
      <w:bCs/>
      <w:sz w:val="21"/>
      <w:szCs w:val="21"/>
      <w:shd w:val="clear" w:color="auto" w:fill="FFFFFF"/>
    </w:rPr>
  </w:style>
  <w:style w:type="character" w:customStyle="1" w:styleId="Nagwek3">
    <w:name w:val="Nagłówek #3_"/>
    <w:link w:val="Nagwek30"/>
    <w:rsid w:val="00B859F2"/>
    <w:rPr>
      <w:rFonts w:ascii="Arial" w:eastAsia="Arial" w:hAnsi="Arial" w:cs="Arial"/>
      <w:spacing w:val="-10"/>
      <w:sz w:val="27"/>
      <w:szCs w:val="27"/>
      <w:shd w:val="clear" w:color="auto" w:fill="FFFFFF"/>
    </w:rPr>
  </w:style>
  <w:style w:type="paragraph" w:customStyle="1" w:styleId="Nagwek30">
    <w:name w:val="Nagłówek #3"/>
    <w:basedOn w:val="Normalny"/>
    <w:link w:val="Nagwek3"/>
    <w:rsid w:val="00B859F2"/>
    <w:pPr>
      <w:shd w:val="clear" w:color="auto" w:fill="FFFFFF"/>
      <w:spacing w:after="120" w:line="0" w:lineRule="atLeast"/>
      <w:outlineLvl w:val="2"/>
    </w:pPr>
    <w:rPr>
      <w:rFonts w:ascii="Arial" w:eastAsia="Arial" w:hAnsi="Arial" w:cs="Arial"/>
      <w:spacing w:val="-10"/>
      <w:sz w:val="27"/>
      <w:szCs w:val="27"/>
    </w:rPr>
  </w:style>
  <w:style w:type="character" w:customStyle="1" w:styleId="TeksttreciPogrubienieKursywa">
    <w:name w:val="Tekst treści + Pogrubienie;Kursywa"/>
    <w:rsid w:val="00B859F2"/>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Teksttreci6TrebuchetMS215ptOdstpy0pt">
    <w:name w:val="Tekst treści (6) + Trebuchet MS;21;5 pt;Odstępy 0 pt"/>
    <w:rsid w:val="00B859F2"/>
    <w:rPr>
      <w:rFonts w:ascii="Trebuchet MS" w:eastAsia="Trebuchet MS" w:hAnsi="Trebuchet MS" w:cs="Trebuchet MS"/>
      <w:b w:val="0"/>
      <w:bCs w:val="0"/>
      <w:i w:val="0"/>
      <w:iCs w:val="0"/>
      <w:smallCaps w:val="0"/>
      <w:strike w:val="0"/>
      <w:spacing w:val="-10"/>
      <w:sz w:val="43"/>
      <w:szCs w:val="43"/>
    </w:rPr>
  </w:style>
  <w:style w:type="character" w:customStyle="1" w:styleId="Stopka0">
    <w:name w:val="Stopka_"/>
    <w:link w:val="Stopka2"/>
    <w:rsid w:val="00B859F2"/>
    <w:rPr>
      <w:sz w:val="19"/>
      <w:szCs w:val="19"/>
      <w:shd w:val="clear" w:color="auto" w:fill="FFFFFF"/>
    </w:rPr>
  </w:style>
  <w:style w:type="paragraph" w:customStyle="1" w:styleId="Stopka2">
    <w:name w:val="Stopka2"/>
    <w:basedOn w:val="Normalny"/>
    <w:link w:val="Stopka0"/>
    <w:rsid w:val="00B859F2"/>
    <w:pPr>
      <w:shd w:val="clear" w:color="auto" w:fill="FFFFFF"/>
      <w:spacing w:after="0" w:line="264" w:lineRule="exact"/>
      <w:jc w:val="both"/>
    </w:pPr>
    <w:rPr>
      <w:sz w:val="19"/>
      <w:szCs w:val="19"/>
    </w:rPr>
  </w:style>
  <w:style w:type="character" w:customStyle="1" w:styleId="StopkaKursywa">
    <w:name w:val="Stopka + Kursywa"/>
    <w:rsid w:val="00B859F2"/>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Teksttreci5">
    <w:name w:val="Tekst treści (5)_"/>
    <w:rsid w:val="00B859F2"/>
    <w:rPr>
      <w:rFonts w:ascii="Times New Roman" w:eastAsia="Times New Roman" w:hAnsi="Times New Roman" w:cs="Times New Roman"/>
      <w:b w:val="0"/>
      <w:bCs w:val="0"/>
      <w:i w:val="0"/>
      <w:iCs w:val="0"/>
      <w:smallCaps w:val="0"/>
      <w:strike w:val="0"/>
      <w:spacing w:val="0"/>
      <w:sz w:val="25"/>
      <w:szCs w:val="25"/>
    </w:rPr>
  </w:style>
  <w:style w:type="character" w:customStyle="1" w:styleId="Teksttreci5Bezpogrubienia">
    <w:name w:val="Tekst treści (5) + Bez pogrubienia"/>
    <w:rsid w:val="00B859F2"/>
    <w:rPr>
      <w:rFonts w:ascii="Times New Roman" w:eastAsia="Times New Roman" w:hAnsi="Times New Roman" w:cs="Times New Roman"/>
      <w:b/>
      <w:bCs/>
      <w:i w:val="0"/>
      <w:iCs w:val="0"/>
      <w:smallCaps w:val="0"/>
      <w:strike w:val="0"/>
      <w:spacing w:val="0"/>
      <w:sz w:val="25"/>
      <w:szCs w:val="25"/>
    </w:rPr>
  </w:style>
  <w:style w:type="character" w:customStyle="1" w:styleId="Teksttreci50">
    <w:name w:val="Tekst treści (5)"/>
    <w:uiPriority w:val="99"/>
    <w:rsid w:val="00B859F2"/>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Teksttreci5Kursywa">
    <w:name w:val="Tekst treści (5) + Kursywa"/>
    <w:rsid w:val="00B859F2"/>
    <w:rPr>
      <w:rFonts w:ascii="Times New Roman" w:eastAsia="Times New Roman" w:hAnsi="Times New Roman" w:cs="Times New Roman"/>
      <w:b w:val="0"/>
      <w:bCs w:val="0"/>
      <w:i/>
      <w:iCs/>
      <w:smallCaps w:val="0"/>
      <w:strike w:val="0"/>
      <w:spacing w:val="0"/>
      <w:sz w:val="25"/>
      <w:szCs w:val="25"/>
      <w:u w:val="single"/>
    </w:rPr>
  </w:style>
  <w:style w:type="paragraph" w:styleId="Tekstpodstawowywcity2">
    <w:name w:val="Body Text Indent 2"/>
    <w:basedOn w:val="Normalny"/>
    <w:link w:val="Tekstpodstawowywcity2Znak"/>
    <w:uiPriority w:val="99"/>
    <w:unhideWhenUsed/>
    <w:rsid w:val="00B859F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B859F2"/>
    <w:rPr>
      <w:rFonts w:ascii="Times New Roman" w:eastAsia="Times New Roman" w:hAnsi="Times New Roman" w:cs="Times New Roman"/>
      <w:sz w:val="24"/>
      <w:szCs w:val="24"/>
      <w:lang w:eastAsia="pl-PL"/>
    </w:rPr>
  </w:style>
  <w:style w:type="character" w:customStyle="1" w:styleId="highlight">
    <w:name w:val="highlight"/>
    <w:rsid w:val="00B859F2"/>
  </w:style>
  <w:style w:type="character" w:customStyle="1" w:styleId="highlight1">
    <w:name w:val="highlight1"/>
    <w:rsid w:val="00B859F2"/>
    <w:rPr>
      <w:b/>
      <w:bCs/>
    </w:rPr>
  </w:style>
  <w:style w:type="character" w:customStyle="1" w:styleId="ZwykytekstZnak">
    <w:name w:val="Zwykły tekst Znak"/>
    <w:link w:val="Zwykytekst"/>
    <w:uiPriority w:val="99"/>
    <w:semiHidden/>
    <w:rsid w:val="00B859F2"/>
    <w:rPr>
      <w:rFonts w:ascii="Consolas" w:eastAsia="Calibri" w:hAnsi="Consolas"/>
      <w:sz w:val="21"/>
      <w:szCs w:val="21"/>
    </w:rPr>
  </w:style>
  <w:style w:type="paragraph" w:styleId="Zwykytekst">
    <w:name w:val="Plain Text"/>
    <w:basedOn w:val="Normalny"/>
    <w:link w:val="ZwykytekstZnak"/>
    <w:uiPriority w:val="99"/>
    <w:semiHidden/>
    <w:unhideWhenUsed/>
    <w:rsid w:val="00B859F2"/>
    <w:pPr>
      <w:spacing w:after="0" w:line="240" w:lineRule="auto"/>
    </w:pPr>
    <w:rPr>
      <w:rFonts w:ascii="Consolas" w:eastAsia="Calibri" w:hAnsi="Consolas"/>
      <w:sz w:val="21"/>
      <w:szCs w:val="21"/>
    </w:rPr>
  </w:style>
  <w:style w:type="character" w:customStyle="1" w:styleId="ZwykytekstZnak1">
    <w:name w:val="Zwykły tekst Znak1"/>
    <w:basedOn w:val="Domylnaczcionkaakapitu"/>
    <w:semiHidden/>
    <w:rsid w:val="00B859F2"/>
    <w:rPr>
      <w:rFonts w:ascii="Consolas" w:hAnsi="Consolas"/>
      <w:sz w:val="21"/>
      <w:szCs w:val="21"/>
    </w:rPr>
  </w:style>
  <w:style w:type="character" w:customStyle="1" w:styleId="Teksttreci7">
    <w:name w:val="Tekst treści (7)_"/>
    <w:link w:val="Teksttreci70"/>
    <w:rsid w:val="00B859F2"/>
    <w:rPr>
      <w:sz w:val="25"/>
      <w:szCs w:val="25"/>
      <w:shd w:val="clear" w:color="auto" w:fill="FFFFFF"/>
    </w:rPr>
  </w:style>
  <w:style w:type="paragraph" w:customStyle="1" w:styleId="Teksttreci70">
    <w:name w:val="Tekst treści (7)"/>
    <w:basedOn w:val="Normalny"/>
    <w:link w:val="Teksttreci7"/>
    <w:rsid w:val="00B859F2"/>
    <w:pPr>
      <w:shd w:val="clear" w:color="auto" w:fill="FFFFFF"/>
      <w:spacing w:after="0" w:line="336" w:lineRule="exact"/>
    </w:pPr>
    <w:rPr>
      <w:sz w:val="25"/>
      <w:szCs w:val="25"/>
    </w:rPr>
  </w:style>
  <w:style w:type="character" w:customStyle="1" w:styleId="Teksttreci7Bezpogrubienia">
    <w:name w:val="Tekst treści (7) + Bez pogrubienia"/>
    <w:rsid w:val="00B859F2"/>
    <w:rPr>
      <w:rFonts w:ascii="Times New Roman" w:eastAsia="Times New Roman" w:hAnsi="Times New Roman"/>
      <w:b/>
      <w:bCs/>
      <w:sz w:val="25"/>
      <w:szCs w:val="25"/>
      <w:shd w:val="clear" w:color="auto" w:fill="FFFFFF"/>
    </w:rPr>
  </w:style>
  <w:style w:type="character" w:customStyle="1" w:styleId="Teksttreci7Kursywa">
    <w:name w:val="Tekst treści (7) + Kursywa"/>
    <w:rsid w:val="00B859F2"/>
    <w:rPr>
      <w:rFonts w:ascii="Times New Roman" w:eastAsia="Times New Roman" w:hAnsi="Times New Roman"/>
      <w:i/>
      <w:iCs/>
      <w:sz w:val="25"/>
      <w:szCs w:val="25"/>
      <w:shd w:val="clear" w:color="auto" w:fill="FFFFFF"/>
    </w:rPr>
  </w:style>
  <w:style w:type="character" w:customStyle="1" w:styleId="Teksttreci4">
    <w:name w:val="Tekst treści (4)_"/>
    <w:link w:val="Teksttreci40"/>
    <w:rsid w:val="00B859F2"/>
    <w:rPr>
      <w:rFonts w:ascii="Arial" w:eastAsia="Arial" w:hAnsi="Arial" w:cs="Arial"/>
      <w:sz w:val="15"/>
      <w:szCs w:val="15"/>
      <w:shd w:val="clear" w:color="auto" w:fill="FFFFFF"/>
    </w:rPr>
  </w:style>
  <w:style w:type="paragraph" w:customStyle="1" w:styleId="Teksttreci40">
    <w:name w:val="Tekst treści (4)"/>
    <w:basedOn w:val="Normalny"/>
    <w:link w:val="Teksttreci4"/>
    <w:rsid w:val="00B859F2"/>
    <w:pPr>
      <w:shd w:val="clear" w:color="auto" w:fill="FFFFFF"/>
      <w:spacing w:after="0" w:line="0" w:lineRule="atLeast"/>
      <w:jc w:val="both"/>
    </w:pPr>
    <w:rPr>
      <w:rFonts w:ascii="Arial" w:eastAsia="Arial" w:hAnsi="Arial" w:cs="Arial"/>
      <w:sz w:val="15"/>
      <w:szCs w:val="15"/>
    </w:rPr>
  </w:style>
  <w:style w:type="character" w:customStyle="1" w:styleId="TeksttreciKursywaOdstpy0pt">
    <w:name w:val="Tekst treści + Kursywa;Odstępy 0 pt"/>
    <w:rsid w:val="00B859F2"/>
    <w:rPr>
      <w:rFonts w:ascii="Arial" w:eastAsia="Arial" w:hAnsi="Arial" w:cs="Arial"/>
      <w:b w:val="0"/>
      <w:bCs w:val="0"/>
      <w:i/>
      <w:iCs/>
      <w:smallCaps w:val="0"/>
      <w:strike w:val="0"/>
      <w:spacing w:val="10"/>
      <w:sz w:val="17"/>
      <w:szCs w:val="17"/>
      <w:shd w:val="clear" w:color="auto" w:fill="FFFFFF"/>
    </w:rPr>
  </w:style>
  <w:style w:type="character" w:customStyle="1" w:styleId="TeksttreciCandara9pt">
    <w:name w:val="Tekst treści + Candara;9 pt"/>
    <w:rsid w:val="00B859F2"/>
    <w:rPr>
      <w:rFonts w:ascii="Candara" w:eastAsia="Candara" w:hAnsi="Candara" w:cs="Candara"/>
      <w:b w:val="0"/>
      <w:bCs w:val="0"/>
      <w:i w:val="0"/>
      <w:iCs w:val="0"/>
      <w:smallCaps w:val="0"/>
      <w:strike w:val="0"/>
      <w:spacing w:val="0"/>
      <w:sz w:val="18"/>
      <w:szCs w:val="18"/>
      <w:shd w:val="clear" w:color="auto" w:fill="FFFFFF"/>
    </w:rPr>
  </w:style>
  <w:style w:type="character" w:customStyle="1" w:styleId="PogrubienieTeksttreci105ptSkalowanie60">
    <w:name w:val="Pogrubienie;Tekst treści + 10;5 pt;Skalowanie 60%"/>
    <w:rsid w:val="00B859F2"/>
    <w:rPr>
      <w:rFonts w:ascii="Arial" w:eastAsia="Arial" w:hAnsi="Arial" w:cs="Arial"/>
      <w:b/>
      <w:bCs/>
      <w:i w:val="0"/>
      <w:iCs w:val="0"/>
      <w:smallCaps w:val="0"/>
      <w:strike w:val="0"/>
      <w:spacing w:val="0"/>
      <w:w w:val="60"/>
      <w:sz w:val="21"/>
      <w:szCs w:val="21"/>
      <w:shd w:val="clear" w:color="auto" w:fill="FFFFFF"/>
    </w:rPr>
  </w:style>
  <w:style w:type="character" w:customStyle="1" w:styleId="Nagwek6Exact">
    <w:name w:val="Nagłówek #6 Exact"/>
    <w:rsid w:val="00B859F2"/>
    <w:rPr>
      <w:rFonts w:ascii="Garamond" w:eastAsia="Garamond" w:hAnsi="Garamond" w:cs="Garamond"/>
      <w:b/>
      <w:bCs/>
      <w:i w:val="0"/>
      <w:iCs w:val="0"/>
      <w:smallCaps w:val="0"/>
      <w:strike w:val="0"/>
      <w:sz w:val="24"/>
      <w:szCs w:val="24"/>
      <w:u w:val="none"/>
    </w:rPr>
  </w:style>
  <w:style w:type="character" w:customStyle="1" w:styleId="Teksttreci2Pogrubienie">
    <w:name w:val="Tekst treści (2) + Pogrubienie"/>
    <w:rsid w:val="00B859F2"/>
    <w:rPr>
      <w:rFonts w:ascii="Garamond" w:eastAsia="Garamond" w:hAnsi="Garamond" w:cs="Garamond"/>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8">
    <w:name w:val="Tekst treści (8)_"/>
    <w:rsid w:val="00B859F2"/>
    <w:rPr>
      <w:rFonts w:ascii="Garamond" w:eastAsia="Garamond" w:hAnsi="Garamond" w:cs="Garamond"/>
      <w:b/>
      <w:bCs/>
      <w:i w:val="0"/>
      <w:iCs w:val="0"/>
      <w:smallCaps w:val="0"/>
      <w:strike w:val="0"/>
      <w:sz w:val="24"/>
      <w:szCs w:val="24"/>
      <w:u w:val="none"/>
    </w:rPr>
  </w:style>
  <w:style w:type="character" w:customStyle="1" w:styleId="Teksttreci8Bezpogrubienia">
    <w:name w:val="Tekst treści (8) + Bez pogrubienia"/>
    <w:rsid w:val="00B859F2"/>
    <w:rPr>
      <w:rFonts w:ascii="Garamond" w:eastAsia="Garamond" w:hAnsi="Garamond" w:cs="Garamond"/>
      <w:b/>
      <w:bCs/>
      <w:i w:val="0"/>
      <w:iCs w:val="0"/>
      <w:smallCaps w:val="0"/>
      <w:strike w:val="0"/>
      <w:color w:val="000000"/>
      <w:spacing w:val="0"/>
      <w:w w:val="100"/>
      <w:position w:val="0"/>
      <w:sz w:val="24"/>
      <w:szCs w:val="24"/>
      <w:u w:val="none"/>
      <w:lang w:val="pl-PL" w:eastAsia="pl-PL" w:bidi="pl-PL"/>
    </w:rPr>
  </w:style>
  <w:style w:type="character" w:customStyle="1" w:styleId="Teksttreci80">
    <w:name w:val="Tekst treści (8)"/>
    <w:rsid w:val="00B859F2"/>
    <w:rPr>
      <w:rFonts w:ascii="Garamond" w:eastAsia="Garamond" w:hAnsi="Garamond" w:cs="Garamond"/>
      <w:b/>
      <w:bCs/>
      <w:i w:val="0"/>
      <w:iCs w:val="0"/>
      <w:smallCaps w:val="0"/>
      <w:strike w:val="0"/>
      <w:color w:val="000000"/>
      <w:spacing w:val="0"/>
      <w:w w:val="100"/>
      <w:position w:val="0"/>
      <w:sz w:val="24"/>
      <w:szCs w:val="24"/>
      <w:u w:val="single"/>
      <w:lang w:val="pl-PL" w:eastAsia="pl-PL" w:bidi="pl-PL"/>
    </w:rPr>
  </w:style>
  <w:style w:type="character" w:customStyle="1" w:styleId="Teksttreci2Georgia95pt">
    <w:name w:val="Tekst treści (2) + Georgia;9;5 pt"/>
    <w:rsid w:val="00B859F2"/>
    <w:rPr>
      <w:rFonts w:ascii="Georgia" w:eastAsia="Georgia" w:hAnsi="Georgia" w:cs="Georgi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7">
    <w:name w:val="Nagłówek #7_"/>
    <w:link w:val="Nagwek70"/>
    <w:rsid w:val="00B859F2"/>
    <w:rPr>
      <w:rFonts w:ascii="Garamond" w:eastAsia="Garamond" w:hAnsi="Garamond" w:cs="Garamond"/>
      <w:b/>
      <w:bCs/>
      <w:sz w:val="24"/>
      <w:szCs w:val="24"/>
      <w:shd w:val="clear" w:color="auto" w:fill="FFFFFF"/>
    </w:rPr>
  </w:style>
  <w:style w:type="paragraph" w:customStyle="1" w:styleId="Nagwek70">
    <w:name w:val="Nagłówek #7"/>
    <w:basedOn w:val="Normalny"/>
    <w:link w:val="Nagwek7"/>
    <w:rsid w:val="00B859F2"/>
    <w:pPr>
      <w:widowControl w:val="0"/>
      <w:shd w:val="clear" w:color="auto" w:fill="FFFFFF"/>
      <w:spacing w:after="0" w:line="403" w:lineRule="exact"/>
      <w:ind w:hanging="300"/>
      <w:jc w:val="both"/>
      <w:outlineLvl w:val="6"/>
    </w:pPr>
    <w:rPr>
      <w:rFonts w:ascii="Garamond" w:eastAsia="Garamond" w:hAnsi="Garamond" w:cs="Garamond"/>
      <w:b/>
      <w:bCs/>
      <w:sz w:val="24"/>
      <w:szCs w:val="24"/>
    </w:rPr>
  </w:style>
  <w:style w:type="character" w:customStyle="1" w:styleId="Teksttreci11Exact">
    <w:name w:val="Tekst treści (11) Exact"/>
    <w:link w:val="Teksttreci11"/>
    <w:rsid w:val="00B859F2"/>
    <w:rPr>
      <w:rFonts w:ascii="Century Schoolbook" w:eastAsia="Century Schoolbook" w:hAnsi="Century Schoolbook" w:cs="Century Schoolbook"/>
      <w:i/>
      <w:iCs/>
      <w:spacing w:val="-10"/>
      <w:sz w:val="19"/>
      <w:szCs w:val="19"/>
      <w:shd w:val="clear" w:color="auto" w:fill="FFFFFF"/>
    </w:rPr>
  </w:style>
  <w:style w:type="paragraph" w:customStyle="1" w:styleId="Teksttreci11">
    <w:name w:val="Tekst treści (11)"/>
    <w:basedOn w:val="Normalny"/>
    <w:link w:val="Teksttreci11Exact"/>
    <w:rsid w:val="00B859F2"/>
    <w:pPr>
      <w:widowControl w:val="0"/>
      <w:shd w:val="clear" w:color="auto" w:fill="FFFFFF"/>
      <w:spacing w:after="0" w:line="0" w:lineRule="atLeast"/>
      <w:jc w:val="both"/>
    </w:pPr>
    <w:rPr>
      <w:rFonts w:ascii="Century Schoolbook" w:eastAsia="Century Schoolbook" w:hAnsi="Century Schoolbook" w:cs="Century Schoolbook"/>
      <w:i/>
      <w:iCs/>
      <w:spacing w:val="-10"/>
      <w:sz w:val="19"/>
      <w:szCs w:val="19"/>
    </w:rPr>
  </w:style>
  <w:style w:type="character" w:customStyle="1" w:styleId="Teksttreci16Exact">
    <w:name w:val="Tekst treści (16) Exact"/>
    <w:link w:val="Teksttreci16"/>
    <w:rsid w:val="00B859F2"/>
    <w:rPr>
      <w:rFonts w:ascii="Candara" w:eastAsia="Candara" w:hAnsi="Candara" w:cs="Candara"/>
      <w:i/>
      <w:iCs/>
      <w:shd w:val="clear" w:color="auto" w:fill="FFFFFF"/>
    </w:rPr>
  </w:style>
  <w:style w:type="paragraph" w:customStyle="1" w:styleId="Teksttreci16">
    <w:name w:val="Tekst treści (16)"/>
    <w:basedOn w:val="Normalny"/>
    <w:link w:val="Teksttreci16Exact"/>
    <w:rsid w:val="00B859F2"/>
    <w:pPr>
      <w:widowControl w:val="0"/>
      <w:shd w:val="clear" w:color="auto" w:fill="FFFFFF"/>
      <w:spacing w:after="0" w:line="0" w:lineRule="atLeast"/>
    </w:pPr>
    <w:rPr>
      <w:rFonts w:ascii="Candara" w:eastAsia="Candara" w:hAnsi="Candara" w:cs="Candara"/>
      <w:i/>
      <w:iCs/>
    </w:rPr>
  </w:style>
  <w:style w:type="character" w:customStyle="1" w:styleId="Teksttreci2Kursywa">
    <w:name w:val="Tekst treści (2) + Kursywa"/>
    <w:rsid w:val="00B859F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10Exact">
    <w:name w:val="Tekst treści (10) Exact"/>
    <w:rsid w:val="00B859F2"/>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rsid w:val="00B859F2"/>
    <w:rPr>
      <w:rFonts w:ascii="Times New Roman" w:eastAsia="Times New Roman" w:hAnsi="Times New Roman" w:cs="Times New Roman"/>
      <w:b w:val="0"/>
      <w:bCs w:val="0"/>
      <w:i w:val="0"/>
      <w:iCs w:val="0"/>
      <w:smallCaps w:val="0"/>
      <w:strike w:val="0"/>
      <w:sz w:val="22"/>
      <w:szCs w:val="22"/>
      <w:u w:val="none"/>
    </w:rPr>
  </w:style>
  <w:style w:type="character" w:customStyle="1" w:styleId="Teksttreci3Exact">
    <w:name w:val="Tekst treści (3) Exact"/>
    <w:rsid w:val="00B859F2"/>
    <w:rPr>
      <w:rFonts w:ascii="Cambria" w:eastAsia="Cambria" w:hAnsi="Cambria" w:cs="Cambria"/>
      <w:b w:val="0"/>
      <w:bCs w:val="0"/>
      <w:i w:val="0"/>
      <w:iCs w:val="0"/>
      <w:smallCaps w:val="0"/>
      <w:strike w:val="0"/>
      <w:sz w:val="14"/>
      <w:szCs w:val="14"/>
      <w:u w:val="none"/>
      <w:shd w:val="clear" w:color="auto" w:fill="FFFFFF"/>
    </w:rPr>
  </w:style>
  <w:style w:type="character" w:customStyle="1" w:styleId="StopkaTimesNewRoman75ptKursywa">
    <w:name w:val="Stopka + Times New Roman;7;5 pt;Kursywa"/>
    <w:rsid w:val="00B859F2"/>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Stopka20">
    <w:name w:val="Stopka (2)_"/>
    <w:link w:val="Stopka21"/>
    <w:rsid w:val="00B859F2"/>
    <w:rPr>
      <w:rFonts w:ascii="Cambria" w:eastAsia="Cambria" w:hAnsi="Cambria" w:cs="Cambria"/>
      <w:b/>
      <w:bCs/>
      <w:spacing w:val="-20"/>
      <w:sz w:val="28"/>
      <w:szCs w:val="28"/>
      <w:shd w:val="clear" w:color="auto" w:fill="FFFFFF"/>
    </w:rPr>
  </w:style>
  <w:style w:type="paragraph" w:customStyle="1" w:styleId="Stopka21">
    <w:name w:val="Stopka (2)"/>
    <w:basedOn w:val="Normalny"/>
    <w:link w:val="Stopka20"/>
    <w:rsid w:val="00B859F2"/>
    <w:pPr>
      <w:widowControl w:val="0"/>
      <w:shd w:val="clear" w:color="auto" w:fill="FFFFFF"/>
      <w:spacing w:before="300" w:after="0" w:line="211" w:lineRule="exact"/>
      <w:jc w:val="center"/>
    </w:pPr>
    <w:rPr>
      <w:rFonts w:ascii="Cambria" w:eastAsia="Cambria" w:hAnsi="Cambria" w:cs="Cambria"/>
      <w:b/>
      <w:bCs/>
      <w:spacing w:val="-20"/>
      <w:sz w:val="28"/>
      <w:szCs w:val="28"/>
    </w:rPr>
  </w:style>
  <w:style w:type="character" w:customStyle="1" w:styleId="Stopka2Maelitery">
    <w:name w:val="Stopka (2) + Małe litery"/>
    <w:rsid w:val="00B859F2"/>
    <w:rPr>
      <w:rFonts w:ascii="Cambria" w:eastAsia="Cambria" w:hAnsi="Cambria" w:cs="Cambria"/>
      <w:b/>
      <w:bCs/>
      <w:smallCaps/>
      <w:color w:val="000000"/>
      <w:spacing w:val="-20"/>
      <w:w w:val="100"/>
      <w:position w:val="0"/>
      <w:sz w:val="28"/>
      <w:szCs w:val="28"/>
      <w:shd w:val="clear" w:color="auto" w:fill="FFFFFF"/>
      <w:lang w:val="pl-PL" w:eastAsia="pl-PL" w:bidi="pl-PL"/>
    </w:rPr>
  </w:style>
  <w:style w:type="character" w:customStyle="1" w:styleId="Teksttreci9">
    <w:name w:val="Tekst treści (9)_"/>
    <w:rsid w:val="00B859F2"/>
    <w:rPr>
      <w:rFonts w:ascii="Times New Roman" w:eastAsia="Times New Roman" w:hAnsi="Times New Roman" w:cs="Times New Roman"/>
      <w:b/>
      <w:bCs/>
      <w:i w:val="0"/>
      <w:iCs w:val="0"/>
      <w:smallCaps w:val="0"/>
      <w:strike w:val="0"/>
      <w:sz w:val="22"/>
      <w:szCs w:val="22"/>
      <w:u w:val="none"/>
    </w:rPr>
  </w:style>
  <w:style w:type="character" w:customStyle="1" w:styleId="Teksttreci90">
    <w:name w:val="Tekst treści (9)"/>
    <w:rsid w:val="00B859F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Stopka1">
    <w:name w:val="Stopka1"/>
    <w:basedOn w:val="Normalny"/>
    <w:rsid w:val="00B859F2"/>
    <w:pPr>
      <w:widowControl w:val="0"/>
      <w:shd w:val="clear" w:color="auto" w:fill="FFFFFF"/>
      <w:spacing w:after="300" w:line="0" w:lineRule="atLeast"/>
    </w:pPr>
    <w:rPr>
      <w:rFonts w:ascii="Cambria" w:eastAsia="Cambria" w:hAnsi="Cambria" w:cs="Cambria"/>
      <w:color w:val="000000"/>
      <w:sz w:val="14"/>
      <w:szCs w:val="14"/>
      <w:lang w:eastAsia="pl-PL" w:bidi="pl-PL"/>
    </w:rPr>
  </w:style>
  <w:style w:type="paragraph" w:styleId="Tekstprzypisudolnego">
    <w:name w:val="footnote text"/>
    <w:basedOn w:val="Normalny"/>
    <w:link w:val="TekstprzypisudolnegoZnak"/>
    <w:uiPriority w:val="99"/>
    <w:semiHidden/>
    <w:unhideWhenUsed/>
    <w:rsid w:val="00B859F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859F2"/>
    <w:rPr>
      <w:rFonts w:ascii="Times New Roman" w:eastAsia="Times New Roman" w:hAnsi="Times New Roman" w:cs="Times New Roman"/>
      <w:sz w:val="20"/>
      <w:szCs w:val="20"/>
      <w:lang w:eastAsia="pl-PL"/>
    </w:rPr>
  </w:style>
  <w:style w:type="character" w:customStyle="1" w:styleId="Teksttreci10">
    <w:name w:val="Tekst treści (10)_"/>
    <w:rsid w:val="00B859F2"/>
    <w:rPr>
      <w:rFonts w:ascii="Times New Roman" w:eastAsia="Times New Roman" w:hAnsi="Times New Roman" w:cs="Times New Roman"/>
      <w:b w:val="0"/>
      <w:bCs w:val="0"/>
      <w:i/>
      <w:iCs/>
      <w:smallCaps w:val="0"/>
      <w:strike w:val="0"/>
      <w:spacing w:val="0"/>
      <w:sz w:val="21"/>
      <w:szCs w:val="21"/>
      <w:u w:val="none"/>
    </w:rPr>
  </w:style>
  <w:style w:type="character" w:customStyle="1" w:styleId="Teksttreci100">
    <w:name w:val="Tekst treści (10)"/>
    <w:rsid w:val="00B859F2"/>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9115ptKursywa">
    <w:name w:val="Tekst treści (9) + 11;5 pt;Kursywa"/>
    <w:rsid w:val="00B859F2"/>
    <w:rPr>
      <w:rFonts w:ascii="Times New Roman" w:eastAsia="Times New Roman" w:hAnsi="Times New Roman" w:cs="Times New Roman"/>
      <w:b/>
      <w:bCs/>
      <w:i/>
      <w:iCs/>
      <w:smallCaps w:val="0"/>
      <w:strike w:val="0"/>
      <w:color w:val="000000"/>
      <w:spacing w:val="0"/>
      <w:w w:val="100"/>
      <w:position w:val="0"/>
      <w:sz w:val="23"/>
      <w:szCs w:val="23"/>
      <w:u w:val="single"/>
      <w:lang w:val="pl-PL" w:eastAsia="pl-PL" w:bidi="pl-PL"/>
    </w:rPr>
  </w:style>
  <w:style w:type="character" w:customStyle="1" w:styleId="PogrubienieTeksttreci1014ptBezkursywy">
    <w:name w:val="Pogrubienie;Tekst treści (10) + 14 pt;Bez kursywy"/>
    <w:rsid w:val="00B859F2"/>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5Bezkursywy">
    <w:name w:val="Tekst treści (5) + Bez kursywy"/>
    <w:rsid w:val="00B859F2"/>
    <w:rPr>
      <w:rFonts w:ascii="Times New Roman" w:eastAsia="Times New Roman" w:hAnsi="Times New Roman" w:cs="Times New Roman"/>
      <w:b w:val="0"/>
      <w:bCs w:val="0"/>
      <w:i/>
      <w:iCs/>
      <w:smallCaps w:val="0"/>
      <w:strike w:val="0"/>
      <w:color w:val="000000"/>
      <w:spacing w:val="0"/>
      <w:w w:val="100"/>
      <w:position w:val="0"/>
      <w:sz w:val="22"/>
      <w:szCs w:val="22"/>
      <w:u w:val="single"/>
      <w:lang w:val="pl-PL" w:eastAsia="pl-PL" w:bidi="pl-PL"/>
    </w:rPr>
  </w:style>
  <w:style w:type="character" w:customStyle="1" w:styleId="Nagwek20">
    <w:name w:val="Nagłówek #2_"/>
    <w:link w:val="Nagwek21"/>
    <w:rsid w:val="00B859F2"/>
    <w:rPr>
      <w:b/>
      <w:bCs/>
      <w:shd w:val="clear" w:color="auto" w:fill="FFFFFF"/>
    </w:rPr>
  </w:style>
  <w:style w:type="paragraph" w:customStyle="1" w:styleId="Nagwek21">
    <w:name w:val="Nagłówek #2"/>
    <w:basedOn w:val="Normalny"/>
    <w:link w:val="Nagwek20"/>
    <w:rsid w:val="00B859F2"/>
    <w:pPr>
      <w:widowControl w:val="0"/>
      <w:shd w:val="clear" w:color="auto" w:fill="FFFFFF"/>
      <w:spacing w:after="0" w:line="0" w:lineRule="atLeast"/>
      <w:ind w:hanging="780"/>
      <w:outlineLvl w:val="1"/>
    </w:pPr>
    <w:rPr>
      <w:b/>
      <w:bCs/>
    </w:rPr>
  </w:style>
  <w:style w:type="character" w:customStyle="1" w:styleId="Teksttreci13">
    <w:name w:val="Tekst treści (13)_"/>
    <w:rsid w:val="00B859F2"/>
    <w:rPr>
      <w:rFonts w:ascii="Times New Roman" w:eastAsia="Times New Roman" w:hAnsi="Times New Roman" w:cs="Times New Roman"/>
      <w:b/>
      <w:bCs/>
      <w:i/>
      <w:iCs/>
      <w:smallCaps w:val="0"/>
      <w:strike w:val="0"/>
      <w:sz w:val="19"/>
      <w:szCs w:val="19"/>
      <w:u w:val="none"/>
    </w:rPr>
  </w:style>
  <w:style w:type="character" w:customStyle="1" w:styleId="Teksttreci130">
    <w:name w:val="Tekst treści (13)"/>
    <w:rsid w:val="00B859F2"/>
    <w:rPr>
      <w:rFonts w:ascii="Times New Roman" w:eastAsia="Times New Roman" w:hAnsi="Times New Roman" w:cs="Times New Roman"/>
      <w:b/>
      <w:bCs/>
      <w:i/>
      <w:iCs/>
      <w:smallCaps w:val="0"/>
      <w:strike w:val="0"/>
      <w:color w:val="000000"/>
      <w:spacing w:val="0"/>
      <w:w w:val="100"/>
      <w:position w:val="0"/>
      <w:sz w:val="19"/>
      <w:szCs w:val="19"/>
      <w:u w:val="single"/>
      <w:lang w:val="pl-PL" w:eastAsia="pl-PL" w:bidi="pl-PL"/>
    </w:rPr>
  </w:style>
  <w:style w:type="character" w:customStyle="1" w:styleId="Teksttreci110">
    <w:name w:val="Tekst treści (11)_"/>
    <w:rsid w:val="00B859F2"/>
    <w:rPr>
      <w:rFonts w:ascii="Times New Roman" w:eastAsia="Times New Roman" w:hAnsi="Times New Roman" w:cs="Times New Roman"/>
      <w:b/>
      <w:bCs/>
      <w:i w:val="0"/>
      <w:iCs w:val="0"/>
      <w:smallCaps w:val="0"/>
      <w:strike w:val="0"/>
      <w:sz w:val="22"/>
      <w:szCs w:val="22"/>
      <w:u w:val="none"/>
    </w:rPr>
  </w:style>
  <w:style w:type="character" w:customStyle="1" w:styleId="Teksttreci5CambriaOdstpy-1pt">
    <w:name w:val="Tekst treści (5) + Cambria;Odstępy -1 pt"/>
    <w:rsid w:val="00B859F2"/>
    <w:rPr>
      <w:rFonts w:ascii="Cambria" w:eastAsia="Cambria" w:hAnsi="Cambria" w:cs="Cambria"/>
      <w:b w:val="0"/>
      <w:bCs w:val="0"/>
      <w:i/>
      <w:iCs/>
      <w:smallCaps w:val="0"/>
      <w:strike w:val="0"/>
      <w:color w:val="000000"/>
      <w:spacing w:val="-30"/>
      <w:w w:val="100"/>
      <w:position w:val="0"/>
      <w:sz w:val="22"/>
      <w:szCs w:val="22"/>
      <w:u w:val="none"/>
      <w:lang w:val="pl-PL" w:eastAsia="pl-PL" w:bidi="pl-PL"/>
    </w:rPr>
  </w:style>
  <w:style w:type="character" w:customStyle="1" w:styleId="Nagwek3Exact">
    <w:name w:val="Nagłówek #3 Exact"/>
    <w:rsid w:val="00B859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Bezpogrubienia">
    <w:name w:val="Tekst treści (2) + Bez pogrubienia"/>
    <w:rsid w:val="00B859F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75ptBezpogrubienia">
    <w:name w:val="Tekst treści (2) + 7;5 pt;Bez pogrubienia"/>
    <w:rsid w:val="00B859F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Kursywa">
    <w:name w:val="Tekst treści (3) + Bez pogrubienia;Kursywa"/>
    <w:rsid w:val="00B859F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tabulatory">
    <w:name w:val="tabulatory"/>
    <w:rsid w:val="00B859F2"/>
  </w:style>
  <w:style w:type="character" w:customStyle="1" w:styleId="Podpisobrazu6Exact">
    <w:name w:val="Podpis obrazu (6) Exact"/>
    <w:link w:val="Podpisobrazu6"/>
    <w:rsid w:val="00B859F2"/>
    <w:rPr>
      <w:rFonts w:ascii="Tahoma" w:eastAsia="Tahoma" w:hAnsi="Tahoma" w:cs="Tahoma"/>
      <w:sz w:val="10"/>
      <w:szCs w:val="10"/>
      <w:shd w:val="clear" w:color="auto" w:fill="FFFFFF"/>
    </w:rPr>
  </w:style>
  <w:style w:type="paragraph" w:customStyle="1" w:styleId="Podpisobrazu6">
    <w:name w:val="Podpis obrazu (6)"/>
    <w:basedOn w:val="Normalny"/>
    <w:link w:val="Podpisobrazu6Exact"/>
    <w:rsid w:val="00B859F2"/>
    <w:pPr>
      <w:widowControl w:val="0"/>
      <w:shd w:val="clear" w:color="auto" w:fill="FFFFFF"/>
      <w:spacing w:after="0" w:line="0" w:lineRule="atLeast"/>
    </w:pPr>
    <w:rPr>
      <w:rFonts w:ascii="Tahoma" w:eastAsia="Tahoma" w:hAnsi="Tahoma" w:cs="Tahoma"/>
      <w:sz w:val="10"/>
      <w:szCs w:val="10"/>
    </w:rPr>
  </w:style>
  <w:style w:type="character" w:customStyle="1" w:styleId="Teksttreci15">
    <w:name w:val="Tekst treści (15)_"/>
    <w:link w:val="Teksttreci150"/>
    <w:rsid w:val="00B859F2"/>
    <w:rPr>
      <w:rFonts w:ascii="Arial" w:eastAsia="Arial" w:hAnsi="Arial" w:cs="Arial"/>
      <w:sz w:val="23"/>
      <w:szCs w:val="23"/>
      <w:shd w:val="clear" w:color="auto" w:fill="FFFFFF"/>
    </w:rPr>
  </w:style>
  <w:style w:type="paragraph" w:customStyle="1" w:styleId="Teksttreci150">
    <w:name w:val="Tekst treści (15)"/>
    <w:basedOn w:val="Normalny"/>
    <w:link w:val="Teksttreci15"/>
    <w:rsid w:val="00B859F2"/>
    <w:pPr>
      <w:shd w:val="clear" w:color="auto" w:fill="FFFFFF"/>
      <w:spacing w:after="0" w:line="413" w:lineRule="exact"/>
      <w:ind w:hanging="340"/>
      <w:jc w:val="both"/>
    </w:pPr>
    <w:rPr>
      <w:rFonts w:ascii="Arial" w:eastAsia="Arial" w:hAnsi="Arial" w:cs="Arial"/>
      <w:sz w:val="23"/>
      <w:szCs w:val="23"/>
    </w:rPr>
  </w:style>
  <w:style w:type="character" w:customStyle="1" w:styleId="Teksttreci13Pogrubienie">
    <w:name w:val="Tekst treści (13) + Pogrubienie"/>
    <w:rsid w:val="00B859F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13Bezkursywy">
    <w:name w:val="Tekst treści (13) + Bez kursywy"/>
    <w:rsid w:val="00B859F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4Exact">
    <w:name w:val="Tekst treści (4) Exact"/>
    <w:rsid w:val="00B859F2"/>
    <w:rPr>
      <w:rFonts w:ascii="Tahoma" w:eastAsia="Tahoma" w:hAnsi="Tahoma" w:cs="Tahoma"/>
      <w:b w:val="0"/>
      <w:bCs w:val="0"/>
      <w:i w:val="0"/>
      <w:iCs w:val="0"/>
      <w:smallCaps w:val="0"/>
      <w:strike w:val="0"/>
      <w:sz w:val="19"/>
      <w:szCs w:val="19"/>
      <w:u w:val="none"/>
    </w:rPr>
  </w:style>
  <w:style w:type="character" w:customStyle="1" w:styleId="Teksttreci16ArialUnicodeMS105ptExact">
    <w:name w:val="Tekst treści (16) + Arial Unicode MS;10;5 pt Exact"/>
    <w:rsid w:val="00B859F2"/>
    <w:rPr>
      <w:rFonts w:ascii="Arial Unicode MS" w:eastAsia="Arial Unicode MS" w:hAnsi="Arial Unicode MS" w:cs="Arial Unicode MS"/>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Teksttreci9Exact">
    <w:name w:val="Tekst treści (9) Exact"/>
    <w:rsid w:val="00B859F2"/>
    <w:rPr>
      <w:rFonts w:ascii="Arial" w:eastAsia="Arial" w:hAnsi="Arial" w:cs="Arial"/>
      <w:b w:val="0"/>
      <w:bCs w:val="0"/>
      <w:i w:val="0"/>
      <w:iCs w:val="0"/>
      <w:smallCaps w:val="0"/>
      <w:strike w:val="0"/>
      <w:sz w:val="10"/>
      <w:szCs w:val="10"/>
      <w:u w:val="none"/>
    </w:rPr>
  </w:style>
  <w:style w:type="character" w:customStyle="1" w:styleId="Teksttreci2KursywaExact">
    <w:name w:val="Tekst treści (2) + Kursywa Exact"/>
    <w:rsid w:val="00B859F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paragraph" w:customStyle="1" w:styleId="Default">
    <w:name w:val="Default"/>
    <w:rsid w:val="00B859F2"/>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kapitzlistZnak">
    <w:name w:val="Akapit z listą Znak"/>
    <w:aliases w:val="Nagłówek_ds_3 Znak"/>
    <w:link w:val="Akapitzlist"/>
    <w:uiPriority w:val="34"/>
    <w:rsid w:val="00B859F2"/>
    <w:rPr>
      <w:rFonts w:ascii="Times New Roman" w:eastAsia="Times New Roman" w:hAnsi="Times New Roman" w:cs="Times New Roman"/>
      <w:sz w:val="24"/>
      <w:szCs w:val="24"/>
      <w:lang w:eastAsia="pl-PL"/>
    </w:rPr>
  </w:style>
  <w:style w:type="numbering" w:customStyle="1" w:styleId="Zaimportowanystyl3">
    <w:name w:val="Zaimportowany styl 3"/>
    <w:rsid w:val="00B859F2"/>
    <w:pPr>
      <w:numPr>
        <w:numId w:val="20"/>
      </w:numPr>
    </w:pPr>
  </w:style>
  <w:style w:type="character" w:customStyle="1" w:styleId="Teksttreci211pt">
    <w:name w:val="Tekst treści (2) + 11 pt"/>
    <w:rsid w:val="00B859F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
    <w:name w:val="Body text (2)_"/>
    <w:link w:val="Bodytext20"/>
    <w:locked/>
    <w:rsid w:val="00B859F2"/>
    <w:rPr>
      <w:shd w:val="clear" w:color="auto" w:fill="FFFFFF"/>
    </w:rPr>
  </w:style>
  <w:style w:type="paragraph" w:customStyle="1" w:styleId="Bodytext20">
    <w:name w:val="Body text (2)"/>
    <w:basedOn w:val="Normalny"/>
    <w:link w:val="Bodytext2"/>
    <w:rsid w:val="00B859F2"/>
    <w:pPr>
      <w:widowControl w:val="0"/>
      <w:shd w:val="clear" w:color="auto" w:fill="FFFFFF"/>
      <w:spacing w:after="0" w:line="0" w:lineRule="atLeast"/>
    </w:pPr>
  </w:style>
  <w:style w:type="character" w:styleId="Uwydatnienie">
    <w:name w:val="Emphasis"/>
    <w:uiPriority w:val="20"/>
    <w:qFormat/>
    <w:rsid w:val="00B859F2"/>
    <w:rPr>
      <w:i/>
      <w:iCs/>
    </w:rPr>
  </w:style>
  <w:style w:type="paragraph" w:styleId="NormalnyWeb">
    <w:name w:val="Normal (Web)"/>
    <w:basedOn w:val="Normalny"/>
    <w:uiPriority w:val="99"/>
    <w:unhideWhenUsed/>
    <w:rsid w:val="00B859F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95ptKursywa">
    <w:name w:val="Tekst treści (2) + 9;5 pt;Kursywa"/>
    <w:rsid w:val="00B859F2"/>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citation-line">
    <w:name w:val="citation-line"/>
    <w:rsid w:val="00B859F2"/>
  </w:style>
  <w:style w:type="character" w:customStyle="1" w:styleId="Teksttreci9Bezpogrubienia">
    <w:name w:val="Tekst treści (9) + Bez pogrubienia"/>
    <w:rsid w:val="00B859F2"/>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character" w:customStyle="1" w:styleId="Teksttreci2ArialNarrow13ptKursywa">
    <w:name w:val="Tekst treści (2) + Arial Narrow;13 pt;Kursywa"/>
    <w:rsid w:val="00B859F2"/>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txt-new">
    <w:name w:val="txt-new"/>
    <w:rsid w:val="00B859F2"/>
  </w:style>
  <w:style w:type="character" w:customStyle="1" w:styleId="footnote">
    <w:name w:val="footnote"/>
    <w:rsid w:val="00B859F2"/>
  </w:style>
  <w:style w:type="character" w:customStyle="1" w:styleId="Teksttreci26ptKursywa">
    <w:name w:val="Tekst treści (2) + 6 pt;Kursywa"/>
    <w:rsid w:val="00B859F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B859F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Corbel9ptOdstpy0pt">
    <w:name w:val="Tekst treści (4) + Corbel;9 pt;Odstępy 0 pt"/>
    <w:rsid w:val="00B859F2"/>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B859F2"/>
    <w:rPr>
      <w:shd w:val="clear" w:color="auto" w:fill="FFFFFF"/>
    </w:rPr>
  </w:style>
  <w:style w:type="paragraph" w:customStyle="1" w:styleId="Podpistabeli">
    <w:name w:val="Podpis tabeli"/>
    <w:basedOn w:val="Normalny"/>
    <w:link w:val="PodpistabeliExact"/>
    <w:rsid w:val="00B859F2"/>
    <w:pPr>
      <w:widowControl w:val="0"/>
      <w:shd w:val="clear" w:color="auto" w:fill="FFFFFF"/>
      <w:spacing w:after="0" w:line="274" w:lineRule="exact"/>
      <w:ind w:hanging="320"/>
    </w:pPr>
  </w:style>
  <w:style w:type="character" w:customStyle="1" w:styleId="warheader1">
    <w:name w:val="war_header1"/>
    <w:rsid w:val="00B859F2"/>
    <w:rPr>
      <w:b/>
      <w:bCs/>
    </w:rPr>
  </w:style>
  <w:style w:type="character" w:customStyle="1" w:styleId="Teksttreci15Exact">
    <w:name w:val="Tekst treści (15) Exact"/>
    <w:rsid w:val="00B859F2"/>
    <w:rPr>
      <w:rFonts w:ascii="Trebuchet MS" w:eastAsia="Trebuchet MS" w:hAnsi="Trebuchet MS" w:cs="Trebuchet MS"/>
      <w:i/>
      <w:iCs/>
      <w:shd w:val="clear" w:color="auto" w:fill="FFFFFF"/>
    </w:rPr>
  </w:style>
  <w:style w:type="paragraph" w:customStyle="1" w:styleId="mainpub">
    <w:name w:val="mainpub"/>
    <w:basedOn w:val="Normalny"/>
    <w:rsid w:val="00B859F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icletitle">
    <w:name w:val="articletitle"/>
    <w:rsid w:val="00B859F2"/>
  </w:style>
  <w:style w:type="character" w:customStyle="1" w:styleId="Teksttreci12ptOdstpy0pt">
    <w:name w:val="Tekst treści + 12 pt;Odstępy 0 pt"/>
    <w:rsid w:val="00B859F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numbering" w:customStyle="1" w:styleId="Bezlisty2">
    <w:name w:val="Bez listy2"/>
    <w:next w:val="Bezlisty"/>
    <w:uiPriority w:val="99"/>
    <w:semiHidden/>
    <w:unhideWhenUsed/>
    <w:rsid w:val="00B859F2"/>
  </w:style>
  <w:style w:type="numbering" w:customStyle="1" w:styleId="Zaimportowanystyl31">
    <w:name w:val="Zaimportowany styl 31"/>
    <w:rsid w:val="00B859F2"/>
    <w:pPr>
      <w:numPr>
        <w:numId w:val="21"/>
      </w:numPr>
    </w:pPr>
  </w:style>
  <w:style w:type="numbering" w:customStyle="1" w:styleId="Bezlisty3">
    <w:name w:val="Bez listy3"/>
    <w:next w:val="Bezlisty"/>
    <w:uiPriority w:val="99"/>
    <w:semiHidden/>
    <w:unhideWhenUsed/>
    <w:rsid w:val="00B859F2"/>
  </w:style>
  <w:style w:type="numbering" w:customStyle="1" w:styleId="Bezlisty4">
    <w:name w:val="Bez listy4"/>
    <w:next w:val="Bezlisty"/>
    <w:uiPriority w:val="99"/>
    <w:semiHidden/>
    <w:unhideWhenUsed/>
    <w:rsid w:val="00B859F2"/>
  </w:style>
  <w:style w:type="numbering" w:customStyle="1" w:styleId="Bezlisty12">
    <w:name w:val="Bez listy12"/>
    <w:next w:val="Bezlisty"/>
    <w:uiPriority w:val="99"/>
    <w:semiHidden/>
    <w:unhideWhenUsed/>
    <w:rsid w:val="00B859F2"/>
  </w:style>
  <w:style w:type="numbering" w:customStyle="1" w:styleId="Zaimportowanystyl32">
    <w:name w:val="Zaimportowany styl 32"/>
    <w:rsid w:val="00B859F2"/>
  </w:style>
  <w:style w:type="numbering" w:customStyle="1" w:styleId="Bezlisty21">
    <w:name w:val="Bez listy21"/>
    <w:next w:val="Bezlisty"/>
    <w:uiPriority w:val="99"/>
    <w:semiHidden/>
    <w:unhideWhenUsed/>
    <w:rsid w:val="00B859F2"/>
  </w:style>
  <w:style w:type="numbering" w:customStyle="1" w:styleId="Zaimportowanystyl311">
    <w:name w:val="Zaimportowany styl 311"/>
    <w:rsid w:val="00B859F2"/>
    <w:pPr>
      <w:numPr>
        <w:numId w:val="23"/>
      </w:numPr>
    </w:pPr>
  </w:style>
  <w:style w:type="paragraph" w:customStyle="1" w:styleId="Teksttreci31">
    <w:name w:val="Tekst treści (3)1"/>
    <w:basedOn w:val="Normalny"/>
    <w:uiPriority w:val="99"/>
    <w:rsid w:val="00B859F2"/>
    <w:pPr>
      <w:widowControl w:val="0"/>
      <w:shd w:val="clear" w:color="auto" w:fill="FFFFFF"/>
      <w:spacing w:before="420" w:after="0" w:line="240" w:lineRule="atLeast"/>
    </w:pPr>
    <w:rPr>
      <w:rFonts w:ascii="Times New Roman" w:eastAsia="Times New Roman" w:hAnsi="Times New Roman" w:cs="Times New Roman"/>
      <w:sz w:val="21"/>
      <w:szCs w:val="21"/>
      <w:lang w:eastAsia="pl-PL"/>
    </w:rPr>
  </w:style>
  <w:style w:type="paragraph" w:customStyle="1" w:styleId="Teksttreci1">
    <w:name w:val="Tekst treści1"/>
    <w:basedOn w:val="Normalny"/>
    <w:uiPriority w:val="99"/>
    <w:rsid w:val="00B859F2"/>
    <w:pPr>
      <w:widowControl w:val="0"/>
      <w:shd w:val="clear" w:color="auto" w:fill="FFFFFF"/>
      <w:spacing w:before="60" w:after="540" w:line="226" w:lineRule="exact"/>
      <w:ind w:hanging="440"/>
    </w:pPr>
    <w:rPr>
      <w:rFonts w:ascii="Times New Roman" w:eastAsia="Times New Roman" w:hAnsi="Times New Roman" w:cs="Times New Roman"/>
      <w:sz w:val="21"/>
      <w:szCs w:val="21"/>
      <w:lang w:eastAsia="pl-PL"/>
    </w:rPr>
  </w:style>
  <w:style w:type="character" w:customStyle="1" w:styleId="Teksttreci6">
    <w:name w:val="Tekst treści (6)_"/>
    <w:link w:val="Teksttreci60"/>
    <w:uiPriority w:val="99"/>
    <w:rsid w:val="00B859F2"/>
    <w:rPr>
      <w:rFonts w:ascii="Arial" w:hAnsi="Arial" w:cs="Arial"/>
      <w:b/>
      <w:bCs/>
      <w:shd w:val="clear" w:color="auto" w:fill="FFFFFF"/>
    </w:rPr>
  </w:style>
  <w:style w:type="paragraph" w:customStyle="1" w:styleId="Teksttreci60">
    <w:name w:val="Tekst treści (6)"/>
    <w:basedOn w:val="Normalny"/>
    <w:link w:val="Teksttreci6"/>
    <w:uiPriority w:val="99"/>
    <w:rsid w:val="00B859F2"/>
    <w:pPr>
      <w:widowControl w:val="0"/>
      <w:shd w:val="clear" w:color="auto" w:fill="FFFFFF"/>
      <w:spacing w:after="300" w:line="240" w:lineRule="atLeast"/>
      <w:ind w:hanging="540"/>
      <w:jc w:val="both"/>
    </w:pPr>
    <w:rPr>
      <w:rFonts w:ascii="Arial" w:hAnsi="Arial" w:cs="Arial"/>
      <w:b/>
      <w:bCs/>
    </w:rPr>
  </w:style>
  <w:style w:type="character" w:customStyle="1" w:styleId="Teksttreci12">
    <w:name w:val="Tekst treści (12)_"/>
    <w:link w:val="Teksttreci121"/>
    <w:uiPriority w:val="99"/>
    <w:locked/>
    <w:rsid w:val="00B859F2"/>
    <w:rPr>
      <w:b/>
      <w:bCs/>
      <w:sz w:val="18"/>
      <w:szCs w:val="18"/>
      <w:shd w:val="clear" w:color="auto" w:fill="FFFFFF"/>
    </w:rPr>
  </w:style>
  <w:style w:type="character" w:customStyle="1" w:styleId="TeksttreciPogrubienie7">
    <w:name w:val="Tekst treści + Pogrubienie7"/>
    <w:uiPriority w:val="99"/>
    <w:rsid w:val="00B859F2"/>
    <w:rPr>
      <w:b/>
      <w:bCs/>
      <w:sz w:val="18"/>
      <w:szCs w:val="18"/>
      <w:shd w:val="clear" w:color="auto" w:fill="FFFFFF"/>
    </w:rPr>
  </w:style>
  <w:style w:type="character" w:customStyle="1" w:styleId="TeksttreciPogrubienie6">
    <w:name w:val="Tekst treści + Pogrubienie6"/>
    <w:aliases w:val="Kursywa4"/>
    <w:uiPriority w:val="99"/>
    <w:rsid w:val="00B859F2"/>
    <w:rPr>
      <w:b/>
      <w:bCs/>
      <w:i/>
      <w:iCs/>
      <w:sz w:val="18"/>
      <w:szCs w:val="18"/>
      <w:shd w:val="clear" w:color="auto" w:fill="FFFFFF"/>
    </w:rPr>
  </w:style>
  <w:style w:type="character" w:customStyle="1" w:styleId="TeksttreciPogrubienie5">
    <w:name w:val="Tekst treści + Pogrubienie5"/>
    <w:aliases w:val="Kursywa3"/>
    <w:uiPriority w:val="99"/>
    <w:rsid w:val="00B859F2"/>
    <w:rPr>
      <w:b/>
      <w:bCs/>
      <w:i/>
      <w:iCs/>
      <w:sz w:val="18"/>
      <w:szCs w:val="18"/>
      <w:u w:val="single"/>
      <w:shd w:val="clear" w:color="auto" w:fill="FFFFFF"/>
    </w:rPr>
  </w:style>
  <w:style w:type="character" w:customStyle="1" w:styleId="TeksttreciPogrubienie4">
    <w:name w:val="Tekst treści + Pogrubienie4"/>
    <w:aliases w:val="Kursywa2"/>
    <w:uiPriority w:val="99"/>
    <w:rsid w:val="00B859F2"/>
    <w:rPr>
      <w:b/>
      <w:bCs/>
      <w:i/>
      <w:iCs/>
      <w:sz w:val="18"/>
      <w:szCs w:val="18"/>
      <w:u w:val="single"/>
      <w:shd w:val="clear" w:color="auto" w:fill="FFFFFF"/>
    </w:rPr>
  </w:style>
  <w:style w:type="character" w:customStyle="1" w:styleId="Teksttreci41">
    <w:name w:val="Tekst treści4"/>
    <w:uiPriority w:val="99"/>
    <w:rsid w:val="00B859F2"/>
    <w:rPr>
      <w:sz w:val="18"/>
      <w:szCs w:val="18"/>
      <w:shd w:val="clear" w:color="auto" w:fill="FFFFFF"/>
    </w:rPr>
  </w:style>
  <w:style w:type="character" w:customStyle="1" w:styleId="TeksttreciPogrubienie3">
    <w:name w:val="Tekst treści + Pogrubienie3"/>
    <w:uiPriority w:val="99"/>
    <w:rsid w:val="00B859F2"/>
    <w:rPr>
      <w:b/>
      <w:bCs/>
      <w:sz w:val="18"/>
      <w:szCs w:val="18"/>
      <w:shd w:val="clear" w:color="auto" w:fill="FFFFFF"/>
    </w:rPr>
  </w:style>
  <w:style w:type="character" w:customStyle="1" w:styleId="Teksttreci12Kursywa">
    <w:name w:val="Tekst treści (12) + Kursywa"/>
    <w:uiPriority w:val="99"/>
    <w:rsid w:val="00B859F2"/>
    <w:rPr>
      <w:b/>
      <w:bCs/>
      <w:i/>
      <w:iCs/>
      <w:sz w:val="18"/>
      <w:szCs w:val="18"/>
      <w:shd w:val="clear" w:color="auto" w:fill="FFFFFF"/>
    </w:rPr>
  </w:style>
  <w:style w:type="character" w:customStyle="1" w:styleId="Teksttreci12Kursywa1">
    <w:name w:val="Tekst treści (12) + Kursywa1"/>
    <w:uiPriority w:val="99"/>
    <w:rsid w:val="00B859F2"/>
    <w:rPr>
      <w:b/>
      <w:bCs/>
      <w:i/>
      <w:iCs/>
      <w:sz w:val="18"/>
      <w:szCs w:val="18"/>
      <w:u w:val="single"/>
      <w:shd w:val="clear" w:color="auto" w:fill="FFFFFF"/>
    </w:rPr>
  </w:style>
  <w:style w:type="paragraph" w:customStyle="1" w:styleId="Teksttreci121">
    <w:name w:val="Tekst treści (12)1"/>
    <w:basedOn w:val="Normalny"/>
    <w:link w:val="Teksttreci12"/>
    <w:uiPriority w:val="99"/>
    <w:rsid w:val="00B859F2"/>
    <w:pPr>
      <w:widowControl w:val="0"/>
      <w:shd w:val="clear" w:color="auto" w:fill="FFFFFF"/>
      <w:spacing w:after="0" w:line="240" w:lineRule="atLeast"/>
      <w:jc w:val="center"/>
    </w:pPr>
    <w:rPr>
      <w:b/>
      <w:bCs/>
      <w:sz w:val="18"/>
      <w:szCs w:val="18"/>
    </w:rPr>
  </w:style>
  <w:style w:type="paragraph" w:customStyle="1" w:styleId="Domynie">
    <w:name w:val="Domy徑nie"/>
    <w:rsid w:val="00B859F2"/>
    <w:pPr>
      <w:widowControl w:val="0"/>
      <w:autoSpaceDN w:val="0"/>
      <w:adjustRightInd w:val="0"/>
      <w:spacing w:after="0" w:line="240" w:lineRule="auto"/>
    </w:pPr>
    <w:rPr>
      <w:rFonts w:ascii="Times New Roman" w:eastAsia="Times New Roman" w:hAnsi="Times New Roman" w:cs="Times New Roman"/>
      <w:kern w:val="1"/>
      <w:sz w:val="24"/>
      <w:szCs w:val="24"/>
      <w:lang w:eastAsia="pl-PL" w:bidi="hi-IN"/>
    </w:rPr>
  </w:style>
  <w:style w:type="paragraph" w:customStyle="1" w:styleId="Teksttreci21">
    <w:name w:val="Tekst treści (2)1"/>
    <w:basedOn w:val="Normalny"/>
    <w:uiPriority w:val="99"/>
    <w:rsid w:val="00B859F2"/>
    <w:pPr>
      <w:widowControl w:val="0"/>
      <w:shd w:val="clear" w:color="auto" w:fill="FFFFFF"/>
      <w:spacing w:before="300" w:after="0" w:line="240" w:lineRule="atLeast"/>
      <w:ind w:hanging="340"/>
    </w:pPr>
    <w:rPr>
      <w:rFonts w:ascii="Times New Roman" w:eastAsia="Times New Roman" w:hAnsi="Times New Roman" w:cs="Times New Roman"/>
      <w:sz w:val="23"/>
      <w:szCs w:val="23"/>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jm.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C594-FD83-4656-9EED-6301E582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6385</Words>
  <Characters>38316</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44612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Nowakowski Adam</dc:creator>
  <cp:lastModifiedBy>Szulecka Karolina</cp:lastModifiedBy>
  <cp:revision>2</cp:revision>
  <cp:lastPrinted>2022-11-17T12:05:00Z</cp:lastPrinted>
  <dcterms:created xsi:type="dcterms:W3CDTF">2022-11-30T08:27:00Z</dcterms:created>
  <dcterms:modified xsi:type="dcterms:W3CDTF">2022-11-30T08:27:00Z</dcterms:modified>
</cp:coreProperties>
</file>