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BE2" w:rsidRPr="00BB6BE2" w14:paraId="42CF857B" w14:textId="77777777" w:rsidTr="00BB6BE2">
        <w:tc>
          <w:tcPr>
            <w:tcW w:w="9062" w:type="dxa"/>
            <w:shd w:val="clear" w:color="auto" w:fill="4472C4" w:themeFill="accent5"/>
          </w:tcPr>
          <w:p w14:paraId="23F9D790" w14:textId="206AB4D9" w:rsidR="00BB6BE2" w:rsidRPr="00BB6BE2" w:rsidRDefault="00BB6BE2" w:rsidP="00657781">
            <w:pPr>
              <w:spacing w:line="276" w:lineRule="auto"/>
              <w:jc w:val="both"/>
              <w:rPr>
                <w:rStyle w:val="Wyrnienieintensywne"/>
                <w:b/>
                <w:sz w:val="24"/>
              </w:rPr>
            </w:pPr>
            <w:bookmarkStart w:id="0" w:name="_GoBack" w:colFirst="0" w:colLast="0"/>
            <w:r w:rsidRPr="00BB6BE2">
              <w:rPr>
                <w:rStyle w:val="Wyrnienieintensywne"/>
                <w:b/>
                <w:color w:val="FFFFFF" w:themeColor="background1"/>
                <w:sz w:val="36"/>
              </w:rPr>
              <w:t>Bezstronność</w:t>
            </w:r>
            <w:r w:rsidR="00B77E2D">
              <w:rPr>
                <w:rStyle w:val="Wyrnienieintensywne"/>
                <w:b/>
                <w:color w:val="FFFFFF" w:themeColor="background1"/>
                <w:sz w:val="36"/>
              </w:rPr>
              <w:t xml:space="preserve"> podejmowanych czynności</w:t>
            </w:r>
          </w:p>
        </w:tc>
      </w:tr>
      <w:bookmarkEnd w:id="0"/>
      <w:tr w:rsidR="00BB6BE2" w:rsidRPr="00E21283" w14:paraId="52B0C93A" w14:textId="77777777" w:rsidTr="009A4AEB">
        <w:trPr>
          <w:trHeight w:val="58"/>
        </w:trPr>
        <w:tc>
          <w:tcPr>
            <w:tcW w:w="9062" w:type="dxa"/>
          </w:tcPr>
          <w:p w14:paraId="57BAD43C" w14:textId="77777777" w:rsidR="00D81D05" w:rsidRDefault="00BB6BE2" w:rsidP="00D81D0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>W celu zapewnienia bezstronności jednostka zobowiązana jest w toku postępowania autoryzacyjnego do wykazania swojej niezależności. Według Międzynarodowej Agencji Energii Atomowej ("</w:t>
            </w:r>
            <w:r w:rsidRPr="00E21283">
              <w:rPr>
                <w:rFonts w:ascii="Arial" w:hAnsi="Arial" w:cs="Arial"/>
                <w:i/>
              </w:rPr>
              <w:t xml:space="preserve">Technical and </w:t>
            </w:r>
            <w:proofErr w:type="spellStart"/>
            <w:r w:rsidRPr="00E21283">
              <w:rPr>
                <w:rFonts w:ascii="Arial" w:hAnsi="Arial" w:cs="Arial"/>
                <w:i/>
              </w:rPr>
              <w:t>Scientific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21283">
              <w:rPr>
                <w:rFonts w:ascii="Arial" w:hAnsi="Arial" w:cs="Arial"/>
                <w:i/>
              </w:rPr>
              <w:t>Support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21283">
              <w:rPr>
                <w:rFonts w:ascii="Arial" w:hAnsi="Arial" w:cs="Arial"/>
                <w:i/>
              </w:rPr>
              <w:t>Organizations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21283">
              <w:rPr>
                <w:rFonts w:ascii="Arial" w:hAnsi="Arial" w:cs="Arial"/>
                <w:i/>
              </w:rPr>
              <w:t>Providing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21283">
              <w:rPr>
                <w:rFonts w:ascii="Arial" w:hAnsi="Arial" w:cs="Arial"/>
                <w:i/>
              </w:rPr>
              <w:t>Support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to Regulatory </w:t>
            </w:r>
            <w:proofErr w:type="spellStart"/>
            <w:r w:rsidRPr="00E21283">
              <w:rPr>
                <w:rFonts w:ascii="Arial" w:hAnsi="Arial" w:cs="Arial"/>
                <w:i/>
              </w:rPr>
              <w:t>Functions</w:t>
            </w:r>
            <w:proofErr w:type="spellEnd"/>
            <w:r w:rsidRPr="00E21283">
              <w:rPr>
                <w:rFonts w:ascii="Arial" w:hAnsi="Arial" w:cs="Arial"/>
              </w:rPr>
              <w:t xml:space="preserve">", IAEA-TECDOC-1835, Wiedeń 2018, str. 14) niezależność jednostki opiera się na dwóch głównych filarach: swobodzie stosowania podejścia naukowego, wolnego od jakichkolwiek innych wpływów oraz unikania konfliktu interesów. </w:t>
            </w:r>
          </w:p>
          <w:p w14:paraId="2E40952E" w14:textId="1F7AA38E" w:rsidR="00BB6BE2" w:rsidRDefault="004E270B" w:rsidP="00D81D0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6BE2" w:rsidRPr="00E21283">
              <w:rPr>
                <w:rFonts w:ascii="Arial" w:hAnsi="Arial" w:cs="Arial"/>
              </w:rPr>
              <w:t xml:space="preserve">rzez swobodę podejścia naukowego </w:t>
            </w:r>
            <w:r>
              <w:rPr>
                <w:rFonts w:ascii="Arial" w:hAnsi="Arial" w:cs="Arial"/>
              </w:rPr>
              <w:t>(</w:t>
            </w:r>
            <w:r w:rsidRPr="00E21283">
              <w:rPr>
                <w:rFonts w:ascii="Arial" w:hAnsi="Arial" w:cs="Arial"/>
              </w:rPr>
              <w:t>„</w:t>
            </w:r>
            <w:proofErr w:type="spellStart"/>
            <w:r w:rsidRPr="00E21283">
              <w:rPr>
                <w:rFonts w:ascii="Arial" w:hAnsi="Arial" w:cs="Arial"/>
                <w:i/>
              </w:rPr>
              <w:t>Use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E21283">
              <w:rPr>
                <w:rFonts w:ascii="Arial" w:hAnsi="Arial" w:cs="Arial"/>
                <w:i/>
              </w:rPr>
              <w:t>External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21283">
              <w:rPr>
                <w:rFonts w:ascii="Arial" w:hAnsi="Arial" w:cs="Arial"/>
                <w:i/>
              </w:rPr>
              <w:t>Experts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by the Regulatory Body”,</w:t>
            </w:r>
            <w:r w:rsidRPr="00E212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IAEA, </w:t>
            </w:r>
            <w:r w:rsidRPr="00E21283">
              <w:rPr>
                <w:rFonts w:ascii="Arial" w:hAnsi="Arial" w:cs="Arial"/>
              </w:rPr>
              <w:t xml:space="preserve">GSG-4, Wiedeń 2013, str. 11) </w:t>
            </w:r>
            <w:r w:rsidR="00BB6BE2" w:rsidRPr="00E21283">
              <w:rPr>
                <w:rFonts w:ascii="Arial" w:hAnsi="Arial" w:cs="Arial"/>
              </w:rPr>
              <w:t>należy rozumieć podejmowanie działań adekwatnych do postawionego zadania, wyczerpujących konieczne metody oraz angażujących niezbędne środki techniczne, zgodnie z aktualnym stanem wiedzy w danej dziedzinie. Bezstronność czynności związanych z wnioskowanym zakresem autoryzacji oznacza również, że uzyskane rezultaty muszą być obiektywne w rozumieniu przyjętym w naukach ścisłych i</w:t>
            </w:r>
            <w:r w:rsidR="00E21283">
              <w:rPr>
                <w:rFonts w:ascii="Arial" w:hAnsi="Arial" w:cs="Arial"/>
              </w:rPr>
              <w:t> </w:t>
            </w:r>
            <w:r w:rsidR="00BB6BE2" w:rsidRPr="00E21283">
              <w:rPr>
                <w:rFonts w:ascii="Arial" w:hAnsi="Arial" w:cs="Arial"/>
              </w:rPr>
              <w:t xml:space="preserve">technicznych, tzn. co do meritum muszą one gwarantować powtarzalność wyników </w:t>
            </w:r>
            <w:r w:rsidR="001B3325">
              <w:rPr>
                <w:rFonts w:ascii="Arial" w:hAnsi="Arial" w:cs="Arial"/>
              </w:rPr>
              <w:t xml:space="preserve">tj. otrzymanie bardzo zbliżonych wyników </w:t>
            </w:r>
            <w:r w:rsidR="00BB6BE2" w:rsidRPr="00E21283">
              <w:rPr>
                <w:rFonts w:ascii="Arial" w:hAnsi="Arial" w:cs="Arial"/>
              </w:rPr>
              <w:t>przez inny, niezależny zespół ekspercki z tej samej dziedziny.</w:t>
            </w:r>
          </w:p>
          <w:p w14:paraId="7EA7C2D9" w14:textId="1F032BFA" w:rsidR="00BB6BE2" w:rsidRPr="00E21283" w:rsidRDefault="00BB6BE2" w:rsidP="00D81D0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>Potencjalny konflikt interesów, który może wpływać na bezstronne przeprowadzanie czynności związanych z wnioskowanym zakresem</w:t>
            </w:r>
            <w:r w:rsidR="00D81D05">
              <w:rPr>
                <w:rFonts w:ascii="Arial" w:hAnsi="Arial" w:cs="Arial"/>
              </w:rPr>
              <w:t xml:space="preserve"> </w:t>
            </w:r>
            <w:r w:rsidRPr="00E21283">
              <w:rPr>
                <w:rFonts w:ascii="Arial" w:hAnsi="Arial" w:cs="Arial"/>
              </w:rPr>
              <w:t>(„</w:t>
            </w:r>
            <w:r w:rsidRPr="00E21283">
              <w:rPr>
                <w:rFonts w:ascii="Arial" w:hAnsi="Arial" w:cs="Arial"/>
                <w:i/>
              </w:rPr>
              <w:t>Organization</w:t>
            </w:r>
            <w:r w:rsidRPr="00E21283">
              <w:rPr>
                <w:rFonts w:ascii="Arial" w:hAnsi="Arial" w:cs="Arial"/>
              </w:rPr>
              <w:t xml:space="preserve">, </w:t>
            </w:r>
            <w:r w:rsidRPr="00E21283">
              <w:rPr>
                <w:rFonts w:ascii="Arial" w:hAnsi="Arial" w:cs="Arial"/>
                <w:i/>
              </w:rPr>
              <w:t xml:space="preserve">Management and </w:t>
            </w:r>
            <w:proofErr w:type="spellStart"/>
            <w:r w:rsidRPr="00E21283">
              <w:rPr>
                <w:rFonts w:ascii="Arial" w:hAnsi="Arial" w:cs="Arial"/>
                <w:i/>
              </w:rPr>
              <w:t>Staffing</w:t>
            </w:r>
            <w:proofErr w:type="spellEnd"/>
            <w:r w:rsidRPr="00E21283">
              <w:rPr>
                <w:rFonts w:ascii="Arial" w:hAnsi="Arial" w:cs="Arial"/>
                <w:i/>
              </w:rPr>
              <w:t xml:space="preserve"> of the Regulatory Body for </w:t>
            </w:r>
            <w:proofErr w:type="spellStart"/>
            <w:r w:rsidRPr="00E21283">
              <w:rPr>
                <w:rFonts w:ascii="Arial" w:hAnsi="Arial" w:cs="Arial"/>
                <w:i/>
              </w:rPr>
              <w:t>Safety</w:t>
            </w:r>
            <w:proofErr w:type="spellEnd"/>
            <w:r w:rsidRPr="00E21283">
              <w:rPr>
                <w:rFonts w:ascii="Arial" w:hAnsi="Arial" w:cs="Arial"/>
              </w:rPr>
              <w:t xml:space="preserve"> </w:t>
            </w:r>
            <w:r w:rsidRPr="00E21283">
              <w:rPr>
                <w:rFonts w:ascii="Arial" w:hAnsi="Arial" w:cs="Arial"/>
                <w:i/>
              </w:rPr>
              <w:t>Organization</w:t>
            </w:r>
            <w:r w:rsidRPr="00E21283">
              <w:rPr>
                <w:rFonts w:ascii="Arial" w:hAnsi="Arial" w:cs="Arial"/>
              </w:rPr>
              <w:t xml:space="preserve">” </w:t>
            </w:r>
            <w:r w:rsidR="00D81D05">
              <w:rPr>
                <w:rFonts w:ascii="Arial" w:hAnsi="Arial" w:cs="Arial"/>
              </w:rPr>
              <w:t xml:space="preserve">IAEA, </w:t>
            </w:r>
            <w:r w:rsidRPr="00E21283">
              <w:rPr>
                <w:rFonts w:ascii="Arial" w:hAnsi="Arial" w:cs="Arial"/>
              </w:rPr>
              <w:t>GSG-12 Wiedeń 2018, punkt I.21 załącznika 1)</w:t>
            </w:r>
            <w:r w:rsidR="00F532F6" w:rsidRPr="00E21283">
              <w:rPr>
                <w:rFonts w:ascii="Arial" w:hAnsi="Arial" w:cs="Arial"/>
              </w:rPr>
              <w:t>,</w:t>
            </w:r>
            <w:r w:rsidRPr="00E21283">
              <w:rPr>
                <w:rFonts w:ascii="Arial" w:hAnsi="Arial" w:cs="Arial"/>
              </w:rPr>
              <w:t xml:space="preserve"> zachodzi</w:t>
            </w:r>
            <w:r w:rsidR="00F532F6" w:rsidRPr="00E21283">
              <w:rPr>
                <w:rFonts w:ascii="Arial" w:hAnsi="Arial" w:cs="Arial"/>
              </w:rPr>
              <w:t xml:space="preserve"> w</w:t>
            </w:r>
            <w:r w:rsidR="00E21283">
              <w:rPr>
                <w:rFonts w:ascii="Arial" w:hAnsi="Arial" w:cs="Arial"/>
              </w:rPr>
              <w:t> </w:t>
            </w:r>
            <w:r w:rsidR="00F532F6" w:rsidRPr="00E21283">
              <w:rPr>
                <w:rFonts w:ascii="Arial" w:hAnsi="Arial" w:cs="Arial"/>
              </w:rPr>
              <w:t>przypadku, gdy</w:t>
            </w:r>
            <w:r w:rsidRPr="00E21283">
              <w:rPr>
                <w:rFonts w:ascii="Arial" w:hAnsi="Arial" w:cs="Arial"/>
              </w:rPr>
              <w:t>:</w:t>
            </w:r>
          </w:p>
          <w:p w14:paraId="04EB076E" w14:textId="291FA2DD" w:rsidR="00F6703D" w:rsidRPr="00E21283" w:rsidRDefault="00DB7E82" w:rsidP="00F6703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dane </w:t>
            </w:r>
            <w:r w:rsidR="00F6703D" w:rsidRPr="00E21283">
              <w:rPr>
                <w:rFonts w:ascii="Arial" w:hAnsi="Arial" w:cs="Arial"/>
              </w:rPr>
              <w:t>laboratorium lub organizacja ekspercka zapewnia wsparcie</w:t>
            </w:r>
            <w:r w:rsidR="00CC4833" w:rsidRPr="00E21283">
              <w:rPr>
                <w:rFonts w:ascii="Arial" w:hAnsi="Arial" w:cs="Arial"/>
              </w:rPr>
              <w:t xml:space="preserve"> dozorowi jądrowemu oraz</w:t>
            </w:r>
            <w:r w:rsidR="00F6703D" w:rsidRPr="00E21283">
              <w:rPr>
                <w:rFonts w:ascii="Arial" w:hAnsi="Arial" w:cs="Arial"/>
              </w:rPr>
              <w:t xml:space="preserve"> w tym samym</w:t>
            </w:r>
            <w:r w:rsidR="00F532F6" w:rsidRPr="00E21283">
              <w:rPr>
                <w:rFonts w:ascii="Arial" w:hAnsi="Arial" w:cs="Arial"/>
              </w:rPr>
              <w:t>,</w:t>
            </w:r>
            <w:r w:rsidR="00F6703D" w:rsidRPr="00E21283">
              <w:rPr>
                <w:rFonts w:ascii="Arial" w:hAnsi="Arial" w:cs="Arial"/>
              </w:rPr>
              <w:t xml:space="preserve"> albo ściśle powiązanym zakresie</w:t>
            </w:r>
            <w:r w:rsidR="001B3325">
              <w:rPr>
                <w:rFonts w:ascii="Arial" w:hAnsi="Arial" w:cs="Arial"/>
              </w:rPr>
              <w:t>,</w:t>
            </w:r>
            <w:r w:rsidR="00F6703D" w:rsidRPr="00E21283">
              <w:rPr>
                <w:rFonts w:ascii="Arial" w:hAnsi="Arial" w:cs="Arial"/>
              </w:rPr>
              <w:t xml:space="preserve"> </w:t>
            </w:r>
            <w:r w:rsidR="00F532F6" w:rsidRPr="00E21283">
              <w:rPr>
                <w:rFonts w:ascii="Arial" w:hAnsi="Arial" w:cs="Arial"/>
              </w:rPr>
              <w:t xml:space="preserve">jednostce </w:t>
            </w:r>
            <w:r w:rsidR="00F6703D" w:rsidRPr="00E21283">
              <w:rPr>
                <w:rFonts w:ascii="Arial" w:hAnsi="Arial" w:cs="Arial"/>
              </w:rPr>
              <w:t>organizacyjnej</w:t>
            </w:r>
            <w:r w:rsidR="00390A80">
              <w:rPr>
                <w:rFonts w:ascii="Arial" w:hAnsi="Arial" w:cs="Arial"/>
              </w:rPr>
              <w:t xml:space="preserve"> (</w:t>
            </w:r>
            <w:r w:rsidR="00654147">
              <w:rPr>
                <w:rFonts w:ascii="Arial" w:hAnsi="Arial" w:cs="Arial"/>
              </w:rPr>
              <w:t xml:space="preserve">dalej: </w:t>
            </w:r>
            <w:r w:rsidR="00390A80">
              <w:rPr>
                <w:rFonts w:ascii="Arial" w:hAnsi="Arial" w:cs="Arial"/>
              </w:rPr>
              <w:t>wnioskodawcy)</w:t>
            </w:r>
            <w:r w:rsidR="00F6703D" w:rsidRPr="00E21283">
              <w:rPr>
                <w:rFonts w:ascii="Arial" w:hAnsi="Arial" w:cs="Arial"/>
              </w:rPr>
              <w:t>, która złożyła lub zamierza złożyć wniosek o wydanie zezwolenia na budowę, rozruch, eksploatację lub likwidację elektrowni jądrowej</w:t>
            </w:r>
            <w:r w:rsidR="00390A80">
              <w:rPr>
                <w:rFonts w:ascii="Arial" w:hAnsi="Arial" w:cs="Arial"/>
              </w:rPr>
              <w:t xml:space="preserve"> </w:t>
            </w:r>
            <w:r w:rsidR="00F6703D" w:rsidRPr="00E21283">
              <w:rPr>
                <w:rFonts w:ascii="Arial" w:hAnsi="Arial" w:cs="Arial"/>
              </w:rPr>
              <w:t>, projektantowi technologii jądrowej albo operatorowi elektrowni jądrowej;</w:t>
            </w:r>
          </w:p>
          <w:p w14:paraId="4788BF88" w14:textId="28AC450A" w:rsidR="00BB6BE2" w:rsidRPr="00E21283" w:rsidRDefault="00BB6BE2" w:rsidP="0065778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istnieje powiązanie finansowe (np. poprzez akcjonariusza lub finansowanie) między </w:t>
            </w:r>
            <w:r w:rsidR="00DB7E82" w:rsidRPr="00E21283">
              <w:rPr>
                <w:rFonts w:ascii="Arial" w:hAnsi="Arial" w:cs="Arial"/>
              </w:rPr>
              <w:t xml:space="preserve">danym </w:t>
            </w:r>
            <w:r w:rsidRPr="00E21283">
              <w:rPr>
                <w:rFonts w:ascii="Arial" w:hAnsi="Arial" w:cs="Arial"/>
              </w:rPr>
              <w:t xml:space="preserve">laboratorium lub organizacją ekspercką a przemysłem jądrowym (np. </w:t>
            </w:r>
            <w:r w:rsidR="00390A80">
              <w:rPr>
                <w:rFonts w:ascii="Arial" w:hAnsi="Arial" w:cs="Arial"/>
              </w:rPr>
              <w:t>wnioskodawcą</w:t>
            </w:r>
            <w:r w:rsidRPr="00E21283">
              <w:rPr>
                <w:rFonts w:ascii="Arial" w:hAnsi="Arial" w:cs="Arial"/>
              </w:rPr>
              <w:t>);</w:t>
            </w:r>
          </w:p>
          <w:p w14:paraId="6428A390" w14:textId="08A9A752" w:rsidR="00BB6BE2" w:rsidRPr="00E21283" w:rsidRDefault="00DB7E82" w:rsidP="0065778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dane </w:t>
            </w:r>
            <w:r w:rsidR="00BB6BE2" w:rsidRPr="00E21283">
              <w:rPr>
                <w:rFonts w:ascii="Arial" w:hAnsi="Arial" w:cs="Arial"/>
              </w:rPr>
              <w:t xml:space="preserve">laboratorium lub organizacja ekspercka jest częścią lub jest ściśle </w:t>
            </w:r>
            <w:r w:rsidRPr="00E21283">
              <w:rPr>
                <w:rFonts w:ascii="Arial" w:hAnsi="Arial" w:cs="Arial"/>
              </w:rPr>
              <w:t xml:space="preserve">powiązane </w:t>
            </w:r>
            <w:r w:rsidR="00BB6BE2" w:rsidRPr="00E21283">
              <w:rPr>
                <w:rFonts w:ascii="Arial" w:hAnsi="Arial" w:cs="Arial"/>
              </w:rPr>
              <w:t>z organizacją, któr</w:t>
            </w:r>
            <w:r w:rsidR="00F6703D" w:rsidRPr="00E21283">
              <w:rPr>
                <w:rFonts w:ascii="Arial" w:hAnsi="Arial" w:cs="Arial"/>
              </w:rPr>
              <w:t xml:space="preserve">a </w:t>
            </w:r>
            <w:r w:rsidR="00BB6BE2" w:rsidRPr="00E21283">
              <w:rPr>
                <w:rFonts w:ascii="Arial" w:hAnsi="Arial" w:cs="Arial"/>
              </w:rPr>
              <w:t>prom</w:t>
            </w:r>
            <w:r w:rsidR="00F6703D" w:rsidRPr="00E21283">
              <w:rPr>
                <w:rFonts w:ascii="Arial" w:hAnsi="Arial" w:cs="Arial"/>
              </w:rPr>
              <w:t>uje</w:t>
            </w:r>
            <w:r w:rsidR="00BB6BE2" w:rsidRPr="00E21283">
              <w:rPr>
                <w:rFonts w:ascii="Arial" w:hAnsi="Arial" w:cs="Arial"/>
              </w:rPr>
              <w:t xml:space="preserve"> </w:t>
            </w:r>
            <w:r w:rsidR="00CC4833" w:rsidRPr="00E21283">
              <w:rPr>
                <w:rFonts w:ascii="Arial" w:hAnsi="Arial" w:cs="Arial"/>
              </w:rPr>
              <w:t xml:space="preserve">lub </w:t>
            </w:r>
            <w:r w:rsidR="009D1FF6" w:rsidRPr="00E21283">
              <w:rPr>
                <w:rFonts w:ascii="Arial" w:hAnsi="Arial" w:cs="Arial"/>
              </w:rPr>
              <w:t>lobbuje w sprawie</w:t>
            </w:r>
            <w:r w:rsidR="00CC4833" w:rsidRPr="00E21283">
              <w:rPr>
                <w:rFonts w:ascii="Arial" w:hAnsi="Arial" w:cs="Arial"/>
              </w:rPr>
              <w:t xml:space="preserve"> określonej</w:t>
            </w:r>
            <w:r w:rsidR="009D1FF6" w:rsidRPr="00E21283">
              <w:rPr>
                <w:rFonts w:ascii="Arial" w:hAnsi="Arial" w:cs="Arial"/>
              </w:rPr>
              <w:t xml:space="preserve"> </w:t>
            </w:r>
            <w:r w:rsidR="00BB6BE2" w:rsidRPr="00E21283">
              <w:rPr>
                <w:rFonts w:ascii="Arial" w:hAnsi="Arial" w:cs="Arial"/>
              </w:rPr>
              <w:t>technologi</w:t>
            </w:r>
            <w:r w:rsidR="00CC4833" w:rsidRPr="00E21283">
              <w:rPr>
                <w:rFonts w:ascii="Arial" w:hAnsi="Arial" w:cs="Arial"/>
              </w:rPr>
              <w:t>i</w:t>
            </w:r>
            <w:r w:rsidR="00BB6BE2" w:rsidRPr="00E21283">
              <w:rPr>
                <w:rFonts w:ascii="Arial" w:hAnsi="Arial" w:cs="Arial"/>
              </w:rPr>
              <w:t xml:space="preserve"> jądrow</w:t>
            </w:r>
            <w:r w:rsidR="00F6703D" w:rsidRPr="00E21283">
              <w:rPr>
                <w:rFonts w:ascii="Arial" w:hAnsi="Arial" w:cs="Arial"/>
              </w:rPr>
              <w:t>e</w:t>
            </w:r>
            <w:r w:rsidR="00CC4833" w:rsidRPr="00E21283">
              <w:rPr>
                <w:rFonts w:ascii="Arial" w:hAnsi="Arial" w:cs="Arial"/>
              </w:rPr>
              <w:t>j</w:t>
            </w:r>
            <w:r w:rsidR="00BB6BE2" w:rsidRPr="00E21283">
              <w:rPr>
                <w:rFonts w:ascii="Arial" w:hAnsi="Arial" w:cs="Arial"/>
              </w:rPr>
              <w:t>;</w:t>
            </w:r>
          </w:p>
          <w:p w14:paraId="0617BF61" w14:textId="6F84B872" w:rsidR="00BB6BE2" w:rsidRPr="00E21283" w:rsidRDefault="00BB6BE2" w:rsidP="0065778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>może nastąpić konflikt interesów narodowych lub handlowych;</w:t>
            </w:r>
          </w:p>
          <w:p w14:paraId="460ADCF9" w14:textId="549E2974" w:rsidR="00BB6BE2" w:rsidRDefault="00DB7E82" w:rsidP="00BB6BE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dane </w:t>
            </w:r>
            <w:r w:rsidR="00BB6BE2" w:rsidRPr="00E21283">
              <w:rPr>
                <w:rFonts w:ascii="Arial" w:hAnsi="Arial" w:cs="Arial"/>
              </w:rPr>
              <w:t>laboratorium lub organizacja ekspercka jest zaangażowana w badania i</w:t>
            </w:r>
            <w:r w:rsidR="00E21283">
              <w:rPr>
                <w:rFonts w:ascii="Arial" w:hAnsi="Arial" w:cs="Arial"/>
              </w:rPr>
              <w:t> </w:t>
            </w:r>
            <w:r w:rsidR="00BB6BE2" w:rsidRPr="00E21283">
              <w:rPr>
                <w:rFonts w:ascii="Arial" w:hAnsi="Arial" w:cs="Arial"/>
              </w:rPr>
              <w:t>działania rozwojowe we współpracy z innymi stronami</w:t>
            </w:r>
            <w:r w:rsidR="00840131" w:rsidRPr="00E21283">
              <w:rPr>
                <w:rFonts w:ascii="Arial" w:hAnsi="Arial" w:cs="Arial"/>
              </w:rPr>
              <w:t xml:space="preserve"> zaangażowanymi w</w:t>
            </w:r>
            <w:r w:rsidR="00E21283">
              <w:rPr>
                <w:rFonts w:ascii="Arial" w:hAnsi="Arial" w:cs="Arial"/>
              </w:rPr>
              <w:t> </w:t>
            </w:r>
            <w:r w:rsidR="00840131" w:rsidRPr="00E21283">
              <w:rPr>
                <w:rFonts w:ascii="Arial" w:hAnsi="Arial" w:cs="Arial"/>
              </w:rPr>
              <w:t>licencjonowanie elektrowni jądrowej</w:t>
            </w:r>
            <w:r w:rsidR="00BB6BE2" w:rsidRPr="00E21283">
              <w:rPr>
                <w:rFonts w:ascii="Arial" w:hAnsi="Arial" w:cs="Arial"/>
              </w:rPr>
              <w:t xml:space="preserve">. </w:t>
            </w:r>
          </w:p>
          <w:p w14:paraId="4DDEAC6A" w14:textId="713F2993" w:rsidR="008932F6" w:rsidRDefault="008932F6" w:rsidP="008932F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Uzyskanie autoryzacji Prezesa PAA nie oznacza, że w przyszłości </w:t>
            </w:r>
            <w:r w:rsidR="004F540E">
              <w:rPr>
                <w:rFonts w:ascii="Arial" w:hAnsi="Arial" w:cs="Arial"/>
              </w:rPr>
              <w:t xml:space="preserve">niemożliwa będzie współpraca </w:t>
            </w:r>
            <w:r w:rsidR="004A124C" w:rsidRPr="00E21283">
              <w:rPr>
                <w:rFonts w:ascii="Arial" w:hAnsi="Arial" w:cs="Arial"/>
              </w:rPr>
              <w:t>organizacj</w:t>
            </w:r>
            <w:r w:rsidR="004A124C">
              <w:rPr>
                <w:rFonts w:ascii="Arial" w:hAnsi="Arial" w:cs="Arial"/>
              </w:rPr>
              <w:t>i</w:t>
            </w:r>
            <w:r w:rsidR="004A124C" w:rsidRPr="00E21283">
              <w:rPr>
                <w:rFonts w:ascii="Arial" w:hAnsi="Arial" w:cs="Arial"/>
              </w:rPr>
              <w:t xml:space="preserve"> eksperck</w:t>
            </w:r>
            <w:r w:rsidR="004A124C">
              <w:rPr>
                <w:rFonts w:ascii="Arial" w:hAnsi="Arial" w:cs="Arial"/>
              </w:rPr>
              <w:t xml:space="preserve">iej z przedstawicielami </w:t>
            </w:r>
            <w:r w:rsidR="004A124C" w:rsidRPr="00E21283">
              <w:rPr>
                <w:rFonts w:ascii="Arial" w:hAnsi="Arial" w:cs="Arial"/>
              </w:rPr>
              <w:t>przemysł</w:t>
            </w:r>
            <w:r w:rsidR="004A124C">
              <w:rPr>
                <w:rFonts w:ascii="Arial" w:hAnsi="Arial" w:cs="Arial"/>
              </w:rPr>
              <w:t>u</w:t>
            </w:r>
            <w:r w:rsidR="004A124C" w:rsidRPr="00E21283">
              <w:rPr>
                <w:rFonts w:ascii="Arial" w:hAnsi="Arial" w:cs="Arial"/>
              </w:rPr>
              <w:t xml:space="preserve"> jądrow</w:t>
            </w:r>
            <w:r w:rsidR="004A124C">
              <w:rPr>
                <w:rFonts w:ascii="Arial" w:hAnsi="Arial" w:cs="Arial"/>
              </w:rPr>
              <w:t>ego</w:t>
            </w:r>
            <w:r w:rsidR="004A124C" w:rsidRPr="00E21283">
              <w:rPr>
                <w:rFonts w:ascii="Arial" w:hAnsi="Arial" w:cs="Arial"/>
              </w:rPr>
              <w:t xml:space="preserve"> (np. </w:t>
            </w:r>
            <w:r w:rsidR="004A124C">
              <w:rPr>
                <w:rFonts w:ascii="Arial" w:hAnsi="Arial" w:cs="Arial"/>
              </w:rPr>
              <w:t>wnioskodawcą</w:t>
            </w:r>
            <w:r w:rsidR="004A124C" w:rsidRPr="00E21283">
              <w:rPr>
                <w:rFonts w:ascii="Arial" w:hAnsi="Arial" w:cs="Arial"/>
              </w:rPr>
              <w:t>)</w:t>
            </w:r>
            <w:r w:rsidR="004A124C">
              <w:rPr>
                <w:rFonts w:ascii="Arial" w:hAnsi="Arial" w:cs="Arial"/>
              </w:rPr>
              <w:t xml:space="preserve">. Jednakże, </w:t>
            </w:r>
            <w:r w:rsidR="006856D9">
              <w:rPr>
                <w:rFonts w:ascii="Arial" w:hAnsi="Arial" w:cs="Arial"/>
              </w:rPr>
              <w:t xml:space="preserve">taka okoliczność powinna być brana pod uwagę przy analizie potencjalnych konfliktów interesów </w:t>
            </w:r>
            <w:r w:rsidR="004A3F04">
              <w:rPr>
                <w:rFonts w:ascii="Arial" w:hAnsi="Arial" w:cs="Arial"/>
              </w:rPr>
              <w:t>w toku opracowywania mechanizmów zapewniających bezstronność organizacji eksperckiej posiadającej autoryzację Prezesa PAA.</w:t>
            </w:r>
          </w:p>
          <w:p w14:paraId="7BF77BD3" w14:textId="4ECF7241" w:rsidR="00654147" w:rsidRDefault="00654147" w:rsidP="008932F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Ponadto, w przypadku postępowania o udzielenie zamówienia publicznego, jednym z warunków udziału w postępowaniu będzie spełnienie warunku w postaci bezstronnej realizacji przedmiotu zamówienia.</w:t>
            </w:r>
          </w:p>
          <w:p w14:paraId="2D45CB53" w14:textId="77777777" w:rsidR="008A62D1" w:rsidRDefault="008A62D1" w:rsidP="008932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D6B5FA" w14:textId="77777777" w:rsidR="00EF723F" w:rsidRDefault="00EF723F" w:rsidP="008932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0FFA21" w14:textId="77777777" w:rsidR="00EF723F" w:rsidRDefault="00EF723F" w:rsidP="008932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3563CB" w14:textId="77777777" w:rsidR="006120FA" w:rsidRPr="00E21283" w:rsidRDefault="006120FA" w:rsidP="009A4A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lastRenderedPageBreak/>
              <w:t>Przykłady konfliktu interesu:</w:t>
            </w:r>
          </w:p>
          <w:p w14:paraId="7F44A855" w14:textId="2EC93F04" w:rsidR="006120FA" w:rsidRPr="00E21283" w:rsidRDefault="006120FA" w:rsidP="009A4AE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Wydział analiz instytutu N1 wykonał obliczenia awarii </w:t>
            </w:r>
            <w:r w:rsidR="00F65267" w:rsidRPr="00E21283">
              <w:rPr>
                <w:rFonts w:ascii="Arial" w:hAnsi="Arial" w:cs="Arial"/>
              </w:rPr>
              <w:t>A2 dla reaktora R900 dla firmy F3</w:t>
            </w:r>
            <w:r w:rsidR="009A4AEB" w:rsidRPr="00E21283">
              <w:rPr>
                <w:rFonts w:ascii="Arial" w:hAnsi="Arial" w:cs="Arial"/>
              </w:rPr>
              <w:t>, która eksploatuje ten reaktor,</w:t>
            </w:r>
            <w:r w:rsidR="00F65267" w:rsidRPr="00E21283">
              <w:rPr>
                <w:rFonts w:ascii="Arial" w:hAnsi="Arial" w:cs="Arial"/>
              </w:rPr>
              <w:t xml:space="preserve"> a następnie wyraził zainteresowanie wykonani</w:t>
            </w:r>
            <w:r w:rsidR="00417563" w:rsidRPr="00E21283">
              <w:rPr>
                <w:rFonts w:ascii="Arial" w:hAnsi="Arial" w:cs="Arial"/>
              </w:rPr>
              <w:t>em</w:t>
            </w:r>
            <w:r w:rsidR="00F65267" w:rsidRPr="00E21283">
              <w:rPr>
                <w:rFonts w:ascii="Arial" w:hAnsi="Arial" w:cs="Arial"/>
              </w:rPr>
              <w:t xml:space="preserve"> obliczeń awarii A1 dla tego samego reaktora dla </w:t>
            </w:r>
            <w:r w:rsidR="009A4AEB" w:rsidRPr="00E21283">
              <w:rPr>
                <w:rFonts w:ascii="Arial" w:hAnsi="Arial" w:cs="Arial"/>
              </w:rPr>
              <w:t xml:space="preserve">organów </w:t>
            </w:r>
            <w:r w:rsidR="00F65267" w:rsidRPr="00E21283">
              <w:rPr>
                <w:rFonts w:ascii="Arial" w:hAnsi="Arial" w:cs="Arial"/>
              </w:rPr>
              <w:t>dozoru jądrowego.</w:t>
            </w:r>
          </w:p>
          <w:p w14:paraId="5815AD93" w14:textId="4B176140" w:rsidR="00106E73" w:rsidRPr="00EF723F" w:rsidRDefault="00F65267" w:rsidP="00106E73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714" w:hanging="357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>Firma T5 zajmująca się automatyką jest warszawską filią koncernu energetycznego S7. Posiada autoryzację</w:t>
            </w:r>
            <w:r w:rsidR="003841E9" w:rsidRPr="00E21283">
              <w:rPr>
                <w:rFonts w:ascii="Arial" w:hAnsi="Arial" w:cs="Arial"/>
              </w:rPr>
              <w:t xml:space="preserve"> Prezesa PAA </w:t>
            </w:r>
            <w:r w:rsidRPr="00E21283">
              <w:rPr>
                <w:rFonts w:ascii="Arial" w:hAnsi="Arial" w:cs="Arial"/>
              </w:rPr>
              <w:t xml:space="preserve"> i </w:t>
            </w:r>
            <w:r w:rsidR="00417563" w:rsidRPr="00E21283">
              <w:rPr>
                <w:rFonts w:ascii="Arial" w:hAnsi="Arial" w:cs="Arial"/>
              </w:rPr>
              <w:t>przystąpiła do</w:t>
            </w:r>
            <w:r w:rsidRPr="00E21283">
              <w:rPr>
                <w:rFonts w:ascii="Arial" w:hAnsi="Arial" w:cs="Arial"/>
              </w:rPr>
              <w:t xml:space="preserve"> przetargu na wykonanie oceny systemu automatyki </w:t>
            </w:r>
            <w:r w:rsidR="003841E9" w:rsidRPr="00E21283">
              <w:rPr>
                <w:rFonts w:ascii="Arial" w:hAnsi="Arial" w:cs="Arial"/>
              </w:rPr>
              <w:t>reaktora R950 firmy S7.</w:t>
            </w:r>
          </w:p>
        </w:tc>
      </w:tr>
    </w:tbl>
    <w:p w14:paraId="7DFC4DEA" w14:textId="77777777" w:rsidR="004E270B" w:rsidRPr="00E21283" w:rsidRDefault="004E270B" w:rsidP="00963C67">
      <w:pPr>
        <w:spacing w:line="276" w:lineRule="auto"/>
        <w:jc w:val="both"/>
        <w:rPr>
          <w:rStyle w:val="Wyrnienieintensywne"/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BE2" w:rsidRPr="00E21283" w14:paraId="14E6B96B" w14:textId="77777777" w:rsidTr="00BB6BE2">
        <w:tc>
          <w:tcPr>
            <w:tcW w:w="9062" w:type="dxa"/>
            <w:shd w:val="clear" w:color="auto" w:fill="4472C4" w:themeFill="accent5"/>
          </w:tcPr>
          <w:p w14:paraId="609A2768" w14:textId="77777777" w:rsidR="00BB6BE2" w:rsidRPr="00E21283" w:rsidRDefault="00BB6BE2" w:rsidP="00E21283">
            <w:pPr>
              <w:spacing w:before="60" w:after="60" w:line="276" w:lineRule="auto"/>
              <w:jc w:val="both"/>
              <w:rPr>
                <w:rStyle w:val="Wyrnienieintensywne"/>
                <w:rFonts w:ascii="Arial" w:hAnsi="Arial" w:cs="Arial"/>
                <w:b/>
              </w:rPr>
            </w:pPr>
            <w:r w:rsidRPr="00E21283">
              <w:rPr>
                <w:rStyle w:val="Wyrnienieintensywne"/>
                <w:rFonts w:ascii="Arial" w:hAnsi="Arial" w:cs="Arial"/>
                <w:b/>
                <w:color w:val="FFFFFF" w:themeColor="background1"/>
              </w:rPr>
              <w:t>Metody wykazania bezstronności</w:t>
            </w:r>
          </w:p>
        </w:tc>
      </w:tr>
      <w:tr w:rsidR="00BB6BE2" w:rsidRPr="00E21283" w14:paraId="01B857C8" w14:textId="77777777" w:rsidTr="007153C0">
        <w:trPr>
          <w:trHeight w:val="2792"/>
        </w:trPr>
        <w:tc>
          <w:tcPr>
            <w:tcW w:w="9062" w:type="dxa"/>
          </w:tcPr>
          <w:p w14:paraId="145C877C" w14:textId="77777777" w:rsidR="00D81D05" w:rsidRDefault="00DD4C55" w:rsidP="00E2128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>Dla potwierdzenia intencji bezstronnego przeprowadzenia czynności związanych z</w:t>
            </w:r>
            <w:r w:rsidR="00E21283">
              <w:rPr>
                <w:rFonts w:ascii="Arial" w:hAnsi="Arial" w:cs="Arial"/>
              </w:rPr>
              <w:t> </w:t>
            </w:r>
            <w:r w:rsidRPr="00E21283">
              <w:rPr>
                <w:rFonts w:ascii="Arial" w:hAnsi="Arial" w:cs="Arial"/>
              </w:rPr>
              <w:t xml:space="preserve">wnioskowanym zakresem autoryzacji </w:t>
            </w:r>
            <w:r w:rsidR="00247AC9" w:rsidRPr="00E21283">
              <w:rPr>
                <w:rFonts w:ascii="Arial" w:hAnsi="Arial" w:cs="Arial"/>
              </w:rPr>
              <w:t>należy przedstawić rozwiązanie</w:t>
            </w:r>
            <w:r w:rsidR="00965E6E" w:rsidRPr="00E21283">
              <w:rPr>
                <w:rFonts w:ascii="Arial" w:hAnsi="Arial" w:cs="Arial"/>
              </w:rPr>
              <w:t>,</w:t>
            </w:r>
            <w:r w:rsidR="00247AC9" w:rsidRPr="00E21283">
              <w:rPr>
                <w:rFonts w:ascii="Arial" w:hAnsi="Arial" w:cs="Arial"/>
              </w:rPr>
              <w:t xml:space="preserve"> umożliwiające wykrycie i uniknięcie konfliktów interesów (tak potencjalnych i rzeczywistych, jak i</w:t>
            </w:r>
            <w:r w:rsidR="00E21283">
              <w:rPr>
                <w:rFonts w:ascii="Arial" w:hAnsi="Arial" w:cs="Arial"/>
              </w:rPr>
              <w:t> </w:t>
            </w:r>
            <w:r w:rsidR="00247AC9" w:rsidRPr="00E21283">
              <w:rPr>
                <w:rFonts w:ascii="Arial" w:hAnsi="Arial" w:cs="Arial"/>
              </w:rPr>
              <w:t>pozornych), a także wskazujące metody postępowania w przypadku ich zaistnienia. Środki służące powyższym celom powinny być udokumentowane i wdrożone w laboratorium lub jednostce eksperckiej wnioskującej o autoryzację np. w formie procedur lub</w:t>
            </w:r>
            <w:r w:rsidR="001D135E" w:rsidRPr="00E21283">
              <w:rPr>
                <w:rFonts w:ascii="Arial" w:hAnsi="Arial" w:cs="Arial"/>
              </w:rPr>
              <w:t xml:space="preserve"> odpowiednich</w:t>
            </w:r>
            <w:r w:rsidR="00247AC9" w:rsidRPr="00E21283">
              <w:rPr>
                <w:rFonts w:ascii="Arial" w:hAnsi="Arial" w:cs="Arial"/>
              </w:rPr>
              <w:t xml:space="preserve"> zapisów w programie zapewnienia jakości</w:t>
            </w:r>
            <w:r w:rsidR="001D135E" w:rsidRPr="00E21283">
              <w:rPr>
                <w:rFonts w:ascii="Arial" w:hAnsi="Arial" w:cs="Arial"/>
              </w:rPr>
              <w:t xml:space="preserve"> albo</w:t>
            </w:r>
            <w:r w:rsidR="00247AC9" w:rsidRPr="00E21283">
              <w:rPr>
                <w:rFonts w:ascii="Arial" w:hAnsi="Arial" w:cs="Arial"/>
              </w:rPr>
              <w:t xml:space="preserve"> </w:t>
            </w:r>
            <w:r w:rsidR="001D135E" w:rsidRPr="00E21283">
              <w:rPr>
                <w:rFonts w:ascii="Arial" w:hAnsi="Arial" w:cs="Arial"/>
              </w:rPr>
              <w:t xml:space="preserve">polityce </w:t>
            </w:r>
            <w:r w:rsidR="00247AC9" w:rsidRPr="00E21283">
              <w:rPr>
                <w:rFonts w:ascii="Arial" w:hAnsi="Arial" w:cs="Arial"/>
              </w:rPr>
              <w:t>lub statucie</w:t>
            </w:r>
            <w:r w:rsidR="001D135E" w:rsidRPr="00E21283">
              <w:rPr>
                <w:rFonts w:ascii="Arial" w:hAnsi="Arial" w:cs="Arial"/>
              </w:rPr>
              <w:t xml:space="preserve"> jednostki</w:t>
            </w:r>
            <w:r w:rsidR="00247AC9" w:rsidRPr="00E21283">
              <w:rPr>
                <w:rFonts w:ascii="Arial" w:hAnsi="Arial" w:cs="Arial"/>
              </w:rPr>
              <w:t>.</w:t>
            </w:r>
            <w:r w:rsidR="00CE267E" w:rsidRPr="00E21283">
              <w:rPr>
                <w:rFonts w:ascii="Arial" w:hAnsi="Arial" w:cs="Arial"/>
              </w:rPr>
              <w:t xml:space="preserve"> </w:t>
            </w:r>
          </w:p>
          <w:p w14:paraId="72640247" w14:textId="3CC64942" w:rsidR="00CE267E" w:rsidRPr="00E21283" w:rsidRDefault="00417563" w:rsidP="00E2128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21283">
              <w:rPr>
                <w:rFonts w:ascii="Arial" w:hAnsi="Arial" w:cs="Arial"/>
              </w:rPr>
              <w:t xml:space="preserve">Przykładowa </w:t>
            </w:r>
            <w:r w:rsidR="00CE267E" w:rsidRPr="00E21283">
              <w:rPr>
                <w:rFonts w:ascii="Arial" w:hAnsi="Arial" w:cs="Arial"/>
              </w:rPr>
              <w:t xml:space="preserve">procedura </w:t>
            </w:r>
            <w:r w:rsidRPr="00E21283">
              <w:rPr>
                <w:rFonts w:ascii="Arial" w:hAnsi="Arial" w:cs="Arial"/>
              </w:rPr>
              <w:t xml:space="preserve">w danym instytucie </w:t>
            </w:r>
            <w:r w:rsidR="00CE267E" w:rsidRPr="00E21283">
              <w:rPr>
                <w:rFonts w:ascii="Arial" w:hAnsi="Arial" w:cs="Arial"/>
              </w:rPr>
              <w:t xml:space="preserve">może </w:t>
            </w:r>
            <w:r w:rsidRPr="00E21283">
              <w:rPr>
                <w:rFonts w:ascii="Arial" w:hAnsi="Arial" w:cs="Arial"/>
              </w:rPr>
              <w:t xml:space="preserve">np. </w:t>
            </w:r>
            <w:r w:rsidR="00CE267E" w:rsidRPr="00E21283">
              <w:rPr>
                <w:rFonts w:ascii="Arial" w:hAnsi="Arial" w:cs="Arial"/>
              </w:rPr>
              <w:t xml:space="preserve">uwzględniać konieczność wykonywania obliczeń sprawdzających </w:t>
            </w:r>
            <w:r w:rsidRPr="00E21283">
              <w:rPr>
                <w:rFonts w:ascii="Arial" w:hAnsi="Arial" w:cs="Arial"/>
              </w:rPr>
              <w:t xml:space="preserve">dany projekt </w:t>
            </w:r>
            <w:r w:rsidR="00CE267E" w:rsidRPr="00E21283">
              <w:rPr>
                <w:rFonts w:ascii="Arial" w:hAnsi="Arial" w:cs="Arial"/>
              </w:rPr>
              <w:t>przez inny zespół ludzki i przy pomocy innych narzędzi obliczeniowych niż wykonywane wcześniej w tym samym instytucie</w:t>
            </w:r>
            <w:r w:rsidRPr="00E21283">
              <w:rPr>
                <w:rFonts w:ascii="Arial" w:hAnsi="Arial" w:cs="Arial"/>
              </w:rPr>
              <w:t xml:space="preserve"> obliczenia projektowe</w:t>
            </w:r>
            <w:r w:rsidR="00CE267E" w:rsidRPr="00E21283">
              <w:rPr>
                <w:rFonts w:ascii="Arial" w:hAnsi="Arial" w:cs="Arial"/>
              </w:rPr>
              <w:t xml:space="preserve">. </w:t>
            </w:r>
          </w:p>
        </w:tc>
      </w:tr>
    </w:tbl>
    <w:p w14:paraId="180C3C0C" w14:textId="77777777" w:rsidR="00BB6BE2" w:rsidRPr="00E21283" w:rsidRDefault="00BB6BE2" w:rsidP="000D1728">
      <w:pPr>
        <w:spacing w:line="276" w:lineRule="auto"/>
        <w:jc w:val="both"/>
        <w:rPr>
          <w:rStyle w:val="Wyrnienieintensywne"/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BE2" w:rsidRPr="00E21283" w14:paraId="43A55FC1" w14:textId="77777777" w:rsidTr="00BB6BE2">
        <w:tc>
          <w:tcPr>
            <w:tcW w:w="9062" w:type="dxa"/>
            <w:shd w:val="clear" w:color="auto" w:fill="4472C4" w:themeFill="accent5"/>
          </w:tcPr>
          <w:p w14:paraId="2868482B" w14:textId="77777777" w:rsidR="00BB6BE2" w:rsidRPr="00E21283" w:rsidRDefault="00BB6BE2" w:rsidP="00E21283">
            <w:pPr>
              <w:spacing w:before="60" w:after="60" w:line="276" w:lineRule="auto"/>
              <w:jc w:val="both"/>
              <w:rPr>
                <w:rStyle w:val="Wyrnienieintensywne"/>
                <w:rFonts w:ascii="Arial" w:hAnsi="Arial" w:cs="Arial"/>
                <w:b/>
              </w:rPr>
            </w:pPr>
            <w:r w:rsidRPr="00E21283">
              <w:rPr>
                <w:rStyle w:val="Wyrnienieintensywne"/>
                <w:rFonts w:ascii="Arial" w:hAnsi="Arial" w:cs="Arial"/>
                <w:b/>
                <w:color w:val="FFFFFF" w:themeColor="background1"/>
              </w:rPr>
              <w:t>Przydatne dokumenty</w:t>
            </w:r>
          </w:p>
        </w:tc>
      </w:tr>
      <w:tr w:rsidR="00BB6BE2" w:rsidRPr="00E21283" w14:paraId="4A6837B2" w14:textId="77777777" w:rsidTr="0088781A">
        <w:trPr>
          <w:trHeight w:val="3348"/>
        </w:trPr>
        <w:tc>
          <w:tcPr>
            <w:tcW w:w="9062" w:type="dxa"/>
          </w:tcPr>
          <w:p w14:paraId="3A57498D" w14:textId="77777777" w:rsidR="00BB6BE2" w:rsidRPr="00553ED7" w:rsidRDefault="00BB6BE2" w:rsidP="00553ED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53ED7">
              <w:rPr>
                <w:rFonts w:ascii="Arial" w:hAnsi="Arial" w:cs="Arial"/>
                <w:lang w:val="en-US"/>
              </w:rPr>
              <w:t>Wytyczne</w:t>
            </w:r>
            <w:proofErr w:type="spellEnd"/>
            <w:r w:rsidRPr="00553ED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53ED7">
              <w:rPr>
                <w:rFonts w:ascii="Arial" w:hAnsi="Arial" w:cs="Arial"/>
                <w:lang w:val="en-US"/>
              </w:rPr>
              <w:t>Międzynarodowej</w:t>
            </w:r>
            <w:proofErr w:type="spellEnd"/>
            <w:r w:rsidRPr="00553ED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53ED7">
              <w:rPr>
                <w:rFonts w:ascii="Arial" w:hAnsi="Arial" w:cs="Arial"/>
                <w:lang w:val="en-US"/>
              </w:rPr>
              <w:t>Agencji</w:t>
            </w:r>
            <w:proofErr w:type="spellEnd"/>
            <w:r w:rsidRPr="00553ED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53ED7">
              <w:rPr>
                <w:rFonts w:ascii="Arial" w:hAnsi="Arial" w:cs="Arial"/>
                <w:lang w:val="en-US"/>
              </w:rPr>
              <w:t>Atomistyki</w:t>
            </w:r>
            <w:proofErr w:type="spellEnd"/>
            <w:r w:rsidRPr="00553ED7">
              <w:rPr>
                <w:rFonts w:ascii="Arial" w:hAnsi="Arial" w:cs="Arial"/>
                <w:lang w:val="en-US"/>
              </w:rPr>
              <w:t>:</w:t>
            </w:r>
          </w:p>
          <w:p w14:paraId="41AD8947" w14:textId="77777777" w:rsidR="00BB6BE2" w:rsidRPr="00E21283" w:rsidRDefault="00BB6BE2" w:rsidP="00654147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lang w:val="en-US"/>
              </w:rPr>
            </w:pPr>
            <w:r w:rsidRPr="00E21283">
              <w:rPr>
                <w:rFonts w:ascii="Arial" w:hAnsi="Arial" w:cs="Arial"/>
                <w:lang w:val="en-US"/>
              </w:rPr>
              <w:t>"</w:t>
            </w:r>
            <w:r w:rsidRPr="00654147">
              <w:rPr>
                <w:rFonts w:ascii="Arial" w:hAnsi="Arial" w:cs="Arial"/>
                <w:lang w:val="en-US"/>
              </w:rPr>
              <w:t>Technical and Scientific Support Organizations Providing Support to Regulatory Functions</w:t>
            </w:r>
            <w:r w:rsidRPr="00E21283">
              <w:rPr>
                <w:rFonts w:ascii="Arial" w:hAnsi="Arial" w:cs="Arial"/>
                <w:lang w:val="en-US"/>
              </w:rPr>
              <w:t>"</w:t>
            </w:r>
          </w:p>
          <w:p w14:paraId="39784794" w14:textId="77777777" w:rsidR="00BB6BE2" w:rsidRPr="00553ED7" w:rsidRDefault="00E53612" w:rsidP="00553ED7">
            <w:pPr>
              <w:spacing w:after="120"/>
              <w:ind w:left="709"/>
              <w:jc w:val="both"/>
              <w:rPr>
                <w:rFonts w:ascii="Arial" w:hAnsi="Arial" w:cs="Arial"/>
                <w:i/>
                <w:color w:val="4472C4" w:themeColor="accent5"/>
                <w:lang w:val="en-US"/>
              </w:rPr>
            </w:pPr>
            <w:hyperlink r:id="rId7" w:history="1">
              <w:r w:rsidR="00BB6BE2" w:rsidRPr="00553ED7">
                <w:rPr>
                  <w:i/>
                  <w:color w:val="4472C4" w:themeColor="accent5"/>
                  <w:lang w:val="en-US"/>
                </w:rPr>
                <w:t>https://www.iaea.org/publications/12267/technical-and-scientific-support-organizations-providing-support-to-regulatory-functions</w:t>
              </w:r>
            </w:hyperlink>
          </w:p>
          <w:p w14:paraId="565EC9FD" w14:textId="77777777" w:rsidR="00BB6BE2" w:rsidRPr="00E21283" w:rsidRDefault="00BB6BE2" w:rsidP="00654147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lang w:val="en-US"/>
              </w:rPr>
            </w:pPr>
            <w:r w:rsidRPr="00E21283">
              <w:rPr>
                <w:rFonts w:ascii="Arial" w:hAnsi="Arial" w:cs="Arial"/>
                <w:lang w:val="en-US"/>
              </w:rPr>
              <w:t>"</w:t>
            </w:r>
            <w:r w:rsidRPr="00654147">
              <w:rPr>
                <w:rFonts w:ascii="Arial" w:hAnsi="Arial" w:cs="Arial"/>
                <w:lang w:val="en-US"/>
              </w:rPr>
              <w:t>Use of External Experts by the Regulatory Body</w:t>
            </w:r>
            <w:r w:rsidRPr="00E21283">
              <w:rPr>
                <w:rFonts w:ascii="Arial" w:hAnsi="Arial" w:cs="Arial"/>
                <w:lang w:val="en-US"/>
              </w:rPr>
              <w:t xml:space="preserve"> "</w:t>
            </w:r>
          </w:p>
          <w:p w14:paraId="0D77C4DB" w14:textId="77777777" w:rsidR="00BB6BE2" w:rsidRPr="00553ED7" w:rsidRDefault="00E53612" w:rsidP="00553ED7">
            <w:pPr>
              <w:spacing w:after="120"/>
              <w:ind w:left="709"/>
              <w:jc w:val="both"/>
              <w:rPr>
                <w:rFonts w:ascii="Arial" w:hAnsi="Arial" w:cs="Arial"/>
                <w:i/>
                <w:color w:val="4472C4" w:themeColor="accent5"/>
                <w:lang w:val="en-US"/>
              </w:rPr>
            </w:pPr>
            <w:hyperlink r:id="rId8" w:history="1">
              <w:r w:rsidR="00BB6BE2" w:rsidRPr="00553ED7">
                <w:rPr>
                  <w:i/>
                  <w:color w:val="4472C4" w:themeColor="accent5"/>
                  <w:lang w:val="en-US"/>
                </w:rPr>
                <w:t>https://www.iaea.org/publications/8934/use-of-external-experts-by-the-regulatory-body</w:t>
              </w:r>
            </w:hyperlink>
          </w:p>
          <w:p w14:paraId="46C7C626" w14:textId="77777777" w:rsidR="00BB6BE2" w:rsidRPr="00E21283" w:rsidRDefault="00BB6BE2" w:rsidP="00654147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lang w:val="en-US"/>
              </w:rPr>
            </w:pPr>
            <w:r w:rsidRPr="00654147">
              <w:rPr>
                <w:rFonts w:ascii="Arial" w:hAnsi="Arial" w:cs="Arial"/>
                <w:lang w:val="en-US"/>
              </w:rPr>
              <w:t>“</w:t>
            </w:r>
            <w:r w:rsidR="009367F6" w:rsidRPr="00654147">
              <w:rPr>
                <w:rFonts w:ascii="Arial" w:hAnsi="Arial" w:cs="Arial"/>
                <w:lang w:val="en-US"/>
              </w:rPr>
              <w:t xml:space="preserve">Organization, </w:t>
            </w:r>
            <w:r w:rsidRPr="00654147">
              <w:rPr>
                <w:rFonts w:ascii="Arial" w:hAnsi="Arial" w:cs="Arial"/>
                <w:lang w:val="en-US"/>
              </w:rPr>
              <w:t>Management and Staffing of the Regulatory Body for Safety</w:t>
            </w:r>
            <w:r w:rsidRPr="00E21283">
              <w:rPr>
                <w:rFonts w:ascii="Arial" w:hAnsi="Arial" w:cs="Arial"/>
                <w:lang w:val="en-US"/>
              </w:rPr>
              <w:t xml:space="preserve"> </w:t>
            </w:r>
            <w:r w:rsidRPr="00654147">
              <w:rPr>
                <w:rFonts w:ascii="Arial" w:hAnsi="Arial" w:cs="Arial"/>
                <w:lang w:val="en-US"/>
              </w:rPr>
              <w:t>Organization</w:t>
            </w:r>
            <w:r w:rsidRPr="00E21283">
              <w:rPr>
                <w:rFonts w:ascii="Arial" w:hAnsi="Arial" w:cs="Arial"/>
                <w:lang w:val="en-US"/>
              </w:rPr>
              <w:t>”</w:t>
            </w:r>
          </w:p>
          <w:p w14:paraId="7909694E" w14:textId="77777777" w:rsidR="00BB6BE2" w:rsidRPr="00553ED7" w:rsidRDefault="00E53612" w:rsidP="00553ED7">
            <w:pPr>
              <w:spacing w:after="120"/>
              <w:ind w:left="709"/>
              <w:jc w:val="both"/>
              <w:rPr>
                <w:rFonts w:ascii="Arial" w:hAnsi="Arial" w:cs="Arial"/>
                <w:i/>
                <w:color w:val="4472C4" w:themeColor="accent5"/>
                <w:lang w:val="en-US"/>
              </w:rPr>
            </w:pPr>
            <w:hyperlink r:id="rId9" w:history="1">
              <w:r w:rsidR="00BB6BE2" w:rsidRPr="00553ED7">
                <w:rPr>
                  <w:i/>
                  <w:color w:val="4472C4" w:themeColor="accent5"/>
                  <w:lang w:val="en-US"/>
                </w:rPr>
                <w:t>https://www.iaea.org/publications/12272/organization-management-and-staffing-of-the-regulatory-body-for-safety</w:t>
              </w:r>
            </w:hyperlink>
          </w:p>
          <w:p w14:paraId="7919DCCE" w14:textId="77777777" w:rsidR="00BB6BE2" w:rsidRPr="00553ED7" w:rsidRDefault="00BB6BE2" w:rsidP="00553ED7">
            <w:pPr>
              <w:jc w:val="both"/>
              <w:rPr>
                <w:rFonts w:ascii="Arial" w:hAnsi="Arial" w:cs="Arial"/>
              </w:rPr>
            </w:pPr>
            <w:r w:rsidRPr="00553ED7">
              <w:rPr>
                <w:rFonts w:ascii="Arial" w:hAnsi="Arial" w:cs="Arial"/>
              </w:rPr>
              <w:t>Przykład wprowadzonych rozwiązań w celu uniknięcia konfliktów interesów:</w:t>
            </w:r>
          </w:p>
          <w:p w14:paraId="7038B442" w14:textId="77777777" w:rsidR="00BB6BE2" w:rsidRPr="00553ED7" w:rsidRDefault="00E53612" w:rsidP="00654147">
            <w:pPr>
              <w:ind w:left="708"/>
              <w:jc w:val="both"/>
              <w:rPr>
                <w:rFonts w:ascii="Arial" w:hAnsi="Arial" w:cs="Arial"/>
                <w:i/>
              </w:rPr>
            </w:pPr>
            <w:hyperlink r:id="rId10" w:history="1">
              <w:r w:rsidR="00BB6BE2" w:rsidRPr="00553ED7">
                <w:rPr>
                  <w:i/>
                  <w:color w:val="4472C4" w:themeColor="accent5"/>
                </w:rPr>
                <w:t>https://inis.iaea.org/collection/NCLCollectionStore/_Public/49/053/49053177.pdf</w:t>
              </w:r>
            </w:hyperlink>
          </w:p>
        </w:tc>
      </w:tr>
    </w:tbl>
    <w:p w14:paraId="1B2D7AE9" w14:textId="77777777" w:rsidR="00794033" w:rsidRPr="000D1728" w:rsidRDefault="00794033" w:rsidP="00BB6BE2">
      <w:pPr>
        <w:jc w:val="both"/>
      </w:pPr>
    </w:p>
    <w:sectPr w:rsidR="00794033" w:rsidRPr="000D17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3C16" w14:textId="77777777" w:rsidR="007B65F0" w:rsidRDefault="007B65F0" w:rsidP="000A43B3">
      <w:pPr>
        <w:spacing w:after="0" w:line="240" w:lineRule="auto"/>
      </w:pPr>
      <w:r>
        <w:separator/>
      </w:r>
    </w:p>
  </w:endnote>
  <w:endnote w:type="continuationSeparator" w:id="0">
    <w:p w14:paraId="2096DD23" w14:textId="77777777" w:rsidR="007B65F0" w:rsidRDefault="007B65F0" w:rsidP="000A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2872"/>
      <w:docPartObj>
        <w:docPartGallery w:val="Page Numbers (Bottom of Page)"/>
        <w:docPartUnique/>
      </w:docPartObj>
    </w:sdtPr>
    <w:sdtEndPr/>
    <w:sdtContent>
      <w:p w14:paraId="6DB4E13D" w14:textId="4B42B764" w:rsidR="000A43B3" w:rsidRPr="00A7467D" w:rsidRDefault="00522CDF" w:rsidP="000A43B3">
        <w:pPr>
          <w:pStyle w:val="Stopka"/>
          <w:jc w:val="right"/>
        </w:pPr>
        <w:r w:rsidRPr="00522CDF">
          <w:t xml:space="preserve">Komentarz dotyczący pojęcia bezstronności </w:t>
        </w:r>
        <w:r>
          <w:t>(w</w:t>
        </w:r>
        <w:r w:rsidR="006F642E">
          <w:t>ersja 9.08</w:t>
        </w:r>
        <w:r w:rsidR="00D81D05">
          <w:t>.2021</w:t>
        </w:r>
        <w:r>
          <w:t>)</w:t>
        </w:r>
        <w:r w:rsidR="00D81D05">
          <w:t xml:space="preserve"> </w:t>
        </w:r>
        <w:r w:rsidR="00D81D05">
          <w:tab/>
        </w:r>
        <w:r w:rsidR="000A43B3">
          <w:fldChar w:fldCharType="begin"/>
        </w:r>
        <w:r w:rsidR="000A43B3">
          <w:instrText>PAGE   \* MERGEFORMAT</w:instrText>
        </w:r>
        <w:r w:rsidR="000A43B3">
          <w:fldChar w:fldCharType="separate"/>
        </w:r>
        <w:r w:rsidR="00EF723F">
          <w:rPr>
            <w:noProof/>
          </w:rPr>
          <w:t>2</w:t>
        </w:r>
        <w:r w:rsidR="000A43B3">
          <w:fldChar w:fldCharType="end"/>
        </w:r>
        <w:r w:rsidR="000A43B3">
          <w:t>/</w:t>
        </w:r>
        <w:r w:rsidR="00D72024">
          <w:rPr>
            <w:noProof/>
          </w:rPr>
          <w:fldChar w:fldCharType="begin"/>
        </w:r>
        <w:r w:rsidR="00D72024">
          <w:rPr>
            <w:noProof/>
          </w:rPr>
          <w:instrText xml:space="preserve"> NUMPAGES   \* MERGEFORMAT </w:instrText>
        </w:r>
        <w:r w:rsidR="00D72024">
          <w:rPr>
            <w:noProof/>
          </w:rPr>
          <w:fldChar w:fldCharType="separate"/>
        </w:r>
        <w:r w:rsidR="00EF723F">
          <w:rPr>
            <w:noProof/>
          </w:rPr>
          <w:t>2</w:t>
        </w:r>
        <w:r w:rsidR="00D7202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84C7" w14:textId="77777777" w:rsidR="007B65F0" w:rsidRDefault="007B65F0" w:rsidP="000A43B3">
      <w:pPr>
        <w:spacing w:after="0" w:line="240" w:lineRule="auto"/>
      </w:pPr>
      <w:r>
        <w:separator/>
      </w:r>
    </w:p>
  </w:footnote>
  <w:footnote w:type="continuationSeparator" w:id="0">
    <w:p w14:paraId="3EE5F9AD" w14:textId="77777777" w:rsidR="007B65F0" w:rsidRDefault="007B65F0" w:rsidP="000A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A82"/>
    <w:multiLevelType w:val="hybridMultilevel"/>
    <w:tmpl w:val="2BB6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82F"/>
    <w:multiLevelType w:val="hybridMultilevel"/>
    <w:tmpl w:val="501A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CD2"/>
    <w:multiLevelType w:val="hybridMultilevel"/>
    <w:tmpl w:val="0EDC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66852"/>
    <w:multiLevelType w:val="hybridMultilevel"/>
    <w:tmpl w:val="DBFC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AD"/>
    <w:rsid w:val="00004EC7"/>
    <w:rsid w:val="000A43B3"/>
    <w:rsid w:val="000C58C8"/>
    <w:rsid w:val="000D1728"/>
    <w:rsid w:val="00106E73"/>
    <w:rsid w:val="001B1195"/>
    <w:rsid w:val="001B3325"/>
    <w:rsid w:val="001D1319"/>
    <w:rsid w:val="001D135E"/>
    <w:rsid w:val="00247AC9"/>
    <w:rsid w:val="00284166"/>
    <w:rsid w:val="00316B82"/>
    <w:rsid w:val="003613AD"/>
    <w:rsid w:val="003841E9"/>
    <w:rsid w:val="00390A80"/>
    <w:rsid w:val="003B67AD"/>
    <w:rsid w:val="004155C0"/>
    <w:rsid w:val="00417563"/>
    <w:rsid w:val="00492373"/>
    <w:rsid w:val="004A124C"/>
    <w:rsid w:val="004A3F04"/>
    <w:rsid w:val="004B3842"/>
    <w:rsid w:val="004E270B"/>
    <w:rsid w:val="004F540E"/>
    <w:rsid w:val="00522CDF"/>
    <w:rsid w:val="00537402"/>
    <w:rsid w:val="00553ED7"/>
    <w:rsid w:val="006120FA"/>
    <w:rsid w:val="00654147"/>
    <w:rsid w:val="00664502"/>
    <w:rsid w:val="006856D9"/>
    <w:rsid w:val="006D4A20"/>
    <w:rsid w:val="006F642E"/>
    <w:rsid w:val="0073467B"/>
    <w:rsid w:val="00794033"/>
    <w:rsid w:val="007B65F0"/>
    <w:rsid w:val="00840131"/>
    <w:rsid w:val="008932F6"/>
    <w:rsid w:val="008A62D1"/>
    <w:rsid w:val="008B3938"/>
    <w:rsid w:val="009255DF"/>
    <w:rsid w:val="00933D8C"/>
    <w:rsid w:val="009367F6"/>
    <w:rsid w:val="00942565"/>
    <w:rsid w:val="00963C67"/>
    <w:rsid w:val="00965E6E"/>
    <w:rsid w:val="009A4AEB"/>
    <w:rsid w:val="009D1FF6"/>
    <w:rsid w:val="00A464AC"/>
    <w:rsid w:val="00AF23A0"/>
    <w:rsid w:val="00B56B30"/>
    <w:rsid w:val="00B77E2D"/>
    <w:rsid w:val="00B8272D"/>
    <w:rsid w:val="00BA63F6"/>
    <w:rsid w:val="00BB3963"/>
    <w:rsid w:val="00BB6BE2"/>
    <w:rsid w:val="00CC4833"/>
    <w:rsid w:val="00CE267E"/>
    <w:rsid w:val="00CE5F81"/>
    <w:rsid w:val="00D45B88"/>
    <w:rsid w:val="00D72024"/>
    <w:rsid w:val="00D81BAD"/>
    <w:rsid w:val="00D81D05"/>
    <w:rsid w:val="00DB7E82"/>
    <w:rsid w:val="00DD4C55"/>
    <w:rsid w:val="00E152A5"/>
    <w:rsid w:val="00E21283"/>
    <w:rsid w:val="00E46CB6"/>
    <w:rsid w:val="00E53612"/>
    <w:rsid w:val="00E746E7"/>
    <w:rsid w:val="00E96BA3"/>
    <w:rsid w:val="00EF723F"/>
    <w:rsid w:val="00F4632B"/>
    <w:rsid w:val="00F532F6"/>
    <w:rsid w:val="00F65267"/>
    <w:rsid w:val="00F6703D"/>
    <w:rsid w:val="00F7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3611C9"/>
  <w15:chartTrackingRefBased/>
  <w15:docId w15:val="{84C07CB4-A29C-4E44-BB6B-A168B6E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73467B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81B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1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B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B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B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17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72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3B3"/>
  </w:style>
  <w:style w:type="paragraph" w:styleId="Stopka">
    <w:name w:val="footer"/>
    <w:basedOn w:val="Normalny"/>
    <w:link w:val="StopkaZnak"/>
    <w:uiPriority w:val="99"/>
    <w:unhideWhenUsed/>
    <w:rsid w:val="000A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a.org/publications/8934/use-of-external-experts-by-the-regulatory-bo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aea.org/publications/12267/technical-and-scientific-support-organizations-providing-support-to-regulatory-fun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is.iaea.org/collection/NCLCollectionStore/_Public/49/053/4905317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ea.org/publications/12272/organization-management-and-staffing-of-the-regulatory-body-for-safe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Dąbrowski</dc:creator>
  <cp:keywords/>
  <dc:description/>
  <cp:lastModifiedBy>Elżbieta Zalewska</cp:lastModifiedBy>
  <cp:revision>2</cp:revision>
  <cp:lastPrinted>2021-07-29T11:08:00Z</cp:lastPrinted>
  <dcterms:created xsi:type="dcterms:W3CDTF">2021-08-10T06:13:00Z</dcterms:created>
  <dcterms:modified xsi:type="dcterms:W3CDTF">2021-08-10T06:13:00Z</dcterms:modified>
</cp:coreProperties>
</file>