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939D" w14:textId="368B4529" w:rsidR="00BC050E" w:rsidRPr="00051D47" w:rsidRDefault="0061364A" w:rsidP="0061364A">
      <w:pPr>
        <w:pStyle w:val="Tytu"/>
        <w:rPr>
          <w:rFonts w:ascii="Arial" w:hAnsi="Arial" w:cs="Arial"/>
          <w:b/>
          <w:bCs/>
          <w:spacing w:val="0"/>
          <w:sz w:val="24"/>
          <w:szCs w:val="24"/>
        </w:rPr>
      </w:pPr>
      <w:r w:rsidRPr="00051D47">
        <w:rPr>
          <w:rFonts w:ascii="Arial" w:hAnsi="Arial" w:cs="Arial"/>
          <w:b/>
          <w:bCs/>
          <w:spacing w:val="0"/>
          <w:sz w:val="24"/>
          <w:szCs w:val="24"/>
        </w:rPr>
        <w:t xml:space="preserve">Opis Przedmiotu Zamówienia na wykonanie badania pt. </w:t>
      </w:r>
      <w:bookmarkStart w:id="0" w:name="_Hlk155937139"/>
      <w:r w:rsidRPr="00051D47">
        <w:rPr>
          <w:rFonts w:ascii="Arial" w:hAnsi="Arial" w:cs="Arial"/>
          <w:b/>
          <w:bCs/>
          <w:spacing w:val="0"/>
          <w:sz w:val="24"/>
          <w:szCs w:val="24"/>
        </w:rPr>
        <w:t xml:space="preserve">Wpływ Polityki Spójności 2014-2020 na </w:t>
      </w:r>
      <w:r w:rsidR="00C4435D" w:rsidRPr="00051D47">
        <w:rPr>
          <w:rFonts w:ascii="Arial" w:hAnsi="Arial" w:cs="Arial"/>
          <w:b/>
          <w:bCs/>
          <w:spacing w:val="0"/>
          <w:sz w:val="24"/>
          <w:szCs w:val="24"/>
        </w:rPr>
        <w:t>rozwój miast</w:t>
      </w:r>
      <w:r w:rsidR="00DA269D">
        <w:rPr>
          <w:rFonts w:ascii="Arial" w:hAnsi="Arial" w:cs="Arial"/>
          <w:b/>
          <w:bCs/>
          <w:spacing w:val="0"/>
          <w:sz w:val="24"/>
          <w:szCs w:val="24"/>
        </w:rPr>
        <w:t xml:space="preserve"> i ich obszarów funkcjonalnych</w:t>
      </w:r>
      <w:r w:rsidR="00C4435D" w:rsidRPr="00051D47">
        <w:rPr>
          <w:rFonts w:ascii="Arial" w:hAnsi="Arial" w:cs="Arial"/>
          <w:b/>
          <w:bCs/>
          <w:spacing w:val="0"/>
          <w:sz w:val="24"/>
          <w:szCs w:val="24"/>
        </w:rPr>
        <w:t>.</w:t>
      </w:r>
      <w:bookmarkEnd w:id="0"/>
    </w:p>
    <w:p w14:paraId="7763BBF8" w14:textId="6FCEB3F4" w:rsidR="000B2AA9" w:rsidRDefault="000B2AA9" w:rsidP="002B00E4">
      <w:pPr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539679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4C2F4" w14:textId="5134E64B" w:rsidR="009852C8" w:rsidRDefault="009852C8">
          <w:pPr>
            <w:pStyle w:val="Nagwekspisutreci"/>
          </w:pPr>
          <w:r>
            <w:t>Spis treści</w:t>
          </w:r>
        </w:p>
        <w:p w14:paraId="4A276F6C" w14:textId="6424B3A0" w:rsidR="009852C8" w:rsidRDefault="009852C8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861788" w:history="1">
            <w:r w:rsidRPr="00CE7C22">
              <w:rPr>
                <w:rStyle w:val="Hipercze"/>
                <w:rFonts w:ascii="Arial" w:hAnsi="Arial" w:cs="Arial"/>
                <w:noProof/>
              </w:rPr>
              <w:t>1.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E7C22">
              <w:rPr>
                <w:rStyle w:val="Hipercze"/>
                <w:rFonts w:ascii="Arial" w:hAnsi="Arial" w:cs="Arial"/>
                <w:noProof/>
              </w:rPr>
              <w:t>Kontekst i uzasadnienie wykonania badania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_Toc154861788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A50AF" w14:textId="57D3DE41" w:rsidR="009852C8" w:rsidRDefault="007237E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789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2.</w:t>
            </w:r>
            <w:r w:rsidR="009852C8">
              <w:rPr>
                <w:rFonts w:eastAsiaTheme="minorEastAsia"/>
                <w:noProof/>
                <w:lang w:eastAsia="pl-PL"/>
              </w:rPr>
              <w:tab/>
            </w:r>
            <w:r w:rsidR="009852C8" w:rsidRPr="00CE7C22">
              <w:rPr>
                <w:rStyle w:val="Hipercze"/>
                <w:rFonts w:ascii="Arial" w:hAnsi="Arial" w:cs="Arial"/>
                <w:noProof/>
              </w:rPr>
              <w:t>Cele badania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_Toc154861789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4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69262A3B" w14:textId="45B3A79F" w:rsidR="009852C8" w:rsidRDefault="007237E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790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Cel główny: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_Toc154861790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4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782EFF68" w14:textId="454A1B74" w:rsidR="009852C8" w:rsidRDefault="007237E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791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Cele szczegółowe: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_Toc154861791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4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3E094127" w14:textId="35C66845" w:rsidR="009852C8" w:rsidRDefault="007237E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792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3.</w:t>
            </w:r>
            <w:r w:rsidR="009852C8">
              <w:rPr>
                <w:rFonts w:eastAsiaTheme="minorEastAsia"/>
                <w:noProof/>
                <w:lang w:eastAsia="pl-PL"/>
              </w:rPr>
              <w:tab/>
            </w:r>
            <w:r w:rsidR="009852C8" w:rsidRPr="00CE7C22">
              <w:rPr>
                <w:rStyle w:val="Hipercze"/>
                <w:rFonts w:ascii="Arial" w:hAnsi="Arial" w:cs="Arial"/>
                <w:noProof/>
              </w:rPr>
              <w:t>Zakres badania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_Toc154861792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5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04153F20" w14:textId="2EA4388C" w:rsidR="009852C8" w:rsidRDefault="007237E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793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Zakres przedmiotowy: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_Toc154861793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5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3E236CD1" w14:textId="34AF7AF3" w:rsidR="009852C8" w:rsidRDefault="007237E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794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Zakres podmiotowy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_Toc154861794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6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70125E9F" w14:textId="100DDC0B" w:rsidR="009852C8" w:rsidRDefault="007237E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795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Zakres terytorialny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_Toc154861795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6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0BC4EBA8" w14:textId="1A97CB0B" w:rsidR="009852C8" w:rsidRDefault="007237E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796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Zakres czasowy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_Toc154861796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6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1C91431B" w14:textId="231E647E" w:rsidR="009852C8" w:rsidRDefault="007237E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797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Definicje przyjęte na potrzeby badania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_Toc154861797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6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0BC829B2" w14:textId="3F4D4D23" w:rsidR="009852C8" w:rsidRDefault="007237E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798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4.</w:t>
            </w:r>
            <w:r w:rsidR="009852C8">
              <w:rPr>
                <w:rFonts w:eastAsiaTheme="minorEastAsia"/>
                <w:noProof/>
                <w:lang w:eastAsia="pl-PL"/>
              </w:rPr>
              <w:tab/>
            </w:r>
            <w:r w:rsidR="009852C8" w:rsidRPr="00CE7C22">
              <w:rPr>
                <w:rStyle w:val="Hipercze"/>
                <w:rFonts w:ascii="Arial" w:hAnsi="Arial" w:cs="Arial"/>
                <w:noProof/>
              </w:rPr>
              <w:t>Pytania ewaluacyjne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_Toc154861798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7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18F43EB3" w14:textId="6FBF8750" w:rsidR="009852C8" w:rsidRDefault="007237E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799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5.</w:t>
            </w:r>
            <w:r w:rsidR="009852C8">
              <w:rPr>
                <w:rFonts w:eastAsiaTheme="minorEastAsia"/>
                <w:noProof/>
                <w:lang w:eastAsia="pl-PL"/>
              </w:rPr>
              <w:tab/>
            </w:r>
            <w:r w:rsidR="009852C8" w:rsidRPr="00CE7C22">
              <w:rPr>
                <w:rStyle w:val="Hipercze"/>
                <w:rFonts w:ascii="Arial" w:hAnsi="Arial" w:cs="Arial"/>
                <w:noProof/>
              </w:rPr>
              <w:t>Sposób</w:t>
            </w:r>
            <w:r w:rsidR="009852C8" w:rsidRPr="00CE7C22">
              <w:rPr>
                <w:rStyle w:val="Hipercze"/>
                <w:noProof/>
              </w:rPr>
              <w:t xml:space="preserve"> </w:t>
            </w:r>
            <w:r w:rsidR="009852C8" w:rsidRPr="00CE7C22">
              <w:rPr>
                <w:rStyle w:val="Hipercze"/>
                <w:rFonts w:ascii="Arial" w:hAnsi="Arial" w:cs="Arial"/>
                <w:noProof/>
              </w:rPr>
              <w:t>realizacji badania i metodologia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_Toc154861799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8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6D1612DF" w14:textId="376E94DA" w:rsidR="009852C8" w:rsidRDefault="007237E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800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Kryteria ewaluacyjne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_Toc154861800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10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02DED78C" w14:textId="2F93C67F" w:rsidR="009852C8" w:rsidRDefault="007237E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801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6.</w:t>
            </w:r>
            <w:r w:rsidR="009852C8">
              <w:rPr>
                <w:rFonts w:eastAsiaTheme="minorEastAsia"/>
                <w:noProof/>
                <w:lang w:eastAsia="pl-PL"/>
              </w:rPr>
              <w:tab/>
            </w:r>
            <w:r w:rsidR="009852C8" w:rsidRPr="00CE7C22">
              <w:rPr>
                <w:rStyle w:val="Hipercze"/>
                <w:rFonts w:ascii="Arial" w:hAnsi="Arial" w:cs="Arial"/>
                <w:noProof/>
              </w:rPr>
              <w:t>Produkty badania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_Toc154861801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11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39FFC3F1" w14:textId="24440BEE" w:rsidR="009852C8" w:rsidRDefault="007237E7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802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Wymagania w zakresie dostępności dla osób z niepełnosprawnościami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_Toc154861802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13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240CC33B" w14:textId="75B18917" w:rsidR="009852C8" w:rsidRDefault="007237E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803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7.</w:t>
            </w:r>
            <w:r w:rsidR="009852C8">
              <w:rPr>
                <w:rFonts w:eastAsiaTheme="minorEastAsia"/>
                <w:noProof/>
                <w:lang w:eastAsia="pl-PL"/>
              </w:rPr>
              <w:tab/>
            </w:r>
            <w:r w:rsidR="009852C8" w:rsidRPr="00CE7C22">
              <w:rPr>
                <w:rStyle w:val="Hipercze"/>
                <w:rFonts w:ascii="Arial" w:hAnsi="Arial" w:cs="Arial"/>
                <w:noProof/>
              </w:rPr>
              <w:t>Harmonogram realizacji badania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_Toc154861803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14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18AA6E46" w14:textId="72A684BE" w:rsidR="009852C8" w:rsidRDefault="007237E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54861804" w:history="1">
            <w:r w:rsidR="009852C8" w:rsidRPr="00CE7C22">
              <w:rPr>
                <w:rStyle w:val="Hipercze"/>
                <w:rFonts w:ascii="Arial" w:hAnsi="Arial" w:cs="Arial"/>
                <w:noProof/>
              </w:rPr>
              <w:t>8.</w:t>
            </w:r>
            <w:r w:rsidR="009852C8">
              <w:rPr>
                <w:rFonts w:eastAsiaTheme="minorEastAsia"/>
                <w:noProof/>
                <w:lang w:eastAsia="pl-PL"/>
              </w:rPr>
              <w:tab/>
            </w:r>
            <w:r w:rsidR="009852C8" w:rsidRPr="00CE7C22">
              <w:rPr>
                <w:rStyle w:val="Hipercze"/>
                <w:rFonts w:ascii="Arial" w:hAnsi="Arial" w:cs="Arial"/>
                <w:noProof/>
              </w:rPr>
              <w:t>Finansowanie</w:t>
            </w:r>
            <w:r w:rsidR="009852C8">
              <w:rPr>
                <w:noProof/>
                <w:webHidden/>
              </w:rPr>
              <w:tab/>
            </w:r>
            <w:r w:rsidR="009852C8">
              <w:rPr>
                <w:noProof/>
                <w:webHidden/>
              </w:rPr>
              <w:fldChar w:fldCharType="begin"/>
            </w:r>
            <w:r w:rsidR="009852C8">
              <w:rPr>
                <w:noProof/>
                <w:webHidden/>
              </w:rPr>
              <w:instrText xml:space="preserve"> PAGEREF _Toc154861804 \h </w:instrText>
            </w:r>
            <w:r w:rsidR="009852C8">
              <w:rPr>
                <w:noProof/>
                <w:webHidden/>
              </w:rPr>
            </w:r>
            <w:r w:rsidR="009852C8">
              <w:rPr>
                <w:noProof/>
                <w:webHidden/>
              </w:rPr>
              <w:fldChar w:fldCharType="separate"/>
            </w:r>
            <w:r w:rsidR="00C0099B">
              <w:rPr>
                <w:noProof/>
                <w:webHidden/>
              </w:rPr>
              <w:t>14</w:t>
            </w:r>
            <w:r w:rsidR="009852C8">
              <w:rPr>
                <w:noProof/>
                <w:webHidden/>
              </w:rPr>
              <w:fldChar w:fldCharType="end"/>
            </w:r>
          </w:hyperlink>
        </w:p>
        <w:p w14:paraId="67DA8F73" w14:textId="5D5543FA" w:rsidR="009852C8" w:rsidRPr="009852C8" w:rsidRDefault="009852C8" w:rsidP="002B00E4">
          <w:r>
            <w:rPr>
              <w:b/>
              <w:bCs/>
            </w:rPr>
            <w:fldChar w:fldCharType="end"/>
          </w:r>
        </w:p>
      </w:sdtContent>
    </w:sdt>
    <w:p w14:paraId="58D29E95" w14:textId="4ACE6178" w:rsidR="009C60AD" w:rsidRPr="00051D47" w:rsidRDefault="0061364A" w:rsidP="00051D47">
      <w:pPr>
        <w:pStyle w:val="Nagwek1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" w:name="_Toc154861788"/>
      <w:r w:rsidRPr="00051D47">
        <w:rPr>
          <w:rFonts w:ascii="Arial" w:hAnsi="Arial" w:cs="Arial"/>
          <w:sz w:val="24"/>
          <w:szCs w:val="24"/>
        </w:rPr>
        <w:t>Kontekst i uzasadnienie wykonania badania</w:t>
      </w:r>
      <w:bookmarkEnd w:id="1"/>
    </w:p>
    <w:p w14:paraId="6D93CF0B" w14:textId="6B8C46FD" w:rsidR="00626A9D" w:rsidRPr="00051D47" w:rsidRDefault="00E80DF7" w:rsidP="00E80DF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Polityka spójności</w:t>
      </w:r>
      <w:r w:rsidR="00626A9D" w:rsidRPr="00051D47">
        <w:rPr>
          <w:rFonts w:ascii="Arial" w:hAnsi="Arial" w:cs="Arial"/>
          <w:sz w:val="24"/>
          <w:szCs w:val="24"/>
        </w:rPr>
        <w:t xml:space="preserve"> odgrywa</w:t>
      </w:r>
      <w:r w:rsidRPr="00051D47">
        <w:rPr>
          <w:rFonts w:ascii="Arial" w:hAnsi="Arial" w:cs="Arial"/>
          <w:sz w:val="24"/>
          <w:szCs w:val="24"/>
        </w:rPr>
        <w:t xml:space="preserve"> kluczową rolę w kształtowaniu równomiernego i zrównoważonego rozwoju terytorialnego</w:t>
      </w:r>
      <w:r w:rsidR="00626A9D" w:rsidRPr="00051D47">
        <w:rPr>
          <w:rFonts w:ascii="Arial" w:hAnsi="Arial" w:cs="Arial"/>
          <w:sz w:val="24"/>
          <w:szCs w:val="24"/>
        </w:rPr>
        <w:t xml:space="preserve"> krajów Unii Europejskiej</w:t>
      </w:r>
      <w:r w:rsidRPr="00051D47">
        <w:rPr>
          <w:rFonts w:ascii="Arial" w:hAnsi="Arial" w:cs="Arial"/>
          <w:sz w:val="24"/>
          <w:szCs w:val="24"/>
        </w:rPr>
        <w:t>, ze szczególnym uwzględnieniem obszarów miejskich.</w:t>
      </w:r>
      <w:r w:rsidR="00626A9D" w:rsidRPr="00051D47">
        <w:rPr>
          <w:rFonts w:ascii="Arial" w:hAnsi="Arial" w:cs="Arial"/>
          <w:sz w:val="24"/>
          <w:szCs w:val="24"/>
        </w:rPr>
        <w:t xml:space="preserve"> </w:t>
      </w:r>
      <w:r w:rsidR="00855F9A" w:rsidRPr="00051D47">
        <w:rPr>
          <w:rFonts w:ascii="Arial" w:hAnsi="Arial" w:cs="Arial"/>
          <w:sz w:val="24"/>
          <w:szCs w:val="24"/>
        </w:rPr>
        <w:t>Miasta</w:t>
      </w:r>
      <w:r w:rsidRPr="00051D47">
        <w:rPr>
          <w:rFonts w:ascii="Arial" w:hAnsi="Arial" w:cs="Arial"/>
          <w:sz w:val="24"/>
          <w:szCs w:val="24"/>
        </w:rPr>
        <w:t xml:space="preserve"> stanowią istotne centra życia społecznego, gospodarczego i kulturalnego, </w:t>
      </w:r>
      <w:r w:rsidR="00855F9A" w:rsidRPr="00051D47">
        <w:rPr>
          <w:rFonts w:ascii="Arial" w:hAnsi="Arial" w:cs="Arial"/>
          <w:sz w:val="24"/>
          <w:szCs w:val="24"/>
        </w:rPr>
        <w:t>jednocześnie konfrontując się z coraz to nowszymi</w:t>
      </w:r>
      <w:r w:rsidRPr="00051D47">
        <w:rPr>
          <w:rFonts w:ascii="Arial" w:hAnsi="Arial" w:cs="Arial"/>
          <w:sz w:val="24"/>
          <w:szCs w:val="24"/>
        </w:rPr>
        <w:t xml:space="preserve"> wyzwaniami</w:t>
      </w:r>
      <w:r w:rsidR="00855F9A" w:rsidRPr="00051D47">
        <w:rPr>
          <w:rFonts w:ascii="Arial" w:hAnsi="Arial" w:cs="Arial"/>
          <w:sz w:val="24"/>
          <w:szCs w:val="24"/>
        </w:rPr>
        <w:t xml:space="preserve">, </w:t>
      </w:r>
      <w:r w:rsidRPr="00051D47">
        <w:rPr>
          <w:rFonts w:ascii="Arial" w:hAnsi="Arial" w:cs="Arial"/>
          <w:sz w:val="24"/>
          <w:szCs w:val="24"/>
        </w:rPr>
        <w:t xml:space="preserve">związanymi </w:t>
      </w:r>
      <w:r w:rsidR="00855F9A" w:rsidRPr="00051D47">
        <w:rPr>
          <w:rFonts w:ascii="Arial" w:hAnsi="Arial" w:cs="Arial"/>
          <w:sz w:val="24"/>
          <w:szCs w:val="24"/>
        </w:rPr>
        <w:t>np. z pandemią, zmianami klimatu czy</w:t>
      </w:r>
      <w:r w:rsidRPr="00051D47">
        <w:rPr>
          <w:rFonts w:ascii="Arial" w:hAnsi="Arial" w:cs="Arial"/>
          <w:sz w:val="24"/>
          <w:szCs w:val="24"/>
        </w:rPr>
        <w:t xml:space="preserve"> dynamicznymi procesami urbanizacji. </w:t>
      </w:r>
      <w:r w:rsidR="00626A9D" w:rsidRPr="00051D47">
        <w:rPr>
          <w:rFonts w:ascii="Arial" w:hAnsi="Arial" w:cs="Arial"/>
          <w:sz w:val="24"/>
          <w:szCs w:val="24"/>
        </w:rPr>
        <w:t xml:space="preserve">Polityka Spójności 2014-2020 podkreślała </w:t>
      </w:r>
      <w:r w:rsidR="00855F9A" w:rsidRPr="00051D47">
        <w:rPr>
          <w:rFonts w:ascii="Arial" w:hAnsi="Arial" w:cs="Arial"/>
          <w:sz w:val="24"/>
          <w:szCs w:val="24"/>
        </w:rPr>
        <w:t>również</w:t>
      </w:r>
      <w:r w:rsidR="00626A9D" w:rsidRPr="00051D47">
        <w:rPr>
          <w:rFonts w:ascii="Arial" w:hAnsi="Arial" w:cs="Arial"/>
          <w:sz w:val="24"/>
          <w:szCs w:val="24"/>
        </w:rPr>
        <w:t xml:space="preserve"> znaczenie miast jako ośrodków napędzających rozwój regionalny. Miały one przyczynić się do tworzenia nowych miejsc pracy, inwestycji i innowacji na szczeblu regionalnym. </w:t>
      </w:r>
      <w:r w:rsidR="00855F9A" w:rsidRPr="00051D47">
        <w:rPr>
          <w:rFonts w:ascii="Arial" w:hAnsi="Arial" w:cs="Arial"/>
          <w:sz w:val="24"/>
          <w:szCs w:val="24"/>
        </w:rPr>
        <w:t>Realizowany w</w:t>
      </w:r>
      <w:r w:rsidR="00626A9D" w:rsidRPr="00051D47">
        <w:rPr>
          <w:rFonts w:ascii="Arial" w:hAnsi="Arial" w:cs="Arial"/>
          <w:sz w:val="24"/>
          <w:szCs w:val="24"/>
        </w:rPr>
        <w:t xml:space="preserve">zrost gospodarczy miast </w:t>
      </w:r>
      <w:r w:rsidR="00855F9A" w:rsidRPr="00051D47">
        <w:rPr>
          <w:rFonts w:ascii="Arial" w:hAnsi="Arial" w:cs="Arial"/>
          <w:sz w:val="24"/>
          <w:szCs w:val="24"/>
        </w:rPr>
        <w:t>powinien</w:t>
      </w:r>
      <w:r w:rsidR="00626A9D" w:rsidRPr="00051D47">
        <w:rPr>
          <w:rFonts w:ascii="Arial" w:hAnsi="Arial" w:cs="Arial"/>
          <w:sz w:val="24"/>
          <w:szCs w:val="24"/>
        </w:rPr>
        <w:t xml:space="preserve"> być zrównoważony pod względem ekonomicznym, społecznym i środowiskowym. Promowana była także współpraca między sektorem publicznym, prywatnym i społeczeństwem obywatelskim w celu realizacji projektów miejskich.</w:t>
      </w:r>
    </w:p>
    <w:p w14:paraId="17BF0755" w14:textId="75D61EAA" w:rsidR="006D02A5" w:rsidRPr="00051D47" w:rsidRDefault="00855F9A" w:rsidP="00E80DF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lastRenderedPageBreak/>
        <w:t xml:space="preserve">W </w:t>
      </w:r>
      <w:r w:rsidR="00626A9D" w:rsidRPr="00051D47">
        <w:rPr>
          <w:rFonts w:ascii="Arial" w:hAnsi="Arial" w:cs="Arial"/>
          <w:sz w:val="24"/>
          <w:szCs w:val="24"/>
        </w:rPr>
        <w:t>Polsce istni</w:t>
      </w:r>
      <w:r w:rsidRPr="00051D47">
        <w:rPr>
          <w:rFonts w:ascii="Arial" w:hAnsi="Arial" w:cs="Arial"/>
          <w:sz w:val="24"/>
          <w:szCs w:val="24"/>
        </w:rPr>
        <w:t>eje</w:t>
      </w:r>
      <w:r w:rsidR="00626A9D" w:rsidRPr="00051D47">
        <w:rPr>
          <w:rFonts w:ascii="Arial" w:hAnsi="Arial" w:cs="Arial"/>
          <w:sz w:val="24"/>
          <w:szCs w:val="24"/>
        </w:rPr>
        <w:t xml:space="preserve"> </w:t>
      </w:r>
      <w:r w:rsidRPr="00051D47">
        <w:rPr>
          <w:rFonts w:ascii="Arial" w:hAnsi="Arial" w:cs="Arial"/>
          <w:sz w:val="24"/>
          <w:szCs w:val="24"/>
        </w:rPr>
        <w:t>aktualnie 1013</w:t>
      </w:r>
      <w:r w:rsidR="00626A9D" w:rsidRPr="00051D47">
        <w:rPr>
          <w:rFonts w:ascii="Arial" w:hAnsi="Arial" w:cs="Arial"/>
          <w:sz w:val="24"/>
          <w:szCs w:val="24"/>
        </w:rPr>
        <w:t xml:space="preserve"> miast</w:t>
      </w:r>
      <w:r w:rsidRPr="00051D47">
        <w:rPr>
          <w:rFonts w:ascii="Arial" w:hAnsi="Arial" w:cs="Arial"/>
          <w:sz w:val="24"/>
          <w:szCs w:val="24"/>
        </w:rPr>
        <w:t xml:space="preserve"> (stan na 1 stycznia 2024r</w:t>
      </w:r>
      <w:r w:rsidR="00D63F47">
        <w:rPr>
          <w:rFonts w:ascii="Arial" w:hAnsi="Arial" w:cs="Arial"/>
          <w:sz w:val="24"/>
          <w:szCs w:val="24"/>
        </w:rPr>
        <w:t>.</w:t>
      </w:r>
      <w:r w:rsidRPr="00051D47">
        <w:rPr>
          <w:rFonts w:ascii="Arial" w:hAnsi="Arial" w:cs="Arial"/>
          <w:sz w:val="24"/>
          <w:szCs w:val="24"/>
        </w:rPr>
        <w:t>)</w:t>
      </w:r>
      <w:r w:rsidR="00626A9D" w:rsidRPr="00051D4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626A9D" w:rsidRPr="00051D47">
        <w:rPr>
          <w:rFonts w:ascii="Arial" w:hAnsi="Arial" w:cs="Arial"/>
          <w:sz w:val="24"/>
          <w:szCs w:val="24"/>
        </w:rPr>
        <w:t xml:space="preserve">. </w:t>
      </w:r>
      <w:r w:rsidRPr="00051D47">
        <w:rPr>
          <w:rFonts w:ascii="Arial" w:hAnsi="Arial" w:cs="Arial"/>
          <w:sz w:val="24"/>
          <w:szCs w:val="24"/>
        </w:rPr>
        <w:t>Według stanu z 1 stycznia 2023r. (979 miast</w:t>
      </w:r>
      <w:r w:rsidRPr="00051D4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051D47">
        <w:rPr>
          <w:rFonts w:ascii="Arial" w:hAnsi="Arial" w:cs="Arial"/>
          <w:sz w:val="24"/>
          <w:szCs w:val="24"/>
        </w:rPr>
        <w:t>), p</w:t>
      </w:r>
      <w:r w:rsidR="00626A9D" w:rsidRPr="00051D47">
        <w:rPr>
          <w:rFonts w:ascii="Arial" w:hAnsi="Arial" w:cs="Arial"/>
          <w:sz w:val="24"/>
          <w:szCs w:val="24"/>
        </w:rPr>
        <w:t>od względem wielkości</w:t>
      </w:r>
      <w:r w:rsidR="00A97CF6" w:rsidRPr="00051D47">
        <w:rPr>
          <w:rFonts w:ascii="Arial" w:hAnsi="Arial" w:cs="Arial"/>
          <w:sz w:val="24"/>
          <w:szCs w:val="24"/>
        </w:rPr>
        <w:t xml:space="preserve"> według podstawowej typologii,</w:t>
      </w:r>
      <w:r w:rsidR="00626A9D" w:rsidRPr="00051D47">
        <w:rPr>
          <w:rFonts w:ascii="Arial" w:hAnsi="Arial" w:cs="Arial"/>
          <w:sz w:val="24"/>
          <w:szCs w:val="24"/>
        </w:rPr>
        <w:t xml:space="preserve"> możemy wyróżnić trzy rodzaje miast występujących w </w:t>
      </w:r>
      <w:r w:rsidR="00A97CF6" w:rsidRPr="00051D47">
        <w:rPr>
          <w:rFonts w:ascii="Arial" w:hAnsi="Arial" w:cs="Arial"/>
          <w:sz w:val="24"/>
          <w:szCs w:val="24"/>
        </w:rPr>
        <w:t>krajowej sieci osadniczej</w:t>
      </w:r>
      <w:r w:rsidR="00626A9D" w:rsidRPr="00051D47">
        <w:rPr>
          <w:rFonts w:ascii="Arial" w:hAnsi="Arial" w:cs="Arial"/>
          <w:sz w:val="24"/>
          <w:szCs w:val="24"/>
        </w:rPr>
        <w:t>: miasta duże</w:t>
      </w:r>
      <w:r w:rsidR="00A97CF6" w:rsidRPr="00051D47">
        <w:rPr>
          <w:rFonts w:ascii="Arial" w:hAnsi="Arial" w:cs="Arial"/>
          <w:sz w:val="24"/>
          <w:szCs w:val="24"/>
        </w:rPr>
        <w:t xml:space="preserve"> (powyżej 100 000 mieszkańców), miasta średnie (20 000 – 100 000 mieszkańców) oraz miasta małe (poniżej 20 000 mieszkańców)</w:t>
      </w:r>
      <w:r w:rsidR="00A97CF6" w:rsidRPr="00051D47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A97CF6" w:rsidRPr="00051D47">
        <w:rPr>
          <w:rFonts w:ascii="Arial" w:hAnsi="Arial" w:cs="Arial"/>
          <w:sz w:val="24"/>
          <w:szCs w:val="24"/>
        </w:rPr>
        <w:t xml:space="preserve">. </w:t>
      </w:r>
      <w:r w:rsidR="009D615D" w:rsidRPr="00051D47">
        <w:rPr>
          <w:rFonts w:ascii="Arial" w:hAnsi="Arial" w:cs="Arial"/>
          <w:sz w:val="24"/>
          <w:szCs w:val="24"/>
        </w:rPr>
        <w:t xml:space="preserve">Zdecydowana większość miast to ośrodki małe (765 miast), jednak to miasta średnie i duże koncentrują aż 59,7% populacji kraju. Jednocześnie, sieć osadnicza charakteryzuje się wysoką policentrycznością, tj. brakiem przewagi miasta centralnego nad ośrodkami regionalnymi, a największe miasta (powyżej 200 000 mieszkańców) rozmieszczone są </w:t>
      </w:r>
      <w:r w:rsidR="00BB7A20" w:rsidRPr="00051D47">
        <w:rPr>
          <w:rFonts w:ascii="Arial" w:hAnsi="Arial" w:cs="Arial"/>
          <w:sz w:val="24"/>
          <w:szCs w:val="24"/>
        </w:rPr>
        <w:t>dość równomiernie</w:t>
      </w:r>
      <w:r w:rsidR="00BB7A20" w:rsidRPr="00051D47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BB7A20" w:rsidRPr="00051D47">
        <w:rPr>
          <w:rFonts w:ascii="Arial" w:hAnsi="Arial" w:cs="Arial"/>
          <w:sz w:val="24"/>
          <w:szCs w:val="24"/>
        </w:rPr>
        <w:t>.</w:t>
      </w:r>
      <w:r w:rsidR="006D02A5" w:rsidRPr="00051D47">
        <w:rPr>
          <w:rFonts w:ascii="Arial" w:hAnsi="Arial" w:cs="Arial"/>
          <w:sz w:val="24"/>
          <w:szCs w:val="24"/>
        </w:rPr>
        <w:t xml:space="preserve"> </w:t>
      </w:r>
    </w:p>
    <w:p w14:paraId="0C56A000" w14:textId="77777777" w:rsidR="00A02519" w:rsidRPr="00051D47" w:rsidRDefault="006D02A5" w:rsidP="00F85EAD">
      <w:pPr>
        <w:rPr>
          <w:rFonts w:ascii="Arial" w:hAnsi="Arial" w:cs="Arial"/>
          <w:bCs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Pod względem funkcji regionalnych i ponadregionalnych, trzon systemu miast w Polsce stanowią miasta wojewódzkie. Zapisy Umowy Partnerstwa 2014-2020 wskazują, iż </w:t>
      </w:r>
      <w:r w:rsidRPr="00051D47">
        <w:rPr>
          <w:rFonts w:ascii="Arial" w:hAnsi="Arial" w:cs="Arial"/>
          <w:bCs/>
          <w:sz w:val="24"/>
          <w:szCs w:val="24"/>
        </w:rPr>
        <w:t>tworzenie warunków dla lepszego wykorzystania potencjału miast wojewódzkich jako „węzłów sieci miejskiej” w Polsce oraz włączenie ich w konkurowanie z najważniejszymi ośrodkami w Europie i na świecie, jest jednym z najważniejszych, determinowanych przestrzennie, wyzwań rozwojowych Polski. W odpowiedzi na to wyzwanie, w Krajowej Strategii Rozwoju Regionalnego 2030</w:t>
      </w:r>
      <w:r w:rsidR="00F85EAD" w:rsidRPr="00051D47"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051D47">
        <w:rPr>
          <w:rFonts w:ascii="Arial" w:hAnsi="Arial" w:cs="Arial"/>
          <w:bCs/>
          <w:sz w:val="24"/>
          <w:szCs w:val="24"/>
        </w:rPr>
        <w:t xml:space="preserve"> oraz Koncepcji Przestrzennego Zagospodarowania Kraju 2030</w:t>
      </w:r>
      <w:r w:rsidR="00F85EAD" w:rsidRPr="00051D47">
        <w:rPr>
          <w:rStyle w:val="Odwoanieprzypisudolnego"/>
          <w:rFonts w:ascii="Arial" w:hAnsi="Arial" w:cs="Arial"/>
          <w:bCs/>
          <w:sz w:val="24"/>
          <w:szCs w:val="24"/>
        </w:rPr>
        <w:footnoteReference w:id="6"/>
      </w:r>
      <w:r w:rsidRPr="00051D47">
        <w:rPr>
          <w:rFonts w:ascii="Arial" w:hAnsi="Arial" w:cs="Arial"/>
          <w:bCs/>
          <w:sz w:val="24"/>
          <w:szCs w:val="24"/>
        </w:rPr>
        <w:t>, za najważniejszy cel w odniesieniu do miast wojewódzkich i ich obszarów funkcjonalnych uznano wzmacnianie funkcji metropolitalnych ośrodków wojewódzkich i integrację ich obszarów funkcjonalnych, m.in. poprzez wspieranie rozwiązań integrujących przestrzeń funkcjonalnych obszarów miejskich w zakresie zagospodarowania przestrzennego, transportu zbiorowego (infrastruktury, taboru i rozwiązań organizacyjnych), usług komunalnych i rynku pracy.</w:t>
      </w:r>
    </w:p>
    <w:p w14:paraId="72075D0F" w14:textId="7DA84276" w:rsidR="00F85EAD" w:rsidRPr="00051D47" w:rsidRDefault="00A02519" w:rsidP="00D52A47">
      <w:pPr>
        <w:rPr>
          <w:rFonts w:ascii="Arial" w:hAnsi="Arial" w:cs="Arial"/>
          <w:bCs/>
          <w:sz w:val="24"/>
          <w:szCs w:val="24"/>
        </w:rPr>
      </w:pPr>
      <w:r w:rsidRPr="00051D47">
        <w:rPr>
          <w:rFonts w:ascii="Arial" w:hAnsi="Arial" w:cs="Arial"/>
          <w:bCs/>
          <w:sz w:val="24"/>
          <w:szCs w:val="24"/>
        </w:rPr>
        <w:t xml:space="preserve">Dokumentem niezwykle istotnym dla polityki miejskiej i rozwoju miast </w:t>
      </w:r>
      <w:r w:rsidR="00DE6E42" w:rsidRPr="00051D47">
        <w:rPr>
          <w:rFonts w:ascii="Arial" w:hAnsi="Arial" w:cs="Arial"/>
          <w:bCs/>
          <w:sz w:val="24"/>
          <w:szCs w:val="24"/>
        </w:rPr>
        <w:t>w latach 2014-2020, była</w:t>
      </w:r>
      <w:r w:rsidRPr="00051D47">
        <w:rPr>
          <w:rFonts w:ascii="Arial" w:hAnsi="Arial" w:cs="Arial"/>
          <w:bCs/>
          <w:sz w:val="24"/>
          <w:szCs w:val="24"/>
        </w:rPr>
        <w:t xml:space="preserve"> także Strategia na rzecz Odpowiedzialnego Rozwoju do roku 2020 (z perspektywą do 2030r.)</w:t>
      </w:r>
      <w:r w:rsidRPr="00051D47">
        <w:rPr>
          <w:rStyle w:val="Odwoanieprzypisudolnego"/>
          <w:rFonts w:ascii="Arial" w:hAnsi="Arial" w:cs="Arial"/>
          <w:bCs/>
          <w:sz w:val="24"/>
          <w:szCs w:val="24"/>
        </w:rPr>
        <w:footnoteReference w:id="7"/>
      </w:r>
      <w:r w:rsidRPr="00051D47">
        <w:rPr>
          <w:rFonts w:ascii="Arial" w:hAnsi="Arial" w:cs="Arial"/>
          <w:bCs/>
          <w:sz w:val="24"/>
          <w:szCs w:val="24"/>
        </w:rPr>
        <w:t>.</w:t>
      </w:r>
      <w:r w:rsidR="006D02A5" w:rsidRPr="00051D47">
        <w:rPr>
          <w:rFonts w:ascii="Arial" w:hAnsi="Arial" w:cs="Arial"/>
          <w:bCs/>
          <w:sz w:val="24"/>
          <w:szCs w:val="24"/>
        </w:rPr>
        <w:t xml:space="preserve"> </w:t>
      </w:r>
      <w:r w:rsidRPr="00051D47">
        <w:rPr>
          <w:rFonts w:ascii="Arial" w:hAnsi="Arial" w:cs="Arial"/>
          <w:bCs/>
          <w:sz w:val="24"/>
          <w:szCs w:val="24"/>
        </w:rPr>
        <w:t>Strategia</w:t>
      </w:r>
      <w:r w:rsidR="00D567FD" w:rsidRPr="00051D47">
        <w:rPr>
          <w:rFonts w:ascii="Arial" w:hAnsi="Arial" w:cs="Arial"/>
          <w:bCs/>
          <w:sz w:val="24"/>
          <w:szCs w:val="24"/>
        </w:rPr>
        <w:t xml:space="preserve"> wzmocniła pozycję polityki miejskiej w katalogu polityk rozwojowych kraju oraz</w:t>
      </w:r>
      <w:r w:rsidRPr="00051D47">
        <w:rPr>
          <w:rFonts w:ascii="Arial" w:hAnsi="Arial" w:cs="Arial"/>
          <w:bCs/>
          <w:sz w:val="24"/>
          <w:szCs w:val="24"/>
        </w:rPr>
        <w:t xml:space="preserve"> w sposób szczególny wskazywała na wsparcie dla miast średnich, tracących funkcje społeczno-gospodarcze</w:t>
      </w:r>
      <w:r w:rsidR="00D567FD" w:rsidRPr="00051D47">
        <w:rPr>
          <w:rStyle w:val="Odwoanieprzypisudolnego"/>
          <w:rFonts w:ascii="Arial" w:hAnsi="Arial" w:cs="Arial"/>
          <w:bCs/>
          <w:sz w:val="24"/>
          <w:szCs w:val="24"/>
        </w:rPr>
        <w:footnoteReference w:id="8"/>
      </w:r>
      <w:r w:rsidRPr="00051D47">
        <w:rPr>
          <w:rFonts w:ascii="Arial" w:hAnsi="Arial" w:cs="Arial"/>
          <w:bCs/>
          <w:sz w:val="24"/>
          <w:szCs w:val="24"/>
        </w:rPr>
        <w:t>.</w:t>
      </w:r>
      <w:r w:rsidR="00D567FD" w:rsidRPr="00051D47">
        <w:rPr>
          <w:rFonts w:ascii="Arial" w:hAnsi="Arial" w:cs="Arial"/>
          <w:bCs/>
          <w:sz w:val="24"/>
          <w:szCs w:val="24"/>
        </w:rPr>
        <w:t xml:space="preserve"> </w:t>
      </w:r>
      <w:r w:rsidR="00D52A47" w:rsidRPr="00051D47">
        <w:rPr>
          <w:rFonts w:ascii="Arial" w:hAnsi="Arial" w:cs="Arial"/>
          <w:bCs/>
          <w:sz w:val="24"/>
          <w:szCs w:val="24"/>
        </w:rPr>
        <w:t xml:space="preserve">Podejmowane działania na rzecz rozwoju terytorialnego miały obejmować m.in. „(…) prowadzenie skutecznej </w:t>
      </w:r>
      <w:r w:rsidR="00D52A47" w:rsidRPr="00051D47">
        <w:rPr>
          <w:rFonts w:ascii="Arial" w:hAnsi="Arial" w:cs="Arial"/>
          <w:bCs/>
          <w:sz w:val="24"/>
          <w:szCs w:val="24"/>
        </w:rPr>
        <w:lastRenderedPageBreak/>
        <w:t xml:space="preserve">polityki regionalnej dostosowanej do specyfiki danego terytorium i obejmującej działania służące aktywizacji gospodarczej, rozwojowi lokalnych rynków pracy i mobilizacji zawodowej mieszkańców, czy poprawie dostępu do usług publicznych z wykorzystaniem potencjałów lokalnych i </w:t>
      </w:r>
      <w:proofErr w:type="spellStart"/>
      <w:r w:rsidR="00D52A47" w:rsidRPr="00051D47">
        <w:rPr>
          <w:rFonts w:ascii="Arial" w:hAnsi="Arial" w:cs="Arial"/>
          <w:bCs/>
          <w:sz w:val="24"/>
          <w:szCs w:val="24"/>
        </w:rPr>
        <w:t>subregionalnych</w:t>
      </w:r>
      <w:proofErr w:type="spellEnd"/>
      <w:r w:rsidR="00D52A47" w:rsidRPr="00051D47">
        <w:rPr>
          <w:rFonts w:ascii="Arial" w:hAnsi="Arial" w:cs="Arial"/>
          <w:bCs/>
          <w:sz w:val="24"/>
          <w:szCs w:val="24"/>
        </w:rPr>
        <w:t xml:space="preserve"> gospodarek, jak również własnych zasobów.”</w:t>
      </w:r>
      <w:r w:rsidR="00D52A47" w:rsidRPr="00051D47">
        <w:rPr>
          <w:rStyle w:val="Odwoanieprzypisudolnego"/>
          <w:rFonts w:ascii="Arial" w:hAnsi="Arial" w:cs="Arial"/>
          <w:bCs/>
          <w:sz w:val="24"/>
          <w:szCs w:val="24"/>
        </w:rPr>
        <w:footnoteReference w:id="9"/>
      </w:r>
    </w:p>
    <w:p w14:paraId="2DD41AB5" w14:textId="6541CE5F" w:rsidR="00D567FD" w:rsidRPr="00051D47" w:rsidRDefault="00D52A47" w:rsidP="00E80DF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Zapisy SOR były zgodne zapisami</w:t>
      </w:r>
      <w:r w:rsidR="00F85EAD" w:rsidRPr="00051D47">
        <w:rPr>
          <w:rFonts w:ascii="Arial" w:hAnsi="Arial" w:cs="Arial"/>
          <w:sz w:val="24"/>
          <w:szCs w:val="24"/>
        </w:rPr>
        <w:t xml:space="preserve"> z Umow</w:t>
      </w:r>
      <w:r w:rsidRPr="00051D47">
        <w:rPr>
          <w:rFonts w:ascii="Arial" w:hAnsi="Arial" w:cs="Arial"/>
          <w:sz w:val="24"/>
          <w:szCs w:val="24"/>
        </w:rPr>
        <w:t>y</w:t>
      </w:r>
      <w:r w:rsidR="00F85EAD" w:rsidRPr="00051D47">
        <w:rPr>
          <w:rFonts w:ascii="Arial" w:hAnsi="Arial" w:cs="Arial"/>
          <w:sz w:val="24"/>
          <w:szCs w:val="24"/>
        </w:rPr>
        <w:t xml:space="preserve"> Partnerstwa,</w:t>
      </w:r>
      <w:r w:rsidRPr="00051D47">
        <w:rPr>
          <w:rFonts w:ascii="Arial" w:hAnsi="Arial" w:cs="Arial"/>
          <w:sz w:val="24"/>
          <w:szCs w:val="24"/>
        </w:rPr>
        <w:t xml:space="preserve"> które wskazywały, iż</w:t>
      </w:r>
      <w:r w:rsidR="00F85EAD" w:rsidRPr="00051D47">
        <w:rPr>
          <w:rFonts w:ascii="Arial" w:hAnsi="Arial" w:cs="Arial"/>
          <w:sz w:val="24"/>
          <w:szCs w:val="24"/>
        </w:rPr>
        <w:t xml:space="preserve"> „efektywność programowania i realizacji społeczno-gospodarczych działań rozwojowych jest uwarunkowana właściwym dostosowaniem interwencji do specyfiki poszczególnych obszarów”</w:t>
      </w:r>
      <w:r w:rsidR="00F85EAD" w:rsidRPr="00051D47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="00F85EAD" w:rsidRPr="00051D47">
        <w:rPr>
          <w:rFonts w:ascii="Arial" w:hAnsi="Arial" w:cs="Arial"/>
          <w:sz w:val="24"/>
          <w:szCs w:val="24"/>
        </w:rPr>
        <w:t>. W celu dopasowania realizacji działań w ramach Polityki Spójności do potencjałów oraz potrzeb terytorialnych, w dokumencie określone zostały m.in. Obszary Strategicznej Interwencji (tzw. OSI). Realizacja interwencji w oparciu o OSI, stanowi „podstawową zasadę polityki rozwojowej prowadzonej przez Polskę”</w:t>
      </w:r>
      <w:r w:rsidR="00F85EAD" w:rsidRPr="00051D47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F85EAD" w:rsidRPr="00051D47">
        <w:rPr>
          <w:rFonts w:ascii="Arial" w:hAnsi="Arial" w:cs="Arial"/>
          <w:sz w:val="24"/>
          <w:szCs w:val="24"/>
        </w:rPr>
        <w:t xml:space="preserve">. Wśród wyodrębnionych OSI, znalazły się </w:t>
      </w:r>
      <w:r w:rsidRPr="00051D47">
        <w:rPr>
          <w:rFonts w:ascii="Arial" w:hAnsi="Arial" w:cs="Arial"/>
          <w:sz w:val="24"/>
          <w:szCs w:val="24"/>
        </w:rPr>
        <w:t xml:space="preserve">m.in. Miasta średnie tracące funkcje społeczno-gospodarcze, </w:t>
      </w:r>
      <w:r w:rsidR="00F85EAD" w:rsidRPr="00051D47">
        <w:rPr>
          <w:rFonts w:ascii="Arial" w:hAnsi="Arial" w:cs="Arial"/>
          <w:sz w:val="24"/>
          <w:szCs w:val="24"/>
        </w:rPr>
        <w:t>Miasta wojewódzkie i ich obszary funkcjonalne</w:t>
      </w:r>
      <w:r w:rsidRPr="00051D47">
        <w:rPr>
          <w:rFonts w:ascii="Arial" w:hAnsi="Arial" w:cs="Arial"/>
          <w:sz w:val="24"/>
          <w:szCs w:val="24"/>
        </w:rPr>
        <w:t>, Miasta i dzielnice miast wymagające rewitalizacji oraz Obszary zagrożone trwałą marginalizacją (w tym małe miasta).</w:t>
      </w:r>
    </w:p>
    <w:p w14:paraId="13A8339C" w14:textId="1F3A1C53" w:rsidR="00626A9D" w:rsidRPr="00051D47" w:rsidRDefault="00D52A47" w:rsidP="00E80DF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Z uwagi na istotne znaczenie relacji miasta z jego otoczeniem, szczególną uwagę należy zwrócić na miejskie obszary funkcjonalne. </w:t>
      </w:r>
      <w:r w:rsidR="006A6735" w:rsidRPr="00051D47">
        <w:rPr>
          <w:rFonts w:ascii="Arial" w:hAnsi="Arial" w:cs="Arial"/>
          <w:sz w:val="24"/>
          <w:szCs w:val="24"/>
        </w:rPr>
        <w:t xml:space="preserve">W Krajowej Polityce Miejskiej 2030 </w:t>
      </w:r>
      <w:r w:rsidR="00F85EAD" w:rsidRPr="00051D47">
        <w:rPr>
          <w:rFonts w:ascii="Arial" w:hAnsi="Arial" w:cs="Arial"/>
          <w:sz w:val="24"/>
          <w:szCs w:val="24"/>
        </w:rPr>
        <w:t>wyznaczone zostały</w:t>
      </w:r>
      <w:r w:rsidR="006A6735" w:rsidRPr="00051D47">
        <w:rPr>
          <w:rFonts w:ascii="Arial" w:hAnsi="Arial" w:cs="Arial"/>
          <w:sz w:val="24"/>
          <w:szCs w:val="24"/>
        </w:rPr>
        <w:t xml:space="preserve"> stref</w:t>
      </w:r>
      <w:r w:rsidR="00F85EAD" w:rsidRPr="00051D47">
        <w:rPr>
          <w:rFonts w:ascii="Arial" w:hAnsi="Arial" w:cs="Arial"/>
          <w:sz w:val="24"/>
          <w:szCs w:val="24"/>
        </w:rPr>
        <w:t>y</w:t>
      </w:r>
      <w:r w:rsidR="006A6735" w:rsidRPr="00051D47">
        <w:rPr>
          <w:rFonts w:ascii="Arial" w:hAnsi="Arial" w:cs="Arial"/>
          <w:sz w:val="24"/>
          <w:szCs w:val="24"/>
        </w:rPr>
        <w:t xml:space="preserve"> zewnętrzn</w:t>
      </w:r>
      <w:r w:rsidR="00F85EAD" w:rsidRPr="00051D47">
        <w:rPr>
          <w:rFonts w:ascii="Arial" w:hAnsi="Arial" w:cs="Arial"/>
          <w:sz w:val="24"/>
          <w:szCs w:val="24"/>
        </w:rPr>
        <w:t>e</w:t>
      </w:r>
      <w:r w:rsidR="006A6735" w:rsidRPr="00051D47">
        <w:rPr>
          <w:rFonts w:ascii="Arial" w:hAnsi="Arial" w:cs="Arial"/>
          <w:sz w:val="24"/>
          <w:szCs w:val="24"/>
        </w:rPr>
        <w:t xml:space="preserve"> (obszar</w:t>
      </w:r>
      <w:r w:rsidR="00F85EAD" w:rsidRPr="00051D47">
        <w:rPr>
          <w:rFonts w:ascii="Arial" w:hAnsi="Arial" w:cs="Arial"/>
          <w:sz w:val="24"/>
          <w:szCs w:val="24"/>
        </w:rPr>
        <w:t>y</w:t>
      </w:r>
      <w:r w:rsidR="006A6735" w:rsidRPr="00051D47">
        <w:rPr>
          <w:rFonts w:ascii="Arial" w:hAnsi="Arial" w:cs="Arial"/>
          <w:sz w:val="24"/>
          <w:szCs w:val="24"/>
        </w:rPr>
        <w:t xml:space="preserve"> funkcjonaln</w:t>
      </w:r>
      <w:r w:rsidR="00F85EAD" w:rsidRPr="00051D47">
        <w:rPr>
          <w:rFonts w:ascii="Arial" w:hAnsi="Arial" w:cs="Arial"/>
          <w:sz w:val="24"/>
          <w:szCs w:val="24"/>
        </w:rPr>
        <w:t>e</w:t>
      </w:r>
      <w:r w:rsidR="006A6735" w:rsidRPr="00051D47">
        <w:rPr>
          <w:rFonts w:ascii="Arial" w:hAnsi="Arial" w:cs="Arial"/>
          <w:sz w:val="24"/>
          <w:szCs w:val="24"/>
        </w:rPr>
        <w:t>) dla miast powyżej 35 000 mieszkańców</w:t>
      </w:r>
      <w:r w:rsidR="006A6735" w:rsidRPr="00051D47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6A6735" w:rsidRPr="00051D47">
        <w:rPr>
          <w:rFonts w:ascii="Arial" w:hAnsi="Arial" w:cs="Arial"/>
          <w:sz w:val="24"/>
          <w:szCs w:val="24"/>
        </w:rPr>
        <w:t>.</w:t>
      </w:r>
      <w:r w:rsidR="00A02519" w:rsidRPr="00051D47">
        <w:rPr>
          <w:rFonts w:ascii="Arial" w:hAnsi="Arial" w:cs="Arial"/>
          <w:sz w:val="24"/>
          <w:szCs w:val="24"/>
        </w:rPr>
        <w:t xml:space="preserve"> Ta </w:t>
      </w:r>
      <w:r w:rsidR="00DE6E42" w:rsidRPr="00051D47">
        <w:rPr>
          <w:rFonts w:ascii="Arial" w:hAnsi="Arial" w:cs="Arial"/>
          <w:sz w:val="24"/>
          <w:szCs w:val="24"/>
        </w:rPr>
        <w:t>delimitacja</w:t>
      </w:r>
      <w:r w:rsidR="00A02519" w:rsidRPr="00051D47">
        <w:rPr>
          <w:rFonts w:ascii="Arial" w:hAnsi="Arial" w:cs="Arial"/>
          <w:sz w:val="24"/>
          <w:szCs w:val="24"/>
        </w:rPr>
        <w:t xml:space="preserve"> zostanie wykorzystana w niniejszym badaniu. Jednocześnie, z uwagi na objęcie ewaluacją także miast poniżej 35 000 mieszkańców, w przypadku tych</w:t>
      </w:r>
      <w:r w:rsidR="00DE6E42" w:rsidRPr="00051D47">
        <w:rPr>
          <w:rFonts w:ascii="Arial" w:hAnsi="Arial" w:cs="Arial"/>
          <w:sz w:val="24"/>
          <w:szCs w:val="24"/>
        </w:rPr>
        <w:t xml:space="preserve"> miast</w:t>
      </w:r>
      <w:r w:rsidR="00A02519" w:rsidRPr="00051D47">
        <w:rPr>
          <w:rFonts w:ascii="Arial" w:hAnsi="Arial" w:cs="Arial"/>
          <w:sz w:val="24"/>
          <w:szCs w:val="24"/>
        </w:rPr>
        <w:t>, z uwagi na brak określenia ich obszarów funkcjonalnych, konieczne będzie przeanalizowanie ich relacji z otoczeniem</w:t>
      </w:r>
      <w:r w:rsidR="00DE6E42" w:rsidRPr="00051D47">
        <w:rPr>
          <w:rFonts w:ascii="Arial" w:hAnsi="Arial" w:cs="Arial"/>
          <w:sz w:val="24"/>
          <w:szCs w:val="24"/>
        </w:rPr>
        <w:t xml:space="preserve"> według delimitacji i metodologii zaproponowanej przez Wykonawcę</w:t>
      </w:r>
      <w:r w:rsidR="00A02519" w:rsidRPr="00051D47">
        <w:rPr>
          <w:rFonts w:ascii="Arial" w:hAnsi="Arial" w:cs="Arial"/>
          <w:sz w:val="24"/>
          <w:szCs w:val="24"/>
        </w:rPr>
        <w:t>.</w:t>
      </w:r>
    </w:p>
    <w:p w14:paraId="499A6BAB" w14:textId="5ABE26D3" w:rsidR="00E80DF7" w:rsidRPr="00051D47" w:rsidRDefault="00E80DF7" w:rsidP="00E80DF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Celem niniejszego badania jest przede wszystkim ocena </w:t>
      </w:r>
      <w:r w:rsidR="0069257F" w:rsidRPr="00051D47">
        <w:rPr>
          <w:rFonts w:ascii="Arial" w:hAnsi="Arial" w:cs="Arial"/>
          <w:sz w:val="24"/>
          <w:szCs w:val="24"/>
        </w:rPr>
        <w:t xml:space="preserve">wpływu działań </w:t>
      </w:r>
      <w:r w:rsidR="00795A9A">
        <w:rPr>
          <w:rFonts w:ascii="Arial" w:hAnsi="Arial" w:cs="Arial"/>
          <w:sz w:val="24"/>
          <w:szCs w:val="24"/>
        </w:rPr>
        <w:t xml:space="preserve">(projektów, interwencji) </w:t>
      </w:r>
      <w:r w:rsidR="0069257F" w:rsidRPr="00051D47">
        <w:rPr>
          <w:rFonts w:ascii="Arial" w:hAnsi="Arial" w:cs="Arial"/>
          <w:sz w:val="24"/>
          <w:szCs w:val="24"/>
        </w:rPr>
        <w:t>realizowanych w ramach polityki spójności 2014-2020 na rozwój miast w Polsce, z uwzględnieniem podziału na miasta duże, średnie oraz małe, biorąc pod uwagę także ich obszary funkcjonalne (dla miast powyżej 35 000 mieszkańców, zgodnie z delimitacją przyjętą w KPM 2030) l</w:t>
      </w:r>
      <w:r w:rsidR="00DE6E42" w:rsidRPr="00051D47">
        <w:rPr>
          <w:rFonts w:ascii="Arial" w:hAnsi="Arial" w:cs="Arial"/>
          <w:sz w:val="24"/>
          <w:szCs w:val="24"/>
        </w:rPr>
        <w:t>ub</w:t>
      </w:r>
      <w:r w:rsidR="0069257F" w:rsidRPr="00051D47">
        <w:rPr>
          <w:rFonts w:ascii="Arial" w:hAnsi="Arial" w:cs="Arial"/>
          <w:sz w:val="24"/>
          <w:szCs w:val="24"/>
        </w:rPr>
        <w:t xml:space="preserve"> relacje z otoczeniem (dla miast poniżej 35 000 mieszkańców).</w:t>
      </w:r>
    </w:p>
    <w:p w14:paraId="2757EE75" w14:textId="0B83E371" w:rsidR="00887890" w:rsidRPr="00051D47" w:rsidRDefault="00256999" w:rsidP="00887890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51D47">
        <w:rPr>
          <w:rFonts w:ascii="Arial" w:hAnsi="Arial" w:cs="Arial"/>
          <w:bCs/>
          <w:sz w:val="24"/>
          <w:szCs w:val="24"/>
        </w:rPr>
        <w:t xml:space="preserve">Badanie jest projektem kompleksowym, obejmującym swoim zakresem wszystkie programy operacyjne realizowane w ramach Umowy Partnerstwa na lata 2014-2020. </w:t>
      </w:r>
      <w:r w:rsidRPr="00051D47">
        <w:rPr>
          <w:rFonts w:ascii="Arial" w:hAnsi="Arial" w:cs="Arial"/>
          <w:sz w:val="24"/>
          <w:szCs w:val="24"/>
        </w:rPr>
        <w:t xml:space="preserve">W ramach badania zrealizowana zostanie </w:t>
      </w:r>
      <w:r w:rsidR="00E80DF7" w:rsidRPr="00051D47">
        <w:rPr>
          <w:rFonts w:ascii="Arial" w:hAnsi="Arial" w:cs="Arial"/>
          <w:sz w:val="24"/>
          <w:szCs w:val="24"/>
        </w:rPr>
        <w:t>identyfikacj</w:t>
      </w:r>
      <w:r w:rsidRPr="00051D47">
        <w:rPr>
          <w:rFonts w:ascii="Arial" w:hAnsi="Arial" w:cs="Arial"/>
          <w:sz w:val="24"/>
          <w:szCs w:val="24"/>
        </w:rPr>
        <w:t>a</w:t>
      </w:r>
      <w:r w:rsidR="00E80DF7" w:rsidRPr="00051D47">
        <w:rPr>
          <w:rFonts w:ascii="Arial" w:hAnsi="Arial" w:cs="Arial"/>
          <w:sz w:val="24"/>
          <w:szCs w:val="24"/>
        </w:rPr>
        <w:t xml:space="preserve"> nakładów finansowych oraz efektów rzeczowych wparcia zrealizowanego w obszarach miejskich w ramach polityki spójności 2014-2020. Ponadto, </w:t>
      </w:r>
      <w:r w:rsidRPr="00051D47">
        <w:rPr>
          <w:rFonts w:ascii="Arial" w:hAnsi="Arial" w:cs="Arial"/>
          <w:sz w:val="24"/>
          <w:szCs w:val="24"/>
        </w:rPr>
        <w:t>analizie zostanie poddane, czy</w:t>
      </w:r>
      <w:r w:rsidR="00E80DF7" w:rsidRPr="00051D47">
        <w:rPr>
          <w:rFonts w:ascii="Arial" w:hAnsi="Arial" w:cs="Arial"/>
          <w:sz w:val="24"/>
          <w:szCs w:val="24"/>
        </w:rPr>
        <w:t xml:space="preserve"> inwestycje w miastach </w:t>
      </w:r>
      <w:r w:rsidR="00E80DF7" w:rsidRPr="00051D47">
        <w:rPr>
          <w:rFonts w:ascii="Arial" w:hAnsi="Arial" w:cs="Arial"/>
          <w:sz w:val="24"/>
          <w:szCs w:val="24"/>
        </w:rPr>
        <w:lastRenderedPageBreak/>
        <w:t xml:space="preserve">przyczyniły się do realizacji celów Krajowej Polityki Miejskiej 2015-2023 oraz Krajowej Polityk Miejskiej 2030. Kluczowym elementem </w:t>
      </w:r>
      <w:r w:rsidRPr="00051D47">
        <w:rPr>
          <w:rFonts w:ascii="Arial" w:hAnsi="Arial" w:cs="Arial"/>
          <w:sz w:val="24"/>
          <w:szCs w:val="24"/>
        </w:rPr>
        <w:t>badania</w:t>
      </w:r>
      <w:r w:rsidR="00E80DF7" w:rsidRPr="00051D47">
        <w:rPr>
          <w:rFonts w:ascii="Arial" w:hAnsi="Arial" w:cs="Arial"/>
          <w:sz w:val="24"/>
          <w:szCs w:val="24"/>
        </w:rPr>
        <w:t xml:space="preserve"> będzie również ocena wpływu polityki spójności na </w:t>
      </w:r>
      <w:r w:rsidRPr="00051D47">
        <w:rPr>
          <w:rFonts w:ascii="Arial" w:hAnsi="Arial" w:cs="Arial"/>
          <w:sz w:val="24"/>
          <w:szCs w:val="24"/>
        </w:rPr>
        <w:t xml:space="preserve">rozwój miast w ramach sześciu obszarów: rynek pracy i rozwój gospodarczy, sytuacja na rynku mieszkaniowym, dostępność komunikacyjna miasta (ze szczególnym uwzględnieniem dostępności koleją), dostępność wybranych usług (ze szczególnym uwzględnieniem edukacji, zdrowia i kultury), elementy środowiskowe i adaptacja do zmian klimatu </w:t>
      </w:r>
      <w:r w:rsidR="00A91BF8">
        <w:rPr>
          <w:rFonts w:ascii="Arial" w:hAnsi="Arial" w:cs="Arial"/>
          <w:sz w:val="24"/>
          <w:szCs w:val="24"/>
        </w:rPr>
        <w:t xml:space="preserve">(ze szczególnym </w:t>
      </w:r>
      <w:r w:rsidR="000530D9">
        <w:rPr>
          <w:rFonts w:ascii="Arial" w:hAnsi="Arial" w:cs="Arial"/>
          <w:sz w:val="24"/>
          <w:szCs w:val="24"/>
        </w:rPr>
        <w:t xml:space="preserve">uwzględnieniem </w:t>
      </w:r>
      <w:r w:rsidR="00A91BF8">
        <w:rPr>
          <w:rFonts w:ascii="Arial" w:hAnsi="Arial" w:cs="Arial"/>
          <w:sz w:val="24"/>
          <w:szCs w:val="24"/>
        </w:rPr>
        <w:t xml:space="preserve">działań na rzecz rozwoju błękitno-zielonej infrastruktury, w tym </w:t>
      </w:r>
      <w:r w:rsidR="0027096E">
        <w:rPr>
          <w:rFonts w:ascii="Arial" w:hAnsi="Arial" w:cs="Arial"/>
          <w:sz w:val="24"/>
          <w:szCs w:val="24"/>
        </w:rPr>
        <w:t xml:space="preserve">zwiększania dostępności do terenów zieleni, </w:t>
      </w:r>
      <w:r w:rsidR="000530D9">
        <w:rPr>
          <w:rFonts w:ascii="Arial" w:hAnsi="Arial" w:cs="Arial"/>
          <w:sz w:val="24"/>
          <w:szCs w:val="24"/>
        </w:rPr>
        <w:t>przeciwdziałania powodziom miejskim i suszom</w:t>
      </w:r>
      <w:r w:rsidR="0027096E">
        <w:rPr>
          <w:rFonts w:ascii="Arial" w:hAnsi="Arial" w:cs="Arial"/>
          <w:sz w:val="24"/>
          <w:szCs w:val="24"/>
        </w:rPr>
        <w:t>,</w:t>
      </w:r>
      <w:r w:rsidR="000530D9">
        <w:rPr>
          <w:rFonts w:ascii="Arial" w:hAnsi="Arial" w:cs="Arial"/>
          <w:sz w:val="24"/>
          <w:szCs w:val="24"/>
        </w:rPr>
        <w:t xml:space="preserve"> zwiększania naturalnej</w:t>
      </w:r>
      <w:r w:rsidR="0027096E">
        <w:rPr>
          <w:rFonts w:ascii="Arial" w:hAnsi="Arial" w:cs="Arial"/>
          <w:sz w:val="24"/>
          <w:szCs w:val="24"/>
        </w:rPr>
        <w:t xml:space="preserve"> </w:t>
      </w:r>
      <w:r w:rsidR="000530D9">
        <w:rPr>
          <w:rFonts w:ascii="Arial" w:hAnsi="Arial" w:cs="Arial"/>
          <w:sz w:val="24"/>
          <w:szCs w:val="24"/>
        </w:rPr>
        <w:t xml:space="preserve">retencji </w:t>
      </w:r>
      <w:r w:rsidR="00A91BF8">
        <w:rPr>
          <w:rFonts w:ascii="Arial" w:hAnsi="Arial" w:cs="Arial"/>
          <w:sz w:val="24"/>
          <w:szCs w:val="24"/>
        </w:rPr>
        <w:t>oraz działań na rzecz ochrony powietrza, ograniczenia hałasu, poprawy efektywności energetycznej budynków</w:t>
      </w:r>
      <w:r w:rsidR="000530D9">
        <w:rPr>
          <w:rFonts w:ascii="Arial" w:hAnsi="Arial" w:cs="Arial"/>
          <w:sz w:val="24"/>
          <w:szCs w:val="24"/>
        </w:rPr>
        <w:t xml:space="preserve"> w miastach</w:t>
      </w:r>
      <w:r w:rsidR="00A91BF8">
        <w:rPr>
          <w:rFonts w:ascii="Arial" w:hAnsi="Arial" w:cs="Arial"/>
          <w:sz w:val="24"/>
          <w:szCs w:val="24"/>
        </w:rPr>
        <w:t xml:space="preserve">) </w:t>
      </w:r>
      <w:r w:rsidRPr="00051D47">
        <w:rPr>
          <w:rFonts w:ascii="Arial" w:hAnsi="Arial" w:cs="Arial"/>
          <w:sz w:val="24"/>
          <w:szCs w:val="24"/>
        </w:rPr>
        <w:t>oraz zarządzanie i planowanie (w tym partycypacja społeczna).</w:t>
      </w:r>
      <w:r w:rsidR="00887890" w:rsidRPr="00051D47">
        <w:rPr>
          <w:rFonts w:ascii="Arial" w:hAnsi="Arial" w:cs="Arial"/>
          <w:bCs/>
          <w:sz w:val="24"/>
          <w:szCs w:val="24"/>
        </w:rPr>
        <w:t xml:space="preserve"> Ponieważ miasta stają się istotnym podmiotem o dużym znaczeniu dla realizacji PS w perspektywie po 2020 roku, wskazane jest </w:t>
      </w:r>
      <w:r w:rsidR="00DE6E42" w:rsidRPr="00051D47">
        <w:rPr>
          <w:rFonts w:ascii="Arial" w:hAnsi="Arial" w:cs="Arial"/>
          <w:bCs/>
          <w:sz w:val="24"/>
          <w:szCs w:val="24"/>
        </w:rPr>
        <w:t xml:space="preserve">także </w:t>
      </w:r>
      <w:r w:rsidR="00887890" w:rsidRPr="00051D47">
        <w:rPr>
          <w:rFonts w:ascii="Arial" w:hAnsi="Arial" w:cs="Arial"/>
          <w:bCs/>
          <w:sz w:val="24"/>
          <w:szCs w:val="24"/>
        </w:rPr>
        <w:t>dokonanie oceny efektów interwencji w latach 2014-2020 w połączeniu z pogłębioną analizą teorii interwencji w perspektywie po 202</w:t>
      </w:r>
      <w:r w:rsidR="009620B1" w:rsidRPr="00051D47">
        <w:rPr>
          <w:rFonts w:ascii="Arial" w:hAnsi="Arial" w:cs="Arial"/>
          <w:bCs/>
          <w:sz w:val="24"/>
          <w:szCs w:val="24"/>
        </w:rPr>
        <w:t>0</w:t>
      </w:r>
      <w:r w:rsidR="00887890" w:rsidRPr="00051D47">
        <w:rPr>
          <w:rFonts w:ascii="Arial" w:hAnsi="Arial" w:cs="Arial"/>
          <w:bCs/>
          <w:sz w:val="24"/>
          <w:szCs w:val="24"/>
        </w:rPr>
        <w:t xml:space="preserve"> roku.</w:t>
      </w:r>
    </w:p>
    <w:p w14:paraId="03D90736" w14:textId="11443460" w:rsidR="00E80DF7" w:rsidRPr="00051D47" w:rsidRDefault="00E80DF7" w:rsidP="00E80DF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Poprzez analizę skuteczności interwencji polityki spójności w kontekście miejskim, dążymy do zidentyfikowania najlepszych praktyk oraz obszarów, w których wsparcie to nie osiągnęło zakładanych rezultatów. Dodatkowo, </w:t>
      </w:r>
      <w:r w:rsidR="00256999" w:rsidRPr="00051D47">
        <w:rPr>
          <w:rFonts w:ascii="Arial" w:hAnsi="Arial" w:cs="Arial"/>
          <w:sz w:val="24"/>
          <w:szCs w:val="24"/>
        </w:rPr>
        <w:t xml:space="preserve">wzięty pod </w:t>
      </w:r>
      <w:r w:rsidRPr="00051D47">
        <w:rPr>
          <w:rFonts w:ascii="Arial" w:hAnsi="Arial" w:cs="Arial"/>
          <w:sz w:val="24"/>
          <w:szCs w:val="24"/>
        </w:rPr>
        <w:t xml:space="preserve">uwagę </w:t>
      </w:r>
      <w:r w:rsidR="00256999" w:rsidRPr="00051D47">
        <w:rPr>
          <w:rFonts w:ascii="Arial" w:hAnsi="Arial" w:cs="Arial"/>
          <w:sz w:val="24"/>
          <w:szCs w:val="24"/>
        </w:rPr>
        <w:t>zostanie</w:t>
      </w:r>
      <w:r w:rsidRPr="00051D47">
        <w:rPr>
          <w:rFonts w:ascii="Arial" w:hAnsi="Arial" w:cs="Arial"/>
          <w:sz w:val="24"/>
          <w:szCs w:val="24"/>
        </w:rPr>
        <w:t xml:space="preserve"> wpływ realizacji polityki spójności na zjawiska takie jak </w:t>
      </w:r>
      <w:proofErr w:type="spellStart"/>
      <w:r w:rsidRPr="00051D47">
        <w:rPr>
          <w:rFonts w:ascii="Arial" w:hAnsi="Arial" w:cs="Arial"/>
          <w:sz w:val="24"/>
          <w:szCs w:val="24"/>
        </w:rPr>
        <w:t>suburbanizacja</w:t>
      </w:r>
      <w:proofErr w:type="spellEnd"/>
      <w:r w:rsidRPr="00051D47">
        <w:rPr>
          <w:rFonts w:ascii="Arial" w:hAnsi="Arial" w:cs="Arial"/>
          <w:sz w:val="24"/>
          <w:szCs w:val="24"/>
        </w:rPr>
        <w:t xml:space="preserve"> czy procesy wykorzystujące potencjał miast jako siły napędowej rozwoju regionalnego.</w:t>
      </w:r>
    </w:p>
    <w:p w14:paraId="7FED0CEA" w14:textId="2CD91D09" w:rsidR="00E80DF7" w:rsidRPr="00051D47" w:rsidRDefault="00E80DF7" w:rsidP="00E80DF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Wartość dodaną badania stanowić będą rekomendacje dla polityki spójności w kolejnych perspektywach finansowych, obejmujące zarówno okres 2021-2027, jak i </w:t>
      </w:r>
      <w:r w:rsidR="00256999" w:rsidRPr="00051D47">
        <w:rPr>
          <w:rFonts w:ascii="Arial" w:hAnsi="Arial" w:cs="Arial"/>
          <w:sz w:val="24"/>
          <w:szCs w:val="24"/>
        </w:rPr>
        <w:t>2028+</w:t>
      </w:r>
      <w:r w:rsidRPr="00051D47">
        <w:rPr>
          <w:rFonts w:ascii="Arial" w:hAnsi="Arial" w:cs="Arial"/>
          <w:sz w:val="24"/>
          <w:szCs w:val="24"/>
        </w:rPr>
        <w:t>. Zrozumienie osiągnięć i wyzwań polityki spójności w obszarze miejskim jest kluczowe dla skuteczniejszego kierowania środkami finansowymi oraz dostosowywania strategii rozwoju do zmieniających się realiów społeczno-gospodarczych.</w:t>
      </w:r>
    </w:p>
    <w:p w14:paraId="79B69F91" w14:textId="4AC985CD" w:rsidR="00E80DF7" w:rsidRPr="00051D47" w:rsidRDefault="00E80DF7" w:rsidP="00E80DF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Badanie to stanowi wkład w szerszy kontekst debaty nad kształtem polityki regionalnej i miejskiej Unii Europejskiej oraz dostarcz</w:t>
      </w:r>
      <w:r w:rsidR="00DE6E42" w:rsidRPr="00051D47">
        <w:rPr>
          <w:rFonts w:ascii="Arial" w:hAnsi="Arial" w:cs="Arial"/>
          <w:sz w:val="24"/>
          <w:szCs w:val="24"/>
        </w:rPr>
        <w:t>y</w:t>
      </w:r>
      <w:r w:rsidRPr="00051D47">
        <w:rPr>
          <w:rFonts w:ascii="Arial" w:hAnsi="Arial" w:cs="Arial"/>
          <w:sz w:val="24"/>
          <w:szCs w:val="24"/>
        </w:rPr>
        <w:t xml:space="preserve"> praktycznych wytycznych dla decydentów, beneficjentów funduszy oraz wszystkich zainteresowanych równomiernym i zrównoważonym rozwojem obszarów miejskich.</w:t>
      </w:r>
    </w:p>
    <w:p w14:paraId="7BD86FCC" w14:textId="6FB930D7" w:rsidR="00E13A57" w:rsidRDefault="0061364A" w:rsidP="00051D47">
      <w:pPr>
        <w:pStyle w:val="Nagwek1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2" w:name="_Toc154861789"/>
      <w:r w:rsidRPr="00051D47">
        <w:rPr>
          <w:rFonts w:ascii="Arial" w:hAnsi="Arial" w:cs="Arial"/>
          <w:sz w:val="24"/>
          <w:szCs w:val="24"/>
        </w:rPr>
        <w:t>Cele badania</w:t>
      </w:r>
      <w:bookmarkEnd w:id="2"/>
      <w:r w:rsidRPr="00051D47">
        <w:rPr>
          <w:rFonts w:ascii="Arial" w:hAnsi="Arial" w:cs="Arial"/>
          <w:sz w:val="24"/>
          <w:szCs w:val="24"/>
        </w:rPr>
        <w:t xml:space="preserve"> </w:t>
      </w:r>
    </w:p>
    <w:p w14:paraId="2E939820" w14:textId="3EC348C4" w:rsidR="00051D47" w:rsidRPr="00051D47" w:rsidRDefault="00051D47" w:rsidP="00051D47">
      <w:pPr>
        <w:pStyle w:val="Nagwek2"/>
        <w:rPr>
          <w:rFonts w:ascii="Arial" w:hAnsi="Arial" w:cs="Arial"/>
          <w:sz w:val="24"/>
          <w:szCs w:val="24"/>
        </w:rPr>
      </w:pPr>
      <w:bookmarkStart w:id="3" w:name="_Toc154861790"/>
      <w:r w:rsidRPr="00051D47">
        <w:rPr>
          <w:rFonts w:ascii="Arial" w:hAnsi="Arial" w:cs="Arial"/>
          <w:sz w:val="24"/>
          <w:szCs w:val="24"/>
        </w:rPr>
        <w:t>Cel główny:</w:t>
      </w:r>
      <w:bookmarkEnd w:id="3"/>
    </w:p>
    <w:p w14:paraId="5B3DE720" w14:textId="71E55D1A" w:rsidR="00E83510" w:rsidRPr="00051D47" w:rsidRDefault="00E83510" w:rsidP="00E13A57">
      <w:pPr>
        <w:rPr>
          <w:rFonts w:ascii="Arial" w:hAnsi="Arial" w:cs="Arial"/>
          <w:bCs/>
          <w:sz w:val="24"/>
          <w:szCs w:val="24"/>
        </w:rPr>
      </w:pPr>
      <w:r w:rsidRPr="00051D47">
        <w:rPr>
          <w:rFonts w:ascii="Arial" w:hAnsi="Arial" w:cs="Arial"/>
          <w:bCs/>
          <w:sz w:val="24"/>
          <w:szCs w:val="24"/>
        </w:rPr>
        <w:t>Głównym celem badania jest ocena wpływu polityki spójności w okresie programowania 2014-2020 na rozwój polskich miast i ich</w:t>
      </w:r>
      <w:r w:rsidR="00DE6E42" w:rsidRPr="00051D47">
        <w:rPr>
          <w:rFonts w:ascii="Arial" w:hAnsi="Arial" w:cs="Arial"/>
          <w:bCs/>
          <w:sz w:val="24"/>
          <w:szCs w:val="24"/>
        </w:rPr>
        <w:t xml:space="preserve"> obszary funkcjonalne</w:t>
      </w:r>
      <w:r w:rsidR="00DE6E42" w:rsidRPr="00051D47">
        <w:rPr>
          <w:rStyle w:val="Odwoanieprzypisudolnego"/>
          <w:rFonts w:ascii="Arial" w:hAnsi="Arial" w:cs="Arial"/>
          <w:bCs/>
          <w:sz w:val="24"/>
          <w:szCs w:val="24"/>
        </w:rPr>
        <w:footnoteReference w:id="13"/>
      </w:r>
      <w:r w:rsidR="00DE6E42" w:rsidRPr="00051D47">
        <w:rPr>
          <w:rFonts w:ascii="Arial" w:hAnsi="Arial" w:cs="Arial"/>
          <w:bCs/>
          <w:sz w:val="24"/>
          <w:szCs w:val="24"/>
        </w:rPr>
        <w:t>.</w:t>
      </w:r>
    </w:p>
    <w:p w14:paraId="39954E8F" w14:textId="34C19129" w:rsidR="00BA31D3" w:rsidRPr="00051D47" w:rsidRDefault="00BA31D3" w:rsidP="00051D47">
      <w:pPr>
        <w:pStyle w:val="Nagwek2"/>
        <w:rPr>
          <w:rFonts w:ascii="Arial" w:hAnsi="Arial" w:cs="Arial"/>
          <w:sz w:val="24"/>
          <w:szCs w:val="24"/>
        </w:rPr>
      </w:pPr>
      <w:bookmarkStart w:id="4" w:name="_Toc154861791"/>
      <w:r w:rsidRPr="00051D47">
        <w:rPr>
          <w:rFonts w:ascii="Arial" w:hAnsi="Arial" w:cs="Arial"/>
          <w:sz w:val="24"/>
          <w:szCs w:val="24"/>
        </w:rPr>
        <w:t>Cele szczegółowe:</w:t>
      </w:r>
      <w:bookmarkEnd w:id="4"/>
    </w:p>
    <w:p w14:paraId="00EA9E40" w14:textId="05028A3C" w:rsidR="00BA31D3" w:rsidRPr="00051D47" w:rsidRDefault="00FB7D1E" w:rsidP="00BA31D3">
      <w:pPr>
        <w:pStyle w:val="Akapitzlist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051D47">
        <w:rPr>
          <w:rFonts w:ascii="Arial" w:hAnsi="Arial" w:cs="Arial"/>
          <w:bCs/>
          <w:sz w:val="24"/>
          <w:szCs w:val="24"/>
        </w:rPr>
        <w:t>Ocena</w:t>
      </w:r>
      <w:r w:rsidR="00BA31D3" w:rsidRPr="00051D47">
        <w:rPr>
          <w:rFonts w:ascii="Arial" w:hAnsi="Arial" w:cs="Arial"/>
          <w:bCs/>
          <w:sz w:val="24"/>
          <w:szCs w:val="24"/>
        </w:rPr>
        <w:t xml:space="preserve"> efektów </w:t>
      </w:r>
      <w:r w:rsidR="008F08EB" w:rsidRPr="00051D47">
        <w:rPr>
          <w:rFonts w:ascii="Arial" w:hAnsi="Arial" w:cs="Arial"/>
          <w:bCs/>
          <w:sz w:val="24"/>
          <w:szCs w:val="24"/>
        </w:rPr>
        <w:t>realizacji polityki spójności 2014-</w:t>
      </w:r>
      <w:r w:rsidR="00590A74">
        <w:rPr>
          <w:rFonts w:ascii="Arial" w:hAnsi="Arial" w:cs="Arial"/>
          <w:bCs/>
          <w:sz w:val="24"/>
          <w:szCs w:val="24"/>
        </w:rPr>
        <w:t xml:space="preserve">2020 </w:t>
      </w:r>
      <w:r w:rsidR="00BA31D3" w:rsidRPr="00051D47">
        <w:rPr>
          <w:rFonts w:ascii="Arial" w:hAnsi="Arial" w:cs="Arial"/>
          <w:bCs/>
          <w:sz w:val="24"/>
          <w:szCs w:val="24"/>
        </w:rPr>
        <w:t>w zakresie rozwoju miast i ich obszarów funkcjonalnych.</w:t>
      </w:r>
    </w:p>
    <w:p w14:paraId="1439AC6C" w14:textId="4DB71BC6" w:rsidR="00BA31D3" w:rsidRPr="00051D47" w:rsidRDefault="00BA31D3" w:rsidP="00BA31D3">
      <w:pPr>
        <w:pStyle w:val="Akapitzlist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051D47">
        <w:rPr>
          <w:rFonts w:ascii="Arial" w:hAnsi="Arial" w:cs="Arial"/>
          <w:bCs/>
          <w:sz w:val="24"/>
          <w:szCs w:val="24"/>
        </w:rPr>
        <w:lastRenderedPageBreak/>
        <w:t>Ocena wpływu interwencji w zakresie rozwoju miast i ich obszarów funkcjonalnych na krajowy i regionalny rozwój społeczno-gospodarczy.</w:t>
      </w:r>
    </w:p>
    <w:p w14:paraId="7DBB991F" w14:textId="48F62228" w:rsidR="00BA31D3" w:rsidRPr="00051D47" w:rsidRDefault="00BA31D3" w:rsidP="00BA31D3">
      <w:pPr>
        <w:pStyle w:val="Akapitzlist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051D47">
        <w:rPr>
          <w:rFonts w:ascii="Arial" w:hAnsi="Arial" w:cs="Arial"/>
          <w:bCs/>
          <w:sz w:val="24"/>
          <w:szCs w:val="24"/>
        </w:rPr>
        <w:t>Ocena</w:t>
      </w:r>
      <w:r w:rsidR="008F08EB" w:rsidRPr="00051D47">
        <w:rPr>
          <w:rFonts w:ascii="Arial" w:hAnsi="Arial" w:cs="Arial"/>
          <w:bCs/>
          <w:sz w:val="24"/>
          <w:szCs w:val="24"/>
        </w:rPr>
        <w:t xml:space="preserve"> spójności i </w:t>
      </w:r>
      <w:r w:rsidRPr="00051D47">
        <w:rPr>
          <w:rFonts w:ascii="Arial" w:hAnsi="Arial" w:cs="Arial"/>
          <w:bCs/>
          <w:sz w:val="24"/>
          <w:szCs w:val="24"/>
        </w:rPr>
        <w:t xml:space="preserve">komplementarności udzielonej interwencji </w:t>
      </w:r>
      <w:r w:rsidR="008F08EB" w:rsidRPr="00051D47">
        <w:rPr>
          <w:rFonts w:ascii="Arial" w:hAnsi="Arial" w:cs="Arial"/>
          <w:bCs/>
          <w:sz w:val="24"/>
          <w:szCs w:val="24"/>
        </w:rPr>
        <w:t>ukierunkowanej na rozwój miast i ich obszarów funkcjonalnych</w:t>
      </w:r>
      <w:r w:rsidRPr="00051D47">
        <w:rPr>
          <w:rFonts w:ascii="Arial" w:hAnsi="Arial" w:cs="Arial"/>
          <w:bCs/>
          <w:sz w:val="24"/>
          <w:szCs w:val="24"/>
        </w:rPr>
        <w:t xml:space="preserve"> w ramach perspektywy 2014-2020 oraz w kontekście perspektywy 2007-2013.</w:t>
      </w:r>
    </w:p>
    <w:p w14:paraId="241983C7" w14:textId="0C822DDA" w:rsidR="008F08EB" w:rsidRPr="00051D47" w:rsidRDefault="008F08EB" w:rsidP="008F08EB">
      <w:pPr>
        <w:pStyle w:val="Akapitzlist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051D47">
        <w:rPr>
          <w:rFonts w:ascii="Arial" w:hAnsi="Arial" w:cs="Arial"/>
          <w:bCs/>
          <w:sz w:val="24"/>
          <w:szCs w:val="24"/>
        </w:rPr>
        <w:t xml:space="preserve">Ocena spójności i komplementarności działań ukierunkowanych na rozwój miast i ich obszarów funkcjonalnych/relacji z otoczeniem, wdrażanych w ramach polityki spójności z innymi interwencjami publicznymi mającymi na celu rozwój ww. obszarów </w:t>
      </w:r>
      <w:r w:rsidR="00FB7D1E" w:rsidRPr="00051D47">
        <w:rPr>
          <w:rFonts w:ascii="Arial" w:hAnsi="Arial" w:cs="Arial"/>
          <w:bCs/>
          <w:sz w:val="24"/>
          <w:szCs w:val="24"/>
        </w:rPr>
        <w:t>(w szczególności</w:t>
      </w:r>
      <w:r w:rsidRPr="00051D47">
        <w:rPr>
          <w:rFonts w:ascii="Arial" w:hAnsi="Arial" w:cs="Arial"/>
          <w:bCs/>
          <w:sz w:val="24"/>
          <w:szCs w:val="24"/>
        </w:rPr>
        <w:t xml:space="preserve"> </w:t>
      </w:r>
      <w:r w:rsidR="00FB7D1E" w:rsidRPr="00051D47">
        <w:rPr>
          <w:rFonts w:ascii="Arial" w:hAnsi="Arial" w:cs="Arial"/>
          <w:bCs/>
          <w:sz w:val="24"/>
          <w:szCs w:val="24"/>
        </w:rPr>
        <w:t>KPM 2015-2023, KPM 20</w:t>
      </w:r>
      <w:r w:rsidR="009D3EC1">
        <w:rPr>
          <w:rFonts w:ascii="Arial" w:hAnsi="Arial" w:cs="Arial"/>
          <w:bCs/>
          <w:sz w:val="24"/>
          <w:szCs w:val="24"/>
        </w:rPr>
        <w:t>30</w:t>
      </w:r>
      <w:r w:rsidRPr="00051D47">
        <w:rPr>
          <w:rFonts w:ascii="Arial" w:hAnsi="Arial" w:cs="Arial"/>
          <w:bCs/>
          <w:sz w:val="24"/>
          <w:szCs w:val="24"/>
        </w:rPr>
        <w:t>).</w:t>
      </w:r>
    </w:p>
    <w:p w14:paraId="085F78FB" w14:textId="3C63587F" w:rsidR="00BA31D3" w:rsidRPr="00051D47" w:rsidRDefault="00BA31D3" w:rsidP="00BA31D3">
      <w:pPr>
        <w:pStyle w:val="Akapitzlist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051D47">
        <w:rPr>
          <w:rFonts w:ascii="Arial" w:hAnsi="Arial" w:cs="Arial"/>
          <w:bCs/>
          <w:sz w:val="24"/>
          <w:szCs w:val="24"/>
        </w:rPr>
        <w:t xml:space="preserve">Identyfikacja dobrych praktyk </w:t>
      </w:r>
      <w:r w:rsidR="0049395D" w:rsidRPr="00051D47">
        <w:rPr>
          <w:rFonts w:ascii="Arial" w:hAnsi="Arial" w:cs="Arial"/>
          <w:bCs/>
          <w:sz w:val="24"/>
          <w:szCs w:val="24"/>
        </w:rPr>
        <w:t>oraz barier</w:t>
      </w:r>
      <w:r w:rsidR="00FB7D1E" w:rsidRPr="00051D47">
        <w:rPr>
          <w:rFonts w:ascii="Arial" w:hAnsi="Arial" w:cs="Arial"/>
          <w:bCs/>
          <w:sz w:val="24"/>
          <w:szCs w:val="24"/>
        </w:rPr>
        <w:t>/problemów</w:t>
      </w:r>
      <w:r w:rsidR="0049395D" w:rsidRPr="00051D47">
        <w:rPr>
          <w:rFonts w:ascii="Arial" w:hAnsi="Arial" w:cs="Arial"/>
          <w:bCs/>
          <w:sz w:val="24"/>
          <w:szCs w:val="24"/>
        </w:rPr>
        <w:t xml:space="preserve"> </w:t>
      </w:r>
      <w:r w:rsidRPr="00051D47">
        <w:rPr>
          <w:rFonts w:ascii="Arial" w:hAnsi="Arial" w:cs="Arial"/>
          <w:bCs/>
          <w:sz w:val="24"/>
          <w:szCs w:val="24"/>
        </w:rPr>
        <w:t>z zakresu</w:t>
      </w:r>
      <w:r w:rsidR="0049395D" w:rsidRPr="00051D47">
        <w:rPr>
          <w:rFonts w:ascii="Arial" w:hAnsi="Arial" w:cs="Arial"/>
          <w:bCs/>
          <w:sz w:val="24"/>
          <w:szCs w:val="24"/>
        </w:rPr>
        <w:t xml:space="preserve"> realizacji</w:t>
      </w:r>
      <w:r w:rsidRPr="00051D47">
        <w:rPr>
          <w:rFonts w:ascii="Arial" w:hAnsi="Arial" w:cs="Arial"/>
          <w:bCs/>
          <w:sz w:val="24"/>
          <w:szCs w:val="24"/>
        </w:rPr>
        <w:t xml:space="preserve"> wsparcia rozwoju miast i ich obszarów funkcjonalnych.</w:t>
      </w:r>
    </w:p>
    <w:p w14:paraId="4F0005F9" w14:textId="31A24938" w:rsidR="00BA31D3" w:rsidRPr="00051D47" w:rsidRDefault="00BA31D3" w:rsidP="00FE75F1">
      <w:pPr>
        <w:pStyle w:val="Akapitzlist"/>
        <w:numPr>
          <w:ilvl w:val="0"/>
          <w:numId w:val="7"/>
        </w:numPr>
        <w:rPr>
          <w:rFonts w:ascii="Arial" w:hAnsi="Arial" w:cs="Arial"/>
          <w:bCs/>
          <w:sz w:val="24"/>
          <w:szCs w:val="24"/>
        </w:rPr>
      </w:pPr>
      <w:r w:rsidRPr="00051D47">
        <w:rPr>
          <w:rFonts w:ascii="Arial" w:hAnsi="Arial" w:cs="Arial"/>
          <w:bCs/>
          <w:sz w:val="24"/>
          <w:szCs w:val="24"/>
        </w:rPr>
        <w:t>Sformułowanie wniosków z perspektywy 2014-2020 i rekomendacji dla procesu wdrażania programów w perspektywie 2021-2027, a także programowania perspektywy 2028+.</w:t>
      </w:r>
    </w:p>
    <w:p w14:paraId="39DFA8A9" w14:textId="70AFEDAA" w:rsidR="00DE6E42" w:rsidRPr="00051D47" w:rsidRDefault="00DE6E42" w:rsidP="00FB7D1E">
      <w:pPr>
        <w:rPr>
          <w:rFonts w:ascii="Arial" w:hAnsi="Arial" w:cs="Arial"/>
          <w:bCs/>
          <w:sz w:val="24"/>
          <w:szCs w:val="24"/>
        </w:rPr>
      </w:pPr>
      <w:r w:rsidRPr="00051D47">
        <w:rPr>
          <w:rFonts w:ascii="Arial" w:hAnsi="Arial" w:cs="Arial"/>
          <w:bCs/>
          <w:sz w:val="24"/>
          <w:szCs w:val="24"/>
        </w:rPr>
        <w:t>Wszystkie cele badawcze muszą zostać zrealizowane zgodnie z zakresem przedmiotowym badania.</w:t>
      </w:r>
    </w:p>
    <w:p w14:paraId="7F75CBA7" w14:textId="55114B6E" w:rsidR="0061364A" w:rsidRPr="00051D47" w:rsidRDefault="0061364A" w:rsidP="00051D47">
      <w:pPr>
        <w:pStyle w:val="Nagwek1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5" w:name="_Toc154861792"/>
      <w:r w:rsidRPr="00051D47">
        <w:rPr>
          <w:rFonts w:ascii="Arial" w:hAnsi="Arial" w:cs="Arial"/>
          <w:sz w:val="24"/>
          <w:szCs w:val="24"/>
        </w:rPr>
        <w:t xml:space="preserve">Zakres </w:t>
      </w:r>
      <w:r w:rsidR="00051D47" w:rsidRPr="00051D47">
        <w:rPr>
          <w:rFonts w:ascii="Arial" w:hAnsi="Arial" w:cs="Arial"/>
          <w:sz w:val="24"/>
          <w:szCs w:val="24"/>
        </w:rPr>
        <w:t>badania</w:t>
      </w:r>
      <w:bookmarkEnd w:id="5"/>
    </w:p>
    <w:p w14:paraId="2FF770E6" w14:textId="32689AD6" w:rsidR="00051D47" w:rsidRPr="00051D47" w:rsidRDefault="00051D47" w:rsidP="00051D47">
      <w:pPr>
        <w:pStyle w:val="Nagwek2"/>
        <w:rPr>
          <w:rFonts w:ascii="Arial" w:hAnsi="Arial" w:cs="Arial"/>
          <w:sz w:val="24"/>
          <w:szCs w:val="24"/>
        </w:rPr>
      </w:pPr>
      <w:bookmarkStart w:id="6" w:name="_Toc154861793"/>
      <w:r w:rsidRPr="00051D47">
        <w:rPr>
          <w:rFonts w:ascii="Arial" w:hAnsi="Arial" w:cs="Arial"/>
          <w:sz w:val="24"/>
          <w:szCs w:val="24"/>
        </w:rPr>
        <w:t>Zakres przedmiotowy:</w:t>
      </w:r>
      <w:bookmarkEnd w:id="6"/>
    </w:p>
    <w:p w14:paraId="58563602" w14:textId="15DC4796" w:rsidR="00652BDE" w:rsidRPr="00051D47" w:rsidRDefault="003669FE" w:rsidP="003669FE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Przedmiotem badania są działania podejmowane w ramach Krajowych i Regionalnych Programów Operacyjnych</w:t>
      </w:r>
      <w:r w:rsidR="00C948B8">
        <w:rPr>
          <w:rFonts w:ascii="Arial" w:hAnsi="Arial" w:cs="Arial"/>
          <w:sz w:val="24"/>
          <w:szCs w:val="24"/>
        </w:rPr>
        <w:t xml:space="preserve"> oraz </w:t>
      </w:r>
      <w:r w:rsidR="00BC127C">
        <w:rPr>
          <w:rFonts w:ascii="Arial" w:hAnsi="Arial" w:cs="Arial"/>
          <w:sz w:val="24"/>
          <w:szCs w:val="24"/>
        </w:rPr>
        <w:t>programów</w:t>
      </w:r>
      <w:r w:rsidR="00C948B8">
        <w:rPr>
          <w:rFonts w:ascii="Arial" w:hAnsi="Arial" w:cs="Arial"/>
          <w:sz w:val="24"/>
          <w:szCs w:val="24"/>
        </w:rPr>
        <w:t xml:space="preserve"> E</w:t>
      </w:r>
      <w:r w:rsidR="00BC127C">
        <w:rPr>
          <w:rFonts w:ascii="Arial" w:hAnsi="Arial" w:cs="Arial"/>
          <w:sz w:val="24"/>
          <w:szCs w:val="24"/>
        </w:rPr>
        <w:t>uropejskiej Współpracy Terytorialnej kierowanych przez Polskę</w:t>
      </w:r>
      <w:r w:rsidR="00C948B8">
        <w:rPr>
          <w:rStyle w:val="Odwoanieprzypisudolnego"/>
          <w:rFonts w:ascii="Arial" w:hAnsi="Arial" w:cs="Arial"/>
          <w:sz w:val="24"/>
          <w:szCs w:val="24"/>
        </w:rPr>
        <w:footnoteReference w:id="14"/>
      </w:r>
      <w:r w:rsidRPr="00051D47">
        <w:rPr>
          <w:rFonts w:ascii="Arial" w:hAnsi="Arial" w:cs="Arial"/>
          <w:sz w:val="24"/>
          <w:szCs w:val="24"/>
        </w:rPr>
        <w:t>, ukierunkowane na wsparcie</w:t>
      </w:r>
      <w:r w:rsidR="00652BDE" w:rsidRPr="00051D47">
        <w:rPr>
          <w:rFonts w:ascii="Arial" w:hAnsi="Arial" w:cs="Arial"/>
          <w:sz w:val="24"/>
          <w:szCs w:val="24"/>
        </w:rPr>
        <w:t>:</w:t>
      </w:r>
    </w:p>
    <w:p w14:paraId="5AAE6C62" w14:textId="3E6A7CFB" w:rsidR="00652BDE" w:rsidRPr="00051D47" w:rsidRDefault="00652BDE" w:rsidP="00652BD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miast, w podziale na kategorie: miasta wojewódzkie, duże (powyżej 100 000 mieszkańców), średnie (20 000-100 000 mieszkańców) oraz małe (poniżej 20 000 mieszkańców)</w:t>
      </w:r>
    </w:p>
    <w:p w14:paraId="0AD12DD5" w14:textId="77777777" w:rsidR="00652BDE" w:rsidRPr="00051D47" w:rsidRDefault="00652BDE" w:rsidP="00652BD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obszarów funkcjonalnych, </w:t>
      </w:r>
    </w:p>
    <w:p w14:paraId="5F20EBF0" w14:textId="0995C720" w:rsidR="00652BDE" w:rsidRPr="00051D47" w:rsidRDefault="00652BDE" w:rsidP="00652BDE">
      <w:pPr>
        <w:pStyle w:val="Akapitzlist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zgodnie z delimitacją dla m</w:t>
      </w:r>
      <w:r w:rsidR="00D52A47" w:rsidRPr="00051D47">
        <w:rPr>
          <w:rFonts w:ascii="Arial" w:hAnsi="Arial" w:cs="Arial"/>
          <w:sz w:val="24"/>
          <w:szCs w:val="24"/>
        </w:rPr>
        <w:t>iast wojewódzkich oraz miast średnich</w:t>
      </w:r>
      <w:r w:rsidR="0069257F" w:rsidRPr="00051D47">
        <w:rPr>
          <w:rFonts w:ascii="Arial" w:hAnsi="Arial" w:cs="Arial"/>
          <w:sz w:val="24"/>
          <w:szCs w:val="24"/>
        </w:rPr>
        <w:t xml:space="preserve"> </w:t>
      </w:r>
      <w:r w:rsidR="00D52A47" w:rsidRPr="00051D47">
        <w:rPr>
          <w:rFonts w:ascii="Arial" w:hAnsi="Arial" w:cs="Arial"/>
          <w:sz w:val="24"/>
          <w:szCs w:val="24"/>
        </w:rPr>
        <w:t xml:space="preserve">powyżej 35 0000 mieszkańców </w:t>
      </w:r>
      <w:r w:rsidRPr="00051D47">
        <w:rPr>
          <w:rFonts w:ascii="Arial" w:hAnsi="Arial" w:cs="Arial"/>
          <w:sz w:val="24"/>
          <w:szCs w:val="24"/>
        </w:rPr>
        <w:t xml:space="preserve">wyznaczoną w Krajowej Polityce Miejskiej 2030 </w:t>
      </w:r>
    </w:p>
    <w:p w14:paraId="20E8F25A" w14:textId="2F1BB0B4" w:rsidR="00D52A47" w:rsidRPr="00051D47" w:rsidRDefault="00D52A47" w:rsidP="00652BDE">
      <w:pPr>
        <w:pStyle w:val="Akapitzlist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Miast średnich (poniżej 35 000 mieszkańców) oraz miast małych (poniżej 20 000 mieszkańców) i ich relacji z otoczeniem</w:t>
      </w:r>
      <w:r w:rsidR="00652BDE" w:rsidRPr="00051D47">
        <w:rPr>
          <w:rFonts w:ascii="Arial" w:hAnsi="Arial" w:cs="Arial"/>
          <w:sz w:val="24"/>
          <w:szCs w:val="24"/>
        </w:rPr>
        <w:t xml:space="preserve"> (Wykonawca powinien </w:t>
      </w:r>
      <w:r w:rsidR="00FB7D1E" w:rsidRPr="00051D47">
        <w:rPr>
          <w:rFonts w:ascii="Arial" w:hAnsi="Arial" w:cs="Arial"/>
          <w:sz w:val="24"/>
          <w:szCs w:val="24"/>
        </w:rPr>
        <w:t xml:space="preserve">zaproponować </w:t>
      </w:r>
      <w:r w:rsidR="00652BDE" w:rsidRPr="00051D47">
        <w:rPr>
          <w:rFonts w:ascii="Arial" w:hAnsi="Arial" w:cs="Arial"/>
          <w:sz w:val="24"/>
          <w:szCs w:val="24"/>
        </w:rPr>
        <w:t>sposób delimitacji</w:t>
      </w:r>
      <w:r w:rsidR="00FB7D1E" w:rsidRPr="00051D47">
        <w:rPr>
          <w:rStyle w:val="Odwoanieprzypisudolnego"/>
          <w:rFonts w:ascii="Arial" w:hAnsi="Arial" w:cs="Arial"/>
          <w:sz w:val="24"/>
          <w:szCs w:val="24"/>
        </w:rPr>
        <w:footnoteReference w:id="15"/>
      </w:r>
      <w:r w:rsidR="00652BDE" w:rsidRPr="00051D47">
        <w:rPr>
          <w:rFonts w:ascii="Arial" w:hAnsi="Arial" w:cs="Arial"/>
          <w:sz w:val="24"/>
          <w:szCs w:val="24"/>
        </w:rPr>
        <w:t>)</w:t>
      </w:r>
      <w:r w:rsidR="0069257F" w:rsidRPr="00051D47">
        <w:rPr>
          <w:rFonts w:ascii="Arial" w:hAnsi="Arial" w:cs="Arial"/>
          <w:sz w:val="24"/>
          <w:szCs w:val="24"/>
        </w:rPr>
        <w:t>,</w:t>
      </w:r>
    </w:p>
    <w:p w14:paraId="23A61CCC" w14:textId="0EE69550" w:rsidR="00D52A47" w:rsidRDefault="00256999" w:rsidP="00D52A4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Udzielone wsparcie</w:t>
      </w:r>
      <w:r w:rsidR="0069257F" w:rsidRPr="00051D47">
        <w:rPr>
          <w:rFonts w:ascii="Arial" w:hAnsi="Arial" w:cs="Arial"/>
          <w:sz w:val="24"/>
          <w:szCs w:val="24"/>
        </w:rPr>
        <w:t xml:space="preserve"> musi zostać przeanalizowane w ramach następujących o</w:t>
      </w:r>
      <w:r w:rsidR="00D52A47" w:rsidRPr="00051D47">
        <w:rPr>
          <w:rFonts w:ascii="Arial" w:hAnsi="Arial" w:cs="Arial"/>
          <w:sz w:val="24"/>
          <w:szCs w:val="24"/>
        </w:rPr>
        <w:t>bszar</w:t>
      </w:r>
      <w:r w:rsidR="0069257F" w:rsidRPr="00051D47">
        <w:rPr>
          <w:rFonts w:ascii="Arial" w:hAnsi="Arial" w:cs="Arial"/>
          <w:sz w:val="24"/>
          <w:szCs w:val="24"/>
        </w:rPr>
        <w:t>ów</w:t>
      </w:r>
      <w:r w:rsidR="00D52A47" w:rsidRPr="00051D47">
        <w:rPr>
          <w:rFonts w:ascii="Arial" w:hAnsi="Arial" w:cs="Arial"/>
          <w:sz w:val="24"/>
          <w:szCs w:val="24"/>
        </w:rPr>
        <w:t xml:space="preserve">: </w:t>
      </w:r>
    </w:p>
    <w:p w14:paraId="60A7AE4E" w14:textId="2DAA1AC6" w:rsidR="00795A9A" w:rsidRPr="00590A74" w:rsidRDefault="00795A9A" w:rsidP="001D0098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90A74">
        <w:rPr>
          <w:rFonts w:ascii="Arial" w:hAnsi="Arial" w:cs="Arial"/>
          <w:sz w:val="24"/>
          <w:szCs w:val="24"/>
        </w:rPr>
        <w:t>Zarządzanie i planowanie przestrzenne (w tym partycypacja społeczna)</w:t>
      </w:r>
      <w:r w:rsidR="00307FDC">
        <w:rPr>
          <w:rFonts w:ascii="Arial" w:hAnsi="Arial" w:cs="Arial"/>
          <w:sz w:val="24"/>
          <w:szCs w:val="24"/>
        </w:rPr>
        <w:t>.</w:t>
      </w:r>
    </w:p>
    <w:p w14:paraId="19BC82D5" w14:textId="71D1D9CB" w:rsidR="00795A9A" w:rsidRPr="00590A74" w:rsidRDefault="00795A9A" w:rsidP="001D0098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90A74">
        <w:rPr>
          <w:rFonts w:ascii="Arial" w:hAnsi="Arial" w:cs="Arial"/>
          <w:sz w:val="24"/>
          <w:szCs w:val="24"/>
        </w:rPr>
        <w:lastRenderedPageBreak/>
        <w:t xml:space="preserve">Działania na rzecz </w:t>
      </w:r>
      <w:r w:rsidR="00C948B8">
        <w:rPr>
          <w:rFonts w:ascii="Arial" w:hAnsi="Arial" w:cs="Arial"/>
          <w:sz w:val="24"/>
          <w:szCs w:val="24"/>
        </w:rPr>
        <w:t xml:space="preserve">poprawy </w:t>
      </w:r>
      <w:r w:rsidRPr="00590A74">
        <w:rPr>
          <w:rFonts w:ascii="Arial" w:hAnsi="Arial" w:cs="Arial"/>
          <w:sz w:val="24"/>
          <w:szCs w:val="24"/>
        </w:rPr>
        <w:t xml:space="preserve">jakości środowiska przyrodniczego oraz </w:t>
      </w:r>
      <w:r w:rsidR="00C948B8">
        <w:rPr>
          <w:rFonts w:ascii="Arial" w:hAnsi="Arial" w:cs="Arial"/>
          <w:sz w:val="24"/>
          <w:szCs w:val="24"/>
        </w:rPr>
        <w:t xml:space="preserve">adaptacji i </w:t>
      </w:r>
      <w:proofErr w:type="spellStart"/>
      <w:r w:rsidR="00C948B8">
        <w:rPr>
          <w:rFonts w:ascii="Arial" w:hAnsi="Arial" w:cs="Arial"/>
          <w:sz w:val="24"/>
          <w:szCs w:val="24"/>
        </w:rPr>
        <w:t>mitygacji</w:t>
      </w:r>
      <w:proofErr w:type="spellEnd"/>
      <w:r w:rsidR="00C948B8">
        <w:rPr>
          <w:rFonts w:ascii="Arial" w:hAnsi="Arial" w:cs="Arial"/>
          <w:sz w:val="24"/>
          <w:szCs w:val="24"/>
        </w:rPr>
        <w:t xml:space="preserve"> zmian klimatu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6"/>
      </w:r>
      <w:r w:rsidR="00307FDC">
        <w:rPr>
          <w:rFonts w:ascii="Arial" w:hAnsi="Arial" w:cs="Arial"/>
          <w:sz w:val="24"/>
          <w:szCs w:val="24"/>
        </w:rPr>
        <w:t>.</w:t>
      </w:r>
    </w:p>
    <w:p w14:paraId="6FF3DA0D" w14:textId="1A9D45F9" w:rsidR="00795A9A" w:rsidRPr="00590A74" w:rsidRDefault="00795A9A" w:rsidP="001D0098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90A74">
        <w:rPr>
          <w:rFonts w:ascii="Arial" w:hAnsi="Arial" w:cs="Arial"/>
          <w:sz w:val="24"/>
          <w:szCs w:val="24"/>
        </w:rPr>
        <w:t>Mobilność miejska i aglomeracyjna</w:t>
      </w:r>
      <w:r w:rsidR="00307FDC">
        <w:rPr>
          <w:rFonts w:ascii="Arial" w:hAnsi="Arial" w:cs="Arial"/>
          <w:sz w:val="24"/>
          <w:szCs w:val="24"/>
        </w:rPr>
        <w:t>.</w:t>
      </w:r>
    </w:p>
    <w:p w14:paraId="4BE36AA2" w14:textId="1E921370" w:rsidR="00307FDC" w:rsidRDefault="00C948B8" w:rsidP="001D0098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948B8">
        <w:rPr>
          <w:rFonts w:ascii="Arial" w:hAnsi="Arial" w:cs="Arial"/>
          <w:sz w:val="24"/>
          <w:szCs w:val="24"/>
        </w:rPr>
        <w:t>Mieszkalnictwo oraz usługi społeczne (z obszaru edukacji, kultury i zdrowia)</w:t>
      </w:r>
      <w:r w:rsidR="00307FDC">
        <w:rPr>
          <w:rFonts w:ascii="Arial" w:hAnsi="Arial" w:cs="Arial"/>
          <w:sz w:val="24"/>
          <w:szCs w:val="24"/>
        </w:rPr>
        <w:t>.</w:t>
      </w:r>
    </w:p>
    <w:p w14:paraId="3A2F1E39" w14:textId="65006915" w:rsidR="00795A9A" w:rsidRPr="00590A74" w:rsidRDefault="00795A9A" w:rsidP="001D0098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90A74">
        <w:rPr>
          <w:rFonts w:ascii="Arial" w:hAnsi="Arial" w:cs="Arial"/>
          <w:sz w:val="24"/>
          <w:szCs w:val="24"/>
        </w:rPr>
        <w:t>Rozwój gospodarczy, w tym rynek pracy</w:t>
      </w:r>
      <w:r w:rsidR="00307FDC">
        <w:rPr>
          <w:rFonts w:ascii="Arial" w:hAnsi="Arial" w:cs="Arial"/>
          <w:sz w:val="24"/>
          <w:szCs w:val="24"/>
        </w:rPr>
        <w:t>.</w:t>
      </w:r>
    </w:p>
    <w:p w14:paraId="445CAF77" w14:textId="5BCC29B6" w:rsidR="00CE7F44" w:rsidRPr="00590A74" w:rsidRDefault="00795A9A" w:rsidP="001D0098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590A74">
        <w:rPr>
          <w:rFonts w:ascii="Arial" w:hAnsi="Arial" w:cs="Arial"/>
          <w:sz w:val="24"/>
          <w:szCs w:val="24"/>
        </w:rPr>
        <w:t>Transformacja cyfrowa</w:t>
      </w:r>
      <w:r w:rsidR="00307FDC">
        <w:rPr>
          <w:rFonts w:ascii="Arial" w:hAnsi="Arial" w:cs="Arial"/>
          <w:sz w:val="24"/>
          <w:szCs w:val="24"/>
        </w:rPr>
        <w:t>.</w:t>
      </w:r>
    </w:p>
    <w:p w14:paraId="22A761FE" w14:textId="314A0FFD" w:rsidR="0061364A" w:rsidRPr="00051D47" w:rsidRDefault="0061364A" w:rsidP="00E13A57">
      <w:pPr>
        <w:pStyle w:val="Nagwek2"/>
        <w:rPr>
          <w:rFonts w:ascii="Arial" w:hAnsi="Arial" w:cs="Arial"/>
          <w:sz w:val="24"/>
          <w:szCs w:val="24"/>
        </w:rPr>
      </w:pPr>
      <w:bookmarkStart w:id="7" w:name="_Toc154861794"/>
      <w:r w:rsidRPr="00051D47">
        <w:rPr>
          <w:rFonts w:ascii="Arial" w:hAnsi="Arial" w:cs="Arial"/>
          <w:sz w:val="24"/>
          <w:szCs w:val="24"/>
        </w:rPr>
        <w:t>Zakres podmiotowy</w:t>
      </w:r>
      <w:bookmarkEnd w:id="7"/>
    </w:p>
    <w:p w14:paraId="3583720F" w14:textId="6418533A" w:rsidR="00C4435D" w:rsidRPr="00051D47" w:rsidRDefault="003669FE" w:rsidP="003669FE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Instytucje zaangażowane w realizację działań w ramach Krajowych i Regionalnych Programów Operacyjnych</w:t>
      </w:r>
      <w:r w:rsidR="004509C0" w:rsidRPr="00051D47">
        <w:rPr>
          <w:rStyle w:val="Odwoanieprzypisudolnego"/>
          <w:rFonts w:ascii="Arial" w:hAnsi="Arial" w:cs="Arial"/>
          <w:sz w:val="24"/>
          <w:szCs w:val="24"/>
        </w:rPr>
        <w:footnoteReference w:id="17"/>
      </w:r>
      <w:r w:rsidR="00B52A57" w:rsidRPr="00051D47">
        <w:rPr>
          <w:rFonts w:ascii="Arial" w:hAnsi="Arial" w:cs="Arial"/>
          <w:sz w:val="24"/>
          <w:szCs w:val="24"/>
        </w:rPr>
        <w:t xml:space="preserve"> </w:t>
      </w:r>
      <w:r w:rsidRPr="00051D47">
        <w:rPr>
          <w:rFonts w:ascii="Arial" w:hAnsi="Arial" w:cs="Arial"/>
          <w:sz w:val="24"/>
          <w:szCs w:val="24"/>
        </w:rPr>
        <w:t xml:space="preserve">w tym: Instytucje Zarządzające, Pośredniczące i Wdrażające, </w:t>
      </w:r>
      <w:r w:rsidR="00B52A57" w:rsidRPr="00051D47">
        <w:rPr>
          <w:rFonts w:ascii="Arial" w:hAnsi="Arial" w:cs="Arial"/>
          <w:sz w:val="24"/>
          <w:szCs w:val="24"/>
        </w:rPr>
        <w:t>Komitety Monitorujące i inne gremia (np. grupy robocze</w:t>
      </w:r>
      <w:r w:rsidR="00C948B8">
        <w:rPr>
          <w:rFonts w:ascii="Arial" w:hAnsi="Arial" w:cs="Arial"/>
          <w:sz w:val="24"/>
          <w:szCs w:val="24"/>
        </w:rPr>
        <w:t>, punkty kontaktowe</w:t>
      </w:r>
      <w:r w:rsidR="00C948B8">
        <w:rPr>
          <w:rStyle w:val="Odwoanieprzypisudolnego"/>
          <w:rFonts w:ascii="Arial" w:hAnsi="Arial" w:cs="Arial"/>
          <w:sz w:val="24"/>
          <w:szCs w:val="24"/>
        </w:rPr>
        <w:footnoteReference w:id="18"/>
      </w:r>
      <w:r w:rsidR="00B52A57" w:rsidRPr="00051D47">
        <w:rPr>
          <w:rFonts w:ascii="Arial" w:hAnsi="Arial" w:cs="Arial"/>
          <w:sz w:val="24"/>
          <w:szCs w:val="24"/>
        </w:rPr>
        <w:t xml:space="preserve">), a także beneficjenci działań </w:t>
      </w:r>
      <w:r w:rsidR="00FB7D1E" w:rsidRPr="00051D47">
        <w:rPr>
          <w:rFonts w:ascii="Arial" w:hAnsi="Arial" w:cs="Arial"/>
          <w:sz w:val="24"/>
          <w:szCs w:val="24"/>
        </w:rPr>
        <w:t xml:space="preserve">i </w:t>
      </w:r>
      <w:r w:rsidR="00B52A57" w:rsidRPr="00051D47">
        <w:rPr>
          <w:rFonts w:ascii="Arial" w:hAnsi="Arial" w:cs="Arial"/>
          <w:sz w:val="24"/>
          <w:szCs w:val="24"/>
        </w:rPr>
        <w:t>podmioty współpracujące</w:t>
      </w:r>
      <w:r w:rsidR="00FB7D1E" w:rsidRPr="00051D47">
        <w:rPr>
          <w:rFonts w:ascii="Arial" w:hAnsi="Arial" w:cs="Arial"/>
          <w:sz w:val="24"/>
          <w:szCs w:val="24"/>
        </w:rPr>
        <w:t xml:space="preserve"> oraz</w:t>
      </w:r>
      <w:r w:rsidR="00B52A57" w:rsidRPr="00051D47">
        <w:rPr>
          <w:rFonts w:ascii="Arial" w:hAnsi="Arial" w:cs="Arial"/>
          <w:sz w:val="24"/>
          <w:szCs w:val="24"/>
        </w:rPr>
        <w:t xml:space="preserve"> przedstawiciele jednostek samorządu terytorialnego, organizacji pozarządowych </w:t>
      </w:r>
      <w:r w:rsidR="00FB7D1E" w:rsidRPr="00051D47">
        <w:rPr>
          <w:rFonts w:ascii="Arial" w:hAnsi="Arial" w:cs="Arial"/>
          <w:sz w:val="24"/>
          <w:szCs w:val="24"/>
        </w:rPr>
        <w:t>i</w:t>
      </w:r>
      <w:r w:rsidR="00B52A57" w:rsidRPr="00051D47">
        <w:rPr>
          <w:rFonts w:ascii="Arial" w:hAnsi="Arial" w:cs="Arial"/>
          <w:sz w:val="24"/>
          <w:szCs w:val="24"/>
        </w:rPr>
        <w:t xml:space="preserve"> lokalnej społeczności. </w:t>
      </w:r>
    </w:p>
    <w:p w14:paraId="52CA0ED8" w14:textId="0B06446E" w:rsidR="0061364A" w:rsidRPr="00051D47" w:rsidRDefault="0061364A" w:rsidP="00E13A57">
      <w:pPr>
        <w:pStyle w:val="Nagwek2"/>
        <w:rPr>
          <w:rFonts w:ascii="Arial" w:hAnsi="Arial" w:cs="Arial"/>
          <w:sz w:val="24"/>
          <w:szCs w:val="24"/>
        </w:rPr>
      </w:pPr>
      <w:bookmarkStart w:id="8" w:name="_Toc154861795"/>
      <w:r w:rsidRPr="00051D47">
        <w:rPr>
          <w:rFonts w:ascii="Arial" w:hAnsi="Arial" w:cs="Arial"/>
          <w:sz w:val="24"/>
          <w:szCs w:val="24"/>
        </w:rPr>
        <w:t>Zakres terytorialny</w:t>
      </w:r>
      <w:bookmarkEnd w:id="8"/>
    </w:p>
    <w:p w14:paraId="63BC65D6" w14:textId="5865CC0A" w:rsidR="009C0CA1" w:rsidRPr="009852C8" w:rsidRDefault="009C0CA1" w:rsidP="009852C8">
      <w:pPr>
        <w:rPr>
          <w:rFonts w:ascii="Arial" w:hAnsi="Arial" w:cs="Arial"/>
          <w:sz w:val="24"/>
          <w:szCs w:val="24"/>
        </w:rPr>
      </w:pPr>
      <w:r w:rsidRPr="009852C8">
        <w:rPr>
          <w:rFonts w:ascii="Arial" w:hAnsi="Arial" w:cs="Arial"/>
          <w:sz w:val="24"/>
          <w:szCs w:val="24"/>
        </w:rPr>
        <w:t xml:space="preserve">Badaniem objęte zostaną wszystkie miasta na terenie całego kraju oraz </w:t>
      </w:r>
      <w:r w:rsidR="00FB7D1E" w:rsidRPr="009852C8">
        <w:rPr>
          <w:rFonts w:ascii="Arial" w:hAnsi="Arial" w:cs="Arial"/>
          <w:sz w:val="24"/>
          <w:szCs w:val="24"/>
        </w:rPr>
        <w:t xml:space="preserve">ich </w:t>
      </w:r>
      <w:r w:rsidRPr="009852C8">
        <w:rPr>
          <w:rFonts w:ascii="Arial" w:hAnsi="Arial" w:cs="Arial"/>
          <w:sz w:val="24"/>
          <w:szCs w:val="24"/>
        </w:rPr>
        <w:t>obszary funkcjonalne</w:t>
      </w:r>
      <w:r w:rsidR="00FB7D1E" w:rsidRPr="009852C8">
        <w:rPr>
          <w:rFonts w:ascii="Arial" w:hAnsi="Arial" w:cs="Arial"/>
          <w:sz w:val="24"/>
          <w:szCs w:val="24"/>
        </w:rPr>
        <w:t>.</w:t>
      </w:r>
    </w:p>
    <w:p w14:paraId="4DBAFACC" w14:textId="0FFFCF32" w:rsidR="0061364A" w:rsidRPr="00051D47" w:rsidRDefault="0061364A" w:rsidP="00E13A57">
      <w:pPr>
        <w:pStyle w:val="Nagwek2"/>
        <w:rPr>
          <w:rFonts w:ascii="Arial" w:hAnsi="Arial" w:cs="Arial"/>
          <w:sz w:val="24"/>
          <w:szCs w:val="24"/>
        </w:rPr>
      </w:pPr>
      <w:bookmarkStart w:id="9" w:name="_Toc154861796"/>
      <w:r w:rsidRPr="00051D47">
        <w:rPr>
          <w:rFonts w:ascii="Arial" w:hAnsi="Arial" w:cs="Arial"/>
          <w:sz w:val="24"/>
          <w:szCs w:val="24"/>
        </w:rPr>
        <w:t>Zakres czasowy</w:t>
      </w:r>
      <w:bookmarkEnd w:id="9"/>
    </w:p>
    <w:p w14:paraId="0531D7ED" w14:textId="33171B26" w:rsidR="003B4348" w:rsidRPr="00051D47" w:rsidRDefault="00E83510" w:rsidP="00E83510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Perspektywa P</w:t>
      </w:r>
      <w:r w:rsidR="003B4348" w:rsidRPr="00051D47">
        <w:rPr>
          <w:rFonts w:ascii="Arial" w:hAnsi="Arial" w:cs="Arial"/>
          <w:sz w:val="24"/>
          <w:szCs w:val="24"/>
        </w:rPr>
        <w:t xml:space="preserve">olityki </w:t>
      </w:r>
      <w:r w:rsidRPr="00051D47">
        <w:rPr>
          <w:rFonts w:ascii="Arial" w:hAnsi="Arial" w:cs="Arial"/>
          <w:sz w:val="24"/>
          <w:szCs w:val="24"/>
        </w:rPr>
        <w:t>S</w:t>
      </w:r>
      <w:r w:rsidR="003B4348" w:rsidRPr="00051D47">
        <w:rPr>
          <w:rFonts w:ascii="Arial" w:hAnsi="Arial" w:cs="Arial"/>
          <w:sz w:val="24"/>
          <w:szCs w:val="24"/>
        </w:rPr>
        <w:t>pójności</w:t>
      </w:r>
      <w:r w:rsidRPr="00051D47">
        <w:rPr>
          <w:rFonts w:ascii="Arial" w:hAnsi="Arial" w:cs="Arial"/>
          <w:sz w:val="24"/>
          <w:szCs w:val="24"/>
        </w:rPr>
        <w:t xml:space="preserve"> 2014-2020</w:t>
      </w:r>
      <w:r w:rsidR="003B4348" w:rsidRPr="00051D47">
        <w:rPr>
          <w:rFonts w:ascii="Arial" w:hAnsi="Arial" w:cs="Arial"/>
          <w:sz w:val="24"/>
          <w:szCs w:val="24"/>
        </w:rPr>
        <w:t xml:space="preserve"> (ewaluacja działań ex post).</w:t>
      </w:r>
    </w:p>
    <w:p w14:paraId="0FB0955B" w14:textId="043B4F4F" w:rsidR="00E83510" w:rsidRPr="00051D47" w:rsidRDefault="003B4348" w:rsidP="00E83510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Ewaluacja musi zawierać </w:t>
      </w:r>
      <w:r w:rsidR="00E83510" w:rsidRPr="00051D47">
        <w:rPr>
          <w:rFonts w:ascii="Arial" w:hAnsi="Arial" w:cs="Arial"/>
          <w:sz w:val="24"/>
          <w:szCs w:val="24"/>
        </w:rPr>
        <w:t>odniesienia 2007-13</w:t>
      </w:r>
      <w:r w:rsidR="00256999" w:rsidRPr="00051D47">
        <w:rPr>
          <w:rFonts w:ascii="Arial" w:hAnsi="Arial" w:cs="Arial"/>
          <w:sz w:val="24"/>
          <w:szCs w:val="24"/>
        </w:rPr>
        <w:t xml:space="preserve"> (spójność i kontynuacja działań)</w:t>
      </w:r>
      <w:r w:rsidRPr="00051D47">
        <w:rPr>
          <w:rFonts w:ascii="Arial" w:hAnsi="Arial" w:cs="Arial"/>
          <w:sz w:val="24"/>
          <w:szCs w:val="24"/>
        </w:rPr>
        <w:t xml:space="preserve"> oraz </w:t>
      </w:r>
      <w:r w:rsidR="00E83510" w:rsidRPr="00051D47">
        <w:rPr>
          <w:rFonts w:ascii="Arial" w:hAnsi="Arial" w:cs="Arial"/>
          <w:sz w:val="24"/>
          <w:szCs w:val="24"/>
        </w:rPr>
        <w:t xml:space="preserve">rekomendacje </w:t>
      </w:r>
      <w:r w:rsidRPr="00051D47">
        <w:rPr>
          <w:rFonts w:ascii="Arial" w:hAnsi="Arial" w:cs="Arial"/>
          <w:sz w:val="24"/>
          <w:szCs w:val="24"/>
        </w:rPr>
        <w:t xml:space="preserve">dla perspektywy Polityki Spójności </w:t>
      </w:r>
      <w:r w:rsidR="00E83510" w:rsidRPr="00051D47">
        <w:rPr>
          <w:rFonts w:ascii="Arial" w:hAnsi="Arial" w:cs="Arial"/>
          <w:sz w:val="24"/>
          <w:szCs w:val="24"/>
        </w:rPr>
        <w:t>2021-27</w:t>
      </w:r>
      <w:r w:rsidRPr="00051D47">
        <w:rPr>
          <w:rFonts w:ascii="Arial" w:hAnsi="Arial" w:cs="Arial"/>
          <w:sz w:val="24"/>
          <w:szCs w:val="24"/>
        </w:rPr>
        <w:t xml:space="preserve"> oraz 20</w:t>
      </w:r>
      <w:r w:rsidR="00E83510" w:rsidRPr="00051D47">
        <w:rPr>
          <w:rFonts w:ascii="Arial" w:hAnsi="Arial" w:cs="Arial"/>
          <w:sz w:val="24"/>
          <w:szCs w:val="24"/>
        </w:rPr>
        <w:t>28+</w:t>
      </w:r>
      <w:r w:rsidRPr="00051D47">
        <w:rPr>
          <w:rFonts w:ascii="Arial" w:hAnsi="Arial" w:cs="Arial"/>
          <w:sz w:val="24"/>
          <w:szCs w:val="24"/>
        </w:rPr>
        <w:t>.</w:t>
      </w:r>
    </w:p>
    <w:p w14:paraId="3DEF9401" w14:textId="5F3E0D78" w:rsidR="0061364A" w:rsidRPr="00051D47" w:rsidRDefault="0061364A" w:rsidP="00E13A57">
      <w:pPr>
        <w:pStyle w:val="Nagwek2"/>
        <w:rPr>
          <w:rFonts w:ascii="Arial" w:hAnsi="Arial" w:cs="Arial"/>
          <w:sz w:val="24"/>
          <w:szCs w:val="24"/>
        </w:rPr>
      </w:pPr>
      <w:bookmarkStart w:id="10" w:name="_Toc154861797"/>
      <w:r w:rsidRPr="00051D47">
        <w:rPr>
          <w:rFonts w:ascii="Arial" w:hAnsi="Arial" w:cs="Arial"/>
          <w:sz w:val="24"/>
          <w:szCs w:val="24"/>
        </w:rPr>
        <w:t>Definicje przyjęte na potrzeby badania</w:t>
      </w:r>
      <w:bookmarkEnd w:id="10"/>
    </w:p>
    <w:p w14:paraId="43392AAD" w14:textId="18083041" w:rsidR="00DB6A0F" w:rsidRPr="00051D47" w:rsidRDefault="00E13A5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Mając na uwadze jednoznaczność zapisów SOPZ, a tym samym jakość i użyteczność planowanej do realizacji ewaluacji, Zamawiający przyjmuje następujące definicje:</w:t>
      </w:r>
    </w:p>
    <w:p w14:paraId="7D683C39" w14:textId="39360CD8" w:rsidR="00DB6A0F" w:rsidRPr="00051D47" w:rsidRDefault="00DB6A0F" w:rsidP="00DB6A0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Miasto – „Miastami w Polsce są miejscowości posiadające prawa miejskie bądź status miasta nadany w trybie określonym odpowiednimi przepisami.”</w:t>
      </w:r>
      <w:r w:rsidRPr="00051D47">
        <w:rPr>
          <w:rStyle w:val="Odwoanieprzypisudolnego"/>
          <w:rFonts w:ascii="Arial" w:hAnsi="Arial" w:cs="Arial"/>
          <w:sz w:val="24"/>
          <w:szCs w:val="24"/>
        </w:rPr>
        <w:footnoteReference w:id="19"/>
      </w:r>
    </w:p>
    <w:p w14:paraId="1316E624" w14:textId="3FD6F8EA" w:rsidR="00DB6A0F" w:rsidRPr="00051D47" w:rsidRDefault="00DB6A0F" w:rsidP="00DB6A0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„Statystyka publiczna wyróżnia dwa rodzaje obszarów:</w:t>
      </w:r>
    </w:p>
    <w:p w14:paraId="7087A32E" w14:textId="77777777" w:rsidR="00DB6A0F" w:rsidRPr="00051D47" w:rsidRDefault="00DB6A0F" w:rsidP="00DB6A0F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obszary miejskie (miasta) obejmujące tereny położone w granicach administracyjnych miast, czyli obszary gmin miejskich oraz miast w gminach miejsko-wiejskich;</w:t>
      </w:r>
    </w:p>
    <w:p w14:paraId="1E8C0D14" w14:textId="7400AEFA" w:rsidR="00DB6A0F" w:rsidRPr="00051D47" w:rsidRDefault="00DB6A0F" w:rsidP="00DB6A0F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obszary wiejskie (wieś) obejmujące tereny pozostające poza granicami administracyjnymi miast, na które składają się obszary gmin wiejskich i części wiejskie gmin miejsko-wiejskich.”</w:t>
      </w:r>
      <w:r w:rsidRPr="00051D47">
        <w:rPr>
          <w:rStyle w:val="Odwoanieprzypisudolnego"/>
          <w:rFonts w:ascii="Arial" w:hAnsi="Arial" w:cs="Arial"/>
          <w:sz w:val="24"/>
          <w:szCs w:val="24"/>
        </w:rPr>
        <w:footnoteReference w:id="20"/>
      </w:r>
    </w:p>
    <w:p w14:paraId="774F96C6" w14:textId="1D2FD45A" w:rsidR="00DB6A0F" w:rsidRPr="00051D47" w:rsidRDefault="00DB6A0F" w:rsidP="00DB6A0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lastRenderedPageBreak/>
        <w:t xml:space="preserve">Miasto duże – posiadające powyżej 100 000 mieszkańców (wg danych </w:t>
      </w:r>
      <w:r w:rsidR="00791E1D" w:rsidRPr="00051D47">
        <w:rPr>
          <w:rFonts w:ascii="Arial" w:hAnsi="Arial" w:cs="Arial"/>
          <w:sz w:val="24"/>
          <w:szCs w:val="24"/>
        </w:rPr>
        <w:t xml:space="preserve">GUS </w:t>
      </w:r>
      <w:r w:rsidRPr="00051D47">
        <w:rPr>
          <w:rFonts w:ascii="Arial" w:hAnsi="Arial" w:cs="Arial"/>
          <w:sz w:val="24"/>
          <w:szCs w:val="24"/>
        </w:rPr>
        <w:t>dostępnych na dzień 01.01.2024r.).</w:t>
      </w:r>
    </w:p>
    <w:p w14:paraId="48ABAFCC" w14:textId="658BCEE9" w:rsidR="00DB6A0F" w:rsidRPr="00051D47" w:rsidRDefault="00DB6A0F" w:rsidP="00DB6A0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Miasto średnie – posiadające od 20 000 do 100 000 mieszkańców (wg danych </w:t>
      </w:r>
      <w:r w:rsidR="00791E1D" w:rsidRPr="00051D47">
        <w:rPr>
          <w:rFonts w:ascii="Arial" w:hAnsi="Arial" w:cs="Arial"/>
          <w:sz w:val="24"/>
          <w:szCs w:val="24"/>
        </w:rPr>
        <w:t xml:space="preserve">GUS </w:t>
      </w:r>
      <w:r w:rsidRPr="00051D47">
        <w:rPr>
          <w:rFonts w:ascii="Arial" w:hAnsi="Arial" w:cs="Arial"/>
          <w:sz w:val="24"/>
          <w:szCs w:val="24"/>
        </w:rPr>
        <w:t>dostępnych na dzień 01.01.2024r.).</w:t>
      </w:r>
    </w:p>
    <w:p w14:paraId="77E5FBFD" w14:textId="63FB8072" w:rsidR="00DB6A0F" w:rsidRPr="00051D47" w:rsidRDefault="00DB6A0F" w:rsidP="00DB6A0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Miasto małe – posiadające poniżej 20 000 mieszkańców (wg danych</w:t>
      </w:r>
      <w:r w:rsidR="00791E1D" w:rsidRPr="00051D47">
        <w:rPr>
          <w:rFonts w:ascii="Arial" w:hAnsi="Arial" w:cs="Arial"/>
          <w:sz w:val="24"/>
          <w:szCs w:val="24"/>
        </w:rPr>
        <w:t xml:space="preserve"> GUS</w:t>
      </w:r>
      <w:r w:rsidRPr="00051D47">
        <w:rPr>
          <w:rFonts w:ascii="Arial" w:hAnsi="Arial" w:cs="Arial"/>
          <w:sz w:val="24"/>
          <w:szCs w:val="24"/>
        </w:rPr>
        <w:t xml:space="preserve"> dostępnych na dzień 01.01.2024r.).</w:t>
      </w:r>
    </w:p>
    <w:p w14:paraId="51E99CB0" w14:textId="6430EB17" w:rsidR="00DB6A0F" w:rsidRPr="00051D47" w:rsidRDefault="00DB6A0F" w:rsidP="0002232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Obszar funkcjonalny – obszar relacji miasta powyżej 35 000 mieszkańców z jego otoczeniem, zgodnie z delimitacją przyjętą w Krajowej Polityce Miejskiej 2030</w:t>
      </w:r>
      <w:r w:rsidR="00022329" w:rsidRPr="00051D47">
        <w:rPr>
          <w:rFonts w:ascii="Arial" w:hAnsi="Arial" w:cs="Arial"/>
          <w:sz w:val="24"/>
          <w:szCs w:val="24"/>
        </w:rPr>
        <w:t>. Dla miast poniżej 35 000 mieszkańców, obszar funkcjonalny rozumiany jest jako r</w:t>
      </w:r>
      <w:r w:rsidRPr="00051D47">
        <w:rPr>
          <w:rFonts w:ascii="Arial" w:hAnsi="Arial" w:cs="Arial"/>
          <w:sz w:val="24"/>
          <w:szCs w:val="24"/>
        </w:rPr>
        <w:t xml:space="preserve">elacje miasta z jego otoczeniem </w:t>
      </w:r>
      <w:r w:rsidR="00022329" w:rsidRPr="00051D47">
        <w:rPr>
          <w:rFonts w:ascii="Arial" w:hAnsi="Arial" w:cs="Arial"/>
          <w:sz w:val="24"/>
          <w:szCs w:val="24"/>
        </w:rPr>
        <w:t>(</w:t>
      </w:r>
      <w:r w:rsidRPr="00051D47">
        <w:rPr>
          <w:rFonts w:ascii="Arial" w:hAnsi="Arial" w:cs="Arial"/>
          <w:sz w:val="24"/>
          <w:szCs w:val="24"/>
        </w:rPr>
        <w:t>obejm</w:t>
      </w:r>
      <w:r w:rsidR="005C3B39" w:rsidRPr="00051D47">
        <w:rPr>
          <w:rFonts w:ascii="Arial" w:hAnsi="Arial" w:cs="Arial"/>
          <w:sz w:val="24"/>
          <w:szCs w:val="24"/>
        </w:rPr>
        <w:t>ują</w:t>
      </w:r>
      <w:r w:rsidR="00022329" w:rsidRPr="00051D47">
        <w:rPr>
          <w:rFonts w:ascii="Arial" w:hAnsi="Arial" w:cs="Arial"/>
          <w:sz w:val="24"/>
          <w:szCs w:val="24"/>
        </w:rPr>
        <w:t>ce</w:t>
      </w:r>
      <w:r w:rsidRPr="00051D47">
        <w:rPr>
          <w:rFonts w:ascii="Arial" w:hAnsi="Arial" w:cs="Arial"/>
          <w:sz w:val="24"/>
          <w:szCs w:val="24"/>
        </w:rPr>
        <w:t xml:space="preserve"> m.in. relacje w zakresie świadczenia usług publicznych, </w:t>
      </w:r>
      <w:r w:rsidR="003B4348" w:rsidRPr="00051D47">
        <w:rPr>
          <w:rFonts w:ascii="Arial" w:hAnsi="Arial" w:cs="Arial"/>
          <w:sz w:val="24"/>
          <w:szCs w:val="24"/>
        </w:rPr>
        <w:t>w tym</w:t>
      </w:r>
      <w:r w:rsidRPr="00051D47">
        <w:rPr>
          <w:rFonts w:ascii="Arial" w:hAnsi="Arial" w:cs="Arial"/>
          <w:sz w:val="24"/>
          <w:szCs w:val="24"/>
        </w:rPr>
        <w:t xml:space="preserve"> </w:t>
      </w:r>
      <w:r w:rsidR="003B4348" w:rsidRPr="00051D47">
        <w:rPr>
          <w:rFonts w:ascii="Arial" w:hAnsi="Arial" w:cs="Arial"/>
          <w:sz w:val="24"/>
          <w:szCs w:val="24"/>
        </w:rPr>
        <w:t xml:space="preserve">administracji samorządowej, </w:t>
      </w:r>
      <w:r w:rsidRPr="00051D47">
        <w:rPr>
          <w:rFonts w:ascii="Arial" w:hAnsi="Arial" w:cs="Arial"/>
          <w:sz w:val="24"/>
          <w:szCs w:val="24"/>
        </w:rPr>
        <w:t>edukacji, transportu oraz kultury i sportu</w:t>
      </w:r>
      <w:r w:rsidR="003B4348" w:rsidRPr="00051D47">
        <w:rPr>
          <w:rFonts w:ascii="Arial" w:hAnsi="Arial" w:cs="Arial"/>
          <w:sz w:val="24"/>
          <w:szCs w:val="24"/>
        </w:rPr>
        <w:t>, relacje dot. rynku pracy oraz współdziałania/partnerstwa</w:t>
      </w:r>
      <w:r w:rsidR="00022329" w:rsidRPr="00051D47">
        <w:rPr>
          <w:rFonts w:ascii="Arial" w:hAnsi="Arial" w:cs="Arial"/>
          <w:sz w:val="24"/>
          <w:szCs w:val="24"/>
        </w:rPr>
        <w:t>)</w:t>
      </w:r>
      <w:r w:rsidR="003B4348" w:rsidRPr="00051D47">
        <w:rPr>
          <w:rFonts w:ascii="Arial" w:hAnsi="Arial" w:cs="Arial"/>
          <w:sz w:val="24"/>
          <w:szCs w:val="24"/>
        </w:rPr>
        <w:t>.</w:t>
      </w:r>
    </w:p>
    <w:p w14:paraId="766C180E" w14:textId="33FB1C47" w:rsidR="00077EB0" w:rsidRPr="00051D47" w:rsidRDefault="00077EB0" w:rsidP="00051D47">
      <w:pPr>
        <w:pStyle w:val="Nagwek1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1" w:name="_Toc154861798"/>
      <w:r w:rsidRPr="00051D47">
        <w:rPr>
          <w:rFonts w:ascii="Arial" w:hAnsi="Arial" w:cs="Arial"/>
          <w:sz w:val="24"/>
          <w:szCs w:val="24"/>
        </w:rPr>
        <w:t xml:space="preserve">Pytania </w:t>
      </w:r>
      <w:r w:rsidR="00051D47" w:rsidRPr="00051D47">
        <w:rPr>
          <w:rFonts w:ascii="Arial" w:hAnsi="Arial" w:cs="Arial"/>
          <w:sz w:val="24"/>
          <w:szCs w:val="24"/>
        </w:rPr>
        <w:t>ewaluacyjne</w:t>
      </w:r>
      <w:bookmarkEnd w:id="11"/>
    </w:p>
    <w:p w14:paraId="6CAF176F" w14:textId="5F3DAF12" w:rsidR="003B4348" w:rsidRPr="00051D47" w:rsidRDefault="009C0CA1" w:rsidP="009C0CA1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Jakie nakłady finansowe zostały poniesione w zakresie wsparcia polityki spójności UE 2014-2020 w rozwój miast i ich obszarów funkcjonalnych?</w:t>
      </w:r>
    </w:p>
    <w:p w14:paraId="5C7227FE" w14:textId="6D198D61" w:rsidR="0049395D" w:rsidRDefault="0049395D" w:rsidP="009C0CA1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Jakie są efekty wsparcia projektów zrealizowanych w ramach polityki spójności UE 2014-2020 w zakresie rozwoju miast i obszarów funkcjonalnych? Czy i w jakim zakresie efekty te są trwałe?</w:t>
      </w:r>
      <w:r w:rsidR="00280268" w:rsidRPr="00051D47">
        <w:rPr>
          <w:rFonts w:ascii="Arial" w:hAnsi="Arial" w:cs="Arial"/>
          <w:sz w:val="24"/>
          <w:szCs w:val="24"/>
        </w:rPr>
        <w:t xml:space="preserve"> </w:t>
      </w:r>
    </w:p>
    <w:p w14:paraId="0851A885" w14:textId="36AB788D" w:rsidR="00590A74" w:rsidRPr="001D0098" w:rsidRDefault="00590A74" w:rsidP="001D0098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590A74">
        <w:rPr>
          <w:rFonts w:ascii="Arial" w:hAnsi="Arial" w:cs="Arial"/>
          <w:sz w:val="24"/>
          <w:szCs w:val="24"/>
        </w:rPr>
        <w:t xml:space="preserve">Jak osiągnięte efekty odnoszą się do celów </w:t>
      </w:r>
      <w:r w:rsidR="00B25610">
        <w:rPr>
          <w:rFonts w:ascii="Arial" w:hAnsi="Arial" w:cs="Arial"/>
          <w:sz w:val="24"/>
          <w:szCs w:val="24"/>
        </w:rPr>
        <w:t xml:space="preserve">oraz zasad prowadzenia polityki rozwoju miast </w:t>
      </w:r>
      <w:r w:rsidRPr="00590A74">
        <w:rPr>
          <w:rFonts w:ascii="Arial" w:hAnsi="Arial" w:cs="Arial"/>
          <w:sz w:val="24"/>
          <w:szCs w:val="24"/>
        </w:rPr>
        <w:t>określonych w Krajowej Polityce Miejskiej 2030?</w:t>
      </w:r>
    </w:p>
    <w:p w14:paraId="2CD62C14" w14:textId="6C2E870A" w:rsidR="00022329" w:rsidRPr="00051D47" w:rsidRDefault="00D03DDA" w:rsidP="0002232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Jakie rodzaje wsparcia,</w:t>
      </w:r>
      <w:r w:rsidR="00022329" w:rsidRPr="00051D47">
        <w:rPr>
          <w:rFonts w:ascii="Arial" w:hAnsi="Arial" w:cs="Arial"/>
          <w:sz w:val="24"/>
          <w:szCs w:val="24"/>
        </w:rPr>
        <w:t xml:space="preserve"> realizowane w ramach polityki spójności</w:t>
      </w:r>
      <w:r w:rsidRPr="00051D47">
        <w:rPr>
          <w:rFonts w:ascii="Arial" w:hAnsi="Arial" w:cs="Arial"/>
          <w:sz w:val="24"/>
          <w:szCs w:val="24"/>
        </w:rPr>
        <w:t xml:space="preserve"> 2014-2020,</w:t>
      </w:r>
      <w:r w:rsidR="00022329" w:rsidRPr="00051D47">
        <w:rPr>
          <w:rFonts w:ascii="Arial" w:hAnsi="Arial" w:cs="Arial"/>
          <w:sz w:val="24"/>
          <w:szCs w:val="24"/>
        </w:rPr>
        <w:t xml:space="preserve"> można uznać za najbardziej skuteczne i o największym wpływie na rzecz rozwoju miast i ich obszarów funkcjonalnych? </w:t>
      </w:r>
    </w:p>
    <w:p w14:paraId="7315AB79" w14:textId="4FFF794D" w:rsidR="0049395D" w:rsidRPr="00051D47" w:rsidRDefault="0049395D" w:rsidP="0049395D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Jakie </w:t>
      </w:r>
      <w:r w:rsidR="00D03DDA" w:rsidRPr="00051D47">
        <w:rPr>
          <w:rFonts w:ascii="Arial" w:hAnsi="Arial" w:cs="Arial"/>
          <w:sz w:val="24"/>
          <w:szCs w:val="24"/>
        </w:rPr>
        <w:t xml:space="preserve">zidentyfikowano dobre </w:t>
      </w:r>
      <w:r w:rsidRPr="00051D47">
        <w:rPr>
          <w:rFonts w:ascii="Arial" w:hAnsi="Arial" w:cs="Arial"/>
          <w:sz w:val="24"/>
          <w:szCs w:val="24"/>
        </w:rPr>
        <w:t xml:space="preserve">praktyki, bariery i problemy w procesie wdrażania </w:t>
      </w:r>
      <w:r w:rsidR="00D03DDA" w:rsidRPr="00051D47">
        <w:rPr>
          <w:rFonts w:ascii="Arial" w:hAnsi="Arial" w:cs="Arial"/>
          <w:sz w:val="24"/>
          <w:szCs w:val="24"/>
        </w:rPr>
        <w:t>projektów/działań</w:t>
      </w:r>
      <w:r w:rsidRPr="00051D47">
        <w:rPr>
          <w:rFonts w:ascii="Arial" w:hAnsi="Arial" w:cs="Arial"/>
          <w:sz w:val="24"/>
          <w:szCs w:val="24"/>
        </w:rPr>
        <w:t>?</w:t>
      </w:r>
      <w:r w:rsidR="00280268" w:rsidRPr="00051D47">
        <w:rPr>
          <w:rFonts w:ascii="Arial" w:hAnsi="Arial" w:cs="Arial"/>
          <w:sz w:val="24"/>
          <w:szCs w:val="24"/>
        </w:rPr>
        <w:t xml:space="preserve"> </w:t>
      </w:r>
    </w:p>
    <w:p w14:paraId="06A9CFDC" w14:textId="3CF0B02D" w:rsidR="009C0CA1" w:rsidRPr="00051D47" w:rsidRDefault="0049395D" w:rsidP="0049395D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Jaki jest wpływ efektów (bezpośrednich i pośrednich) wsparcia</w:t>
      </w:r>
      <w:r w:rsidR="00D03DDA" w:rsidRPr="00051D47">
        <w:rPr>
          <w:rFonts w:ascii="Arial" w:hAnsi="Arial" w:cs="Arial"/>
          <w:sz w:val="24"/>
          <w:szCs w:val="24"/>
        </w:rPr>
        <w:t xml:space="preserve">, </w:t>
      </w:r>
      <w:r w:rsidRPr="00051D47">
        <w:rPr>
          <w:rFonts w:ascii="Arial" w:hAnsi="Arial" w:cs="Arial"/>
          <w:sz w:val="24"/>
          <w:szCs w:val="24"/>
        </w:rPr>
        <w:t xml:space="preserve">w zakresie </w:t>
      </w:r>
      <w:r w:rsidR="00280268" w:rsidRPr="00051D47">
        <w:rPr>
          <w:rFonts w:ascii="Arial" w:hAnsi="Arial" w:cs="Arial"/>
          <w:sz w:val="24"/>
          <w:szCs w:val="24"/>
        </w:rPr>
        <w:t>rozwoju miast i ich obszarów funkcjonalnych</w:t>
      </w:r>
      <w:r w:rsidR="00D03DDA" w:rsidRPr="00051D47">
        <w:rPr>
          <w:rFonts w:ascii="Arial" w:hAnsi="Arial" w:cs="Arial"/>
          <w:sz w:val="24"/>
          <w:szCs w:val="24"/>
        </w:rPr>
        <w:t>,</w:t>
      </w:r>
      <w:r w:rsidRPr="00051D47">
        <w:rPr>
          <w:rFonts w:ascii="Arial" w:hAnsi="Arial" w:cs="Arial"/>
          <w:sz w:val="24"/>
          <w:szCs w:val="24"/>
        </w:rPr>
        <w:t xml:space="preserve"> na krajowy i regionalny rozwój społeczno-gospodarczy</w:t>
      </w:r>
      <w:r w:rsidR="00280268" w:rsidRPr="00051D47">
        <w:rPr>
          <w:rFonts w:ascii="Arial" w:hAnsi="Arial" w:cs="Arial"/>
          <w:sz w:val="24"/>
          <w:szCs w:val="24"/>
        </w:rPr>
        <w:t>?</w:t>
      </w:r>
    </w:p>
    <w:p w14:paraId="3BDA282C" w14:textId="3D669DE1" w:rsidR="00D03DDA" w:rsidRPr="00051D47" w:rsidRDefault="00BA0055" w:rsidP="0049395D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Czy </w:t>
      </w:r>
      <w:r w:rsidR="00D03DDA" w:rsidRPr="00051D47">
        <w:rPr>
          <w:rFonts w:ascii="Arial" w:hAnsi="Arial" w:cs="Arial"/>
          <w:sz w:val="24"/>
          <w:szCs w:val="24"/>
        </w:rPr>
        <w:t>z</w:t>
      </w:r>
      <w:r w:rsidRPr="00051D47">
        <w:rPr>
          <w:rFonts w:ascii="Arial" w:hAnsi="Arial" w:cs="Arial"/>
          <w:sz w:val="24"/>
          <w:szCs w:val="24"/>
        </w:rPr>
        <w:t xml:space="preserve">realizowane </w:t>
      </w:r>
      <w:r w:rsidR="00D03DDA" w:rsidRPr="00051D47">
        <w:rPr>
          <w:rFonts w:ascii="Arial" w:hAnsi="Arial" w:cs="Arial"/>
          <w:sz w:val="24"/>
          <w:szCs w:val="24"/>
        </w:rPr>
        <w:t>wsparcie w ramach polityki spójności 2014-2020 z zakresie rozwoju miast i obszarów funkcjonalnych w danym obszarze, było komplementarne/uzupełniające bądź synergiczne wobec:</w:t>
      </w:r>
    </w:p>
    <w:p w14:paraId="742C599B" w14:textId="2F86E44D" w:rsidR="00BA0055" w:rsidRPr="00051D47" w:rsidRDefault="00D03DDA" w:rsidP="00D03DDA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wsparcia realizowanego w ramach innych obszarów tematycznych w ramach polityki spójności 2014-2020 ?</w:t>
      </w:r>
    </w:p>
    <w:p w14:paraId="6FCC793D" w14:textId="2398C383" w:rsidR="00D03DDA" w:rsidRPr="00051D47" w:rsidRDefault="00D03DDA" w:rsidP="00D03DDA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wsparcia w zakresie rozwoju miast i obszarów funkcjonalnych w ramach polityki spójności 2007-2013?</w:t>
      </w:r>
    </w:p>
    <w:p w14:paraId="1FB8789C" w14:textId="0763989A" w:rsidR="00590A74" w:rsidRDefault="00590A74" w:rsidP="00D03DD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90A74">
        <w:rPr>
          <w:rFonts w:ascii="Arial" w:hAnsi="Arial" w:cs="Arial"/>
          <w:sz w:val="24"/>
          <w:szCs w:val="24"/>
        </w:rPr>
        <w:t>Czy, w jakim stopniu oraz w jaki sposób działania realizowane</w:t>
      </w:r>
      <w:r w:rsidR="00B25610">
        <w:rPr>
          <w:rFonts w:ascii="Arial" w:hAnsi="Arial" w:cs="Arial"/>
          <w:sz w:val="24"/>
          <w:szCs w:val="24"/>
        </w:rPr>
        <w:t xml:space="preserve"> w ramach polityki spójności</w:t>
      </w:r>
      <w:r w:rsidRPr="00590A74">
        <w:rPr>
          <w:rFonts w:ascii="Arial" w:hAnsi="Arial" w:cs="Arial"/>
          <w:sz w:val="24"/>
          <w:szCs w:val="24"/>
        </w:rPr>
        <w:t xml:space="preserve"> na rzecz rozwoju obszarów miejskich wpłynęły na </w:t>
      </w:r>
      <w:r w:rsidR="00B25610">
        <w:rPr>
          <w:rFonts w:ascii="Arial" w:hAnsi="Arial" w:cs="Arial"/>
          <w:sz w:val="24"/>
          <w:szCs w:val="24"/>
        </w:rPr>
        <w:t>rozlewanie się miast (</w:t>
      </w:r>
      <w:proofErr w:type="spellStart"/>
      <w:r w:rsidR="00B25610">
        <w:rPr>
          <w:rFonts w:ascii="Arial" w:hAnsi="Arial" w:cs="Arial"/>
          <w:sz w:val="24"/>
          <w:szCs w:val="24"/>
        </w:rPr>
        <w:t>suburbanizacja</w:t>
      </w:r>
      <w:proofErr w:type="spellEnd"/>
      <w:r w:rsidR="00B25610">
        <w:rPr>
          <w:rFonts w:ascii="Arial" w:hAnsi="Arial" w:cs="Arial"/>
          <w:sz w:val="24"/>
          <w:szCs w:val="24"/>
        </w:rPr>
        <w:t>)</w:t>
      </w:r>
      <w:r w:rsidRPr="00590A74">
        <w:rPr>
          <w:rFonts w:ascii="Arial" w:hAnsi="Arial" w:cs="Arial"/>
          <w:sz w:val="24"/>
          <w:szCs w:val="24"/>
        </w:rPr>
        <w:t xml:space="preserve"> </w:t>
      </w:r>
      <w:r w:rsidR="00B25610">
        <w:rPr>
          <w:rFonts w:ascii="Arial" w:hAnsi="Arial" w:cs="Arial"/>
          <w:sz w:val="24"/>
          <w:szCs w:val="24"/>
        </w:rPr>
        <w:t>i związane z tym</w:t>
      </w:r>
      <w:r w:rsidRPr="00590A74">
        <w:rPr>
          <w:rFonts w:ascii="Arial" w:hAnsi="Arial" w:cs="Arial"/>
          <w:sz w:val="24"/>
          <w:szCs w:val="24"/>
        </w:rPr>
        <w:t xml:space="preserve"> zmiany społeczno-gospodarcze i środowiskowe?</w:t>
      </w:r>
    </w:p>
    <w:p w14:paraId="05934448" w14:textId="3FF7C7CA" w:rsidR="00D03DDA" w:rsidRPr="00051D47" w:rsidRDefault="00D03DDA" w:rsidP="00D03DD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lastRenderedPageBreak/>
        <w:t>Czy podczas realizacji działań wspieranych w ramach polityki spójności 2014-2020 w zakresie rozwoju miast i ich obszarów funkcjonalnych, były brane pod uwagę następujące standardy określone w Krajowej Polityce Miejskiej 2030</w:t>
      </w:r>
      <w:r w:rsidR="00795A9A">
        <w:rPr>
          <w:rStyle w:val="Odwoanieprzypisudolnego"/>
          <w:rFonts w:ascii="Arial" w:hAnsi="Arial" w:cs="Arial"/>
          <w:sz w:val="24"/>
          <w:szCs w:val="24"/>
        </w:rPr>
        <w:footnoteReference w:id="21"/>
      </w:r>
      <w:r w:rsidRPr="00051D47">
        <w:rPr>
          <w:rFonts w:ascii="Arial" w:hAnsi="Arial" w:cs="Arial"/>
          <w:sz w:val="24"/>
          <w:szCs w:val="24"/>
        </w:rPr>
        <w:t>:</w:t>
      </w:r>
    </w:p>
    <w:p w14:paraId="1160A3AB" w14:textId="5617EF0E" w:rsidR="00D03DDA" w:rsidRPr="00051D47" w:rsidRDefault="00D03DDA" w:rsidP="00D03DDA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Kompleksowość i zintegrowanie,</w:t>
      </w:r>
    </w:p>
    <w:p w14:paraId="6F3AE2D8" w14:textId="4954679F" w:rsidR="00D03DDA" w:rsidRPr="00051D47" w:rsidRDefault="00D03DDA" w:rsidP="00D03DDA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Dbałość o zazielenianie obszarów miejskich,</w:t>
      </w:r>
    </w:p>
    <w:p w14:paraId="461817ED" w14:textId="1A9ADED4" w:rsidR="00D03DDA" w:rsidRPr="00051D47" w:rsidRDefault="002F7CA5" w:rsidP="00D03DDA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Zapewnienie dostępności (projektowanie uniwersalne),</w:t>
      </w:r>
    </w:p>
    <w:p w14:paraId="42631F3E" w14:textId="02BA1CFD" w:rsidR="002F7CA5" w:rsidRPr="00051D47" w:rsidRDefault="002F7CA5" w:rsidP="00D03DDA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Upowszechnianie partycypacji społecznej,</w:t>
      </w:r>
    </w:p>
    <w:p w14:paraId="3C697F34" w14:textId="77777777" w:rsidR="007237E7" w:rsidRDefault="002F7CA5" w:rsidP="0049395D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Zasada współdziałania i partnerstwa,</w:t>
      </w:r>
    </w:p>
    <w:p w14:paraId="11C0E354" w14:textId="77777777" w:rsidR="007237E7" w:rsidRDefault="002F7CA5" w:rsidP="0049395D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237E7">
        <w:rPr>
          <w:rFonts w:ascii="Arial" w:hAnsi="Arial" w:cs="Arial"/>
          <w:sz w:val="24"/>
          <w:szCs w:val="24"/>
        </w:rPr>
        <w:t xml:space="preserve">Zasada obiektu zamkniętego. </w:t>
      </w:r>
    </w:p>
    <w:p w14:paraId="145DD5A3" w14:textId="3641B4C6" w:rsidR="0049395D" w:rsidRPr="007237E7" w:rsidRDefault="0049395D" w:rsidP="007237E7">
      <w:pPr>
        <w:rPr>
          <w:rFonts w:ascii="Arial" w:hAnsi="Arial" w:cs="Arial"/>
          <w:sz w:val="24"/>
          <w:szCs w:val="24"/>
        </w:rPr>
      </w:pPr>
      <w:r w:rsidRPr="007237E7">
        <w:rPr>
          <w:rFonts w:ascii="Arial" w:hAnsi="Arial" w:cs="Arial"/>
          <w:sz w:val="24"/>
          <w:szCs w:val="24"/>
        </w:rPr>
        <w:t>Odpowiedzi na wszystkie pytania muszą zostać ujęte w ramach wskazanych w zakresie przedmiotowym obszarów tematycznych.</w:t>
      </w:r>
      <w:r w:rsidR="00887890" w:rsidRPr="007237E7">
        <w:rPr>
          <w:rFonts w:ascii="Arial" w:hAnsi="Arial" w:cs="Arial"/>
          <w:sz w:val="24"/>
          <w:szCs w:val="24"/>
        </w:rPr>
        <w:t xml:space="preserve"> Ważne będzie również ujęcie obszarów funkcjonalnych</w:t>
      </w:r>
      <w:r w:rsidR="00FB7D1E" w:rsidRPr="007237E7">
        <w:rPr>
          <w:rFonts w:ascii="Arial" w:hAnsi="Arial" w:cs="Arial"/>
          <w:sz w:val="24"/>
          <w:szCs w:val="24"/>
        </w:rPr>
        <w:t xml:space="preserve"> miast.</w:t>
      </w:r>
      <w:r w:rsidR="00887890" w:rsidRPr="007237E7">
        <w:rPr>
          <w:rFonts w:ascii="Arial" w:hAnsi="Arial" w:cs="Arial"/>
          <w:sz w:val="24"/>
          <w:szCs w:val="24"/>
        </w:rPr>
        <w:t xml:space="preserve"> Kluczowa pozostaje perspektywa działań realizowanych w ramach polityki spójności</w:t>
      </w:r>
      <w:r w:rsidR="00FB7D1E" w:rsidRPr="007237E7">
        <w:rPr>
          <w:rFonts w:ascii="Arial" w:hAnsi="Arial" w:cs="Arial"/>
          <w:sz w:val="24"/>
          <w:szCs w:val="24"/>
        </w:rPr>
        <w:t>.</w:t>
      </w:r>
    </w:p>
    <w:p w14:paraId="3071A0D6" w14:textId="6D16F5A9" w:rsidR="00077EB0" w:rsidRPr="00051D47" w:rsidRDefault="00077EB0" w:rsidP="00051D47">
      <w:pPr>
        <w:pStyle w:val="Nagwek1"/>
        <w:numPr>
          <w:ilvl w:val="0"/>
          <w:numId w:val="15"/>
        </w:numPr>
      </w:pPr>
      <w:bookmarkStart w:id="12" w:name="_Toc154861799"/>
      <w:r w:rsidRPr="00051D47">
        <w:rPr>
          <w:rFonts w:ascii="Arial" w:hAnsi="Arial" w:cs="Arial"/>
          <w:sz w:val="24"/>
          <w:szCs w:val="24"/>
        </w:rPr>
        <w:t>Sposób</w:t>
      </w:r>
      <w:r w:rsidRPr="00051D47">
        <w:t xml:space="preserve"> </w:t>
      </w:r>
      <w:r w:rsidRPr="00051D47">
        <w:rPr>
          <w:rFonts w:ascii="Arial" w:hAnsi="Arial" w:cs="Arial"/>
          <w:sz w:val="24"/>
          <w:szCs w:val="24"/>
        </w:rPr>
        <w:t>realizacji badania i metodologia</w:t>
      </w:r>
      <w:bookmarkEnd w:id="12"/>
    </w:p>
    <w:p w14:paraId="4F402B12" w14:textId="6384C482" w:rsidR="004509C0" w:rsidRPr="00051D47" w:rsidRDefault="004509C0" w:rsidP="00077EB0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Zaproponowana koncepcja, w tym techniki gromadzenia i analizy danych muszą umożliwić udzielenie odpowiedzi na wszystkie pytania ewaluacyjne oraz obejmować wszystkie obszary analizy określone w OPZ.</w:t>
      </w:r>
    </w:p>
    <w:p w14:paraId="470DCB41" w14:textId="29C51BAA" w:rsidR="004509C0" w:rsidRPr="00051D47" w:rsidRDefault="004509C0" w:rsidP="00077EB0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 celu realizacji badania Wykonawca powinien zastosować najbardziej odpowiedni zestaw metod i technik badawczych. W ramach ww. zestawu muszą znaleźć się przynajmniej wskazane poniżej metody badawcze:</w:t>
      </w:r>
    </w:p>
    <w:p w14:paraId="235CF610" w14:textId="77777777" w:rsidR="00887890" w:rsidRPr="00051D47" w:rsidRDefault="004509C0" w:rsidP="004509C0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analiza danych zastanych (</w:t>
      </w:r>
      <w:proofErr w:type="spellStart"/>
      <w:r w:rsidRPr="00051D47">
        <w:rPr>
          <w:rFonts w:ascii="Arial" w:hAnsi="Arial" w:cs="Arial"/>
          <w:sz w:val="24"/>
          <w:szCs w:val="24"/>
        </w:rPr>
        <w:t>desk</w:t>
      </w:r>
      <w:proofErr w:type="spellEnd"/>
      <w:r w:rsidRPr="00051D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1D47">
        <w:rPr>
          <w:rFonts w:ascii="Arial" w:hAnsi="Arial" w:cs="Arial"/>
          <w:sz w:val="24"/>
          <w:szCs w:val="24"/>
        </w:rPr>
        <w:t>research</w:t>
      </w:r>
      <w:proofErr w:type="spellEnd"/>
      <w:r w:rsidRPr="00051D47">
        <w:rPr>
          <w:rFonts w:ascii="Arial" w:hAnsi="Arial" w:cs="Arial"/>
          <w:sz w:val="24"/>
          <w:szCs w:val="24"/>
        </w:rPr>
        <w:t xml:space="preserve">) wraz z odniesieniem do jej wyników w treści raportu (przypisy do właściwych materiałów źródłowych). W zakresie analizy mają znaleźć się m.in.: </w:t>
      </w:r>
    </w:p>
    <w:p w14:paraId="206BBAF3" w14:textId="6014A1FA" w:rsidR="00887890" w:rsidRPr="00051D47" w:rsidRDefault="004509C0" w:rsidP="00887890">
      <w:pPr>
        <w:pStyle w:val="Akapitzlist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dane monitoringowe z Centralnego systemu teleinformatycznego wspierającego realizację programów operacyjnych (SL2014), </w:t>
      </w:r>
    </w:p>
    <w:p w14:paraId="1296CD23" w14:textId="6401B19C" w:rsidR="00887890" w:rsidRPr="00051D47" w:rsidRDefault="00887890" w:rsidP="00887890">
      <w:pPr>
        <w:pStyle w:val="Akapitzlist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dane i wskaźniki Głównego Urzędu Statystycznego – w każdym z obszarów tematycznych Wykonawca zaproponuje zbiór kategorii danych do analizy,</w:t>
      </w:r>
    </w:p>
    <w:p w14:paraId="3007A050" w14:textId="663A1EDB" w:rsidR="009620B1" w:rsidRPr="00051D47" w:rsidRDefault="009620B1" w:rsidP="00887890">
      <w:pPr>
        <w:pStyle w:val="Akapitzlist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dane i wskaźniki wyznaczone w Krajowej Polityce Miejskiej 2015-2023 oraz diagnozie Krajowej Polityki Miejskiej 2030 (w miarę możliwości ich pozyskania i analizy)</w:t>
      </w:r>
    </w:p>
    <w:p w14:paraId="6E246A7F" w14:textId="77777777" w:rsidR="00887890" w:rsidRPr="00051D47" w:rsidRDefault="004509C0" w:rsidP="00887890">
      <w:pPr>
        <w:pStyle w:val="Akapitzlist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unijne i krajowe dokumenty strategiczne i programowe, europejskie i krajowe akty prawa, </w:t>
      </w:r>
    </w:p>
    <w:p w14:paraId="09C30D2C" w14:textId="5827D4FF" w:rsidR="004509C0" w:rsidRPr="00051D47" w:rsidRDefault="00887890" w:rsidP="00887890">
      <w:pPr>
        <w:pStyle w:val="Akapitzlist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adekwatne </w:t>
      </w:r>
      <w:r w:rsidR="004509C0" w:rsidRPr="00051D47">
        <w:rPr>
          <w:rFonts w:ascii="Arial" w:hAnsi="Arial" w:cs="Arial"/>
          <w:sz w:val="24"/>
          <w:szCs w:val="24"/>
        </w:rPr>
        <w:t>analizy oraz badania społeczno-ekonomiczne i ewaluacyjne (w tym w szczególności badania ewaluacyjne realizowane przez Instytucje Zarządzające programami);</w:t>
      </w:r>
    </w:p>
    <w:p w14:paraId="7E56C946" w14:textId="0610182C" w:rsidR="004509C0" w:rsidRPr="00051D47" w:rsidRDefault="004509C0" w:rsidP="004509C0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wywiady zogniskowane lub indywidualne, z przedstawicielami jednostek samorządu terytorialnego</w:t>
      </w:r>
      <w:r w:rsidR="00FB7D1E" w:rsidRPr="00051D47">
        <w:rPr>
          <w:rFonts w:ascii="Arial" w:hAnsi="Arial" w:cs="Arial"/>
          <w:sz w:val="24"/>
          <w:szCs w:val="24"/>
        </w:rPr>
        <w:t xml:space="preserve">, </w:t>
      </w:r>
      <w:r w:rsidRPr="00051D47">
        <w:rPr>
          <w:rFonts w:ascii="Arial" w:hAnsi="Arial" w:cs="Arial"/>
          <w:sz w:val="24"/>
          <w:szCs w:val="24"/>
        </w:rPr>
        <w:t>Instytucji Zarządzających KPO i RPO</w:t>
      </w:r>
      <w:r w:rsidR="00FB7D1E" w:rsidRPr="00051D47">
        <w:rPr>
          <w:rFonts w:ascii="Arial" w:hAnsi="Arial" w:cs="Arial"/>
          <w:sz w:val="24"/>
          <w:szCs w:val="24"/>
        </w:rPr>
        <w:t xml:space="preserve"> i organizacji pozarządowych .</w:t>
      </w:r>
    </w:p>
    <w:p w14:paraId="4F2D7D09" w14:textId="2D255FAE" w:rsidR="003B0EBC" w:rsidRPr="00051D47" w:rsidRDefault="004509C0" w:rsidP="004509C0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bookmarkStart w:id="13" w:name="_Hlk155863213"/>
      <w:r w:rsidRPr="00051D47">
        <w:rPr>
          <w:rFonts w:ascii="Arial" w:hAnsi="Arial" w:cs="Arial"/>
          <w:sz w:val="24"/>
          <w:szCs w:val="24"/>
        </w:rPr>
        <w:lastRenderedPageBreak/>
        <w:t>studia przypadku</w:t>
      </w:r>
      <w:r w:rsidR="004E14C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E14C7">
        <w:rPr>
          <w:rFonts w:ascii="Arial" w:hAnsi="Arial" w:cs="Arial"/>
          <w:sz w:val="24"/>
          <w:szCs w:val="24"/>
        </w:rPr>
        <w:t>case</w:t>
      </w:r>
      <w:proofErr w:type="spellEnd"/>
      <w:r w:rsidR="004E14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14C7">
        <w:rPr>
          <w:rFonts w:ascii="Arial" w:hAnsi="Arial" w:cs="Arial"/>
          <w:sz w:val="24"/>
          <w:szCs w:val="24"/>
        </w:rPr>
        <w:t>study</w:t>
      </w:r>
      <w:proofErr w:type="spellEnd"/>
      <w:r w:rsidR="004E14C7">
        <w:rPr>
          <w:rFonts w:ascii="Arial" w:hAnsi="Arial" w:cs="Arial"/>
          <w:sz w:val="24"/>
          <w:szCs w:val="24"/>
        </w:rPr>
        <w:t>)</w:t>
      </w:r>
      <w:r w:rsidRPr="00051D47">
        <w:rPr>
          <w:rFonts w:ascii="Arial" w:hAnsi="Arial" w:cs="Arial"/>
          <w:sz w:val="24"/>
          <w:szCs w:val="24"/>
        </w:rPr>
        <w:t xml:space="preserve">, obejmujące prezentację rozwiązań (w sposobie </w:t>
      </w:r>
      <w:r w:rsidR="00FB7D1E" w:rsidRPr="00051D47">
        <w:rPr>
          <w:rFonts w:ascii="Arial" w:hAnsi="Arial" w:cs="Arial"/>
          <w:sz w:val="24"/>
          <w:szCs w:val="24"/>
        </w:rPr>
        <w:t>wdrażania</w:t>
      </w:r>
      <w:r w:rsidRPr="00051D47">
        <w:rPr>
          <w:rFonts w:ascii="Arial" w:hAnsi="Arial" w:cs="Arial"/>
          <w:sz w:val="24"/>
          <w:szCs w:val="24"/>
        </w:rPr>
        <w:t xml:space="preserve"> oraz efektów projektów) pod kątem znalezienia dobrych praktyk lub barier/trudności w realizacji projektów. W każdym z sześciu obszarów tematycznych musi zostać zrealizowane przynajmniej jedno studium przypadku, </w:t>
      </w:r>
      <w:r w:rsidR="00616877">
        <w:rPr>
          <w:rFonts w:ascii="Arial" w:hAnsi="Arial" w:cs="Arial"/>
          <w:sz w:val="24"/>
          <w:szCs w:val="24"/>
        </w:rPr>
        <w:t xml:space="preserve">dla każdej kategorii wielkości miast (miasto lub miejski obszar funkcjonalny). </w:t>
      </w:r>
      <w:r w:rsidR="001D0098">
        <w:rPr>
          <w:rFonts w:ascii="Arial" w:hAnsi="Arial" w:cs="Arial"/>
          <w:sz w:val="24"/>
          <w:szCs w:val="24"/>
        </w:rPr>
        <w:t xml:space="preserve">Przynajmniej połowa </w:t>
      </w:r>
      <w:r w:rsidR="00616877">
        <w:rPr>
          <w:rFonts w:ascii="Arial" w:hAnsi="Arial" w:cs="Arial"/>
          <w:sz w:val="24"/>
          <w:szCs w:val="24"/>
        </w:rPr>
        <w:t>zrealizowanych</w:t>
      </w:r>
      <w:r w:rsidR="001D00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098">
        <w:rPr>
          <w:rFonts w:ascii="Arial" w:hAnsi="Arial" w:cs="Arial"/>
          <w:sz w:val="24"/>
          <w:szCs w:val="24"/>
        </w:rPr>
        <w:t>case</w:t>
      </w:r>
      <w:proofErr w:type="spellEnd"/>
      <w:r w:rsidR="001D00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098">
        <w:rPr>
          <w:rFonts w:ascii="Arial" w:hAnsi="Arial" w:cs="Arial"/>
          <w:sz w:val="24"/>
          <w:szCs w:val="24"/>
        </w:rPr>
        <w:t>study</w:t>
      </w:r>
      <w:proofErr w:type="spellEnd"/>
      <w:r w:rsidR="001D0098">
        <w:rPr>
          <w:rFonts w:ascii="Arial" w:hAnsi="Arial" w:cs="Arial"/>
          <w:sz w:val="24"/>
          <w:szCs w:val="24"/>
        </w:rPr>
        <w:t xml:space="preserve"> musi dotyczyć MOF, prezentując </w:t>
      </w:r>
      <w:r w:rsidR="004E14C7">
        <w:rPr>
          <w:rFonts w:ascii="Arial" w:hAnsi="Arial" w:cs="Arial"/>
          <w:sz w:val="24"/>
          <w:szCs w:val="24"/>
        </w:rPr>
        <w:t xml:space="preserve">opis współpracy w ramach MOF, z uwzględnieniem efektu synergii. W przypadku </w:t>
      </w:r>
      <w:proofErr w:type="spellStart"/>
      <w:r w:rsidR="004E14C7">
        <w:rPr>
          <w:rFonts w:ascii="Arial" w:hAnsi="Arial" w:cs="Arial"/>
          <w:sz w:val="24"/>
          <w:szCs w:val="24"/>
        </w:rPr>
        <w:t>case</w:t>
      </w:r>
      <w:proofErr w:type="spellEnd"/>
      <w:r w:rsidR="004E14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14C7">
        <w:rPr>
          <w:rFonts w:ascii="Arial" w:hAnsi="Arial" w:cs="Arial"/>
          <w:sz w:val="24"/>
          <w:szCs w:val="24"/>
        </w:rPr>
        <w:t>study</w:t>
      </w:r>
      <w:proofErr w:type="spellEnd"/>
      <w:r w:rsidR="004E14C7">
        <w:rPr>
          <w:rFonts w:ascii="Arial" w:hAnsi="Arial" w:cs="Arial"/>
          <w:sz w:val="24"/>
          <w:szCs w:val="24"/>
        </w:rPr>
        <w:t xml:space="preserve"> obejmujących obszarem jedynie miasto, analiza musi zawierać odpowiedź na pytanie, dlaczego dany projekt nie został zrealizowany w ramach MOF oraz czy realizacja w przyjętym układzie była efektywna. Dodatkowo, jedno z realizowanych studiów przypadku powinno dotyczyć inicjatywy URBACT </w:t>
      </w:r>
      <w:r w:rsidRPr="00051D47">
        <w:rPr>
          <w:rFonts w:ascii="Arial" w:hAnsi="Arial" w:cs="Arial"/>
          <w:sz w:val="24"/>
          <w:szCs w:val="24"/>
        </w:rPr>
        <w:t>.</w:t>
      </w:r>
      <w:r w:rsidR="003B0EBC" w:rsidRPr="00051D47">
        <w:rPr>
          <w:rFonts w:ascii="Arial" w:hAnsi="Arial" w:cs="Arial"/>
          <w:sz w:val="24"/>
          <w:szCs w:val="24"/>
        </w:rPr>
        <w:t>Tym samym, zrealizowanych powinno zostać 18 studiów przypadku, w układzie:</w:t>
      </w:r>
    </w:p>
    <w:p w14:paraId="63AECE7B" w14:textId="77777777" w:rsidR="003B0EBC" w:rsidRPr="00051D47" w:rsidRDefault="003B0EBC" w:rsidP="003B0EBC">
      <w:pPr>
        <w:pStyle w:val="Akapitzlis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2394"/>
        <w:gridCol w:w="2268"/>
        <w:gridCol w:w="1701"/>
        <w:gridCol w:w="1984"/>
      </w:tblGrid>
      <w:tr w:rsidR="003B0EBC" w:rsidRPr="00051D47" w14:paraId="4191C720" w14:textId="77777777" w:rsidTr="003B0EBC">
        <w:tc>
          <w:tcPr>
            <w:tcW w:w="2394" w:type="dxa"/>
          </w:tcPr>
          <w:p w14:paraId="3C7FAC9A" w14:textId="5C3E626B" w:rsidR="003B0EBC" w:rsidRPr="00051D47" w:rsidRDefault="003B0EBC" w:rsidP="003B0EB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Obszar tematyczny</w:t>
            </w:r>
            <w:r w:rsidR="009620B1" w:rsidRPr="00051D4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2"/>
            </w:r>
          </w:p>
        </w:tc>
        <w:tc>
          <w:tcPr>
            <w:tcW w:w="2268" w:type="dxa"/>
          </w:tcPr>
          <w:p w14:paraId="090D5DE0" w14:textId="17160E30" w:rsidR="003B0EBC" w:rsidRPr="00051D47" w:rsidRDefault="003B0EBC" w:rsidP="003B0EB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Miasto wojewódzkie</w:t>
            </w:r>
            <w:r w:rsidR="00616877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Pr="00051D47">
              <w:rPr>
                <w:rFonts w:ascii="Arial" w:hAnsi="Arial" w:cs="Arial"/>
                <w:sz w:val="24"/>
                <w:szCs w:val="24"/>
              </w:rPr>
              <w:t xml:space="preserve"> miasto wojewódzkie i jego OF</w:t>
            </w:r>
          </w:p>
        </w:tc>
        <w:tc>
          <w:tcPr>
            <w:tcW w:w="1701" w:type="dxa"/>
          </w:tcPr>
          <w:p w14:paraId="60D70A41" w14:textId="260F1D76" w:rsidR="003B0EBC" w:rsidRPr="00051D47" w:rsidRDefault="003B0EBC" w:rsidP="003B0EB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Miasto średnie</w:t>
            </w:r>
            <w:r w:rsidR="00616877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Pr="00051D47">
              <w:rPr>
                <w:rFonts w:ascii="Arial" w:hAnsi="Arial" w:cs="Arial"/>
                <w:sz w:val="24"/>
                <w:szCs w:val="24"/>
              </w:rPr>
              <w:t xml:space="preserve"> Miasto średnie i jego OF </w:t>
            </w:r>
          </w:p>
        </w:tc>
        <w:tc>
          <w:tcPr>
            <w:tcW w:w="1984" w:type="dxa"/>
          </w:tcPr>
          <w:p w14:paraId="34B13C13" w14:textId="42DF5B6A" w:rsidR="003B0EBC" w:rsidRPr="00051D47" w:rsidRDefault="003B0EBC" w:rsidP="003B0EB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Miasto małe</w:t>
            </w:r>
            <w:r w:rsidR="00616877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Pr="00051D47">
              <w:rPr>
                <w:rFonts w:ascii="Arial" w:hAnsi="Arial" w:cs="Arial"/>
                <w:sz w:val="24"/>
                <w:szCs w:val="24"/>
              </w:rPr>
              <w:t>miasto małe i jego relacje z otoczeniem</w:t>
            </w:r>
            <w:r w:rsidR="00616877">
              <w:rPr>
                <w:rFonts w:ascii="Arial" w:hAnsi="Arial" w:cs="Arial"/>
                <w:sz w:val="24"/>
                <w:szCs w:val="24"/>
              </w:rPr>
              <w:t xml:space="preserve"> (OF)</w:t>
            </w:r>
          </w:p>
        </w:tc>
      </w:tr>
      <w:tr w:rsidR="004E14C7" w:rsidRPr="00051D47" w14:paraId="74013160" w14:textId="77777777" w:rsidTr="003B0EBC">
        <w:tc>
          <w:tcPr>
            <w:tcW w:w="2394" w:type="dxa"/>
          </w:tcPr>
          <w:p w14:paraId="1090F1F7" w14:textId="73BB775E" w:rsidR="004E14C7" w:rsidRPr="004E14C7" w:rsidRDefault="004E14C7" w:rsidP="004E14C7">
            <w:pPr>
              <w:rPr>
                <w:rFonts w:ascii="Arial" w:hAnsi="Arial" w:cs="Arial"/>
                <w:sz w:val="24"/>
                <w:szCs w:val="24"/>
              </w:rPr>
            </w:pPr>
            <w:r w:rsidRPr="004E14C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4C7">
              <w:rPr>
                <w:rFonts w:ascii="Arial" w:hAnsi="Arial" w:cs="Arial"/>
                <w:sz w:val="24"/>
                <w:szCs w:val="24"/>
              </w:rPr>
              <w:t>Zarządzanie i planowanie przestrzenne (w tym partycypacja społeczna)</w:t>
            </w:r>
          </w:p>
        </w:tc>
        <w:tc>
          <w:tcPr>
            <w:tcW w:w="2268" w:type="dxa"/>
          </w:tcPr>
          <w:p w14:paraId="239F5451" w14:textId="208B439E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727B1F" w14:textId="2A9E5685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CEA29FA" w14:textId="176A05C9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E14C7" w:rsidRPr="00051D47" w14:paraId="42BA3E45" w14:textId="77777777" w:rsidTr="003B0EBC">
        <w:tc>
          <w:tcPr>
            <w:tcW w:w="2394" w:type="dxa"/>
          </w:tcPr>
          <w:p w14:paraId="6CD016E6" w14:textId="68D3CF0E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07FDC" w:rsidRPr="00590A74">
              <w:rPr>
                <w:rFonts w:ascii="Arial" w:hAnsi="Arial" w:cs="Arial"/>
                <w:sz w:val="24"/>
                <w:szCs w:val="24"/>
              </w:rPr>
              <w:t xml:space="preserve">Działania na rzecz </w:t>
            </w:r>
            <w:r w:rsidR="00307FDC">
              <w:rPr>
                <w:rFonts w:ascii="Arial" w:hAnsi="Arial" w:cs="Arial"/>
                <w:sz w:val="24"/>
                <w:szCs w:val="24"/>
              </w:rPr>
              <w:t xml:space="preserve">poprawy </w:t>
            </w:r>
            <w:r w:rsidR="00307FDC" w:rsidRPr="00590A74">
              <w:rPr>
                <w:rFonts w:ascii="Arial" w:hAnsi="Arial" w:cs="Arial"/>
                <w:sz w:val="24"/>
                <w:szCs w:val="24"/>
              </w:rPr>
              <w:t xml:space="preserve">jakości środowiska przyrodniczego oraz </w:t>
            </w:r>
            <w:r w:rsidR="00307FDC">
              <w:rPr>
                <w:rFonts w:ascii="Arial" w:hAnsi="Arial" w:cs="Arial"/>
                <w:sz w:val="24"/>
                <w:szCs w:val="24"/>
              </w:rPr>
              <w:t xml:space="preserve">adaptacji i </w:t>
            </w:r>
            <w:proofErr w:type="spellStart"/>
            <w:r w:rsidR="00307FDC">
              <w:rPr>
                <w:rFonts w:ascii="Arial" w:hAnsi="Arial" w:cs="Arial"/>
                <w:sz w:val="24"/>
                <w:szCs w:val="24"/>
              </w:rPr>
              <w:t>mitygacji</w:t>
            </w:r>
            <w:proofErr w:type="spellEnd"/>
            <w:r w:rsidR="00307FDC">
              <w:rPr>
                <w:rFonts w:ascii="Arial" w:hAnsi="Arial" w:cs="Arial"/>
                <w:sz w:val="24"/>
                <w:szCs w:val="24"/>
              </w:rPr>
              <w:t xml:space="preserve"> zmian klimatu</w:t>
            </w:r>
            <w:r w:rsidR="00307FDC" w:rsidRPr="00577049" w:rsidDel="00307F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7049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3"/>
            </w:r>
          </w:p>
        </w:tc>
        <w:tc>
          <w:tcPr>
            <w:tcW w:w="2268" w:type="dxa"/>
          </w:tcPr>
          <w:p w14:paraId="060B6C78" w14:textId="19ADB6E7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4CF542" w14:textId="46D6699C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669D19F" w14:textId="596C9ED9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E14C7" w:rsidRPr="00051D47" w14:paraId="0E69DDF9" w14:textId="77777777" w:rsidTr="003B0EBC">
        <w:tc>
          <w:tcPr>
            <w:tcW w:w="2394" w:type="dxa"/>
          </w:tcPr>
          <w:p w14:paraId="7DF3B45B" w14:textId="133F56DD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577049">
              <w:rPr>
                <w:rFonts w:ascii="Arial" w:hAnsi="Arial" w:cs="Arial"/>
                <w:sz w:val="24"/>
                <w:szCs w:val="24"/>
              </w:rPr>
              <w:t>Mobilność miejska i aglomeracyjna</w:t>
            </w:r>
          </w:p>
        </w:tc>
        <w:tc>
          <w:tcPr>
            <w:tcW w:w="2268" w:type="dxa"/>
          </w:tcPr>
          <w:p w14:paraId="095AF85B" w14:textId="384E7FBB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1F660C0" w14:textId="7E315D54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3EA673C" w14:textId="3716D8D4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E14C7" w:rsidRPr="00051D47" w14:paraId="709E1D83" w14:textId="77777777" w:rsidTr="003B0EBC">
        <w:tc>
          <w:tcPr>
            <w:tcW w:w="2394" w:type="dxa"/>
          </w:tcPr>
          <w:p w14:paraId="0E7557F3" w14:textId="6E782428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307FDC" w:rsidRPr="00307FDC">
              <w:rPr>
                <w:rFonts w:ascii="Arial" w:hAnsi="Arial" w:cs="Arial"/>
                <w:sz w:val="24"/>
                <w:szCs w:val="24"/>
              </w:rPr>
              <w:t>Mieszkalnictwo oraz usługi społeczne (z obszaru edukacji, kultury i zdrowia)</w:t>
            </w:r>
          </w:p>
        </w:tc>
        <w:tc>
          <w:tcPr>
            <w:tcW w:w="2268" w:type="dxa"/>
          </w:tcPr>
          <w:p w14:paraId="46BBCB7C" w14:textId="3686EB2C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7A3575" w14:textId="6DAF6E8F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4618213" w14:textId="0289095F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E14C7" w:rsidRPr="00051D47" w14:paraId="54119B02" w14:textId="77777777" w:rsidTr="003B0EBC">
        <w:tc>
          <w:tcPr>
            <w:tcW w:w="2394" w:type="dxa"/>
          </w:tcPr>
          <w:p w14:paraId="7CDF125D" w14:textId="6FC0D3EC" w:rsidR="004E14C7" w:rsidRPr="004E14C7" w:rsidRDefault="004E14C7" w:rsidP="004E14C7">
            <w:pPr>
              <w:rPr>
                <w:rFonts w:ascii="Arial" w:hAnsi="Arial" w:cs="Arial"/>
                <w:sz w:val="24"/>
                <w:szCs w:val="24"/>
              </w:rPr>
            </w:pPr>
            <w:r w:rsidRPr="004E14C7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4C7">
              <w:rPr>
                <w:rFonts w:ascii="Arial" w:hAnsi="Arial" w:cs="Arial"/>
                <w:sz w:val="24"/>
                <w:szCs w:val="24"/>
              </w:rPr>
              <w:t>Rozwój gospodarczy, w tym rynek pracy</w:t>
            </w:r>
          </w:p>
        </w:tc>
        <w:tc>
          <w:tcPr>
            <w:tcW w:w="2268" w:type="dxa"/>
          </w:tcPr>
          <w:p w14:paraId="14D069A8" w14:textId="70F8C056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A720CDA" w14:textId="1A87FADB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463D13A" w14:textId="5E393882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E14C7" w:rsidRPr="00051D47" w14:paraId="55503B7C" w14:textId="77777777" w:rsidTr="003B0EBC">
        <w:tc>
          <w:tcPr>
            <w:tcW w:w="2394" w:type="dxa"/>
          </w:tcPr>
          <w:p w14:paraId="42748DFE" w14:textId="4A0DE188" w:rsidR="004E14C7" w:rsidRPr="004E14C7" w:rsidRDefault="004E14C7" w:rsidP="004E14C7">
            <w:pPr>
              <w:rPr>
                <w:rFonts w:ascii="Arial" w:hAnsi="Arial" w:cs="Arial"/>
                <w:sz w:val="24"/>
                <w:szCs w:val="24"/>
              </w:rPr>
            </w:pPr>
            <w:r w:rsidRPr="004E14C7">
              <w:rPr>
                <w:rFonts w:ascii="Arial" w:hAnsi="Arial" w:cs="Arial"/>
                <w:sz w:val="24"/>
                <w:szCs w:val="24"/>
              </w:rPr>
              <w:t>6.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4C7">
              <w:rPr>
                <w:rFonts w:ascii="Arial" w:hAnsi="Arial" w:cs="Arial"/>
                <w:sz w:val="24"/>
                <w:szCs w:val="24"/>
              </w:rPr>
              <w:t>Transformacja cyfrowa</w:t>
            </w:r>
          </w:p>
        </w:tc>
        <w:tc>
          <w:tcPr>
            <w:tcW w:w="2268" w:type="dxa"/>
          </w:tcPr>
          <w:p w14:paraId="0C782331" w14:textId="11F79CC7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7EAC113" w14:textId="634649BE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3FDF18A" w14:textId="5439B981" w:rsidR="004E14C7" w:rsidRPr="00051D47" w:rsidRDefault="004E14C7" w:rsidP="004E14C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42BE9034" w14:textId="0BB823F2" w:rsidR="004509C0" w:rsidRPr="00051D47" w:rsidRDefault="003B0EBC" w:rsidP="003B0EBC">
      <w:pPr>
        <w:pStyle w:val="Akapitzlist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RAZEM: 18 studiów przypadku</w:t>
      </w:r>
    </w:p>
    <w:p w14:paraId="1FEB083F" w14:textId="77777777" w:rsidR="00BB1CF6" w:rsidRPr="00051D47" w:rsidRDefault="00BB1CF6" w:rsidP="003B0EBC">
      <w:pPr>
        <w:pStyle w:val="Akapitzlist"/>
        <w:rPr>
          <w:rFonts w:ascii="Arial" w:hAnsi="Arial" w:cs="Arial"/>
          <w:sz w:val="24"/>
          <w:szCs w:val="24"/>
        </w:rPr>
      </w:pPr>
    </w:p>
    <w:p w14:paraId="3247AB78" w14:textId="1267E668" w:rsidR="003B0EBC" w:rsidRPr="00051D47" w:rsidRDefault="003B0EBC" w:rsidP="00051D4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 ramach każdego ze studi</w:t>
      </w:r>
      <w:r w:rsidR="00BB1CF6" w:rsidRPr="00051D47">
        <w:rPr>
          <w:rFonts w:ascii="Arial" w:hAnsi="Arial" w:cs="Arial"/>
          <w:sz w:val="24"/>
          <w:szCs w:val="24"/>
        </w:rPr>
        <w:t>um</w:t>
      </w:r>
      <w:r w:rsidRPr="00051D47">
        <w:rPr>
          <w:rFonts w:ascii="Arial" w:hAnsi="Arial" w:cs="Arial"/>
          <w:sz w:val="24"/>
          <w:szCs w:val="24"/>
        </w:rPr>
        <w:t xml:space="preserve"> przypadku, powinny zostać zrealizowane co najmniej następujące techniki badawcze: wywiady i ankiety z </w:t>
      </w:r>
      <w:r w:rsidR="00887890" w:rsidRPr="00051D47">
        <w:rPr>
          <w:rFonts w:ascii="Arial" w:hAnsi="Arial" w:cs="Arial"/>
          <w:sz w:val="24"/>
          <w:szCs w:val="24"/>
        </w:rPr>
        <w:t xml:space="preserve">przedstawicielami JST, </w:t>
      </w:r>
      <w:r w:rsidRPr="00051D47">
        <w:rPr>
          <w:rFonts w:ascii="Arial" w:hAnsi="Arial" w:cs="Arial"/>
          <w:sz w:val="24"/>
          <w:szCs w:val="24"/>
        </w:rPr>
        <w:t>beneficjentami</w:t>
      </w:r>
      <w:r w:rsidR="00887890" w:rsidRPr="00051D47">
        <w:rPr>
          <w:rFonts w:ascii="Arial" w:hAnsi="Arial" w:cs="Arial"/>
          <w:sz w:val="24"/>
          <w:szCs w:val="24"/>
        </w:rPr>
        <w:t xml:space="preserve"> wsparcia</w:t>
      </w:r>
      <w:r w:rsidRPr="00051D47">
        <w:rPr>
          <w:rFonts w:ascii="Arial" w:hAnsi="Arial" w:cs="Arial"/>
          <w:sz w:val="24"/>
          <w:szCs w:val="24"/>
        </w:rPr>
        <w:t xml:space="preserve">, mieszkańcami i lokalnymi organizacjami, </w:t>
      </w:r>
      <w:r w:rsidR="00887890" w:rsidRPr="00051D47">
        <w:rPr>
          <w:rFonts w:ascii="Arial" w:hAnsi="Arial" w:cs="Arial"/>
          <w:sz w:val="24"/>
          <w:szCs w:val="24"/>
        </w:rPr>
        <w:t xml:space="preserve">a także </w:t>
      </w:r>
      <w:r w:rsidRPr="00051D47">
        <w:rPr>
          <w:rFonts w:ascii="Arial" w:hAnsi="Arial" w:cs="Arial"/>
          <w:sz w:val="24"/>
          <w:szCs w:val="24"/>
        </w:rPr>
        <w:t>etnografia</w:t>
      </w:r>
      <w:r w:rsidR="00887890" w:rsidRPr="00051D4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51D47">
        <w:rPr>
          <w:rFonts w:ascii="Arial" w:hAnsi="Arial" w:cs="Arial"/>
          <w:sz w:val="24"/>
          <w:szCs w:val="24"/>
        </w:rPr>
        <w:t>netnografi</w:t>
      </w:r>
      <w:r w:rsidR="004E14C7">
        <w:rPr>
          <w:rFonts w:ascii="Arial" w:hAnsi="Arial" w:cs="Arial"/>
          <w:sz w:val="24"/>
          <w:szCs w:val="24"/>
        </w:rPr>
        <w:t>a</w:t>
      </w:r>
      <w:proofErr w:type="spellEnd"/>
      <w:r w:rsidR="004E14C7">
        <w:rPr>
          <w:rFonts w:ascii="Arial" w:hAnsi="Arial" w:cs="Arial"/>
          <w:sz w:val="24"/>
          <w:szCs w:val="24"/>
        </w:rPr>
        <w:t>.</w:t>
      </w:r>
    </w:p>
    <w:bookmarkEnd w:id="13"/>
    <w:p w14:paraId="57E0A516" w14:textId="77777777" w:rsidR="00BB1CF6" w:rsidRPr="00051D47" w:rsidRDefault="00BB1CF6" w:rsidP="003B0EBC">
      <w:pPr>
        <w:pStyle w:val="Akapitzlist"/>
        <w:rPr>
          <w:rFonts w:ascii="Arial" w:hAnsi="Arial" w:cs="Arial"/>
          <w:sz w:val="24"/>
          <w:szCs w:val="24"/>
        </w:rPr>
      </w:pPr>
    </w:p>
    <w:p w14:paraId="5DAD7116" w14:textId="3D76B46D" w:rsidR="00887890" w:rsidRPr="00051D47" w:rsidRDefault="00887890" w:rsidP="00887890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Analiza kontrfaktyczna wpływu, polegająca na eksperymentalnym porównaniu miast ze wsparciem i bez wsparcia, w każdym z obszarów tematycznych, uwzględniająca wielkość miast. Wykonawca odpowiada za opracowanie </w:t>
      </w:r>
      <w:r w:rsidR="00BB1CF6" w:rsidRPr="00051D47">
        <w:rPr>
          <w:rFonts w:ascii="Arial" w:hAnsi="Arial" w:cs="Arial"/>
          <w:sz w:val="24"/>
          <w:szCs w:val="24"/>
        </w:rPr>
        <w:t xml:space="preserve">propozycji </w:t>
      </w:r>
      <w:r w:rsidRPr="00051D47">
        <w:rPr>
          <w:rFonts w:ascii="Arial" w:hAnsi="Arial" w:cs="Arial"/>
          <w:sz w:val="24"/>
          <w:szCs w:val="24"/>
        </w:rPr>
        <w:t>koncepcji analizy kontrfaktycznej.</w:t>
      </w:r>
    </w:p>
    <w:p w14:paraId="41116532" w14:textId="222CE03E" w:rsidR="00887890" w:rsidRPr="00051D47" w:rsidRDefault="00887890" w:rsidP="00887890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Warsztat implementacyjny.</w:t>
      </w:r>
    </w:p>
    <w:p w14:paraId="14475804" w14:textId="2E881072" w:rsidR="00887890" w:rsidRPr="00051D47" w:rsidRDefault="00887890" w:rsidP="00077EB0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W badaniu ewaluacyjnym musi zostać zastosowana triangulacja metodologiczna, zarówno na poziomie zastosowanych technik gromadzenia danych, jak również na poziomie analizy danych - poprzez prezentację w raporcie spójnych wyników badania i przedstawienie wyraźnej oceny ze strony </w:t>
      </w:r>
      <w:proofErr w:type="spellStart"/>
      <w:r w:rsidRPr="00051D47">
        <w:rPr>
          <w:rFonts w:ascii="Arial" w:hAnsi="Arial" w:cs="Arial"/>
          <w:sz w:val="24"/>
          <w:szCs w:val="24"/>
        </w:rPr>
        <w:t>ewaluatora</w:t>
      </w:r>
      <w:proofErr w:type="spellEnd"/>
      <w:r w:rsidRPr="00051D47">
        <w:rPr>
          <w:rFonts w:ascii="Arial" w:hAnsi="Arial" w:cs="Arial"/>
          <w:sz w:val="24"/>
          <w:szCs w:val="24"/>
        </w:rPr>
        <w:t xml:space="preserve"> - w oparciu o analizę danych pochodzących z różnych źródeł. Przedstawione w raportach wyniki będą stanowić odzwierciedlenie zebranych w badaniu danych.</w:t>
      </w:r>
    </w:p>
    <w:p w14:paraId="34EBADB9" w14:textId="2581AFAD" w:rsidR="00887890" w:rsidRPr="00051D47" w:rsidRDefault="00BB1CF6" w:rsidP="00077EB0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Tuż po rozpoczęciu</w:t>
      </w:r>
      <w:r w:rsidR="00887890" w:rsidRPr="00051D47">
        <w:rPr>
          <w:rFonts w:ascii="Arial" w:hAnsi="Arial" w:cs="Arial"/>
          <w:sz w:val="24"/>
          <w:szCs w:val="24"/>
        </w:rPr>
        <w:t xml:space="preserve"> badania ewaluacyjnego</w:t>
      </w:r>
      <w:r w:rsidRPr="00051D47">
        <w:rPr>
          <w:rFonts w:ascii="Arial" w:hAnsi="Arial" w:cs="Arial"/>
          <w:sz w:val="24"/>
          <w:szCs w:val="24"/>
        </w:rPr>
        <w:t>, po przekazaniu projektu raportu metodologicznego,</w:t>
      </w:r>
      <w:r w:rsidR="00887890" w:rsidRPr="00051D47">
        <w:rPr>
          <w:rFonts w:ascii="Arial" w:hAnsi="Arial" w:cs="Arial"/>
          <w:sz w:val="24"/>
          <w:szCs w:val="24"/>
        </w:rPr>
        <w:t xml:space="preserve"> odbędzie się spotkanie organizacyjne Wykonawcy z Zamawiającym, mające na celu m.in. szczegółowe ustalenie metodologii realizacji badania. W wyniku spotkania Wykonawca będzie zobowiązany do przygotowania</w:t>
      </w:r>
      <w:r w:rsidRPr="00051D47">
        <w:rPr>
          <w:rFonts w:ascii="Arial" w:hAnsi="Arial" w:cs="Arial"/>
          <w:sz w:val="24"/>
          <w:szCs w:val="24"/>
        </w:rPr>
        <w:t xml:space="preserve"> ostatecznego</w:t>
      </w:r>
      <w:r w:rsidR="00887890" w:rsidRPr="00051D47">
        <w:rPr>
          <w:rFonts w:ascii="Arial" w:hAnsi="Arial" w:cs="Arial"/>
          <w:sz w:val="24"/>
          <w:szCs w:val="24"/>
        </w:rPr>
        <w:t xml:space="preserve"> raportu metodologicznego</w:t>
      </w:r>
      <w:r w:rsidRPr="00051D47">
        <w:rPr>
          <w:rFonts w:ascii="Arial" w:hAnsi="Arial" w:cs="Arial"/>
          <w:sz w:val="24"/>
          <w:szCs w:val="24"/>
        </w:rPr>
        <w:t xml:space="preserve"> </w:t>
      </w:r>
      <w:r w:rsidR="00887890" w:rsidRPr="00051D47">
        <w:rPr>
          <w:rFonts w:ascii="Arial" w:hAnsi="Arial" w:cs="Arial"/>
          <w:sz w:val="24"/>
          <w:szCs w:val="24"/>
        </w:rPr>
        <w:t>dla całego badania</w:t>
      </w:r>
      <w:r w:rsidRPr="00051D47">
        <w:rPr>
          <w:rFonts w:ascii="Arial" w:hAnsi="Arial" w:cs="Arial"/>
          <w:sz w:val="24"/>
          <w:szCs w:val="24"/>
        </w:rPr>
        <w:t xml:space="preserve">, </w:t>
      </w:r>
      <w:r w:rsidR="00887890" w:rsidRPr="00051D47">
        <w:rPr>
          <w:rFonts w:ascii="Arial" w:hAnsi="Arial" w:cs="Arial"/>
          <w:sz w:val="24"/>
          <w:szCs w:val="24"/>
        </w:rPr>
        <w:t>uwzględniającego ustalenia poczynione na spotkaniu organizacyjnym.</w:t>
      </w:r>
    </w:p>
    <w:p w14:paraId="4EDBB5D5" w14:textId="274877E9" w:rsidR="00887890" w:rsidRPr="00051D47" w:rsidRDefault="00887890" w:rsidP="00887890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Wykonawca jest zobowiązany do realizacji badania stosując się do obowiązujących w badaniach społecznych standardów oraz do testowania opracowanych narzędzi. Wykonawca jest zobowiązany do przedstawiania Zamawiającemu planu realizacji badań w terenie oraz umożliwienia mu wyrywkowego monitorowania realizacji tych badań.</w:t>
      </w:r>
    </w:p>
    <w:p w14:paraId="2B4AD840" w14:textId="0373B6D7" w:rsidR="009D7789" w:rsidRPr="00051D47" w:rsidRDefault="00077EB0" w:rsidP="00051D47">
      <w:pPr>
        <w:pStyle w:val="Nagwek2"/>
        <w:rPr>
          <w:rFonts w:ascii="Arial" w:hAnsi="Arial" w:cs="Arial"/>
          <w:sz w:val="24"/>
          <w:szCs w:val="24"/>
        </w:rPr>
      </w:pPr>
      <w:bookmarkStart w:id="14" w:name="_Toc154861800"/>
      <w:r w:rsidRPr="00051D47">
        <w:rPr>
          <w:rFonts w:ascii="Arial" w:hAnsi="Arial" w:cs="Arial"/>
          <w:sz w:val="24"/>
          <w:szCs w:val="24"/>
        </w:rPr>
        <w:t>Kryteria ewaluacyjne</w:t>
      </w:r>
      <w:bookmarkEnd w:id="14"/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67"/>
        <w:gridCol w:w="5831"/>
      </w:tblGrid>
      <w:tr w:rsidR="00280268" w:rsidRPr="00051D47" w14:paraId="47882478" w14:textId="77777777" w:rsidTr="00B23B63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61D8F" w14:textId="77777777" w:rsidR="00280268" w:rsidRPr="00051D47" w:rsidRDefault="00280268" w:rsidP="00B23B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1D47">
              <w:rPr>
                <w:rFonts w:ascii="Arial" w:hAnsi="Arial" w:cs="Arial"/>
                <w:b/>
                <w:sz w:val="24"/>
                <w:szCs w:val="24"/>
              </w:rPr>
              <w:t>Kryterium wpływu (</w:t>
            </w:r>
            <w:proofErr w:type="spellStart"/>
            <w:r w:rsidRPr="00051D47">
              <w:rPr>
                <w:rFonts w:ascii="Arial" w:hAnsi="Arial" w:cs="Arial"/>
                <w:b/>
                <w:sz w:val="24"/>
                <w:szCs w:val="24"/>
              </w:rPr>
              <w:t>impact</w:t>
            </w:r>
            <w:proofErr w:type="spellEnd"/>
            <w:r w:rsidRPr="00051D47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D24A" w14:textId="77777777" w:rsidR="00280268" w:rsidRPr="00051D47" w:rsidRDefault="00280268" w:rsidP="00B23B63">
            <w:pPr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Pozwalające ocenić stopień, w jakim realizowane interwencje przyczyniły się do zmian na badanym obszarze w trakcie okresu ich realizacji.</w:t>
            </w:r>
          </w:p>
        </w:tc>
      </w:tr>
      <w:tr w:rsidR="00280268" w:rsidRPr="00051D47" w14:paraId="6A60A934" w14:textId="77777777" w:rsidTr="00B23B63">
        <w:trPr>
          <w:trHeight w:val="49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E34A" w14:textId="77777777" w:rsidR="00280268" w:rsidRPr="00051D47" w:rsidRDefault="00280268" w:rsidP="00B23B63">
            <w:pPr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b/>
                <w:sz w:val="24"/>
                <w:szCs w:val="24"/>
              </w:rPr>
              <w:t>Kryterium skuteczności (</w:t>
            </w:r>
            <w:proofErr w:type="spellStart"/>
            <w:r w:rsidRPr="00051D47">
              <w:rPr>
                <w:rFonts w:ascii="Arial" w:hAnsi="Arial" w:cs="Arial"/>
                <w:b/>
                <w:sz w:val="24"/>
                <w:szCs w:val="24"/>
              </w:rPr>
              <w:t>effectiveness</w:t>
            </w:r>
            <w:proofErr w:type="spellEnd"/>
            <w:r w:rsidRPr="00051D47">
              <w:rPr>
                <w:rFonts w:ascii="Arial" w:hAnsi="Arial" w:cs="Arial"/>
                <w:b/>
                <w:sz w:val="24"/>
                <w:szCs w:val="24"/>
              </w:rPr>
              <w:t>):</w:t>
            </w:r>
            <w:r w:rsidRPr="00051D4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6F11" w14:textId="77777777" w:rsidR="00280268" w:rsidRPr="00051D47" w:rsidRDefault="00280268" w:rsidP="00B23B63">
            <w:pPr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Pozwalające ocenić, w jakim stopniu cele zapisane w dokumentach programowych i strategicznych zostały osiągnięte.</w:t>
            </w:r>
          </w:p>
        </w:tc>
      </w:tr>
      <w:tr w:rsidR="00280268" w:rsidRPr="00051D47" w14:paraId="7101DDE4" w14:textId="77777777" w:rsidTr="00B23B63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1B6A" w14:textId="77777777" w:rsidR="00280268" w:rsidRPr="00051D47" w:rsidRDefault="00280268" w:rsidP="00B23B63">
            <w:pPr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b/>
                <w:sz w:val="24"/>
                <w:szCs w:val="24"/>
              </w:rPr>
              <w:lastRenderedPageBreak/>
              <w:t>Kryterium użyteczności (</w:t>
            </w:r>
            <w:proofErr w:type="spellStart"/>
            <w:r w:rsidRPr="00051D47">
              <w:rPr>
                <w:rFonts w:ascii="Arial" w:hAnsi="Arial" w:cs="Arial"/>
                <w:b/>
                <w:sz w:val="24"/>
                <w:szCs w:val="24"/>
              </w:rPr>
              <w:t>utility</w:t>
            </w:r>
            <w:proofErr w:type="spellEnd"/>
            <w:r w:rsidRPr="00051D47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7E15" w14:textId="7E1A4DC5" w:rsidR="00280268" w:rsidRPr="00051D47" w:rsidRDefault="00280268" w:rsidP="00B23B63">
            <w:pPr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Pozwalające ocenić stopień w jakim zrealizowane interwencje przełożyły się na poprawę sytuacji społeczno-gospodarczej w miastach i ich obszarach funkcjonalnych w odniesieniu do zdiagnozowanych potrzeb.</w:t>
            </w:r>
          </w:p>
        </w:tc>
      </w:tr>
      <w:tr w:rsidR="00280268" w:rsidRPr="00051D47" w14:paraId="0B39869F" w14:textId="77777777" w:rsidTr="00B23B63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DF5E" w14:textId="275032C5" w:rsidR="00280268" w:rsidRPr="00051D47" w:rsidRDefault="00280268" w:rsidP="00B23B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1D47">
              <w:rPr>
                <w:rFonts w:ascii="Arial" w:hAnsi="Arial" w:cs="Arial"/>
                <w:b/>
                <w:sz w:val="24"/>
                <w:szCs w:val="24"/>
              </w:rPr>
              <w:t>Kryterium efektywności (</w:t>
            </w:r>
            <w:proofErr w:type="spellStart"/>
            <w:r w:rsidRPr="00051D47">
              <w:rPr>
                <w:rFonts w:ascii="Arial" w:hAnsi="Arial" w:cs="Arial"/>
                <w:b/>
                <w:sz w:val="24"/>
                <w:szCs w:val="24"/>
              </w:rPr>
              <w:t>efficiency</w:t>
            </w:r>
            <w:proofErr w:type="spellEnd"/>
            <w:r w:rsidRPr="00051D47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04F9" w14:textId="235C89AD" w:rsidR="00280268" w:rsidRPr="00051D47" w:rsidRDefault="00280268" w:rsidP="00B23B63">
            <w:pPr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Pozwalające ocenić relację pomiędzy nakładami, kosztami oraz zasobami (finansowymi, ludzkimi, administracyjnymi) a osiągniętymi efektami rozwiązań.</w:t>
            </w:r>
          </w:p>
        </w:tc>
      </w:tr>
      <w:tr w:rsidR="00280268" w:rsidRPr="00051D47" w14:paraId="70DB42E1" w14:textId="77777777" w:rsidTr="00B23B63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742D" w14:textId="77777777" w:rsidR="00280268" w:rsidRPr="00051D47" w:rsidRDefault="00280268" w:rsidP="00B23B63">
            <w:pPr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b/>
                <w:sz w:val="24"/>
                <w:szCs w:val="24"/>
              </w:rPr>
              <w:t>Kryterium trwałości efektów (</w:t>
            </w:r>
            <w:proofErr w:type="spellStart"/>
            <w:r w:rsidRPr="00051D47">
              <w:rPr>
                <w:rFonts w:ascii="Arial" w:hAnsi="Arial" w:cs="Arial"/>
                <w:b/>
                <w:sz w:val="24"/>
                <w:szCs w:val="24"/>
              </w:rPr>
              <w:t>sustainability</w:t>
            </w:r>
            <w:proofErr w:type="spellEnd"/>
            <w:r w:rsidRPr="00051D47">
              <w:rPr>
                <w:rFonts w:ascii="Arial" w:hAnsi="Arial" w:cs="Arial"/>
                <w:b/>
                <w:sz w:val="24"/>
                <w:szCs w:val="24"/>
              </w:rPr>
              <w:t>):</w:t>
            </w:r>
            <w:r w:rsidRPr="00051D4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E864" w14:textId="77777777" w:rsidR="00280268" w:rsidRPr="00051D47" w:rsidRDefault="00280268" w:rsidP="00B23B63">
            <w:pPr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Pozwalające ocenić w jakim stopniu efekty wdrażanych interwencji utrzymują się/ będą się utrzymywać, także po zakończeniu okresu wdrażania.</w:t>
            </w:r>
          </w:p>
        </w:tc>
      </w:tr>
      <w:tr w:rsidR="000467C1" w:rsidRPr="00051D47" w14:paraId="3FF29C89" w14:textId="77777777" w:rsidTr="00B23B63"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6F91" w14:textId="0A36C65E" w:rsidR="000467C1" w:rsidRPr="00051D47" w:rsidRDefault="000467C1" w:rsidP="00B23B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1D47">
              <w:rPr>
                <w:rFonts w:ascii="Arial" w:hAnsi="Arial" w:cs="Arial"/>
                <w:b/>
                <w:sz w:val="24"/>
                <w:szCs w:val="24"/>
              </w:rPr>
              <w:t>Kryterium europejskiej wartości dodanej (</w:t>
            </w:r>
            <w:proofErr w:type="spellStart"/>
            <w:r w:rsidRPr="00051D47">
              <w:rPr>
                <w:rFonts w:ascii="Arial" w:hAnsi="Arial" w:cs="Arial"/>
                <w:b/>
                <w:sz w:val="24"/>
                <w:szCs w:val="24"/>
              </w:rPr>
              <w:t>european</w:t>
            </w:r>
            <w:proofErr w:type="spellEnd"/>
            <w:r w:rsidRPr="00051D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51D47">
              <w:rPr>
                <w:rFonts w:ascii="Arial" w:hAnsi="Arial" w:cs="Arial"/>
                <w:b/>
                <w:sz w:val="24"/>
                <w:szCs w:val="24"/>
              </w:rPr>
              <w:t>added</w:t>
            </w:r>
            <w:proofErr w:type="spellEnd"/>
            <w:r w:rsidRPr="00051D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51D47">
              <w:rPr>
                <w:rFonts w:ascii="Arial" w:hAnsi="Arial" w:cs="Arial"/>
                <w:b/>
                <w:sz w:val="24"/>
                <w:szCs w:val="24"/>
              </w:rPr>
              <w:t>value</w:t>
            </w:r>
            <w:proofErr w:type="spellEnd"/>
            <w:r w:rsidRPr="00051D47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FEBD" w14:textId="227A733C" w:rsidR="000467C1" w:rsidRPr="00051D47" w:rsidRDefault="00BB1CF6" w:rsidP="00B23B63">
            <w:pPr>
              <w:rPr>
                <w:rFonts w:ascii="Arial" w:hAnsi="Arial" w:cs="Arial"/>
                <w:sz w:val="24"/>
                <w:szCs w:val="24"/>
              </w:rPr>
            </w:pPr>
            <w:r w:rsidRPr="00051D47">
              <w:rPr>
                <w:rFonts w:ascii="Arial" w:hAnsi="Arial" w:cs="Arial"/>
                <w:sz w:val="24"/>
                <w:szCs w:val="24"/>
              </w:rPr>
              <w:t>Rozumiane jako kryterium łączące oceny dokonane w ramach pozostałych kryteriów i umożliwiające odpowiedź na pytanie, jakie były korzyści w ujęciu krajowym i międzynarodowym z realizacji rozwiązań w zakresie rozwoju miast i ich obszarów funkcjonalnych w Polsce, w ramach polityki spójności.</w:t>
            </w:r>
          </w:p>
        </w:tc>
      </w:tr>
    </w:tbl>
    <w:p w14:paraId="6D0E0F84" w14:textId="77777777" w:rsidR="00280268" w:rsidRPr="00051D47" w:rsidRDefault="00280268" w:rsidP="00077EB0">
      <w:pPr>
        <w:rPr>
          <w:rFonts w:ascii="Arial" w:hAnsi="Arial" w:cs="Arial"/>
          <w:sz w:val="24"/>
          <w:szCs w:val="24"/>
        </w:rPr>
      </w:pPr>
    </w:p>
    <w:p w14:paraId="63EFBB4D" w14:textId="7909C36F" w:rsidR="009D7789" w:rsidRPr="00051D47" w:rsidRDefault="009D7789" w:rsidP="00051D47">
      <w:pPr>
        <w:pStyle w:val="Nagwek1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5" w:name="_Toc154861801"/>
      <w:r w:rsidRPr="00051D47">
        <w:rPr>
          <w:rFonts w:ascii="Arial" w:hAnsi="Arial" w:cs="Arial"/>
          <w:sz w:val="24"/>
          <w:szCs w:val="24"/>
        </w:rPr>
        <w:t>Produkty badania</w:t>
      </w:r>
      <w:bookmarkEnd w:id="15"/>
    </w:p>
    <w:p w14:paraId="3D51B9FB" w14:textId="77777777" w:rsidR="009620B1" w:rsidRPr="00051D47" w:rsidRDefault="009620B1" w:rsidP="009620B1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 wyniku realizacji badania ewaluacyjnego muszą zostać przygotowane następujące produkty:</w:t>
      </w:r>
    </w:p>
    <w:p w14:paraId="535ABF81" w14:textId="700E3C03" w:rsidR="009620B1" w:rsidRPr="00051D47" w:rsidRDefault="009620B1" w:rsidP="009620B1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raport metodologiczny</w:t>
      </w:r>
      <w:r w:rsidR="00BB1CF6" w:rsidRPr="00051D47">
        <w:rPr>
          <w:rFonts w:ascii="Arial" w:hAnsi="Arial" w:cs="Arial"/>
          <w:sz w:val="24"/>
          <w:szCs w:val="24"/>
        </w:rPr>
        <w:t xml:space="preserve">, </w:t>
      </w:r>
      <w:r w:rsidRPr="00051D47">
        <w:rPr>
          <w:rFonts w:ascii="Arial" w:hAnsi="Arial" w:cs="Arial"/>
          <w:sz w:val="24"/>
          <w:szCs w:val="24"/>
        </w:rPr>
        <w:t>w języku polskim oraz angielskim:</w:t>
      </w:r>
    </w:p>
    <w:p w14:paraId="3BD6681B" w14:textId="613894DA" w:rsidR="009620B1" w:rsidRPr="00051D47" w:rsidRDefault="009620B1" w:rsidP="009620B1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raport metodologiczny musi przedstawiać opis metodologii badawczej, która zostanie zastosowana w ramach badania ewaluacyjnego oraz projekty narzędzi badawczych i harmonogram realizacji badania ewaluacyjnego. Zaproponowane w raporcie metodologicznym narzędzia badawcze mogą być modyfikowane na dalszych etapach realizacji badania – jednak jedynie za zgodą Zamawiającego. Konieczne jest także zidentyfikowanie zagrożeń związanych z realizacją badania oraz przedstawienie sposobów ich wyeliminowania (w ramach analizy </w:t>
      </w:r>
      <w:proofErr w:type="spellStart"/>
      <w:r w:rsidRPr="00051D47">
        <w:rPr>
          <w:rFonts w:ascii="Arial" w:hAnsi="Arial" w:cs="Arial"/>
          <w:sz w:val="24"/>
          <w:szCs w:val="24"/>
        </w:rPr>
        <w:t>ryzyk</w:t>
      </w:r>
      <w:proofErr w:type="spellEnd"/>
      <w:r w:rsidRPr="00051D47">
        <w:rPr>
          <w:rFonts w:ascii="Arial" w:hAnsi="Arial" w:cs="Arial"/>
          <w:sz w:val="24"/>
          <w:szCs w:val="24"/>
        </w:rPr>
        <w:t xml:space="preserve"> projektowych). Objętość raportu nie powinna przekraczać </w:t>
      </w:r>
      <w:r w:rsidR="00BB1CF6" w:rsidRPr="00051D47">
        <w:rPr>
          <w:rFonts w:ascii="Arial" w:hAnsi="Arial" w:cs="Arial"/>
          <w:sz w:val="24"/>
          <w:szCs w:val="24"/>
        </w:rPr>
        <w:t>80</w:t>
      </w:r>
      <w:r w:rsidRPr="00051D47">
        <w:rPr>
          <w:rFonts w:ascii="Arial" w:hAnsi="Arial" w:cs="Arial"/>
          <w:sz w:val="24"/>
          <w:szCs w:val="24"/>
        </w:rPr>
        <w:t xml:space="preserve"> stron w formacie A4 (z wyłączeniem aneksów).</w:t>
      </w:r>
    </w:p>
    <w:p w14:paraId="524BE7D6" w14:textId="2456B90C" w:rsidR="009620B1" w:rsidRPr="00051D47" w:rsidRDefault="009620B1" w:rsidP="009620B1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raport cząstkowy, w języku polskim, prezentujący postępy oraz ew. problemy w realizacji badania. Objętość raportu nie powinna przekraczać </w:t>
      </w:r>
      <w:r w:rsidR="00BB1CF6" w:rsidRPr="00051D47">
        <w:rPr>
          <w:rFonts w:ascii="Arial" w:hAnsi="Arial" w:cs="Arial"/>
          <w:sz w:val="24"/>
          <w:szCs w:val="24"/>
        </w:rPr>
        <w:t>45</w:t>
      </w:r>
      <w:r w:rsidRPr="00051D47">
        <w:rPr>
          <w:rFonts w:ascii="Arial" w:hAnsi="Arial" w:cs="Arial"/>
          <w:sz w:val="24"/>
          <w:szCs w:val="24"/>
        </w:rPr>
        <w:t xml:space="preserve"> stron A4 (z wyłączeniem aneksów).</w:t>
      </w:r>
    </w:p>
    <w:p w14:paraId="03E8FB90" w14:textId="0DF8FD6F" w:rsidR="009620B1" w:rsidRPr="00051D47" w:rsidRDefault="009620B1" w:rsidP="009620B1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raport końcowy, prezentujący badania w języku polskim oraz angielskim</w:t>
      </w:r>
      <w:r w:rsidR="00924DA8" w:rsidRPr="00051D47">
        <w:rPr>
          <w:rFonts w:ascii="Arial" w:hAnsi="Arial" w:cs="Arial"/>
          <w:sz w:val="24"/>
          <w:szCs w:val="24"/>
        </w:rPr>
        <w:t xml:space="preserve">. Objętość każdego z raportów nie powinna przekraczać 200 stron </w:t>
      </w:r>
      <w:r w:rsidR="00924DA8" w:rsidRPr="00051D47">
        <w:rPr>
          <w:rFonts w:ascii="Arial" w:hAnsi="Arial" w:cs="Arial"/>
          <w:sz w:val="24"/>
          <w:szCs w:val="24"/>
        </w:rPr>
        <w:lastRenderedPageBreak/>
        <w:t>obliczeniowych A4 (z wyłączeniem aneksów).</w:t>
      </w:r>
      <w:r w:rsidR="00BB1CF6" w:rsidRPr="00051D47">
        <w:rPr>
          <w:rFonts w:ascii="Arial" w:hAnsi="Arial" w:cs="Arial"/>
          <w:sz w:val="24"/>
          <w:szCs w:val="24"/>
        </w:rPr>
        <w:t xml:space="preserve"> R</w:t>
      </w:r>
      <w:r w:rsidR="00924DA8" w:rsidRPr="00051D47">
        <w:rPr>
          <w:rFonts w:ascii="Arial" w:hAnsi="Arial" w:cs="Arial"/>
          <w:sz w:val="24"/>
          <w:szCs w:val="24"/>
        </w:rPr>
        <w:t>aport musi składać się minimum z następujących elementów:</w:t>
      </w:r>
    </w:p>
    <w:p w14:paraId="75E179E6" w14:textId="7C93ED5C" w:rsidR="009620B1" w:rsidRPr="00051D47" w:rsidRDefault="00924DA8" w:rsidP="00924DA8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spisu treści, </w:t>
      </w:r>
    </w:p>
    <w:p w14:paraId="660E53CE" w14:textId="4718E2C5" w:rsidR="009620B1" w:rsidRPr="00051D47" w:rsidRDefault="009620B1" w:rsidP="00924DA8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wyjaśnienia terminologii użytej w raporcie (słowniczek), spisu skrótów, tabel, wykresów, map itd. (każda forma wizualizacji musi posiadać tytuł, numerację oraz źródło opracowania);</w:t>
      </w:r>
    </w:p>
    <w:p w14:paraId="4EB1EB5D" w14:textId="10A5977C" w:rsidR="009620B1" w:rsidRPr="00051D47" w:rsidRDefault="009620B1" w:rsidP="00924DA8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wprowadzenia (opisu celu i założeń badania ewaluacyjnego);</w:t>
      </w:r>
    </w:p>
    <w:p w14:paraId="1A9F2D59" w14:textId="14351B61" w:rsidR="009620B1" w:rsidRPr="00051D47" w:rsidRDefault="009620B1" w:rsidP="00924DA8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opisu zastosowanych w danym etapie badania technik gromadzenia i analizy danych</w:t>
      </w:r>
      <w:r w:rsidR="00BB1CF6" w:rsidRPr="00051D47">
        <w:rPr>
          <w:rFonts w:ascii="Arial" w:hAnsi="Arial" w:cs="Arial"/>
          <w:sz w:val="24"/>
          <w:szCs w:val="24"/>
        </w:rPr>
        <w:t>;</w:t>
      </w:r>
    </w:p>
    <w:p w14:paraId="679B6BA6" w14:textId="59E81AD7" w:rsidR="009620B1" w:rsidRPr="00051D47" w:rsidRDefault="009620B1" w:rsidP="00924DA8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wyników badania (wraz z ich analizą i interpretacją), w tym wyraźnego przedstawienia odpowiedzi na wszystkie sformułowane pytania ewaluacyjne;</w:t>
      </w:r>
    </w:p>
    <w:p w14:paraId="507DA19C" w14:textId="03650E03" w:rsidR="009620B1" w:rsidRPr="00051D47" w:rsidRDefault="009620B1" w:rsidP="00924DA8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spójnych wniosków z badania, z uwzględnieniem specyfiki badanego obszaru i wynikających z nich rekomendacji;</w:t>
      </w:r>
    </w:p>
    <w:p w14:paraId="7EADC37F" w14:textId="1B356D19" w:rsidR="009620B1" w:rsidRPr="00051D47" w:rsidRDefault="009620B1" w:rsidP="00924DA8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załączników:</w:t>
      </w:r>
    </w:p>
    <w:p w14:paraId="1B12CEC8" w14:textId="33ABCEC5" w:rsidR="00924DA8" w:rsidRPr="00051D47" w:rsidRDefault="009620B1" w:rsidP="00924DA8">
      <w:pPr>
        <w:pStyle w:val="Akapitzlist"/>
        <w:numPr>
          <w:ilvl w:val="2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wniosków i rekomendacji z badania, sformułowanych zgodnie z Wytycznymi w zakresie ewaluacji polityki spójności na lata </w:t>
      </w:r>
      <w:r w:rsidR="00924DA8" w:rsidRPr="00051D47">
        <w:rPr>
          <w:rFonts w:ascii="Arial" w:hAnsi="Arial" w:cs="Arial"/>
          <w:sz w:val="24"/>
          <w:szCs w:val="24"/>
        </w:rPr>
        <w:t>2021-2027</w:t>
      </w:r>
    </w:p>
    <w:p w14:paraId="446D2159" w14:textId="29A52B39" w:rsidR="00924DA8" w:rsidRPr="00051D47" w:rsidRDefault="00924DA8" w:rsidP="00924DA8">
      <w:pPr>
        <w:pStyle w:val="Akapitzlist"/>
        <w:numPr>
          <w:ilvl w:val="2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opracowania prezentującego przeprowadzone studia przypadków, nie przekraczającego 30 stron obliczeniowych A4</w:t>
      </w:r>
    </w:p>
    <w:p w14:paraId="7CB298FB" w14:textId="77777777" w:rsidR="00924DA8" w:rsidRPr="00051D47" w:rsidRDefault="009620B1" w:rsidP="00924DA8">
      <w:pPr>
        <w:pStyle w:val="Akapitzlist"/>
        <w:numPr>
          <w:ilvl w:val="2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ewentualnych aneksów przedstawiających zestawienia analizowanych danych, wykresów i map (przedstawiających w formie graficznej wyniki najważniejszych analiz), treści zastosowanych narzędzi badawczych;</w:t>
      </w:r>
    </w:p>
    <w:p w14:paraId="51ACB460" w14:textId="7E0764CA" w:rsidR="00924DA8" w:rsidRPr="00051D47" w:rsidRDefault="009620B1" w:rsidP="00924DA8">
      <w:pPr>
        <w:pStyle w:val="Akapitzlist"/>
        <w:numPr>
          <w:ilvl w:val="2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bibliografii.</w:t>
      </w:r>
    </w:p>
    <w:p w14:paraId="40F6B8EB" w14:textId="378DE812" w:rsidR="009620B1" w:rsidRPr="00051D47" w:rsidRDefault="009620B1" w:rsidP="009620B1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Pozostałe produkty badawcze</w:t>
      </w:r>
      <w:r w:rsidR="00BB1CF6" w:rsidRPr="00051D47">
        <w:rPr>
          <w:rFonts w:ascii="Arial" w:hAnsi="Arial" w:cs="Arial"/>
          <w:sz w:val="24"/>
          <w:szCs w:val="24"/>
        </w:rPr>
        <w:t>,</w:t>
      </w:r>
      <w:r w:rsidRPr="00051D47">
        <w:rPr>
          <w:rFonts w:ascii="Arial" w:hAnsi="Arial" w:cs="Arial"/>
          <w:sz w:val="24"/>
          <w:szCs w:val="24"/>
        </w:rPr>
        <w:t xml:space="preserve"> tj.:</w:t>
      </w:r>
    </w:p>
    <w:p w14:paraId="7B072740" w14:textId="51C59A44" w:rsidR="009620B1" w:rsidRPr="00051D47" w:rsidRDefault="009620B1" w:rsidP="009620B1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Streszczenie, w języku polskim oraz angielskim.</w:t>
      </w:r>
      <w:r w:rsidR="00BB1CF6" w:rsidRPr="00051D47">
        <w:rPr>
          <w:rFonts w:ascii="Arial" w:hAnsi="Arial" w:cs="Arial"/>
          <w:sz w:val="24"/>
          <w:szCs w:val="24"/>
        </w:rPr>
        <w:t xml:space="preserve"> S</w:t>
      </w:r>
      <w:r w:rsidRPr="00051D47">
        <w:rPr>
          <w:rFonts w:ascii="Arial" w:hAnsi="Arial" w:cs="Arial"/>
          <w:sz w:val="24"/>
          <w:szCs w:val="24"/>
        </w:rPr>
        <w:t>treszczenie ma zawierać informację nt. celu, zakresu (bez opisywania metodologii badawczej) i najważniejszych wyników badania, w tym wniosków i rekomendacji. Streszczenie nie powinno przekraczać 4 stron obliczeniowych w formacie A4;</w:t>
      </w:r>
    </w:p>
    <w:p w14:paraId="726F3835" w14:textId="56443217" w:rsidR="009620B1" w:rsidRPr="00051D47" w:rsidRDefault="009620B1" w:rsidP="009620B1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Broszurę informacyjną, w języku polskim i angielskim.</w:t>
      </w:r>
      <w:r w:rsidR="00BB1CF6" w:rsidRPr="00051D47">
        <w:rPr>
          <w:rFonts w:ascii="Arial" w:hAnsi="Arial" w:cs="Arial"/>
          <w:sz w:val="24"/>
          <w:szCs w:val="24"/>
        </w:rPr>
        <w:t xml:space="preserve"> B</w:t>
      </w:r>
      <w:r w:rsidRPr="00051D47">
        <w:rPr>
          <w:rFonts w:ascii="Arial" w:hAnsi="Arial" w:cs="Arial"/>
          <w:sz w:val="24"/>
          <w:szCs w:val="24"/>
        </w:rPr>
        <w:t>roszur</w:t>
      </w:r>
      <w:r w:rsidR="00BB1CF6" w:rsidRPr="00051D47">
        <w:rPr>
          <w:rFonts w:ascii="Arial" w:hAnsi="Arial" w:cs="Arial"/>
          <w:sz w:val="24"/>
          <w:szCs w:val="24"/>
        </w:rPr>
        <w:t>a</w:t>
      </w:r>
      <w:r w:rsidRPr="00051D47">
        <w:rPr>
          <w:rFonts w:ascii="Arial" w:hAnsi="Arial" w:cs="Arial"/>
          <w:sz w:val="24"/>
          <w:szCs w:val="24"/>
        </w:rPr>
        <w:t xml:space="preserve"> ma zawierać najważniejsze wyniki oraz wnioski z badania, przedstawione w formie syntetycznego, uporządkowanego i przejrzystego wizualnie opracowania (z wykorzystaniem infografik). Objętość broszury nie powinna przekraczać 15 stron obliczeniowych w formacie A4.</w:t>
      </w:r>
    </w:p>
    <w:p w14:paraId="4A49B458" w14:textId="3110BB03" w:rsidR="009620B1" w:rsidRPr="00051D47" w:rsidRDefault="009620B1" w:rsidP="009620B1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Prezentacje multimedialną, w języku polskim oraz angielskim.</w:t>
      </w:r>
      <w:r w:rsidR="00BB1CF6" w:rsidRPr="00051D47">
        <w:rPr>
          <w:rFonts w:ascii="Arial" w:hAnsi="Arial" w:cs="Arial"/>
          <w:sz w:val="24"/>
          <w:szCs w:val="24"/>
        </w:rPr>
        <w:t xml:space="preserve"> P</w:t>
      </w:r>
      <w:r w:rsidRPr="00051D47">
        <w:rPr>
          <w:rFonts w:ascii="Arial" w:hAnsi="Arial" w:cs="Arial"/>
          <w:sz w:val="24"/>
          <w:szCs w:val="24"/>
        </w:rPr>
        <w:t>rezentacja ma przedstawiać najważniejsze informacje i ustalenia pozyskane w wyniku badania w sposób atrakcyjny wizualne (tj. m.in. z wykorzystaniem infografik);</w:t>
      </w:r>
    </w:p>
    <w:p w14:paraId="3B497F1B" w14:textId="284441A2" w:rsidR="009620B1" w:rsidRPr="00051D47" w:rsidRDefault="009620B1" w:rsidP="009620B1">
      <w:pPr>
        <w:pStyle w:val="Akapitzlist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Zanonimizowane bazy danych z przeprowadzonych badań</w:t>
      </w:r>
    </w:p>
    <w:p w14:paraId="4D249B95" w14:textId="69E32898" w:rsidR="009D7789" w:rsidRPr="00051D47" w:rsidRDefault="009D7789" w:rsidP="009D7789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Wykonawca będzie ponadto zobowiązany do zaprezentowania wyników prac (raportów: metodologicznego i końcowego) na maksymalnie 5 spotkaniach (w tym spotkaniach online). Terminy i miejsca ewentualnych spotkań zostaną uzgodnione z </w:t>
      </w:r>
      <w:r w:rsidRPr="00051D47">
        <w:rPr>
          <w:rFonts w:ascii="Arial" w:hAnsi="Arial" w:cs="Arial"/>
          <w:sz w:val="24"/>
          <w:szCs w:val="24"/>
        </w:rPr>
        <w:lastRenderedPageBreak/>
        <w:t>Zamawiającym. Dodatkowo – po akceptacji ostatecznej wersji raportu końcowego, potwierdzonej stosownym protokołem odbioru - Wykonawca zagwarantuje Zamawiającemu wsparcie merytoryczne w zakresie konsultacji i promocji wyników zamówienia.</w:t>
      </w:r>
    </w:p>
    <w:p w14:paraId="10717375" w14:textId="6E53BBB0" w:rsidR="009D7789" w:rsidRPr="00051D47" w:rsidRDefault="009D7789" w:rsidP="009D7789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Wszystkie produkty badania oraz dane źródłowe i wynikowe badania, w tym raporty, wzory, wykresy, rysunki i mapy z opisami powinny zostać przekazane Zamawiającemu w formie edytowalnej</w:t>
      </w:r>
      <w:r w:rsidR="00051D47">
        <w:rPr>
          <w:rFonts w:ascii="Arial" w:hAnsi="Arial" w:cs="Arial"/>
          <w:sz w:val="24"/>
          <w:szCs w:val="24"/>
        </w:rPr>
        <w:t>,</w:t>
      </w:r>
      <w:r w:rsidRPr="00051D47">
        <w:rPr>
          <w:rFonts w:ascii="Arial" w:hAnsi="Arial" w:cs="Arial"/>
          <w:sz w:val="24"/>
          <w:szCs w:val="24"/>
        </w:rPr>
        <w:t xml:space="preserve"> umożliwiającej skład drukarski, tj.:</w:t>
      </w:r>
    </w:p>
    <w:p w14:paraId="6B66F830" w14:textId="77778A38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informacje oraz dane zawarte w raporcie są wolne od błędów rzeczowych i logicznych,</w:t>
      </w:r>
    </w:p>
    <w:p w14:paraId="684C3B7A" w14:textId="40EF528A" w:rsidR="009D7789" w:rsidRPr="00051D47" w:rsidRDefault="00BB1CF6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wszystkie produkty badawcze są zgodne z  </w:t>
      </w:r>
      <w:r w:rsidR="009D7789" w:rsidRPr="00051D47">
        <w:rPr>
          <w:rFonts w:ascii="Arial" w:hAnsi="Arial" w:cs="Arial"/>
          <w:sz w:val="24"/>
          <w:szCs w:val="24"/>
        </w:rPr>
        <w:t xml:space="preserve">Wytycznymi dotyczącymi oznaczania projektów w ramach </w:t>
      </w:r>
      <w:r w:rsidR="00924DA8" w:rsidRPr="00051D47">
        <w:rPr>
          <w:rFonts w:ascii="Arial" w:hAnsi="Arial" w:cs="Arial"/>
          <w:sz w:val="24"/>
          <w:szCs w:val="24"/>
        </w:rPr>
        <w:t>PT FE</w:t>
      </w:r>
      <w:r w:rsidR="009D7789" w:rsidRPr="00051D47">
        <w:rPr>
          <w:rFonts w:ascii="Arial" w:hAnsi="Arial" w:cs="Arial"/>
          <w:sz w:val="24"/>
          <w:szCs w:val="24"/>
        </w:rPr>
        <w:t xml:space="preserve"> </w:t>
      </w:r>
      <w:r w:rsidR="00924DA8" w:rsidRPr="00051D47">
        <w:rPr>
          <w:rFonts w:ascii="Arial" w:hAnsi="Arial" w:cs="Arial"/>
          <w:sz w:val="24"/>
          <w:szCs w:val="24"/>
        </w:rPr>
        <w:t>2021-2027</w:t>
      </w:r>
      <w:r w:rsidR="009D7789" w:rsidRPr="00051D47">
        <w:rPr>
          <w:rFonts w:ascii="Arial" w:hAnsi="Arial" w:cs="Arial"/>
          <w:sz w:val="24"/>
          <w:szCs w:val="24"/>
        </w:rPr>
        <w:t>,</w:t>
      </w:r>
    </w:p>
    <w:p w14:paraId="477E050C" w14:textId="2687EDE9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przedstawione w raporcie wyniki stanowią odzwierciedlenie zebranych w badaniu danych,</w:t>
      </w:r>
    </w:p>
    <w:p w14:paraId="48946943" w14:textId="49F3B54A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raport końcowy nie sprowadza się jedynie do zreferowania (streszczenia) uzyskanych danych i odpowiedzi respondentów, a zawiera w każdej części / rozdziale podsumowania, analizę i interpretację danych, wnioski w ramach wszystkich zastosowanych metod badawczych,</w:t>
      </w:r>
    </w:p>
    <w:p w14:paraId="00970942" w14:textId="771BE8DB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raport zawiera odpowiedzi na wszystkie postawione pytania ewaluacyjne,</w:t>
      </w:r>
    </w:p>
    <w:p w14:paraId="3D4ADB41" w14:textId="5D75C826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rekomendacje zostały sformułowane do wszystkich istotnych wniosków i w sposób logiczny wynikają z tych wniosków,</w:t>
      </w:r>
    </w:p>
    <w:p w14:paraId="7BCA21E1" w14:textId="1A44D962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rekomendacje sformułowano w sposób precyzyjny oraz w formie pozwalającej na bezpośrednie zastosowanie, tzn. dokładnie oraz szczegółowo przedstawiono możliwe do wykonania zadania służące realizacji rekomendacji,</w:t>
      </w:r>
    </w:p>
    <w:p w14:paraId="1482B52B" w14:textId="00505730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raport końcowy zapewnia anonimowość respondentom biorącym udział w badaniu,</w:t>
      </w:r>
    </w:p>
    <w:p w14:paraId="756CF2FB" w14:textId="2C42A767" w:rsidR="009D7789" w:rsidRPr="00051D47" w:rsidRDefault="00051D47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</w:t>
      </w:r>
      <w:r w:rsidR="009D7789" w:rsidRPr="00051D47">
        <w:rPr>
          <w:rFonts w:ascii="Arial" w:hAnsi="Arial" w:cs="Arial"/>
          <w:sz w:val="24"/>
          <w:szCs w:val="24"/>
        </w:rPr>
        <w:t>ykonawca odniósł się (udzielił odpowiedzi/wyjaśnień) do wszystkich uwag sformułowanych przez Zamawiającego,</w:t>
      </w:r>
    </w:p>
    <w:p w14:paraId="6FB28882" w14:textId="1AFB2223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raport został sporządzony poprawnie pod względem stylistycznym i ortograficznym, zgodnie z regułami języka polskiego (raport został poddany korekcie językowej, stylistycznej oraz edytorskiej, itp.),</w:t>
      </w:r>
    </w:p>
    <w:p w14:paraId="2F2BD0D9" w14:textId="5E56EDD3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raport jest uporządkowany pod względem wizualnym, tzn. formatowanie tekstu oraz rozwiązania graficzne (tabele, grafy, mapy oraz inne narzędzia prezentacji informacji) zastosowane zostały w sposób jednolity oraz powodujący, że raport będzie czytelny i przejrzysty, </w:t>
      </w:r>
    </w:p>
    <w:p w14:paraId="3EF7E4C8" w14:textId="6AE2AE98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raport zawiera spis tabel, wykresów, map, itp. form wizualizacji badanych zjawisk (każda forma wizualizacji posiada tytuł, numerację oraz źródło opracowania),</w:t>
      </w:r>
    </w:p>
    <w:p w14:paraId="47109F3A" w14:textId="2A803381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raport końcowy został przygotowany w formacie *.DOC, *.DOCX lub jeśli Wykonawca posiada możliwości techniczne w formacie *.INDD – umożliwiającym edycję tekstu publikacji,</w:t>
      </w:r>
    </w:p>
    <w:p w14:paraId="63B9545A" w14:textId="4DDC175B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pliki bitmapowe (schematy oraz wykresy) osadzone w tekście publikacji powinny być dostarczone dodatkowo w plikach otwartych (umożliwiających edycję tych plików), np. w formacie *.xls, *.</w:t>
      </w:r>
      <w:proofErr w:type="spellStart"/>
      <w:r w:rsidRPr="00051D47">
        <w:rPr>
          <w:rFonts w:ascii="Arial" w:hAnsi="Arial" w:cs="Arial"/>
          <w:sz w:val="24"/>
          <w:szCs w:val="24"/>
        </w:rPr>
        <w:t>xlsx</w:t>
      </w:r>
      <w:proofErr w:type="spellEnd"/>
      <w:r w:rsidRPr="00051D47">
        <w:rPr>
          <w:rFonts w:ascii="Arial" w:hAnsi="Arial" w:cs="Arial"/>
          <w:sz w:val="24"/>
          <w:szCs w:val="24"/>
        </w:rPr>
        <w:t xml:space="preserve"> lub *.</w:t>
      </w:r>
      <w:proofErr w:type="spellStart"/>
      <w:r w:rsidRPr="00051D47">
        <w:rPr>
          <w:rFonts w:ascii="Arial" w:hAnsi="Arial" w:cs="Arial"/>
          <w:sz w:val="24"/>
          <w:szCs w:val="24"/>
        </w:rPr>
        <w:t>ai</w:t>
      </w:r>
      <w:proofErr w:type="spellEnd"/>
      <w:r w:rsidRPr="00051D47">
        <w:rPr>
          <w:rFonts w:ascii="Arial" w:hAnsi="Arial" w:cs="Arial"/>
          <w:sz w:val="24"/>
          <w:szCs w:val="24"/>
        </w:rPr>
        <w:t>,</w:t>
      </w:r>
    </w:p>
    <w:p w14:paraId="57E5EA31" w14:textId="189E6AA8" w:rsidR="009D7789" w:rsidRPr="00051D47" w:rsidRDefault="009D7789" w:rsidP="00BB1CF6">
      <w:pPr>
        <w:pStyle w:val="Akapitzlist"/>
        <w:numPr>
          <w:ilvl w:val="2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lastRenderedPageBreak/>
        <w:t>pliki bitmapowe (zdjęcia) osadzone w tekście publikacji powinni być dostarczone dodatkowo w osobnych plikach w rozdzielczości co najmniej 300 DPI w rozmiarze w jakim zostały użyte w publikacji.</w:t>
      </w:r>
    </w:p>
    <w:p w14:paraId="2A56506A" w14:textId="77777777" w:rsidR="009D7789" w:rsidRPr="00051D47" w:rsidRDefault="009D7789" w:rsidP="00051D47">
      <w:pPr>
        <w:pStyle w:val="Nagwek2"/>
        <w:rPr>
          <w:rFonts w:ascii="Arial" w:hAnsi="Arial" w:cs="Arial"/>
          <w:sz w:val="24"/>
          <w:szCs w:val="24"/>
        </w:rPr>
      </w:pPr>
      <w:bookmarkStart w:id="16" w:name="_Toc154861802"/>
      <w:r w:rsidRPr="00051D47">
        <w:rPr>
          <w:rFonts w:ascii="Arial" w:hAnsi="Arial" w:cs="Arial"/>
          <w:sz w:val="24"/>
          <w:szCs w:val="24"/>
        </w:rPr>
        <w:t>Wymagania w zakresie dostępności dla osób z niepełnosprawnościami</w:t>
      </w:r>
      <w:bookmarkEnd w:id="16"/>
    </w:p>
    <w:p w14:paraId="4C57BA97" w14:textId="1C846DB9" w:rsidR="009D7789" w:rsidRPr="00051D47" w:rsidRDefault="00924DA8" w:rsidP="009D7789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Wszystkie produkty badania</w:t>
      </w:r>
      <w:r w:rsidR="009D7789" w:rsidRPr="00051D47">
        <w:rPr>
          <w:rFonts w:ascii="Arial" w:hAnsi="Arial" w:cs="Arial"/>
          <w:sz w:val="24"/>
          <w:szCs w:val="24"/>
        </w:rPr>
        <w:t xml:space="preserve"> powin</w:t>
      </w:r>
      <w:r w:rsidRPr="00051D47">
        <w:rPr>
          <w:rFonts w:ascii="Arial" w:hAnsi="Arial" w:cs="Arial"/>
          <w:sz w:val="24"/>
          <w:szCs w:val="24"/>
        </w:rPr>
        <w:t>ny</w:t>
      </w:r>
      <w:r w:rsidR="009D7789" w:rsidRPr="00051D47">
        <w:rPr>
          <w:rFonts w:ascii="Arial" w:hAnsi="Arial" w:cs="Arial"/>
          <w:sz w:val="24"/>
          <w:szCs w:val="24"/>
        </w:rPr>
        <w:t xml:space="preserve"> zostać wykonan</w:t>
      </w:r>
      <w:r w:rsidRPr="00051D47">
        <w:rPr>
          <w:rFonts w:ascii="Arial" w:hAnsi="Arial" w:cs="Arial"/>
          <w:sz w:val="24"/>
          <w:szCs w:val="24"/>
        </w:rPr>
        <w:t>e tak</w:t>
      </w:r>
      <w:r w:rsidR="009D7789" w:rsidRPr="00051D47">
        <w:rPr>
          <w:rFonts w:ascii="Arial" w:hAnsi="Arial" w:cs="Arial"/>
          <w:sz w:val="24"/>
          <w:szCs w:val="24"/>
        </w:rPr>
        <w:t xml:space="preserve">, aby spełniać wymogi wynikające z zapisów </w:t>
      </w:r>
      <w:r w:rsidRPr="00051D47">
        <w:rPr>
          <w:rFonts w:ascii="Arial" w:hAnsi="Arial" w:cs="Arial"/>
          <w:sz w:val="24"/>
          <w:szCs w:val="24"/>
        </w:rPr>
        <w:t>Wytycznych dotyczących realizacji zasad równościowych w ramach funduszy unijnych na lata 2021-2027</w:t>
      </w:r>
      <w:r w:rsidR="009D7789" w:rsidRPr="00051D47">
        <w:rPr>
          <w:rFonts w:ascii="Arial" w:hAnsi="Arial" w:cs="Arial"/>
          <w:sz w:val="24"/>
          <w:szCs w:val="24"/>
        </w:rPr>
        <w:t xml:space="preserve">, w szczególności Załącznika nr 2 Standardy dostępności dla polityki spójności </w:t>
      </w:r>
      <w:r w:rsidRPr="00051D47">
        <w:rPr>
          <w:rFonts w:ascii="Arial" w:hAnsi="Arial" w:cs="Arial"/>
          <w:sz w:val="24"/>
          <w:szCs w:val="24"/>
        </w:rPr>
        <w:t>2021-2027</w:t>
      </w:r>
      <w:r w:rsidR="009D7789" w:rsidRPr="00051D47">
        <w:rPr>
          <w:rFonts w:ascii="Arial" w:hAnsi="Arial" w:cs="Arial"/>
          <w:sz w:val="24"/>
          <w:szCs w:val="24"/>
        </w:rPr>
        <w:t xml:space="preserve">. </w:t>
      </w:r>
      <w:r w:rsidRPr="00051D47">
        <w:rPr>
          <w:rFonts w:ascii="Arial" w:hAnsi="Arial" w:cs="Arial"/>
          <w:sz w:val="24"/>
          <w:szCs w:val="24"/>
        </w:rPr>
        <w:t>Wszystkie produkty</w:t>
      </w:r>
      <w:r w:rsidR="009D7789" w:rsidRPr="00051D47">
        <w:rPr>
          <w:rFonts w:ascii="Arial" w:hAnsi="Arial" w:cs="Arial"/>
          <w:sz w:val="24"/>
          <w:szCs w:val="24"/>
        </w:rPr>
        <w:t xml:space="preserve"> muszą zostać dostarczone do Zamawiającego w wersji elektronicznej spełniającej standardy dostępności. Zamawiający zastrzega sobie prawo do sprawdzenia dostępności dostarczonego dokumentu elektronicznego. W przypadku stwierdzenia błędów w zakresie zgodności ze standardami dostępności, Wykonawca zobowiązany jest do ich niezwłocznego naprawienia.</w:t>
      </w:r>
    </w:p>
    <w:p w14:paraId="5C9E02A7" w14:textId="0153A2C4" w:rsidR="009D7789" w:rsidRPr="00051D47" w:rsidRDefault="009D7789" w:rsidP="009D7789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Raport końcowy z badania oraz cały proces badawczy zostanie oceniony przez Zamawiającego przy użyciu karty oceny procesu i wyników badania ewaluacyjnego zgodnie z zapisami Wytycznych w zakresie ewaluacji polityki spójności na lata </w:t>
      </w:r>
      <w:r w:rsidR="00924DA8" w:rsidRPr="00051D47">
        <w:rPr>
          <w:rFonts w:ascii="Arial" w:hAnsi="Arial" w:cs="Arial"/>
          <w:sz w:val="24"/>
          <w:szCs w:val="24"/>
        </w:rPr>
        <w:t>2021-2027.</w:t>
      </w:r>
    </w:p>
    <w:p w14:paraId="04A10B45" w14:textId="34D8ABAB" w:rsidR="009D7789" w:rsidRPr="00051D47" w:rsidRDefault="009D7789" w:rsidP="009D7789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 xml:space="preserve">Zamawiający zastrzega sobie prawo do sprawdzenia wykonanych dzieł oprogramowaniem </w:t>
      </w:r>
      <w:proofErr w:type="spellStart"/>
      <w:r w:rsidRPr="00051D47">
        <w:rPr>
          <w:rFonts w:ascii="Arial" w:hAnsi="Arial" w:cs="Arial"/>
          <w:sz w:val="24"/>
          <w:szCs w:val="24"/>
        </w:rPr>
        <w:t>antyplagiatowym</w:t>
      </w:r>
      <w:proofErr w:type="spellEnd"/>
      <w:r w:rsidRPr="00051D47">
        <w:rPr>
          <w:rFonts w:ascii="Arial" w:hAnsi="Arial" w:cs="Arial"/>
          <w:sz w:val="24"/>
          <w:szCs w:val="24"/>
        </w:rPr>
        <w:t>.</w:t>
      </w:r>
    </w:p>
    <w:p w14:paraId="24E61DFE" w14:textId="0C9BB5CF" w:rsidR="009D7789" w:rsidRPr="00051D47" w:rsidRDefault="009D7789" w:rsidP="009852C8">
      <w:pPr>
        <w:pStyle w:val="Nagwek1"/>
        <w:numPr>
          <w:ilvl w:val="0"/>
          <w:numId w:val="15"/>
        </w:numPr>
        <w:ind w:left="709"/>
        <w:rPr>
          <w:rFonts w:ascii="Arial" w:hAnsi="Arial" w:cs="Arial"/>
          <w:sz w:val="24"/>
          <w:szCs w:val="24"/>
        </w:rPr>
      </w:pPr>
      <w:bookmarkStart w:id="17" w:name="_Toc154861803"/>
      <w:r w:rsidRPr="00051D47">
        <w:rPr>
          <w:rFonts w:ascii="Arial" w:hAnsi="Arial" w:cs="Arial"/>
          <w:sz w:val="24"/>
          <w:szCs w:val="24"/>
        </w:rPr>
        <w:t>Harmonogram realizacji badania</w:t>
      </w:r>
      <w:bookmarkEnd w:id="17"/>
    </w:p>
    <w:p w14:paraId="18D4A6DA" w14:textId="74AA760F" w:rsidR="00924DA8" w:rsidRPr="00051D47" w:rsidRDefault="00924DA8" w:rsidP="00051D47">
      <w:pPr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Termin realizacji badania: do 260 dni kalendarzowych od dnia zawarcia umowy.</w:t>
      </w:r>
    </w:p>
    <w:p w14:paraId="2BFF6D5A" w14:textId="5A365192" w:rsidR="00924DA8" w:rsidRPr="00051D47" w:rsidRDefault="00924DA8" w:rsidP="00051D47">
      <w:pPr>
        <w:pStyle w:val="Akapitzlist"/>
        <w:numPr>
          <w:ilvl w:val="0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Projekt raportu metodologicznego – 15 dni kalendarzowych od dnia zawarcia umowy,</w:t>
      </w:r>
    </w:p>
    <w:p w14:paraId="5C32257B" w14:textId="16B15465" w:rsidR="00924DA8" w:rsidRPr="00051D47" w:rsidRDefault="00924DA8" w:rsidP="00051D47">
      <w:pPr>
        <w:pStyle w:val="Akapitzlist"/>
        <w:numPr>
          <w:ilvl w:val="0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Raport metodologiczny – 45 dni kalendarzowych od dnia zawarcia umowy,</w:t>
      </w:r>
    </w:p>
    <w:p w14:paraId="627ABB1F" w14:textId="4BFBD9C6" w:rsidR="00924DA8" w:rsidRPr="00051D47" w:rsidRDefault="00924DA8" w:rsidP="00051D47">
      <w:pPr>
        <w:pStyle w:val="Akapitzlist"/>
        <w:numPr>
          <w:ilvl w:val="0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Raport cząstkowy – 1</w:t>
      </w:r>
      <w:r w:rsidR="00051D47" w:rsidRPr="00051D47">
        <w:rPr>
          <w:rFonts w:ascii="Arial" w:hAnsi="Arial" w:cs="Arial"/>
          <w:sz w:val="24"/>
          <w:szCs w:val="24"/>
        </w:rPr>
        <w:t>3</w:t>
      </w:r>
      <w:r w:rsidRPr="00051D47">
        <w:rPr>
          <w:rFonts w:ascii="Arial" w:hAnsi="Arial" w:cs="Arial"/>
          <w:sz w:val="24"/>
          <w:szCs w:val="24"/>
        </w:rPr>
        <w:t>0 dni kalendarzowych od dnia zawarcia umowy,</w:t>
      </w:r>
    </w:p>
    <w:p w14:paraId="7046C426" w14:textId="48E28283" w:rsidR="00924DA8" w:rsidRPr="00051D47" w:rsidRDefault="00924DA8" w:rsidP="00051D47">
      <w:pPr>
        <w:pStyle w:val="Akapitzlist"/>
        <w:numPr>
          <w:ilvl w:val="0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Projekt raportu końcowego – 2</w:t>
      </w:r>
      <w:r w:rsidR="00051D47" w:rsidRPr="00051D47">
        <w:rPr>
          <w:rFonts w:ascii="Arial" w:hAnsi="Arial" w:cs="Arial"/>
          <w:sz w:val="24"/>
          <w:szCs w:val="24"/>
        </w:rPr>
        <w:t>1</w:t>
      </w:r>
      <w:r w:rsidRPr="00051D47">
        <w:rPr>
          <w:rFonts w:ascii="Arial" w:hAnsi="Arial" w:cs="Arial"/>
          <w:sz w:val="24"/>
          <w:szCs w:val="24"/>
        </w:rPr>
        <w:t>0 dni od dnia zawarcia umowy,</w:t>
      </w:r>
    </w:p>
    <w:p w14:paraId="46C65CE5" w14:textId="37841A37" w:rsidR="00924DA8" w:rsidRPr="00051D47" w:rsidRDefault="00924DA8" w:rsidP="00051D47">
      <w:pPr>
        <w:pStyle w:val="Akapitzlist"/>
        <w:numPr>
          <w:ilvl w:val="0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Raport końcowy - 250 dni kalendarzowych od dnia zawarcia umowy,</w:t>
      </w:r>
    </w:p>
    <w:p w14:paraId="30B56C20" w14:textId="61EE86AC" w:rsidR="00924DA8" w:rsidRPr="00051D47" w:rsidRDefault="00924DA8" w:rsidP="00051D47">
      <w:pPr>
        <w:pStyle w:val="Akapitzlist"/>
        <w:numPr>
          <w:ilvl w:val="0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Projekt pozostałych produktów badawczych – 250 dni kalendarzowych od dnia zawarcia umowy,</w:t>
      </w:r>
    </w:p>
    <w:p w14:paraId="6B3F6D9E" w14:textId="0A1A35F6" w:rsidR="00924DA8" w:rsidRPr="00051D47" w:rsidRDefault="00924DA8" w:rsidP="00051D47">
      <w:pPr>
        <w:pStyle w:val="Akapitzlist"/>
        <w:numPr>
          <w:ilvl w:val="0"/>
          <w:numId w:val="18"/>
        </w:numPr>
        <w:ind w:left="851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Pozostałe produkty badawcze – 260 dni kalendarzowych od dnia zawarcia umowy.</w:t>
      </w:r>
    </w:p>
    <w:p w14:paraId="13C2752A" w14:textId="4BFC50A7" w:rsidR="009D7789" w:rsidRPr="00051D47" w:rsidRDefault="009D7789" w:rsidP="00051D47">
      <w:pPr>
        <w:pStyle w:val="Nagwek1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8" w:name="_Toc154861804"/>
      <w:r w:rsidRPr="00051D47">
        <w:rPr>
          <w:rFonts w:ascii="Arial" w:hAnsi="Arial" w:cs="Arial"/>
          <w:sz w:val="24"/>
          <w:szCs w:val="24"/>
        </w:rPr>
        <w:t>Finansowanie</w:t>
      </w:r>
      <w:bookmarkEnd w:id="18"/>
    </w:p>
    <w:p w14:paraId="26157BD7" w14:textId="6F335AE3" w:rsidR="009D7789" w:rsidRPr="00051D47" w:rsidRDefault="009D7789" w:rsidP="009D7789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51D47">
        <w:rPr>
          <w:rFonts w:ascii="Arial" w:hAnsi="Arial" w:cs="Arial"/>
          <w:sz w:val="24"/>
          <w:szCs w:val="24"/>
        </w:rPr>
        <w:t>Projekt finansowany jest ze środków UE w ramach</w:t>
      </w:r>
      <w:r w:rsidR="00924DA8" w:rsidRPr="00051D47">
        <w:rPr>
          <w:rFonts w:ascii="Arial" w:hAnsi="Arial" w:cs="Arial"/>
          <w:sz w:val="24"/>
          <w:szCs w:val="24"/>
        </w:rPr>
        <w:t xml:space="preserve"> programu Pomoc Techniczna dla Funduszy Europejskich 2021-2027</w:t>
      </w:r>
      <w:r w:rsidRPr="00051D47">
        <w:rPr>
          <w:rFonts w:ascii="Arial" w:hAnsi="Arial" w:cs="Arial"/>
          <w:sz w:val="24"/>
          <w:szCs w:val="24"/>
        </w:rPr>
        <w:t xml:space="preserve">. </w:t>
      </w:r>
      <w:r w:rsidR="00DB089C" w:rsidRPr="00DB089C">
        <w:rPr>
          <w:rFonts w:ascii="Arial" w:hAnsi="Arial" w:cs="Arial"/>
          <w:sz w:val="24"/>
          <w:szCs w:val="24"/>
        </w:rPr>
        <w:t>Zamawiający oświadcza, że wynagrodzenie jest finansowane ze środków Unii Europejskiej z programu Pomoc Techniczna dla Funduszy Europejskich 2021-2027 oraz z budżetu państwa</w:t>
      </w:r>
      <w:r w:rsidR="00DB089C">
        <w:rPr>
          <w:rFonts w:ascii="Arial" w:hAnsi="Arial" w:cs="Arial"/>
          <w:sz w:val="24"/>
          <w:szCs w:val="24"/>
        </w:rPr>
        <w:t xml:space="preserve">. </w:t>
      </w:r>
      <w:r w:rsidRPr="00051D47">
        <w:rPr>
          <w:rFonts w:ascii="Arial" w:hAnsi="Arial" w:cs="Arial"/>
          <w:sz w:val="24"/>
          <w:szCs w:val="24"/>
        </w:rPr>
        <w:t xml:space="preserve">Wszystkie materiały opracowane w trakcie realizacji badania powinny zostać oznaczone zgodnie z </w:t>
      </w:r>
      <w:r w:rsidRPr="00051D47">
        <w:rPr>
          <w:rFonts w:ascii="Arial" w:hAnsi="Arial" w:cs="Arial"/>
          <w:sz w:val="24"/>
          <w:szCs w:val="24"/>
        </w:rPr>
        <w:lastRenderedPageBreak/>
        <w:t>wariantem podstawowym lub minimalnym, określonym w Strategii Komunikacji Funduszy Europejskich</w:t>
      </w:r>
      <w:r w:rsidRPr="00051D47">
        <w:rPr>
          <w:rStyle w:val="Znakiprzypiswdolnych"/>
          <w:rFonts w:ascii="Arial" w:hAnsi="Arial" w:cs="Arial"/>
          <w:sz w:val="24"/>
          <w:szCs w:val="24"/>
        </w:rPr>
        <w:footnoteReference w:id="24"/>
      </w:r>
      <w:r w:rsidRPr="00051D47">
        <w:rPr>
          <w:rFonts w:ascii="Arial" w:hAnsi="Arial" w:cs="Arial"/>
          <w:sz w:val="24"/>
          <w:szCs w:val="24"/>
        </w:rPr>
        <w:t>.</w:t>
      </w:r>
    </w:p>
    <w:p w14:paraId="73F832D1" w14:textId="77777777" w:rsidR="009D7789" w:rsidRPr="00051D47" w:rsidRDefault="009D7789" w:rsidP="009D7789">
      <w:pPr>
        <w:rPr>
          <w:rFonts w:ascii="Arial" w:hAnsi="Arial" w:cs="Arial"/>
          <w:sz w:val="24"/>
          <w:szCs w:val="24"/>
        </w:rPr>
      </w:pPr>
    </w:p>
    <w:sectPr w:rsidR="009D7789" w:rsidRPr="00051D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EEDE" w14:textId="77777777" w:rsidR="0061364A" w:rsidRDefault="0061364A" w:rsidP="0061364A">
      <w:pPr>
        <w:spacing w:after="0" w:line="240" w:lineRule="auto"/>
      </w:pPr>
      <w:r>
        <w:separator/>
      </w:r>
    </w:p>
  </w:endnote>
  <w:endnote w:type="continuationSeparator" w:id="0">
    <w:p w14:paraId="0CD5523B" w14:textId="77777777" w:rsidR="0061364A" w:rsidRDefault="0061364A" w:rsidP="0061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064918"/>
      <w:docPartObj>
        <w:docPartGallery w:val="Page Numbers (Bottom of Page)"/>
        <w:docPartUnique/>
      </w:docPartObj>
    </w:sdtPr>
    <w:sdtEndPr/>
    <w:sdtContent>
      <w:p w14:paraId="00217C5B" w14:textId="31C60508" w:rsidR="009852C8" w:rsidRDefault="00985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ACA1C" w14:textId="77777777" w:rsidR="009D7789" w:rsidRDefault="009D77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671C" w14:textId="77777777" w:rsidR="0061364A" w:rsidRDefault="0061364A" w:rsidP="0061364A">
      <w:pPr>
        <w:spacing w:after="0" w:line="240" w:lineRule="auto"/>
      </w:pPr>
      <w:r>
        <w:separator/>
      </w:r>
    </w:p>
  </w:footnote>
  <w:footnote w:type="continuationSeparator" w:id="0">
    <w:p w14:paraId="69F04484" w14:textId="77777777" w:rsidR="0061364A" w:rsidRDefault="0061364A" w:rsidP="0061364A">
      <w:pPr>
        <w:spacing w:after="0" w:line="240" w:lineRule="auto"/>
      </w:pPr>
      <w:r>
        <w:continuationSeparator/>
      </w:r>
    </w:p>
  </w:footnote>
  <w:footnote w:id="1">
    <w:p w14:paraId="5076B0EB" w14:textId="2CADEDC4" w:rsidR="00626A9D" w:rsidRPr="002755CA" w:rsidRDefault="00626A9D" w:rsidP="00626A9D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</w:t>
      </w:r>
      <w:r w:rsidR="000D4839" w:rsidRPr="002755CA">
        <w:rPr>
          <w:rFonts w:ascii="Arial" w:hAnsi="Arial" w:cs="Arial"/>
        </w:rPr>
        <w:t>Rozporządzenie Rady Ministrów z 27 lipca 2023 r. w sprawie ustalenia granic niektórych gmin i miast, nadania niektórym miejscowościom statusu miasta, zmiany nazwy gminy oraz siedziby władz gminy, Dz.U. z 31 lipca 2023 r. poz. 1472.</w:t>
      </w:r>
    </w:p>
  </w:footnote>
  <w:footnote w:id="2">
    <w:p w14:paraId="49E83C69" w14:textId="77777777" w:rsidR="00855F9A" w:rsidRPr="002755CA" w:rsidRDefault="00855F9A" w:rsidP="00855F9A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</w:t>
      </w:r>
      <w:hyperlink r:id="rId1" w:history="1">
        <w:r w:rsidRPr="002755CA">
          <w:rPr>
            <w:rStyle w:val="Hipercze"/>
            <w:rFonts w:ascii="Arial" w:hAnsi="Arial" w:cs="Arial"/>
          </w:rPr>
          <w:t>Powierzchnia i ludność w przekroju terytorialnym w 2023 r</w:t>
        </w:r>
      </w:hyperlink>
      <w:r w:rsidRPr="002755CA">
        <w:rPr>
          <w:rFonts w:ascii="Arial" w:hAnsi="Arial" w:cs="Arial"/>
        </w:rPr>
        <w:t>., Główny Urząd Statystyczny, Warszawa 2023r.</w:t>
      </w:r>
    </w:p>
  </w:footnote>
  <w:footnote w:id="3">
    <w:p w14:paraId="062A99B7" w14:textId="104BFAF4" w:rsidR="00A97CF6" w:rsidRPr="002755CA" w:rsidRDefault="00A97CF6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</w:t>
      </w:r>
      <w:hyperlink r:id="rId2" w:history="1">
        <w:r w:rsidRPr="002755CA">
          <w:rPr>
            <w:rStyle w:val="Hipercze"/>
            <w:rFonts w:ascii="Arial" w:hAnsi="Arial" w:cs="Arial"/>
          </w:rPr>
          <w:t>Miasta w liczbach 2009,</w:t>
        </w:r>
      </w:hyperlink>
      <w:r w:rsidRPr="002755CA">
        <w:rPr>
          <w:rFonts w:ascii="Arial" w:hAnsi="Arial" w:cs="Arial"/>
        </w:rPr>
        <w:t xml:space="preserve"> Główny Urząd Statystyczny, Warszawa 2009.</w:t>
      </w:r>
    </w:p>
  </w:footnote>
  <w:footnote w:id="4">
    <w:p w14:paraId="04FA947A" w14:textId="5489178B" w:rsidR="00BB7A20" w:rsidRPr="002755CA" w:rsidRDefault="00BB7A20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</w:t>
      </w:r>
      <w:r w:rsidR="00F85EAD" w:rsidRPr="002755CA">
        <w:rPr>
          <w:rFonts w:ascii="Arial" w:hAnsi="Arial" w:cs="Arial"/>
        </w:rPr>
        <w:t>Uchwała nr 136 Rady Ministrów z dnia 14 czerwca 2022 r. w sprawie przyjęcia Krajowej Polityki Miejskiej 2030.</w:t>
      </w:r>
    </w:p>
  </w:footnote>
  <w:footnote w:id="5">
    <w:p w14:paraId="5ACDCD3B" w14:textId="258EE1A6" w:rsidR="00F85EAD" w:rsidRPr="002755CA" w:rsidRDefault="00F85EAD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Uchwała nr 102 Rady Ministrów z dnia 17 września 2019 r. w sprawie przyjęcia "Krajowej Strategii Rozwoju Regionalnego 2030”.</w:t>
      </w:r>
    </w:p>
  </w:footnote>
  <w:footnote w:id="6">
    <w:p w14:paraId="5D62119F" w14:textId="30F9AB7A" w:rsidR="00F85EAD" w:rsidRPr="002755CA" w:rsidRDefault="00F85EAD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Uchwała nr 239 Rady Ministrów z dnia 13 grudnia 2011 r. w sprawie przyjęcia Koncepcji Przestrzennego Zagospodarowania Kraju 2030 (uchylona).</w:t>
      </w:r>
    </w:p>
  </w:footnote>
  <w:footnote w:id="7">
    <w:p w14:paraId="24AE221E" w14:textId="0F0E7E39" w:rsidR="00A02519" w:rsidRPr="002755CA" w:rsidRDefault="00A02519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Uchwała nr 8 Rady Ministrów z dnia 14 lutego 2017 r. w sprawie przyjęcia Strategii na rzecz Odpowiedzialnego Rozwoju do roku 2020 (z perspektywą do 2030 r.)</w:t>
      </w:r>
    </w:p>
  </w:footnote>
  <w:footnote w:id="8">
    <w:p w14:paraId="5CE9DF76" w14:textId="33044148" w:rsidR="00D567FD" w:rsidRDefault="00D567FD" w:rsidP="00D567FD">
      <w:pPr>
        <w:pStyle w:val="Tekstprzypisudolnego"/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Śleszyński P., Delimitacja miast średnich tracących funkcje społeczno-gospodarcze, </w:t>
      </w:r>
      <w:proofErr w:type="spellStart"/>
      <w:r w:rsidRPr="002755CA">
        <w:rPr>
          <w:rFonts w:ascii="Arial" w:hAnsi="Arial" w:cs="Arial"/>
        </w:rPr>
        <w:t>IGiPZ</w:t>
      </w:r>
      <w:proofErr w:type="spellEnd"/>
      <w:r w:rsidRPr="002755CA">
        <w:rPr>
          <w:rFonts w:ascii="Arial" w:hAnsi="Arial" w:cs="Arial"/>
        </w:rPr>
        <w:t xml:space="preserve"> PAN , 2016.</w:t>
      </w:r>
    </w:p>
  </w:footnote>
  <w:footnote w:id="9">
    <w:p w14:paraId="57472674" w14:textId="5999ED2C" w:rsidR="00D52A47" w:rsidRPr="002755CA" w:rsidRDefault="00D52A47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Uchwała nr 8 Rady Ministrów z dnia 14 lutego 2017 r. w sprawie przyjęcia Strategii na rzecz Odpowiedzialnego Rozwoju do roku 2020 (z perspektywą do 2030 r.), str.53.</w:t>
      </w:r>
    </w:p>
  </w:footnote>
  <w:footnote w:id="10">
    <w:p w14:paraId="1044EDEF" w14:textId="62C4C93A" w:rsidR="00F85EAD" w:rsidRPr="002755CA" w:rsidRDefault="00F85EAD" w:rsidP="00F85EAD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Umowa Partnerstwa</w:t>
      </w:r>
      <w:r w:rsidR="00D52A47" w:rsidRPr="002755CA">
        <w:rPr>
          <w:rFonts w:ascii="Arial" w:hAnsi="Arial" w:cs="Arial"/>
        </w:rPr>
        <w:t xml:space="preserve"> (obecna wersja Umowy Partnerstwa została zatwierdzona przez Komisję Europejską 22 stycznia 2020 r. na podstawie decyzji wykonawczej C(2020)230.)</w:t>
      </w:r>
      <w:r w:rsidRPr="002755CA">
        <w:rPr>
          <w:rFonts w:ascii="Arial" w:hAnsi="Arial" w:cs="Arial"/>
        </w:rPr>
        <w:t>, s.217.</w:t>
      </w:r>
    </w:p>
  </w:footnote>
  <w:footnote w:id="11">
    <w:p w14:paraId="3F68AE75" w14:textId="77777777" w:rsidR="00F85EAD" w:rsidRPr="002755CA" w:rsidRDefault="00F85EAD" w:rsidP="00F85EAD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Tamże.</w:t>
      </w:r>
    </w:p>
  </w:footnote>
  <w:footnote w:id="12">
    <w:p w14:paraId="6581EFE7" w14:textId="6C7DA0D1" w:rsidR="006A6735" w:rsidRPr="002755CA" w:rsidRDefault="006A6735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„Przyjęcie cezury 35 tys. [mieszkańców] ma charakter porządkujący i wynikało z uwzględnienia miast w zasadzie większych pod względem liczby ludności, niż najmniejsze pod tym względem miasto na prawach powiatu (Sopot; 35,2 tys. Mieszk.)” – KPM 2030, str.16.</w:t>
      </w:r>
    </w:p>
  </w:footnote>
  <w:footnote w:id="13">
    <w:p w14:paraId="0731AC67" w14:textId="3361F46B" w:rsidR="00DE6E42" w:rsidRDefault="00DE6E42">
      <w:pPr>
        <w:pStyle w:val="Tekstprzypisudolnego"/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Poprzez obszary funkcjonalne w niniejszym OPZ rozumie się: 1) dla miast powyżej 35 000 mieszkańców – obszary funkcjonalne zgodnie z delimitacją wyznaczoną w KPM 2030 2) dla miast poniżej 35 000 mieszkańców – relacje miasta z otoczeniem, zgodnie z delimitacją zaproponowaną przez Wykonawcę. </w:t>
      </w:r>
    </w:p>
  </w:footnote>
  <w:footnote w:id="14">
    <w:p w14:paraId="28877E32" w14:textId="34B740AC" w:rsidR="00C948B8" w:rsidRPr="00BC127C" w:rsidRDefault="00C948B8">
      <w:pPr>
        <w:pStyle w:val="Tekstprzypisudolnego"/>
        <w:rPr>
          <w:rFonts w:ascii="Arial" w:hAnsi="Arial" w:cs="Arial"/>
        </w:rPr>
      </w:pPr>
      <w:r w:rsidRPr="00BC127C">
        <w:rPr>
          <w:rStyle w:val="Odwoanieprzypisudolnego"/>
          <w:rFonts w:ascii="Arial" w:hAnsi="Arial" w:cs="Arial"/>
        </w:rPr>
        <w:footnoteRef/>
      </w:r>
      <w:r w:rsidRPr="00BC127C">
        <w:rPr>
          <w:rFonts w:ascii="Arial" w:hAnsi="Arial" w:cs="Arial"/>
        </w:rPr>
        <w:t xml:space="preserve"> </w:t>
      </w:r>
      <w:r w:rsidR="00BC127C" w:rsidRPr="00BC127C">
        <w:rPr>
          <w:rFonts w:ascii="Arial" w:hAnsi="Arial" w:cs="Arial"/>
        </w:rPr>
        <w:t xml:space="preserve">Ze szczególnym uwzględnieniem inicjatywy </w:t>
      </w:r>
      <w:r w:rsidRPr="00BC127C">
        <w:rPr>
          <w:rFonts w:ascii="Arial" w:hAnsi="Arial" w:cs="Arial"/>
        </w:rPr>
        <w:t>URBACT</w:t>
      </w:r>
      <w:r w:rsidR="00BC127C" w:rsidRPr="00BC127C">
        <w:rPr>
          <w:rFonts w:ascii="Arial" w:hAnsi="Arial" w:cs="Arial"/>
        </w:rPr>
        <w:t>.</w:t>
      </w:r>
    </w:p>
  </w:footnote>
  <w:footnote w:id="15">
    <w:p w14:paraId="5456C8EC" w14:textId="5B9B9DB3" w:rsidR="00FB7D1E" w:rsidRPr="002755CA" w:rsidRDefault="00FB7D1E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Zaproponowana delimitacja musi zostać przedstawiona w sposób klarowny, oparty na teorii oraz wiarygodnych danych. W procesie wyznaczania zasięgu relacji, muszą zostać wzięte pod uwagę m.in. obejmujące m.in. relacje w zakresie świadczenia usług publicznych, w tym administracji samorządowej, edukacji, transportu oraz kultury i sportu, relacje dot. rynku pracy oraz współdziałania/partnerstwa.</w:t>
      </w:r>
    </w:p>
  </w:footnote>
  <w:footnote w:id="16">
    <w:p w14:paraId="0066EEF8" w14:textId="33B8B8A8" w:rsidR="00795A9A" w:rsidRDefault="00795A9A">
      <w:pPr>
        <w:pStyle w:val="Tekstprzypisudolnego"/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W tym w szczególności działania na rzecz rozwoju błękitno-zielonej infrastruktury, w tym zwiększania dostępności do terenów zieleni, przeciwdziałania powodziom miejskim i suszom, zwiększania naturalnej retencji oraz działań na rzecz ochrony powietrza, ograniczenia hałasu, poprawy efektywności energetycznej budynków w miastach)</w:t>
      </w:r>
    </w:p>
  </w:footnote>
  <w:footnote w:id="17">
    <w:p w14:paraId="2A25550E" w14:textId="1815FE5D" w:rsidR="004509C0" w:rsidRPr="002755CA" w:rsidRDefault="004509C0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Wykonawca uwzględni specyfikę programów transgranicznych</w:t>
      </w:r>
      <w:r w:rsidR="00590A74" w:rsidRPr="002755CA">
        <w:rPr>
          <w:rFonts w:ascii="Arial" w:hAnsi="Arial" w:cs="Arial"/>
        </w:rPr>
        <w:t xml:space="preserve"> (w tym inicjatywy URBACT)</w:t>
      </w:r>
      <w:r w:rsidRPr="002755CA">
        <w:rPr>
          <w:rFonts w:ascii="Arial" w:hAnsi="Arial" w:cs="Arial"/>
        </w:rPr>
        <w:t xml:space="preserve">, zarówno w aspekcie struktury zarządzania programami, jak i w aspekcie realizowanych projektów.  </w:t>
      </w:r>
    </w:p>
  </w:footnote>
  <w:footnote w:id="18">
    <w:p w14:paraId="143DD700" w14:textId="27EF9815" w:rsidR="00C948B8" w:rsidRDefault="00C948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7FDC">
        <w:rPr>
          <w:rFonts w:ascii="Arial" w:hAnsi="Arial" w:cs="Arial"/>
        </w:rPr>
        <w:t>Krajowy Punkt Kontaktowy URBACT</w:t>
      </w:r>
      <w:r w:rsidR="00307FDC">
        <w:rPr>
          <w:rFonts w:ascii="Arial" w:hAnsi="Arial" w:cs="Arial"/>
        </w:rPr>
        <w:t>.</w:t>
      </w:r>
    </w:p>
  </w:footnote>
  <w:footnote w:id="19">
    <w:p w14:paraId="41EAFB3A" w14:textId="318AE9BF" w:rsidR="00DB6A0F" w:rsidRPr="002755CA" w:rsidRDefault="00DB6A0F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</w:t>
      </w:r>
      <w:hyperlink r:id="rId3" w:history="1">
        <w:r w:rsidRPr="002755CA">
          <w:rPr>
            <w:rStyle w:val="Hipercze"/>
            <w:rFonts w:ascii="Arial" w:hAnsi="Arial" w:cs="Arial"/>
          </w:rPr>
          <w:t>Główny Urząd Statystyczny</w:t>
        </w:r>
      </w:hyperlink>
      <w:r w:rsidRPr="002755CA">
        <w:rPr>
          <w:rFonts w:ascii="Arial" w:hAnsi="Arial" w:cs="Arial"/>
        </w:rPr>
        <w:t>.</w:t>
      </w:r>
    </w:p>
  </w:footnote>
  <w:footnote w:id="20">
    <w:p w14:paraId="5945B38A" w14:textId="1BA6D733" w:rsidR="00DB6A0F" w:rsidRDefault="00DB6A0F">
      <w:pPr>
        <w:pStyle w:val="Tekstprzypisudolnego"/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Tamże.</w:t>
      </w:r>
    </w:p>
  </w:footnote>
  <w:footnote w:id="21">
    <w:p w14:paraId="1543A66A" w14:textId="6DB2A255" w:rsidR="00795A9A" w:rsidRPr="002755CA" w:rsidRDefault="00795A9A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Wykonawca musi zaproponować podejście do analizy realizacji powyższych standardów, uwzględniając obszary tematyczne określone w niniejszym badaniu.</w:t>
      </w:r>
    </w:p>
  </w:footnote>
  <w:footnote w:id="22">
    <w:p w14:paraId="6052985B" w14:textId="7D4A3B52" w:rsidR="009620B1" w:rsidRPr="002755CA" w:rsidRDefault="009620B1">
      <w:pPr>
        <w:pStyle w:val="Tekstprzypisudolnego"/>
        <w:rPr>
          <w:rFonts w:ascii="Arial" w:hAnsi="Arial" w:cs="Arial"/>
        </w:rPr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Jeśli w toku realizacji badania, wskazane do studium przypadku miasto/projekt, okaże się nieadekwatne lub zidentyfikowany zostanie lepszy przykład do analizy, możliwa jest zmiana miasta/projektu poddanego analizie  w ramach studium, za uprzednią zgodą Zamawiającego.</w:t>
      </w:r>
    </w:p>
  </w:footnote>
  <w:footnote w:id="23">
    <w:p w14:paraId="039A4CE2" w14:textId="77777777" w:rsidR="004E14C7" w:rsidRDefault="004E14C7" w:rsidP="004E14C7">
      <w:pPr>
        <w:pStyle w:val="Tekstprzypisudolnego"/>
      </w:pPr>
      <w:r w:rsidRPr="002755CA">
        <w:rPr>
          <w:rStyle w:val="Odwoanieprzypisudolnego"/>
          <w:rFonts w:ascii="Arial" w:hAnsi="Arial" w:cs="Arial"/>
        </w:rPr>
        <w:footnoteRef/>
      </w:r>
      <w:r w:rsidRPr="002755CA">
        <w:rPr>
          <w:rFonts w:ascii="Arial" w:hAnsi="Arial" w:cs="Arial"/>
        </w:rPr>
        <w:t xml:space="preserve"> W tym w szczególności działania na rzecz rozwoju błękitno-zielonej infrastruktury, w tym zwiększania dostępności do terenów zieleni, przeciwdziałania powodziom miejskim i suszom, zwiększania naturalnej retencji oraz działań na rzecz ochrony powietrza, ograniczenia hałasu, poprawy efektywności energetycznej budynków w miastach)</w:t>
      </w:r>
    </w:p>
  </w:footnote>
  <w:footnote w:id="24">
    <w:p w14:paraId="213CA7B2" w14:textId="4BEC28D4" w:rsidR="009D7789" w:rsidRPr="002755CA" w:rsidRDefault="009D7789" w:rsidP="009D7789">
      <w:pPr>
        <w:pStyle w:val="Przypisdolny"/>
        <w:rPr>
          <w:rFonts w:ascii="Arial" w:hAnsi="Arial" w:cs="Arial"/>
        </w:rPr>
      </w:pPr>
      <w:r w:rsidRPr="002755CA">
        <w:rPr>
          <w:rStyle w:val="Znakiprzypiswdolnych"/>
          <w:rFonts w:ascii="Arial" w:hAnsi="Arial" w:cs="Arial"/>
          <w:sz w:val="20"/>
          <w:szCs w:val="24"/>
        </w:rPr>
        <w:footnoteRef/>
      </w:r>
      <w:r w:rsidRPr="002755CA">
        <w:rPr>
          <w:rFonts w:ascii="Arial" w:hAnsi="Arial" w:cs="Arial"/>
          <w:sz w:val="20"/>
          <w:szCs w:val="24"/>
        </w:rPr>
        <w:t xml:space="preserve"> Zasady promocji i oznakowania projektów realizowanych przy współfinansowaniu ze środków Funduszy Europejskich dostępne są na stronie: </w:t>
      </w:r>
      <w:r w:rsidR="00924DA8" w:rsidRPr="002755CA">
        <w:rPr>
          <w:rFonts w:ascii="Arial" w:hAnsi="Arial" w:cs="Arial"/>
          <w:sz w:val="20"/>
          <w:szCs w:val="24"/>
        </w:rPr>
        <w:t>https://www.pomoctechniczna.gov.pl/strony/dowiedz-sie-wiecej-o-programie/prawo-i-dokumenty/strategia-komunikacji-funduszy-europejskich-2021-2027/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2706" w14:textId="10795CF8" w:rsidR="0061364A" w:rsidRDefault="0061364A">
    <w:pPr>
      <w:pStyle w:val="Nagwek"/>
    </w:pPr>
    <w:r>
      <w:rPr>
        <w:noProof/>
      </w:rPr>
      <w:drawing>
        <wp:inline distT="0" distB="0" distL="0" distR="0" wp14:anchorId="1AF047EC" wp14:editId="491FD6FE">
          <wp:extent cx="5760720" cy="78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9DE"/>
    <w:multiLevelType w:val="hybridMultilevel"/>
    <w:tmpl w:val="DF7A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04B"/>
    <w:multiLevelType w:val="hybridMultilevel"/>
    <w:tmpl w:val="AF4C94AC"/>
    <w:lvl w:ilvl="0" w:tplc="B9884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2F12"/>
    <w:multiLevelType w:val="hybridMultilevel"/>
    <w:tmpl w:val="17348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3444D"/>
    <w:multiLevelType w:val="hybridMultilevel"/>
    <w:tmpl w:val="BFF82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3FBC"/>
    <w:multiLevelType w:val="hybridMultilevel"/>
    <w:tmpl w:val="A620A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5DB9"/>
    <w:multiLevelType w:val="hybridMultilevel"/>
    <w:tmpl w:val="5DE0D2B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0E784B"/>
    <w:multiLevelType w:val="hybridMultilevel"/>
    <w:tmpl w:val="5DE0D2B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13261A"/>
    <w:multiLevelType w:val="hybridMultilevel"/>
    <w:tmpl w:val="D818B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F3666"/>
    <w:multiLevelType w:val="hybridMultilevel"/>
    <w:tmpl w:val="304E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E1F57"/>
    <w:multiLevelType w:val="hybridMultilevel"/>
    <w:tmpl w:val="F2F67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171DC"/>
    <w:multiLevelType w:val="hybridMultilevel"/>
    <w:tmpl w:val="EE8C3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87617"/>
    <w:multiLevelType w:val="hybridMultilevel"/>
    <w:tmpl w:val="51602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6605"/>
    <w:multiLevelType w:val="hybridMultilevel"/>
    <w:tmpl w:val="959AD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66266"/>
    <w:multiLevelType w:val="hybridMultilevel"/>
    <w:tmpl w:val="45D8E240"/>
    <w:lvl w:ilvl="0" w:tplc="B9884C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007D8"/>
    <w:multiLevelType w:val="hybridMultilevel"/>
    <w:tmpl w:val="4146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2324F"/>
    <w:multiLevelType w:val="hybridMultilevel"/>
    <w:tmpl w:val="CBF4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5CBD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73E84"/>
    <w:multiLevelType w:val="hybridMultilevel"/>
    <w:tmpl w:val="02C0F1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F469C6"/>
    <w:multiLevelType w:val="hybridMultilevel"/>
    <w:tmpl w:val="252C5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42BC7"/>
    <w:multiLevelType w:val="hybridMultilevel"/>
    <w:tmpl w:val="FED27E6E"/>
    <w:lvl w:ilvl="0" w:tplc="C4465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E5A48"/>
    <w:multiLevelType w:val="hybridMultilevel"/>
    <w:tmpl w:val="7FFA3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C59E0">
      <w:numFmt w:val="bullet"/>
      <w:lvlText w:val="•"/>
      <w:lvlJc w:val="left"/>
      <w:pPr>
        <w:ind w:left="2508" w:hanging="708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56CE5"/>
    <w:multiLevelType w:val="hybridMultilevel"/>
    <w:tmpl w:val="4F32C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2091A"/>
    <w:multiLevelType w:val="hybridMultilevel"/>
    <w:tmpl w:val="3AA88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C7E9D"/>
    <w:multiLevelType w:val="hybridMultilevel"/>
    <w:tmpl w:val="6EEAA484"/>
    <w:lvl w:ilvl="0" w:tplc="33862AD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17"/>
  </w:num>
  <w:num w:numId="5">
    <w:abstractNumId w:val="9"/>
  </w:num>
  <w:num w:numId="6">
    <w:abstractNumId w:val="19"/>
  </w:num>
  <w:num w:numId="7">
    <w:abstractNumId w:val="4"/>
  </w:num>
  <w:num w:numId="8">
    <w:abstractNumId w:val="1"/>
  </w:num>
  <w:num w:numId="9">
    <w:abstractNumId w:val="15"/>
  </w:num>
  <w:num w:numId="10">
    <w:abstractNumId w:val="10"/>
  </w:num>
  <w:num w:numId="11">
    <w:abstractNumId w:val="16"/>
  </w:num>
  <w:num w:numId="12">
    <w:abstractNumId w:val="12"/>
  </w:num>
  <w:num w:numId="13">
    <w:abstractNumId w:val="2"/>
  </w:num>
  <w:num w:numId="14">
    <w:abstractNumId w:val="11"/>
  </w:num>
  <w:num w:numId="15">
    <w:abstractNumId w:val="18"/>
  </w:num>
  <w:num w:numId="16">
    <w:abstractNumId w:val="7"/>
  </w:num>
  <w:num w:numId="17">
    <w:abstractNumId w:val="14"/>
  </w:num>
  <w:num w:numId="18">
    <w:abstractNumId w:val="5"/>
  </w:num>
  <w:num w:numId="19">
    <w:abstractNumId w:val="6"/>
  </w:num>
  <w:num w:numId="20">
    <w:abstractNumId w:val="13"/>
  </w:num>
  <w:num w:numId="21">
    <w:abstractNumId w:val="20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C3"/>
    <w:rsid w:val="00022329"/>
    <w:rsid w:val="000467C1"/>
    <w:rsid w:val="00051D47"/>
    <w:rsid w:val="000530D9"/>
    <w:rsid w:val="00077EB0"/>
    <w:rsid w:val="00096D9D"/>
    <w:rsid w:val="000B2AA9"/>
    <w:rsid w:val="000C0421"/>
    <w:rsid w:val="000D4839"/>
    <w:rsid w:val="00150FED"/>
    <w:rsid w:val="001D0098"/>
    <w:rsid w:val="001E47B5"/>
    <w:rsid w:val="00256999"/>
    <w:rsid w:val="0027096E"/>
    <w:rsid w:val="002755CA"/>
    <w:rsid w:val="00280268"/>
    <w:rsid w:val="002B00E4"/>
    <w:rsid w:val="002B58A4"/>
    <w:rsid w:val="002E5CBD"/>
    <w:rsid w:val="002F5AE3"/>
    <w:rsid w:val="002F7CA5"/>
    <w:rsid w:val="00307FDC"/>
    <w:rsid w:val="0032559A"/>
    <w:rsid w:val="003669FE"/>
    <w:rsid w:val="003A0AD6"/>
    <w:rsid w:val="003B0EBC"/>
    <w:rsid w:val="003B4348"/>
    <w:rsid w:val="004509C0"/>
    <w:rsid w:val="0049395D"/>
    <w:rsid w:val="004C71B3"/>
    <w:rsid w:val="004E14C7"/>
    <w:rsid w:val="00557462"/>
    <w:rsid w:val="00590A74"/>
    <w:rsid w:val="005C3B39"/>
    <w:rsid w:val="00602A38"/>
    <w:rsid w:val="0061364A"/>
    <w:rsid w:val="00616877"/>
    <w:rsid w:val="00626A9D"/>
    <w:rsid w:val="00652BDE"/>
    <w:rsid w:val="0069257F"/>
    <w:rsid w:val="006A6735"/>
    <w:rsid w:val="006D02A5"/>
    <w:rsid w:val="006E7185"/>
    <w:rsid w:val="00700812"/>
    <w:rsid w:val="007237E7"/>
    <w:rsid w:val="007749C3"/>
    <w:rsid w:val="00791E1D"/>
    <w:rsid w:val="00795A9A"/>
    <w:rsid w:val="007A4525"/>
    <w:rsid w:val="007E2381"/>
    <w:rsid w:val="00853094"/>
    <w:rsid w:val="00855F9A"/>
    <w:rsid w:val="00880AD8"/>
    <w:rsid w:val="00887890"/>
    <w:rsid w:val="008B2A85"/>
    <w:rsid w:val="008F08EB"/>
    <w:rsid w:val="008F5070"/>
    <w:rsid w:val="00923799"/>
    <w:rsid w:val="00924DA8"/>
    <w:rsid w:val="00951FCE"/>
    <w:rsid w:val="009571C9"/>
    <w:rsid w:val="00960EF2"/>
    <w:rsid w:val="009620B1"/>
    <w:rsid w:val="009852C8"/>
    <w:rsid w:val="009C0CA1"/>
    <w:rsid w:val="009C60AD"/>
    <w:rsid w:val="009D3EC1"/>
    <w:rsid w:val="009D615D"/>
    <w:rsid w:val="009D7789"/>
    <w:rsid w:val="009E057B"/>
    <w:rsid w:val="009E7CE0"/>
    <w:rsid w:val="00A02519"/>
    <w:rsid w:val="00A906CD"/>
    <w:rsid w:val="00A91BF8"/>
    <w:rsid w:val="00A97CF6"/>
    <w:rsid w:val="00AA3691"/>
    <w:rsid w:val="00AE5E9B"/>
    <w:rsid w:val="00B25610"/>
    <w:rsid w:val="00B468C9"/>
    <w:rsid w:val="00B52A57"/>
    <w:rsid w:val="00BA0055"/>
    <w:rsid w:val="00BA31D3"/>
    <w:rsid w:val="00BB1CF6"/>
    <w:rsid w:val="00BB7A20"/>
    <w:rsid w:val="00BC050E"/>
    <w:rsid w:val="00BC127C"/>
    <w:rsid w:val="00C0099B"/>
    <w:rsid w:val="00C4435D"/>
    <w:rsid w:val="00C61F4E"/>
    <w:rsid w:val="00C948B8"/>
    <w:rsid w:val="00CE01E0"/>
    <w:rsid w:val="00CE7F44"/>
    <w:rsid w:val="00D03196"/>
    <w:rsid w:val="00D03DDA"/>
    <w:rsid w:val="00D52A47"/>
    <w:rsid w:val="00D567FD"/>
    <w:rsid w:val="00D63F47"/>
    <w:rsid w:val="00DA269D"/>
    <w:rsid w:val="00DB089C"/>
    <w:rsid w:val="00DB6A0F"/>
    <w:rsid w:val="00DE6E42"/>
    <w:rsid w:val="00E030BB"/>
    <w:rsid w:val="00E13A57"/>
    <w:rsid w:val="00E52576"/>
    <w:rsid w:val="00E80DF7"/>
    <w:rsid w:val="00E83510"/>
    <w:rsid w:val="00E86ABC"/>
    <w:rsid w:val="00E95044"/>
    <w:rsid w:val="00EE6A9D"/>
    <w:rsid w:val="00F20D04"/>
    <w:rsid w:val="00F85EAD"/>
    <w:rsid w:val="00FB7D1E"/>
    <w:rsid w:val="00FC19F5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2FD42"/>
  <w15:chartTrackingRefBased/>
  <w15:docId w15:val="{875F1713-F1C6-4DCB-AAB2-B7119E1D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A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30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64A"/>
  </w:style>
  <w:style w:type="paragraph" w:styleId="Stopka">
    <w:name w:val="footer"/>
    <w:basedOn w:val="Normalny"/>
    <w:link w:val="StopkaZnak"/>
    <w:uiPriority w:val="99"/>
    <w:unhideWhenUsed/>
    <w:rsid w:val="0061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64A"/>
  </w:style>
  <w:style w:type="paragraph" w:styleId="Tytu">
    <w:name w:val="Title"/>
    <w:basedOn w:val="Normalny"/>
    <w:next w:val="Normalny"/>
    <w:link w:val="TytuZnak"/>
    <w:uiPriority w:val="10"/>
    <w:qFormat/>
    <w:rsid w:val="006136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1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3A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zypisdolny">
    <w:name w:val="Przypis dolny"/>
    <w:basedOn w:val="Tekstprzypisudolnego"/>
    <w:link w:val="PrzypisdolnyZnak"/>
    <w:qFormat/>
    <w:rsid w:val="009D7789"/>
    <w:pPr>
      <w:suppressAutoHyphens/>
    </w:pPr>
    <w:rPr>
      <w:rFonts w:ascii="Calibri" w:eastAsia="Times New Roman" w:hAnsi="Calibri" w:cs="Times New Roman"/>
      <w:sz w:val="16"/>
      <w:lang w:eastAsia="zh-CN"/>
    </w:rPr>
  </w:style>
  <w:style w:type="character" w:customStyle="1" w:styleId="PrzypisdolnyZnak">
    <w:name w:val="Przypis dolny Znak"/>
    <w:link w:val="Przypisdolny"/>
    <w:rsid w:val="009D7789"/>
    <w:rPr>
      <w:rFonts w:ascii="Calibri" w:eastAsia="Times New Roman" w:hAnsi="Calibri" w:cs="Times New Roman"/>
      <w:sz w:val="16"/>
      <w:szCs w:val="20"/>
      <w:lang w:eastAsia="zh-CN"/>
    </w:rPr>
  </w:style>
  <w:style w:type="character" w:customStyle="1" w:styleId="Znakiprzypiswdolnych">
    <w:name w:val="Znaki przypisów dolnych"/>
    <w:rsid w:val="009D77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77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7789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5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57B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D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58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8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53094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30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853094"/>
    <w:pPr>
      <w:ind w:left="720"/>
      <w:contextualSpacing/>
    </w:pPr>
  </w:style>
  <w:style w:type="character" w:customStyle="1" w:styleId="text-justify">
    <w:name w:val="text-justify"/>
    <w:basedOn w:val="Domylnaczcionkaakapitu"/>
    <w:rsid w:val="0085309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52A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999"/>
    <w:rPr>
      <w:b/>
      <w:bCs/>
      <w:sz w:val="20"/>
      <w:szCs w:val="20"/>
    </w:rPr>
  </w:style>
  <w:style w:type="paragraph" w:customStyle="1" w:styleId="Default">
    <w:name w:val="Default"/>
    <w:rsid w:val="003B43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B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9852C8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852C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52C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tat.gov.pl/statystyka-regionalna/jednostki-terytorialne/podzial-administracyjny-polski/rodzaje-gmin-oraz-obszary-miejskie-i-wiejskie/" TargetMode="External"/><Relationship Id="rId2" Type="http://schemas.openxmlformats.org/officeDocument/2006/relationships/hyperlink" Target="https://stat.gov.pl/cps/rde/xbcr/gus/oz_miasta_w_liczbach_2009_notatka_infor.pdf" TargetMode="External"/><Relationship Id="rId1" Type="http://schemas.openxmlformats.org/officeDocument/2006/relationships/hyperlink" Target="https://stat.gov.pl/obszary-tematyczne/ludnosc/ludnosc/powierzchnia-i-ludnosc-w-przekroju-terytorialnym-w-2022-roku,7,1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03C1-1BDB-4DD8-AF6A-D38171A8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4451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Marlena</dc:creator>
  <cp:keywords/>
  <dc:description/>
  <cp:lastModifiedBy>Stępień Marlena</cp:lastModifiedBy>
  <cp:revision>7</cp:revision>
  <dcterms:created xsi:type="dcterms:W3CDTF">2024-01-11T13:51:00Z</dcterms:created>
  <dcterms:modified xsi:type="dcterms:W3CDTF">2024-01-17T09:02:00Z</dcterms:modified>
</cp:coreProperties>
</file>