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67" w:rsidRPr="00977526" w:rsidRDefault="003B312F">
      <w:pPr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</w:p>
    <w:p w:rsidR="005C1467" w:rsidRPr="00977526" w:rsidRDefault="003B312F" w:rsidP="00977526">
      <w:pPr>
        <w:rPr>
          <w:rFonts w:ascii="Arial" w:hAnsi="Arial" w:cs="Arial"/>
          <w:sz w:val="20"/>
          <w:szCs w:val="20"/>
        </w:rPr>
      </w:pP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Europ^enne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Mediterraneenne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Plantes</w:t>
      </w:r>
      <w:proofErr w:type="spellEnd"/>
      <w:r w:rsidR="00977526" w:rsidRPr="00977526">
        <w:rPr>
          <w:rFonts w:ascii="Arial" w:hAnsi="Arial" w:cs="Arial"/>
          <w:sz w:val="20"/>
          <w:szCs w:val="20"/>
        </w:rPr>
        <w:tab/>
      </w:r>
    </w:p>
    <w:p w:rsidR="00007257" w:rsidRDefault="00007257">
      <w:pPr>
        <w:rPr>
          <w:rFonts w:ascii="Arial" w:hAnsi="Arial" w:cs="Arial"/>
          <w:sz w:val="20"/>
          <w:szCs w:val="20"/>
        </w:rPr>
      </w:pPr>
      <w:bookmarkStart w:id="0" w:name="bookmark0"/>
    </w:p>
    <w:p w:rsidR="00007257" w:rsidRDefault="003B312F">
      <w:pPr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>PM 9/17 (1)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007257" w:rsidRDefault="003B312F">
      <w:pPr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</w:p>
    <w:bookmarkEnd w:id="0"/>
    <w:p w:rsidR="005C1467" w:rsidRPr="00977526" w:rsidRDefault="003B312F">
      <w:pPr>
        <w:rPr>
          <w:rFonts w:ascii="Arial" w:hAnsi="Arial" w:cs="Arial"/>
          <w:sz w:val="20"/>
          <w:szCs w:val="20"/>
        </w:rPr>
      </w:pP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007257" w:rsidRDefault="00007257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5C1467" w:rsidRPr="00007257" w:rsidRDefault="003B312F">
      <w:pPr>
        <w:outlineLvl w:val="0"/>
        <w:rPr>
          <w:rFonts w:ascii="Arial" w:hAnsi="Arial" w:cs="Arial"/>
          <w:b/>
          <w:sz w:val="28"/>
          <w:szCs w:val="28"/>
        </w:rPr>
      </w:pPr>
      <w:r w:rsidRPr="00425AC5">
        <w:rPr>
          <w:rFonts w:ascii="Arial" w:hAnsi="Arial" w:cs="Arial"/>
          <w:b/>
          <w:sz w:val="28"/>
          <w:szCs w:val="28"/>
          <w:lang w:val="pl-PL"/>
        </w:rPr>
        <w:t xml:space="preserve">PM 9/17 (1) </w:t>
      </w:r>
      <w:proofErr w:type="spellStart"/>
      <w:r w:rsidRPr="00425AC5">
        <w:rPr>
          <w:rFonts w:ascii="Arial" w:hAnsi="Arial" w:cs="Arial"/>
          <w:b/>
          <w:i/>
          <w:sz w:val="28"/>
          <w:szCs w:val="28"/>
          <w:lang w:val="pl-PL"/>
        </w:rPr>
        <w:t>Meloidogyne</w:t>
      </w:r>
      <w:proofErr w:type="spellEnd"/>
      <w:r w:rsidRPr="00425AC5">
        <w:rPr>
          <w:rFonts w:ascii="Arial" w:hAnsi="Arial" w:cs="Arial"/>
          <w:b/>
          <w:i/>
          <w:sz w:val="28"/>
          <w:szCs w:val="28"/>
          <w:lang w:val="pl-PL"/>
        </w:rPr>
        <w:t xml:space="preserve"> </w:t>
      </w:r>
      <w:proofErr w:type="spellStart"/>
      <w:r w:rsidRPr="00425AC5">
        <w:rPr>
          <w:rFonts w:ascii="Arial" w:hAnsi="Arial" w:cs="Arial"/>
          <w:b/>
          <w:i/>
          <w:sz w:val="28"/>
          <w:szCs w:val="28"/>
          <w:lang w:val="pl-PL"/>
        </w:rPr>
        <w:t>chitwoodi</w:t>
      </w:r>
      <w:proofErr w:type="spellEnd"/>
      <w:r w:rsidRPr="00425AC5">
        <w:rPr>
          <w:rFonts w:ascii="Arial" w:hAnsi="Arial" w:cs="Arial"/>
          <w:b/>
          <w:sz w:val="28"/>
          <w:szCs w:val="28"/>
          <w:lang w:val="pl-PL"/>
        </w:rPr>
        <w:t xml:space="preserve"> i </w:t>
      </w:r>
      <w:proofErr w:type="spellStart"/>
      <w:r w:rsidRPr="00425AC5">
        <w:rPr>
          <w:rFonts w:ascii="Arial" w:hAnsi="Arial" w:cs="Arial"/>
          <w:b/>
          <w:i/>
          <w:sz w:val="28"/>
          <w:szCs w:val="28"/>
          <w:lang w:val="pl-PL"/>
        </w:rPr>
        <w:t>Meloidogyne</w:t>
      </w:r>
      <w:proofErr w:type="spellEnd"/>
      <w:r w:rsidRPr="00425AC5">
        <w:rPr>
          <w:rFonts w:ascii="Arial" w:hAnsi="Arial" w:cs="Arial"/>
          <w:b/>
          <w:i/>
          <w:sz w:val="28"/>
          <w:szCs w:val="28"/>
          <w:lang w:val="pl-PL"/>
        </w:rPr>
        <w:t xml:space="preserve"> </w:t>
      </w:r>
      <w:proofErr w:type="spellStart"/>
      <w:r w:rsidRPr="00425AC5">
        <w:rPr>
          <w:rFonts w:ascii="Arial" w:hAnsi="Arial" w:cs="Arial"/>
          <w:b/>
          <w:i/>
          <w:sz w:val="28"/>
          <w:szCs w:val="28"/>
          <w:lang w:val="pl-PL"/>
        </w:rPr>
        <w:t>fallax</w:t>
      </w:r>
      <w:proofErr w:type="spellEnd"/>
    </w:p>
    <w:p w:rsidR="00007257" w:rsidRDefault="00007257">
      <w:pPr>
        <w:outlineLvl w:val="1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5C1467" w:rsidRPr="00007257" w:rsidRDefault="003B312F">
      <w:pPr>
        <w:outlineLvl w:val="1"/>
        <w:rPr>
          <w:rFonts w:ascii="Arial" w:hAnsi="Arial" w:cs="Arial"/>
          <w:b/>
          <w:sz w:val="20"/>
          <w:szCs w:val="20"/>
        </w:rPr>
      </w:pPr>
      <w:r w:rsidRPr="00425AC5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5C1467" w:rsidRPr="00977526" w:rsidRDefault="00FC2526">
      <w:pPr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 xml:space="preserve">Niniejszy standard opisuje krajowy ustawowy system zwalczania </w:t>
      </w:r>
      <w:proofErr w:type="spellStart"/>
      <w:r w:rsidR="003B312F" w:rsidRPr="00425AC5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="003B312F" w:rsidRPr="00425AC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3B312F" w:rsidRPr="00425AC5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3B312F" w:rsidRPr="00425AC5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3B312F" w:rsidRPr="00425AC5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="003B312F" w:rsidRPr="00425AC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3B312F" w:rsidRPr="00425AC5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>.</w:t>
      </w:r>
    </w:p>
    <w:p w:rsidR="00007257" w:rsidRDefault="00007257">
      <w:pPr>
        <w:outlineLvl w:val="1"/>
        <w:rPr>
          <w:rFonts w:ascii="Arial" w:hAnsi="Arial" w:cs="Arial"/>
          <w:sz w:val="20"/>
          <w:szCs w:val="20"/>
        </w:rPr>
      </w:pPr>
      <w:bookmarkStart w:id="3" w:name="bookmark3"/>
    </w:p>
    <w:p w:rsidR="00007257" w:rsidRPr="00977526" w:rsidRDefault="00FC2526" w:rsidP="00007257">
      <w:pPr>
        <w:outlineLvl w:val="1"/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007257" w:rsidRPr="00977526" w:rsidRDefault="00FC2526" w:rsidP="00007257">
      <w:pPr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>Zatwierdzono 2013-09.</w:t>
      </w:r>
    </w:p>
    <w:p w:rsidR="00007257" w:rsidRDefault="00007257">
      <w:pPr>
        <w:outlineLvl w:val="1"/>
        <w:rPr>
          <w:rFonts w:ascii="Arial" w:hAnsi="Arial" w:cs="Arial"/>
          <w:sz w:val="20"/>
          <w:szCs w:val="20"/>
        </w:rPr>
      </w:pPr>
    </w:p>
    <w:bookmarkEnd w:id="3"/>
    <w:p w:rsidR="005C1467" w:rsidRPr="00007257" w:rsidRDefault="00FC2526">
      <w:pPr>
        <w:outlineLvl w:val="1"/>
        <w:rPr>
          <w:rFonts w:ascii="Arial" w:hAnsi="Arial" w:cs="Arial"/>
          <w:b/>
          <w:sz w:val="20"/>
          <w:szCs w:val="20"/>
        </w:rPr>
      </w:pPr>
      <w:r w:rsidRPr="00425AC5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5C1467" w:rsidRPr="00977526" w:rsidRDefault="00FC2526">
      <w:pPr>
        <w:rPr>
          <w:rFonts w:ascii="Arial" w:hAnsi="Arial" w:cs="Arial"/>
          <w:sz w:val="20"/>
          <w:szCs w:val="20"/>
        </w:rPr>
      </w:pP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i </w:t>
      </w:r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(</w:t>
      </w:r>
      <w:r w:rsidR="00365387" w:rsidRPr="00425AC5">
        <w:rPr>
          <w:rFonts w:ascii="Arial" w:hAnsi="Arial" w:cs="Arial"/>
          <w:sz w:val="20"/>
          <w:szCs w:val="20"/>
          <w:lang w:val="pl-PL"/>
        </w:rPr>
        <w:t>guzaki</w:t>
      </w:r>
      <w:r w:rsidRPr="00425AC5">
        <w:rPr>
          <w:rFonts w:ascii="Arial" w:hAnsi="Arial" w:cs="Arial"/>
          <w:sz w:val="20"/>
          <w:szCs w:val="20"/>
          <w:lang w:val="pl-PL"/>
        </w:rPr>
        <w:t xml:space="preserve">) są agrofagami wpisanymi na listę A2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, a szczegółowe informacje na temat ich biologii, występowania i znaczenia gospodarczego można znaleźć w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CABI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(1997) oraz w bazie danych o kwarantannie roślin na stronie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425AC5">
        <w:rPr>
          <w:rFonts w:ascii="Arial" w:hAnsi="Arial" w:cs="Arial"/>
          <w:sz w:val="20"/>
          <w:szCs w:val="20"/>
          <w:lang w:val="pl-PL"/>
        </w:rPr>
        <w:t xml:space="preserve">Niedawno przeprowadzono ocenę zagrożenia agrofagiem dla obydwu gatunków na terytorium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UE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>, w wyniku czego powstały obszerne arkusze danych i oceniono mo</w:t>
      </w:r>
      <w:r w:rsidR="00425AC5" w:rsidRPr="00425AC5">
        <w:rPr>
          <w:rFonts w:ascii="Arial" w:hAnsi="Arial" w:cs="Arial"/>
          <w:sz w:val="20"/>
          <w:szCs w:val="20"/>
          <w:lang w:val="pl-PL"/>
        </w:rPr>
        <w:t>żliwości ogranicza</w:t>
      </w:r>
      <w:r w:rsidRPr="00425AC5">
        <w:rPr>
          <w:rFonts w:ascii="Arial" w:hAnsi="Arial" w:cs="Arial"/>
          <w:sz w:val="20"/>
          <w:szCs w:val="20"/>
          <w:lang w:val="pl-PL"/>
        </w:rPr>
        <w:t>nia ryzyka</w:t>
      </w:r>
      <w:r w:rsidR="00425AC5" w:rsidRPr="00425AC5">
        <w:rPr>
          <w:rFonts w:ascii="Arial" w:hAnsi="Arial" w:cs="Arial"/>
          <w:sz w:val="20"/>
          <w:szCs w:val="20"/>
          <w:lang w:val="pl-PL"/>
        </w:rPr>
        <w:t xml:space="preserve"> powodowanego przez te organizmy</w:t>
      </w:r>
      <w:r w:rsidRPr="00425AC5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425AC5">
        <w:rPr>
          <w:rFonts w:ascii="Arial" w:hAnsi="Arial" w:cs="Arial"/>
          <w:sz w:val="20"/>
          <w:szCs w:val="20"/>
          <w:lang w:val="pl-PL"/>
        </w:rPr>
        <w:t xml:space="preserve">Prace te były prowadzone w ramach projektu Prima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Phacie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EFSA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, a raporty są dostępne na stronie 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EFSA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425AC5">
        <w:rPr>
          <w:rFonts w:ascii="Arial" w:hAnsi="Arial" w:cs="Arial"/>
          <w:sz w:val="20"/>
          <w:szCs w:val="20"/>
          <w:lang w:val="pl-PL"/>
        </w:rPr>
        <w:t>Macleod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et al., 2012).</w:t>
      </w:r>
      <w:r w:rsidR="00977526" w:rsidRPr="00FC2526">
        <w:rPr>
          <w:rFonts w:ascii="Arial" w:hAnsi="Arial" w:cs="Arial"/>
          <w:sz w:val="20"/>
          <w:szCs w:val="20"/>
        </w:rPr>
        <w:t xml:space="preserve"> </w:t>
      </w:r>
      <w:r w:rsidRPr="00425AC5">
        <w:rPr>
          <w:rFonts w:ascii="Arial" w:hAnsi="Arial" w:cs="Arial"/>
          <w:sz w:val="20"/>
          <w:szCs w:val="20"/>
          <w:lang w:val="pl-PL"/>
        </w:rPr>
        <w:t>Poniżej podano ogólną charakterystykę obydwu gatunków.</w:t>
      </w:r>
    </w:p>
    <w:p w:rsidR="005C1467" w:rsidRPr="00977526" w:rsidRDefault="00FC2526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(guzak amerykański) i </w:t>
      </w:r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(guzak holenderski) występują na bardzo dużej grupie roślin żywicielskich, w tym roślin uprawnych, takich jak zboża.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425AC5">
        <w:rPr>
          <w:rFonts w:ascii="Arial" w:hAnsi="Arial" w:cs="Arial"/>
          <w:sz w:val="20"/>
          <w:szCs w:val="20"/>
          <w:lang w:val="pl-PL"/>
        </w:rPr>
        <w:t xml:space="preserve">Oznacza to, że ich zwalczanie przy pomocy płodozmianu jest trudniejsze, niż innych guzaków o </w:t>
      </w:r>
      <w:r w:rsidR="00365387" w:rsidRPr="00425AC5">
        <w:rPr>
          <w:rFonts w:ascii="Arial" w:hAnsi="Arial" w:cs="Arial"/>
          <w:sz w:val="20"/>
          <w:szCs w:val="20"/>
          <w:lang w:val="pl-PL"/>
        </w:rPr>
        <w:t xml:space="preserve">mniejszym zakresie roślin żywicielskich, takich jak </w:t>
      </w:r>
      <w:r w:rsidR="00365387" w:rsidRPr="00425AC5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365387" w:rsidRPr="00425AC5">
        <w:rPr>
          <w:rFonts w:ascii="Arial" w:hAnsi="Arial" w:cs="Arial"/>
          <w:i/>
          <w:sz w:val="20"/>
          <w:szCs w:val="20"/>
          <w:lang w:val="pl-PL"/>
        </w:rPr>
        <w:t>hapla</w:t>
      </w:r>
      <w:proofErr w:type="spellEnd"/>
      <w:r w:rsidR="00365387" w:rsidRPr="00425AC5">
        <w:rPr>
          <w:rFonts w:ascii="Arial" w:hAnsi="Arial" w:cs="Arial"/>
          <w:sz w:val="20"/>
          <w:szCs w:val="20"/>
          <w:lang w:val="pl-PL"/>
        </w:rPr>
        <w:t xml:space="preserve"> (guzak północny).</w:t>
      </w:r>
    </w:p>
    <w:p w:rsidR="005C1467" w:rsidRPr="00977526" w:rsidRDefault="00365387" w:rsidP="00007257">
      <w:pPr>
        <w:ind w:firstLine="360"/>
        <w:rPr>
          <w:rFonts w:ascii="Arial" w:hAnsi="Arial" w:cs="Arial"/>
          <w:sz w:val="20"/>
          <w:szCs w:val="20"/>
        </w:rPr>
      </w:pPr>
      <w:r w:rsidRPr="00425AC5">
        <w:rPr>
          <w:rFonts w:ascii="Arial" w:hAnsi="Arial" w:cs="Arial"/>
          <w:sz w:val="20"/>
          <w:szCs w:val="20"/>
          <w:lang w:val="pl-PL"/>
        </w:rPr>
        <w:t xml:space="preserve">Tak jak inne guzaki, </w:t>
      </w:r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i </w:t>
      </w:r>
      <w:r w:rsidRPr="00425AC5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425AC5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425AC5">
        <w:rPr>
          <w:rFonts w:ascii="Arial" w:hAnsi="Arial" w:cs="Arial"/>
          <w:sz w:val="20"/>
          <w:szCs w:val="20"/>
          <w:lang w:val="pl-PL"/>
        </w:rPr>
        <w:t xml:space="preserve"> tworzą żerowiska, w miejscu których na korzeniach i podziemnych częściach roślin pojawiają się wyrośla.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Można zaobserwować niespecyficzne objawy, takie jak zahamowanie wzrostu lub ogólny brak żywotności roślin spowodowane utrudnionym poborem wody i substancji odżywczych.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Jednak główne uszkodzenia to wyrośla na korzeniach i bulwach podatnych i wrażliwych roślin, głownie ziemniaka, marchwi i skorzonery.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Rzadko obserwuje się zmniejszenie plonu, ale uszkodzenia jakościowe ziemniaków, marchwi i skorzonery mogą prowadzić do ich dyskwalifikacji.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Rozmiar uszkodzeń bulw ziemniaków (Van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Riel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, 1993) i marchwi (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Wesemael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Moens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, 2008) jest uzależniony od odmiany, ale również od gęstości populacji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, temperatury, długości okresu wegetacyjnego i struktury gleby.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845C47" w:rsidRPr="00B20C02">
        <w:rPr>
          <w:rFonts w:ascii="Arial" w:hAnsi="Arial" w:cs="Arial"/>
          <w:sz w:val="20"/>
          <w:szCs w:val="20"/>
          <w:lang w:val="pl-PL"/>
        </w:rPr>
        <w:t>Doniesienia mówią najczęściej o występowaniu tych nicieni na glebach piaszczystych i gliniasto-piaszczystych.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845C47" w:rsidRPr="00B20C02">
        <w:rPr>
          <w:rFonts w:ascii="Arial" w:hAnsi="Arial" w:cs="Arial"/>
          <w:sz w:val="20"/>
          <w:szCs w:val="20"/>
          <w:lang w:val="pl-PL"/>
        </w:rPr>
        <w:t>Wielkość strat gospodarczych wzrasta wraz z liczbą pokoleń agrofaga w jednym okresie wegetacyjnym.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292E45" w:rsidRPr="00B20C02">
        <w:rPr>
          <w:rFonts w:ascii="Arial" w:hAnsi="Arial" w:cs="Arial"/>
          <w:sz w:val="20"/>
          <w:szCs w:val="20"/>
          <w:lang w:val="pl-PL"/>
        </w:rPr>
        <w:t xml:space="preserve">Uszkodzenia ziemniaków mogą pojawić się, kiedy temperatura gleby przekroczy 1000 </w:t>
      </w:r>
      <w:proofErr w:type="spellStart"/>
      <w:r w:rsidR="00292E45" w:rsidRPr="00B20C02">
        <w:rPr>
          <w:rFonts w:ascii="Arial" w:hAnsi="Arial" w:cs="Arial"/>
          <w:sz w:val="20"/>
          <w:szCs w:val="20"/>
          <w:lang w:val="pl-PL"/>
        </w:rPr>
        <w:t>stopnio-dni</w:t>
      </w:r>
      <w:proofErr w:type="spellEnd"/>
      <w:r w:rsidR="00292E45" w:rsidRPr="00B20C02">
        <w:rPr>
          <w:rFonts w:ascii="Arial" w:hAnsi="Arial" w:cs="Arial"/>
          <w:sz w:val="20"/>
          <w:szCs w:val="20"/>
          <w:lang w:val="pl-PL"/>
        </w:rPr>
        <w:t xml:space="preserve"> powyżej 5°C, ale wartość progową dla powstawania znaczących uszkodzeń bulw ocenia się na około 1500 </w:t>
      </w:r>
      <w:proofErr w:type="spellStart"/>
      <w:r w:rsidR="00292E45" w:rsidRPr="00B20C02">
        <w:rPr>
          <w:rFonts w:ascii="Arial" w:hAnsi="Arial" w:cs="Arial"/>
          <w:sz w:val="20"/>
          <w:szCs w:val="20"/>
          <w:lang w:val="pl-PL"/>
        </w:rPr>
        <w:t>stopnio-dni</w:t>
      </w:r>
      <w:proofErr w:type="spellEnd"/>
      <w:r w:rsidR="00292E45" w:rsidRPr="00B20C02">
        <w:rPr>
          <w:rFonts w:ascii="Arial" w:hAnsi="Arial" w:cs="Arial"/>
          <w:sz w:val="20"/>
          <w:szCs w:val="20"/>
          <w:lang w:val="pl-PL"/>
        </w:rPr>
        <w:t xml:space="preserve"> powyżej 5°C (</w:t>
      </w:r>
      <w:proofErr w:type="spellStart"/>
      <w:r w:rsidR="00292E45" w:rsidRPr="00B20C02">
        <w:rPr>
          <w:rFonts w:ascii="Arial" w:hAnsi="Arial" w:cs="Arial"/>
          <w:sz w:val="20"/>
          <w:szCs w:val="20"/>
          <w:lang w:val="pl-PL"/>
        </w:rPr>
        <w:t>Macleod</w:t>
      </w:r>
      <w:proofErr w:type="spellEnd"/>
      <w:r w:rsidR="00292E45" w:rsidRPr="00B20C02">
        <w:rPr>
          <w:rFonts w:ascii="Arial" w:hAnsi="Arial" w:cs="Arial"/>
          <w:sz w:val="20"/>
          <w:szCs w:val="20"/>
          <w:lang w:val="pl-PL"/>
        </w:rPr>
        <w:t xml:space="preserve"> et al., 2012).</w:t>
      </w:r>
    </w:p>
    <w:p w:rsidR="005C1467" w:rsidRPr="00977526" w:rsidRDefault="00292E45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Młodociane osobniki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mogą przemieszczać się w glebie na niewielkie odległości (&lt;1 m).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Dlatego też główną przyczyną rozprzestrzeniania się jest przemieszczanie się tych agrofagów z porażonym materiałem do sadzenia (np. cebulkami lub bulwami) lub glebą lub podłożem przy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legającymi </w:t>
      </w:r>
      <w:r w:rsidRPr="00B20C02">
        <w:rPr>
          <w:rFonts w:ascii="Arial" w:hAnsi="Arial" w:cs="Arial"/>
          <w:sz w:val="20"/>
          <w:szCs w:val="20"/>
          <w:lang w:val="pl-PL"/>
        </w:rPr>
        <w:t>do roślin i maszyn.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Przeżycie organizmów będzie uzależnione od dostępności w nowym miejscu roślin żywicielskich, do których należą uprawy jednoroczne, wieloletnie, międzyplony i chwasty.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D4521B" w:rsidRPr="00B20C02">
        <w:rPr>
          <w:rFonts w:ascii="Arial" w:hAnsi="Arial" w:cs="Arial"/>
          <w:sz w:val="20"/>
          <w:szCs w:val="20"/>
          <w:lang w:val="pl-PL"/>
        </w:rPr>
        <w:t xml:space="preserve">Dzieje się tak, 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ponieważ </w:t>
      </w:r>
      <w:r w:rsidR="00D4521B" w:rsidRPr="00B20C02">
        <w:rPr>
          <w:rFonts w:ascii="Arial" w:hAnsi="Arial" w:cs="Arial"/>
          <w:sz w:val="20"/>
          <w:szCs w:val="20"/>
          <w:lang w:val="pl-PL"/>
        </w:rPr>
        <w:t>liczebność populacji w glebie spada gwałtownie przy braku roślin żywicielskich (np. w pierwszym miesiącu po zbiorze ziemniaków</w:t>
      </w:r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 może wystąpić spadek o 80%</w:t>
      </w:r>
      <w:r w:rsidR="00D4521B" w:rsidRPr="00B20C02">
        <w:rPr>
          <w:rFonts w:ascii="Arial" w:hAnsi="Arial" w:cs="Arial"/>
          <w:sz w:val="20"/>
          <w:szCs w:val="20"/>
          <w:lang w:val="pl-PL"/>
        </w:rPr>
        <w:t>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W odróżnieniu od nicieni tworzących cysty (np. mątwików </w:t>
      </w:r>
      <w:proofErr w:type="spellStart"/>
      <w:r w:rsidR="00B61022" w:rsidRPr="00B20C02">
        <w:rPr>
          <w:rFonts w:ascii="Arial" w:hAnsi="Arial" w:cs="Arial"/>
          <w:i/>
          <w:sz w:val="20"/>
          <w:szCs w:val="20"/>
          <w:lang w:val="pl-PL"/>
        </w:rPr>
        <w:t>Globodera</w:t>
      </w:r>
      <w:proofErr w:type="spellEnd"/>
      <w:r w:rsidR="00B61022" w:rsidRPr="00B20C02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B61022" w:rsidRPr="00B20C02">
        <w:rPr>
          <w:rFonts w:ascii="Arial" w:hAnsi="Arial" w:cs="Arial"/>
          <w:i/>
          <w:sz w:val="20"/>
          <w:szCs w:val="20"/>
          <w:lang w:val="pl-PL"/>
        </w:rPr>
        <w:t>rostochiensis</w:t>
      </w:r>
      <w:proofErr w:type="spellEnd"/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="00B61022" w:rsidRPr="00B20C02">
        <w:rPr>
          <w:rFonts w:ascii="Arial" w:hAnsi="Arial" w:cs="Arial"/>
          <w:i/>
          <w:sz w:val="20"/>
          <w:szCs w:val="20"/>
          <w:lang w:val="pl-PL"/>
        </w:rPr>
        <w:t xml:space="preserve">G. </w:t>
      </w:r>
      <w:proofErr w:type="spellStart"/>
      <w:r w:rsidR="00B61022" w:rsidRPr="00B20C02">
        <w:rPr>
          <w:rFonts w:ascii="Arial" w:hAnsi="Arial" w:cs="Arial"/>
          <w:i/>
          <w:sz w:val="20"/>
          <w:szCs w:val="20"/>
          <w:lang w:val="pl-PL"/>
        </w:rPr>
        <w:t>pallida</w:t>
      </w:r>
      <w:proofErr w:type="spellEnd"/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) </w:t>
      </w:r>
      <w:proofErr w:type="spellStart"/>
      <w:r w:rsidR="00B20C02" w:rsidRPr="00B20C02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 </w:t>
      </w:r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nie przechodzą 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tego </w:t>
      </w:r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stadium </w:t>
      </w:r>
      <w:r w:rsidR="00B20C02" w:rsidRPr="00B20C02">
        <w:rPr>
          <w:rFonts w:ascii="Arial" w:hAnsi="Arial" w:cs="Arial"/>
          <w:sz w:val="20"/>
          <w:szCs w:val="20"/>
          <w:lang w:val="pl-PL"/>
        </w:rPr>
        <w:t>rozwojowego</w:t>
      </w:r>
      <w:r w:rsidR="00B61022" w:rsidRPr="00B20C02">
        <w:rPr>
          <w:rFonts w:ascii="Arial" w:hAnsi="Arial" w:cs="Arial"/>
          <w:sz w:val="20"/>
          <w:szCs w:val="20"/>
          <w:lang w:val="pl-PL"/>
        </w:rPr>
        <w:t xml:space="preserve">, ale niewielki odsetek populacji 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tych nicieni </w:t>
      </w:r>
      <w:r w:rsidR="00B61022" w:rsidRPr="00B20C02">
        <w:rPr>
          <w:rFonts w:ascii="Arial" w:hAnsi="Arial" w:cs="Arial"/>
          <w:sz w:val="20"/>
          <w:szCs w:val="20"/>
          <w:lang w:val="pl-PL"/>
        </w:rPr>
        <w:t>może przeżyć w formie jaj, najczęściej zamkniętych w galaretowatej osłonce złoża jajowego, choć nie wiadomo przez ile lat.</w:t>
      </w:r>
    </w:p>
    <w:p w:rsidR="005C1467" w:rsidRPr="00977526" w:rsidRDefault="00B61022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został opisany po raz pierwszy w 1980 r. w USA.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W regionie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gatunek ten wykryto po raz pierwszy w latach ’80 XX wieku, ale mógł być tu obecny już od lat ’30.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Pochodzenie obydwu gatunków jest nieznane.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został opisany po raz pierwszy w Holandii w 1996 r., po czym był znajdowany w innych krajach.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Jest prawdopodobne, że zasięg występowania tych gatunków w regionie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jest większy, niż obecnie wiadomo, zwłaszcza, że </w:t>
      </w:r>
      <w:r w:rsidRPr="00B20C02">
        <w:rPr>
          <w:rFonts w:ascii="Arial" w:hAnsi="Arial" w:cs="Arial"/>
          <w:sz w:val="20"/>
          <w:szCs w:val="20"/>
          <w:lang w:val="pl-PL"/>
        </w:rPr>
        <w:lastRenderedPageBreak/>
        <w:t xml:space="preserve">większość krajów regionu nie prowadzi 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szczegółowego </w:t>
      </w:r>
      <w:r w:rsidRPr="00B20C02">
        <w:rPr>
          <w:rFonts w:ascii="Arial" w:hAnsi="Arial" w:cs="Arial"/>
          <w:sz w:val="20"/>
          <w:szCs w:val="20"/>
          <w:lang w:val="pl-PL"/>
        </w:rPr>
        <w:t>nadzoru nad tymi agrofagami.</w:t>
      </w:r>
    </w:p>
    <w:p w:rsidR="005C1467" w:rsidRPr="00977526" w:rsidRDefault="002B79EA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Strategia zwalczania tych nicieni jest uzależniona od zasięgu ich występowania i stopnia porażenia w kraju.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Przed wyznaczeniem celów działań fitosanitarnych na danym obszarze zaleca się przeprowadzenie szczegółowych lustracji.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Strategia zwalczania może po</w:t>
      </w:r>
      <w:r w:rsidR="00B20C02" w:rsidRPr="00B20C02">
        <w:rPr>
          <w:rFonts w:ascii="Arial" w:hAnsi="Arial" w:cs="Arial"/>
          <w:sz w:val="20"/>
          <w:szCs w:val="20"/>
          <w:lang w:val="pl-PL"/>
        </w:rPr>
        <w:t>legać na tępieniu lub powstrzymywa</w:t>
      </w:r>
      <w:r w:rsidRPr="00B20C02">
        <w:rPr>
          <w:rFonts w:ascii="Arial" w:hAnsi="Arial" w:cs="Arial"/>
          <w:sz w:val="20"/>
          <w:szCs w:val="20"/>
          <w:lang w:val="pl-PL"/>
        </w:rPr>
        <w:t>niu, ale może ograniczać się tylko do zapobiegania rozprzestrzenianiu się organizmów na duże odległości przez nadzór nad drogami przemieszczania, takimi jak rośliny do sadzenia.</w:t>
      </w:r>
    </w:p>
    <w:p w:rsidR="00007257" w:rsidRDefault="00007257">
      <w:pPr>
        <w:outlineLvl w:val="1"/>
        <w:rPr>
          <w:rFonts w:ascii="Arial" w:hAnsi="Arial" w:cs="Arial"/>
          <w:sz w:val="20"/>
          <w:szCs w:val="20"/>
        </w:rPr>
      </w:pPr>
      <w:bookmarkStart w:id="4" w:name="bookmark5"/>
    </w:p>
    <w:bookmarkEnd w:id="4"/>
    <w:p w:rsidR="005C1467" w:rsidRPr="00007257" w:rsidRDefault="002B79EA">
      <w:pPr>
        <w:outlineLvl w:val="1"/>
        <w:rPr>
          <w:rFonts w:ascii="Arial" w:hAnsi="Arial" w:cs="Arial"/>
          <w:b/>
          <w:sz w:val="20"/>
          <w:szCs w:val="20"/>
        </w:rPr>
      </w:pPr>
      <w:r w:rsidRPr="00B20C02">
        <w:rPr>
          <w:rFonts w:ascii="Arial" w:hAnsi="Arial" w:cs="Arial"/>
          <w:b/>
          <w:sz w:val="20"/>
          <w:szCs w:val="20"/>
          <w:lang w:val="pl-PL"/>
        </w:rPr>
        <w:t>Ogólny opis systemu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2B79EA">
      <w:pPr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Zaleca się wprowadzenie we wszystkich krajach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krajowego ustawowego systemu zwalczania, którego celem będzie nadzór, powstrzymanie i wytępienie organizmu w razie jego wystąpienia, i który da odpowiednie gwarancje pozwalające na eksport ziemniaków (w tym sadzeniaków) w regionie, zgodnie ze Standardem 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PM 8/1.</w:t>
      </w:r>
      <w:r w:rsidR="00977526" w:rsidRPr="002B79EA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Krajowy ustawowy system zwalczania pozwoli również na produkcję i przemieszczanie roślin (w tym roślin do sadzenia) innych, niż ziemniaki.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System ten został opisany w niniejszym standardzie.</w:t>
      </w:r>
    </w:p>
    <w:p w:rsidR="005C1467" w:rsidRPr="00977526" w:rsidRDefault="002B79EA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color w:val="auto"/>
          <w:sz w:val="20"/>
          <w:szCs w:val="20"/>
          <w:lang w:val="pl-PL"/>
        </w:rPr>
        <w:t xml:space="preserve">Zwalczanie </w:t>
      </w:r>
      <w:r w:rsidRPr="00B20C02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</w:t>
      </w:r>
      <w:r w:rsidRPr="00B20C02">
        <w:rPr>
          <w:rFonts w:ascii="Arial" w:hAnsi="Arial" w:cs="Arial"/>
          <w:color w:val="auto"/>
          <w:sz w:val="20"/>
          <w:szCs w:val="20"/>
          <w:lang w:val="pl-PL"/>
        </w:rPr>
        <w:t>opiera się głównie na stosowaniu kwalifikowanych sadzeniaków ziemniaka i badaniu prób sadzeniaków oraz roślin do sadzenia z wykorzystaniem międzynarodowo przyjętych metod wykrywania i identyfikacji tych organizmów.</w:t>
      </w:r>
    </w:p>
    <w:p w:rsidR="005C1467" w:rsidRPr="00977526" w:rsidRDefault="002B79EA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W każdym przypadku wykrycia tych nicieni należy zastosować środki służące powstrzymaniu 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ich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i </w:t>
      </w:r>
      <w:r w:rsidR="006332F0" w:rsidRPr="00B20C02">
        <w:rPr>
          <w:rFonts w:ascii="Arial" w:hAnsi="Arial" w:cs="Arial"/>
          <w:sz w:val="20"/>
          <w:szCs w:val="20"/>
          <w:lang w:val="pl-PL"/>
        </w:rPr>
        <w:t xml:space="preserve">obniżeniu ich </w:t>
      </w:r>
      <w:r w:rsidRPr="00B20C02">
        <w:rPr>
          <w:rFonts w:ascii="Arial" w:hAnsi="Arial" w:cs="Arial"/>
          <w:sz w:val="20"/>
          <w:szCs w:val="20"/>
          <w:lang w:val="pl-PL"/>
        </w:rPr>
        <w:t>liczebności.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6332F0" w:rsidRPr="00B20C02">
        <w:rPr>
          <w:rFonts w:ascii="Arial" w:hAnsi="Arial" w:cs="Arial"/>
          <w:sz w:val="20"/>
          <w:szCs w:val="20"/>
          <w:lang w:val="pl-PL"/>
        </w:rPr>
        <w:t>Środki higieny są kluczowym elementem zwalczania agrofagów.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6332F0" w:rsidRPr="00B20C02">
        <w:rPr>
          <w:rFonts w:ascii="Arial" w:hAnsi="Arial" w:cs="Arial"/>
          <w:sz w:val="20"/>
          <w:szCs w:val="20"/>
          <w:lang w:val="pl-PL"/>
        </w:rPr>
        <w:t>W niektórych sytuacjach wytępienie może być uznane za rozwiązanie właściwe.</w:t>
      </w:r>
    </w:p>
    <w:p w:rsidR="005C1467" w:rsidRPr="00977526" w:rsidRDefault="006332F0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Krajowy ustawowy system zwalczania ma za zadanie umożliwić krajom, które wykażą jego stosowanie eksport ziemniaków i innych roślin na tych samych zasadach, co kraje, które wykażą brak występowania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na swoim terytorium.</w:t>
      </w:r>
    </w:p>
    <w:p w:rsidR="00007257" w:rsidRDefault="00007257">
      <w:pPr>
        <w:outlineLvl w:val="1"/>
        <w:rPr>
          <w:rFonts w:ascii="Arial" w:hAnsi="Arial" w:cs="Arial"/>
          <w:sz w:val="20"/>
          <w:szCs w:val="20"/>
        </w:rPr>
      </w:pPr>
      <w:bookmarkStart w:id="5" w:name="bookmark6"/>
    </w:p>
    <w:bookmarkEnd w:id="5"/>
    <w:p w:rsidR="005C1467" w:rsidRPr="00007257" w:rsidRDefault="006332F0">
      <w:pPr>
        <w:outlineLvl w:val="1"/>
        <w:rPr>
          <w:rFonts w:ascii="Arial" w:hAnsi="Arial" w:cs="Arial"/>
          <w:b/>
          <w:sz w:val="20"/>
          <w:szCs w:val="20"/>
        </w:rPr>
      </w:pPr>
      <w:r w:rsidRPr="00B20C02">
        <w:rPr>
          <w:rFonts w:ascii="Arial" w:hAnsi="Arial" w:cs="Arial"/>
          <w:b/>
          <w:sz w:val="20"/>
          <w:szCs w:val="20"/>
          <w:lang w:val="pl-PL"/>
        </w:rPr>
        <w:t>System zwalczania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6332F0">
      <w:pPr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System zwalczania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ma sześć celów: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Zapobieżenie zawleczeniu agrofaga.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Ustalenie, czy agrofag jest obecny w kraju, a jeśli tak, określenie zasięgu jego występowania.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Zapobieżenie rozprzestrzenianiu się agrofaga.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Powstrzymanie agrofaga.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Wytępienie ognisk.</w:t>
      </w:r>
    </w:p>
    <w:p w:rsidR="005C1467" w:rsidRPr="00B20C02" w:rsidRDefault="006332F0" w:rsidP="00B20C02">
      <w:pPr>
        <w:pStyle w:val="Akapitzlist"/>
        <w:numPr>
          <w:ilvl w:val="0"/>
          <w:numId w:val="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Wytępienie agrofaga z obszarów, gdzie występuje.</w:t>
      </w:r>
    </w:p>
    <w:p w:rsidR="00007257" w:rsidRDefault="00007257">
      <w:pPr>
        <w:tabs>
          <w:tab w:val="left" w:pos="274"/>
        </w:tabs>
        <w:outlineLvl w:val="2"/>
        <w:rPr>
          <w:rFonts w:ascii="Arial" w:hAnsi="Arial" w:cs="Arial"/>
          <w:sz w:val="20"/>
          <w:szCs w:val="20"/>
        </w:rPr>
      </w:pPr>
      <w:bookmarkStart w:id="6" w:name="bookmark7"/>
    </w:p>
    <w:bookmarkEnd w:id="6"/>
    <w:p w:rsidR="005C1467" w:rsidRPr="00B20C02" w:rsidRDefault="006332F0" w:rsidP="00B20C02">
      <w:pPr>
        <w:pStyle w:val="Akapitzlist"/>
        <w:numPr>
          <w:ilvl w:val="0"/>
          <w:numId w:val="3"/>
        </w:numPr>
        <w:tabs>
          <w:tab w:val="left" w:pos="274"/>
        </w:tabs>
        <w:outlineLvl w:val="2"/>
        <w:rPr>
          <w:rFonts w:ascii="Arial" w:hAnsi="Arial" w:cs="Arial"/>
          <w:b/>
          <w:sz w:val="20"/>
          <w:szCs w:val="20"/>
        </w:rPr>
      </w:pPr>
      <w:r w:rsidRPr="00B20C02">
        <w:rPr>
          <w:rFonts w:ascii="Arial" w:hAnsi="Arial" w:cs="Arial"/>
          <w:b/>
          <w:sz w:val="20"/>
          <w:szCs w:val="20"/>
          <w:lang w:val="pl-PL"/>
        </w:rPr>
        <w:t>Zapobieganie zawleczeniu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6332F0">
      <w:pPr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Zidentyfikowano rozmaite drogi przenoszenia umożliwiające zawleczenie i rozprzestrzenianie się tych organizmów, z czego cztery uznaje się za najważniejsze </w:t>
      </w:r>
      <w:r w:rsidR="00B20C02" w:rsidRPr="00B20C02">
        <w:rPr>
          <w:rFonts w:ascii="Arial" w:hAnsi="Arial" w:cs="Arial"/>
          <w:sz w:val="20"/>
          <w:szCs w:val="20"/>
          <w:lang w:val="pl-PL"/>
        </w:rPr>
        <w:t>dla rozprzestrzeniania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 się ich z obszarów porażonych na nieporażone obszary i miejsca produkcji (</w:t>
      </w:r>
      <w:proofErr w:type="spellStart"/>
      <w:r w:rsidRPr="00B20C02">
        <w:rPr>
          <w:rFonts w:ascii="Arial" w:hAnsi="Arial" w:cs="Arial"/>
          <w:sz w:val="20"/>
          <w:szCs w:val="20"/>
          <w:lang w:val="pl-PL"/>
        </w:rPr>
        <w:t>Macleod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et al., 2012).</w:t>
      </w:r>
      <w:r w:rsidR="00977526" w:rsidRPr="006332F0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Te cztery drogi przenoszenia, wraz z podkategoriami, to:</w:t>
      </w:r>
    </w:p>
    <w:p w:rsidR="005C1467" w:rsidRPr="00B20C02" w:rsidRDefault="006332F0" w:rsidP="00B20C02">
      <w:pPr>
        <w:pStyle w:val="Akapitzlist"/>
        <w:numPr>
          <w:ilvl w:val="0"/>
          <w:numId w:val="4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Rośliny żywicielskie przeznaczone do sadzenia z przy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legającą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ziemią lub bez, pochodzące z obszarów występowania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/M.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.</w:t>
      </w:r>
      <w:r w:rsidR="00977526" w:rsidRPr="00B20C02">
        <w:rPr>
          <w:rFonts w:ascii="Arial" w:hAnsi="Arial" w:cs="Arial"/>
          <w:sz w:val="20"/>
          <w:szCs w:val="20"/>
        </w:rPr>
        <w:t xml:space="preserve"> </w:t>
      </w:r>
      <w:r w:rsidRPr="00B20C02">
        <w:rPr>
          <w:rFonts w:ascii="Arial" w:hAnsi="Arial" w:cs="Arial"/>
          <w:sz w:val="20"/>
          <w:szCs w:val="20"/>
          <w:lang w:val="pl-PL"/>
        </w:rPr>
        <w:t>Ta droga obejmuje każdy materiał rozmnożeniowy, za wyjątkiem roślin wyprodukowanych w kulturach tkankowych i w podłożu bezglebowym;</w:t>
      </w:r>
    </w:p>
    <w:p w:rsidR="005C1467" w:rsidRPr="00B20C02" w:rsidRDefault="006332F0" w:rsidP="00B20C02">
      <w:pPr>
        <w:pStyle w:val="Akapitzlist"/>
        <w:numPr>
          <w:ilvl w:val="0"/>
          <w:numId w:val="4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Rośliny przeznaczone do sadzenia gatunków innych, niż gatunki żywicielskie z przy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legającą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ziemią, pochodzące z obszarów występowania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/M.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B20C02" w:rsidRDefault="00627AD9" w:rsidP="00B20C02">
      <w:pPr>
        <w:pStyle w:val="Akapitzlist"/>
        <w:numPr>
          <w:ilvl w:val="0"/>
          <w:numId w:val="4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Bulwy, cebulki i inne części roślin pochodzące z obszarów występowania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/M.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przeznaczone do spożycia i przerobu.</w:t>
      </w:r>
    </w:p>
    <w:p w:rsidR="005C1467" w:rsidRPr="00B20C02" w:rsidRDefault="00627AD9" w:rsidP="00B20C02">
      <w:pPr>
        <w:pStyle w:val="Akapitzlist"/>
        <w:numPr>
          <w:ilvl w:val="0"/>
          <w:numId w:val="4"/>
        </w:numPr>
        <w:tabs>
          <w:tab w:val="left" w:pos="33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Ziemia przy</w:t>
      </w:r>
      <w:r w:rsidR="00B20C02" w:rsidRPr="00B20C02">
        <w:rPr>
          <w:rFonts w:ascii="Arial" w:hAnsi="Arial" w:cs="Arial"/>
          <w:sz w:val="20"/>
          <w:szCs w:val="20"/>
          <w:lang w:val="pl-PL"/>
        </w:rPr>
        <w:t xml:space="preserve">legająca </w:t>
      </w:r>
      <w:r w:rsidRPr="00B20C02">
        <w:rPr>
          <w:rFonts w:ascii="Arial" w:hAnsi="Arial" w:cs="Arial"/>
          <w:sz w:val="20"/>
          <w:szCs w:val="20"/>
          <w:lang w:val="pl-PL"/>
        </w:rPr>
        <w:t xml:space="preserve">lub powiązana z bulwami, cebulkami i innymi częściami roślin przeznaczonymi do spożycia i przerobu pochodzącymi z obszarów występowania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/M.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977526" w:rsidRDefault="00627AD9">
      <w:pPr>
        <w:ind w:firstLine="360"/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Możliwości zapobiegania zawleczeniu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/M.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są następujące:</w:t>
      </w:r>
    </w:p>
    <w:p w:rsidR="005C1467" w:rsidRPr="00B20C02" w:rsidRDefault="00627AD9" w:rsidP="00B20C02">
      <w:pPr>
        <w:pStyle w:val="Akapitzlist"/>
        <w:numPr>
          <w:ilvl w:val="0"/>
          <w:numId w:val="6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Zakaz sadzenia roślin określonych jako porażone;</w:t>
      </w:r>
    </w:p>
    <w:p w:rsidR="005C1467" w:rsidRPr="00B20C02" w:rsidRDefault="00627AD9" w:rsidP="00B20C02">
      <w:pPr>
        <w:pStyle w:val="Akapitzlist"/>
        <w:numPr>
          <w:ilvl w:val="0"/>
          <w:numId w:val="6"/>
        </w:numPr>
        <w:tabs>
          <w:tab w:val="left" w:pos="33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Sadzeniaki ziemniaka powinny pochodzić z obszaru wolnego od agrofagów, miejsca produkcji wolnego od agrofagów, stanowiska produkcji wolnego od agrofagów lub pola przebadanego przed sadzeniem i uznanego za wolne od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 xml:space="preserve"> i </w:t>
      </w:r>
      <w:r w:rsidRPr="00B20C0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B20C0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B20C02">
        <w:rPr>
          <w:rFonts w:ascii="Arial" w:hAnsi="Arial" w:cs="Arial"/>
          <w:sz w:val="20"/>
          <w:szCs w:val="20"/>
          <w:lang w:val="pl-PL"/>
        </w:rPr>
        <w:t>;</w:t>
      </w:r>
    </w:p>
    <w:p w:rsidR="005C1467" w:rsidRPr="00B20C02" w:rsidRDefault="00627AD9" w:rsidP="00B20C02">
      <w:pPr>
        <w:pStyle w:val="Akapitzlist"/>
        <w:numPr>
          <w:ilvl w:val="0"/>
          <w:numId w:val="6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 xml:space="preserve">Rośliny do sadzenia inne, niż sadzeniaki powinny pochodzić z obszaru wolnego od agrofagów, miejsca produkcji wolnego od agrofagów lub stanowiska produkcji wolnego od agrofagów lub, w przypadku roślin żywicielskich, powinny być poddane inspekcji lub badaniu </w:t>
      </w:r>
      <w:r w:rsidRPr="00B20C02">
        <w:rPr>
          <w:rFonts w:ascii="Arial" w:hAnsi="Arial" w:cs="Arial"/>
          <w:sz w:val="20"/>
          <w:szCs w:val="20"/>
          <w:lang w:val="pl-PL"/>
        </w:rPr>
        <w:lastRenderedPageBreak/>
        <w:t>pod kątem występowania tych organizmów;</w:t>
      </w:r>
    </w:p>
    <w:p w:rsidR="005C1467" w:rsidRPr="00B20C02" w:rsidRDefault="00764DD8" w:rsidP="00B20C02">
      <w:pPr>
        <w:pStyle w:val="Akapitzlist"/>
        <w:numPr>
          <w:ilvl w:val="0"/>
          <w:numId w:val="6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B20C02">
        <w:rPr>
          <w:rFonts w:ascii="Arial" w:hAnsi="Arial" w:cs="Arial"/>
          <w:sz w:val="20"/>
          <w:szCs w:val="20"/>
          <w:lang w:val="pl-PL"/>
        </w:rPr>
        <w:t>Odpady zebrane podczas przerobu i pakowania ziemniaków, innych roślin żywicielskich i roślin z przylegającą ziemią powinny zostać poddane odpowiednim zabiegom.</w:t>
      </w:r>
    </w:p>
    <w:p w:rsidR="005C1467" w:rsidRPr="00977526" w:rsidRDefault="00CC496A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Te działania mogą ograniczyć wprowadzanie organizmu, ale nie mogą w pełni zapobiec rozprzestrzenianiu ze względu na granice wykrywalności.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Jest to prawdą w szczególności w przypadku inspekcji wzrokowej, ponieważ porażenie jest często asymptomatyczne.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Również badanie gleby nie zawsze może wykryć porażenie.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mogą również rozprzestrzeniać się zraz z glebą przy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legającą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do korzeni roślin innych, niż żywicielskie, która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najczęściej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nie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jest </w:t>
      </w:r>
      <w:r w:rsidRPr="000341CB">
        <w:rPr>
          <w:rFonts w:ascii="Arial" w:hAnsi="Arial" w:cs="Arial"/>
          <w:sz w:val="20"/>
          <w:szCs w:val="20"/>
          <w:lang w:val="pl-PL"/>
        </w:rPr>
        <w:t>badana we wszystkich przypadkach.</w:t>
      </w:r>
    </w:p>
    <w:p w:rsidR="00007257" w:rsidRDefault="00007257">
      <w:pPr>
        <w:tabs>
          <w:tab w:val="left" w:pos="270"/>
        </w:tabs>
        <w:outlineLvl w:val="2"/>
        <w:rPr>
          <w:rFonts w:ascii="Arial" w:hAnsi="Arial" w:cs="Arial"/>
          <w:sz w:val="20"/>
          <w:szCs w:val="20"/>
        </w:rPr>
      </w:pPr>
      <w:bookmarkStart w:id="7" w:name="bookmark8"/>
    </w:p>
    <w:bookmarkEnd w:id="7"/>
    <w:p w:rsidR="005C1467" w:rsidRPr="000341CB" w:rsidRDefault="00CC496A" w:rsidP="000341CB">
      <w:pPr>
        <w:pStyle w:val="Akapitzlist"/>
        <w:numPr>
          <w:ilvl w:val="0"/>
          <w:numId w:val="3"/>
        </w:numPr>
        <w:tabs>
          <w:tab w:val="left" w:pos="270"/>
        </w:tabs>
        <w:outlineLvl w:val="2"/>
        <w:rPr>
          <w:rFonts w:ascii="Arial" w:hAnsi="Arial" w:cs="Arial"/>
          <w:b/>
          <w:sz w:val="20"/>
          <w:szCs w:val="20"/>
        </w:rPr>
      </w:pPr>
      <w:r w:rsidRPr="000341CB">
        <w:rPr>
          <w:rFonts w:ascii="Arial" w:hAnsi="Arial" w:cs="Arial"/>
          <w:b/>
          <w:sz w:val="20"/>
          <w:szCs w:val="20"/>
          <w:lang w:val="pl-PL"/>
        </w:rPr>
        <w:t>Nadzór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CC496A">
      <w:pPr>
        <w:rPr>
          <w:rFonts w:ascii="Arial" w:hAnsi="Arial" w:cs="Arial"/>
          <w:sz w:val="20"/>
          <w:szCs w:val="20"/>
        </w:rPr>
      </w:pP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podlegają obowiązkowi zgłoszenia.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Wszystkie osoby podejrzewające lub mające wiedzę o obecności tych agrofagów powinny poinformować o tym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color w:val="auto"/>
          <w:sz w:val="20"/>
          <w:szCs w:val="20"/>
          <w:lang w:val="pl-PL"/>
        </w:rPr>
        <w:t xml:space="preserve">Przetrzymywanie i manipulacja </w:t>
      </w:r>
      <w:r w:rsidR="000341CB" w:rsidRPr="000341CB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M. </w:t>
      </w:r>
      <w:proofErr w:type="spellStart"/>
      <w:r w:rsidR="000341CB"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="000341CB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0341CB"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 </w:t>
      </w:r>
      <w:r w:rsidRPr="000341CB">
        <w:rPr>
          <w:rFonts w:ascii="Arial" w:hAnsi="Arial" w:cs="Arial"/>
          <w:color w:val="auto"/>
          <w:sz w:val="20"/>
          <w:szCs w:val="20"/>
          <w:lang w:val="pl-PL"/>
        </w:rPr>
        <w:t xml:space="preserve">powinny być zakazane, za wyjątkiem podmiotów licencjonowanych (patrz Standard </w:t>
      </w:r>
      <w:proofErr w:type="spellStart"/>
      <w:r w:rsidRPr="000341CB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color w:val="auto"/>
          <w:sz w:val="20"/>
          <w:szCs w:val="20"/>
          <w:lang w:val="pl-PL"/>
        </w:rPr>
        <w:t xml:space="preserve"> PM 3/64 </w:t>
      </w:r>
      <w:r w:rsidRPr="000341CB">
        <w:rPr>
          <w:rFonts w:ascii="Arial" w:hAnsi="Arial" w:cs="Arial"/>
          <w:i/>
          <w:color w:val="auto"/>
          <w:sz w:val="20"/>
          <w:szCs w:val="20"/>
          <w:lang w:val="pl-PL"/>
        </w:rPr>
        <w:t>Międzynarodowy import organizmów szkodliwych lub potencjalnych organizmów szkodliwych roślin</w:t>
      </w:r>
      <w:r w:rsidRPr="000341CB">
        <w:rPr>
          <w:rFonts w:ascii="Arial" w:hAnsi="Arial" w:cs="Arial"/>
          <w:color w:val="auto"/>
          <w:sz w:val="20"/>
          <w:szCs w:val="20"/>
          <w:lang w:val="pl-PL"/>
        </w:rPr>
        <w:t>).</w:t>
      </w:r>
    </w:p>
    <w:p w:rsidR="005C1467" w:rsidRPr="00977526" w:rsidRDefault="00CC496A" w:rsidP="00E16319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 xml:space="preserve">Niezbędne jest przeprowadzenie lustracji, które pozwolą określić status agrofaga i </w:t>
      </w:r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podjąć decyzję o wyborze najodpowiedniejszej strategii zwalczania do zastosowania na obszarze występowania </w:t>
      </w:r>
      <w:r w:rsidR="00E16319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E16319"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="00E16319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E16319"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E16319" w:rsidRPr="000341CB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E16319" w:rsidRPr="000341CB">
        <w:rPr>
          <w:rFonts w:ascii="Arial" w:hAnsi="Arial" w:cs="Arial"/>
          <w:sz w:val="20"/>
          <w:szCs w:val="20"/>
          <w:lang w:val="pl-PL"/>
        </w:rPr>
        <w:t>Przy pomocy lustracji określa się również brak tych nicieni na obszarze lub w systemie produkcji.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W przypadku wykrycia </w:t>
      </w:r>
      <w:r w:rsidR="00E16319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E16319"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 lub </w:t>
      </w:r>
      <w:r w:rsidR="00E16319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E16319"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 na nowym obszarze, należy przeprowadzić lustrację w celu ustalenia zasięgu porażenia.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E16319" w:rsidRPr="000341CB">
        <w:rPr>
          <w:rFonts w:ascii="Arial" w:hAnsi="Arial" w:cs="Arial"/>
          <w:sz w:val="20"/>
          <w:szCs w:val="20"/>
          <w:lang w:val="pl-PL"/>
        </w:rPr>
        <w:t>Niezbędne są również dalsze lustracje w celu monitorowania skuteczności środków zwalczania.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Nadzór może przybrać formę działań ogólnych lub szczegółowych lustracji (zgodnie ze Standardem </w:t>
      </w:r>
      <w:proofErr w:type="spellStart"/>
      <w:r w:rsidR="00E16319" w:rsidRPr="000341CB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="00E16319" w:rsidRPr="000341CB">
        <w:rPr>
          <w:rFonts w:ascii="Arial" w:hAnsi="Arial" w:cs="Arial"/>
          <w:sz w:val="20"/>
          <w:szCs w:val="20"/>
          <w:lang w:val="pl-PL"/>
        </w:rPr>
        <w:t xml:space="preserve"> nr 6 </w:t>
      </w:r>
      <w:r w:rsidR="00E16319" w:rsidRPr="000341CB">
        <w:rPr>
          <w:rFonts w:ascii="Arial" w:hAnsi="Arial" w:cs="Arial"/>
          <w:i/>
          <w:sz w:val="20"/>
          <w:szCs w:val="20"/>
          <w:lang w:val="pl-PL"/>
        </w:rPr>
        <w:t>Wytyczne w sprawie nadzoru</w:t>
      </w:r>
      <w:r w:rsidR="00E16319" w:rsidRPr="000341CB">
        <w:rPr>
          <w:rFonts w:ascii="Arial" w:hAnsi="Arial" w:cs="Arial"/>
          <w:sz w:val="20"/>
          <w:szCs w:val="20"/>
          <w:lang w:val="pl-PL"/>
        </w:rPr>
        <w:t>).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E16319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t>Szczegółowe lustracje</w:t>
      </w:r>
    </w:p>
    <w:p w:rsidR="005C1467" w:rsidRPr="00977526" w:rsidRDefault="00E16319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 xml:space="preserve">Należ rozważyć przeprowadzenie szczegółowych lustracji upraw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tubero</w:t>
      </w:r>
      <w:r w:rsidRPr="000341CB">
        <w:rPr>
          <w:rFonts w:ascii="Arial" w:hAnsi="Arial" w:cs="Arial"/>
          <w:i/>
          <w:sz w:val="20"/>
          <w:szCs w:val="20"/>
          <w:lang w:val="pl-PL"/>
        </w:rPr>
        <w:softHyphen/>
        <w:t>su</w:t>
      </w:r>
      <w:proofErr w:type="spellEnd"/>
      <w:r w:rsidRPr="000341CB">
        <w:rPr>
          <w:rFonts w:ascii="Arial" w:hAnsi="Arial" w:cs="Arial"/>
          <w:i/>
          <w:sz w:val="20"/>
          <w:szCs w:val="20"/>
          <w:lang w:val="pl-PL"/>
        </w:rPr>
        <w:t>m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 (ziemniak),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Daucus</w:t>
      </w:r>
      <w:proofErr w:type="spellEnd"/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carota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subsp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sativus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(marchew) i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Scorzonera</w:t>
      </w:r>
      <w:proofErr w:type="spellEnd"/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hispanica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(skorzonera).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Istnieje większe prawdopodobieństwo, że te polowe uprawy roślin żywicielskich wykształcą objawy możliwe do wykrycia wzrokowo, zwłaszcza, że uprawia się je często w glebach piaszczystych.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Należy również rozważyć przeprowadzenie </w:t>
      </w:r>
      <w:r w:rsidR="003A51E3" w:rsidRPr="000341CB">
        <w:rPr>
          <w:rFonts w:ascii="Arial" w:hAnsi="Arial" w:cs="Arial"/>
          <w:sz w:val="20"/>
          <w:szCs w:val="20"/>
          <w:lang w:val="pl-PL"/>
        </w:rPr>
        <w:t xml:space="preserve">szczegółowych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lustracji systemów produkcji roślin do sadzenia gatunków żywicielskich innych, niż ziemniaki (np.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młodych roślin </w:t>
      </w:r>
      <w:r w:rsidR="003A51E3" w:rsidRPr="000341CB">
        <w:rPr>
          <w:rFonts w:ascii="Arial" w:hAnsi="Arial" w:cs="Arial"/>
          <w:sz w:val="20"/>
          <w:szCs w:val="20"/>
          <w:lang w:val="pl-PL"/>
        </w:rPr>
        <w:t xml:space="preserve">pomidora), zwłaszcza jeżeli występuje ryzyko rozprzestrzeniania się </w:t>
      </w:r>
      <w:r w:rsidR="003A51E3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3A51E3"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3A51E3" w:rsidRPr="000341CB">
        <w:rPr>
          <w:rFonts w:ascii="Arial" w:hAnsi="Arial" w:cs="Arial"/>
          <w:sz w:val="20"/>
          <w:szCs w:val="20"/>
          <w:lang w:val="pl-PL"/>
        </w:rPr>
        <w:t xml:space="preserve"> lub </w:t>
      </w:r>
      <w:r w:rsidR="003A51E3"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3A51E3"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3A51E3" w:rsidRPr="000341CB">
        <w:rPr>
          <w:rFonts w:ascii="Arial" w:hAnsi="Arial" w:cs="Arial"/>
          <w:sz w:val="20"/>
          <w:szCs w:val="20"/>
          <w:lang w:val="pl-PL"/>
        </w:rPr>
        <w:t xml:space="preserve"> ze szklarniowych systemów uprawy do systemu produkcji ziemniaka.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Młode rośliny </w:t>
      </w:r>
      <w:r w:rsidR="00DE1EE2" w:rsidRPr="000341CB">
        <w:rPr>
          <w:rFonts w:ascii="Arial" w:hAnsi="Arial" w:cs="Arial"/>
          <w:sz w:val="20"/>
          <w:szCs w:val="20"/>
          <w:lang w:val="pl-PL"/>
        </w:rPr>
        <w:t>pomidora/sałaty podejrzewano jako drogę przenoszenia porażenia, ale przenoszenie na uprawę ziemniaków nie jest udokumentowane.</w:t>
      </w:r>
    </w:p>
    <w:p w:rsidR="005C1467" w:rsidRPr="00977526" w:rsidRDefault="00DE1EE2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Informacje o obecności nicieni na danym obszarze można uzyskać dzięki szczegółowej lustracji.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W razie konieczności należy je zweryfikować przez badania. 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Chociaż nie do końca znane są czynniki decydujące o prawdopodobieństwie zadomowienia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, przyjmuje się, że jest ono możliwe na glebach piaszczystych oraz przy częstym występowaniu roślin żywicielskich w cyklu płodozmianu i pola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spełniające te warunki </w:t>
      </w:r>
      <w:r w:rsidRPr="000341CB">
        <w:rPr>
          <w:rFonts w:ascii="Arial" w:hAnsi="Arial" w:cs="Arial"/>
          <w:sz w:val="20"/>
          <w:szCs w:val="20"/>
          <w:lang w:val="pl-PL"/>
        </w:rPr>
        <w:t>powinny być przede wszystkim celem lustracji.</w:t>
      </w:r>
    </w:p>
    <w:p w:rsidR="005C1467" w:rsidRPr="00977526" w:rsidRDefault="00DE1EE2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Próby w ramach lustracji ogólnych i szczegółowych można pobierać stosując następujące metody:</w:t>
      </w:r>
    </w:p>
    <w:p w:rsidR="005C1467" w:rsidRPr="000341CB" w:rsidRDefault="00DE1EE2" w:rsidP="000341CB">
      <w:pPr>
        <w:pStyle w:val="Akapitzlist"/>
        <w:numPr>
          <w:ilvl w:val="0"/>
          <w:numId w:val="8"/>
        </w:numPr>
        <w:tabs>
          <w:tab w:val="left" w:pos="307"/>
        </w:tabs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Pobieranie prób gleby.</w:t>
      </w:r>
      <w:r w:rsidR="00977526" w:rsidRPr="000341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Próby gleby należy pobierać zgodnie z Załącznikiem 1.</w:t>
      </w:r>
      <w:r w:rsidR="00977526" w:rsidRPr="000341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Ważne jest </w:t>
      </w:r>
      <w:r w:rsidR="000341CB" w:rsidRPr="000341CB">
        <w:rPr>
          <w:rFonts w:ascii="Arial" w:hAnsi="Arial" w:cs="Arial"/>
          <w:sz w:val="20"/>
          <w:szCs w:val="20"/>
          <w:lang w:val="pl-PL"/>
        </w:rPr>
        <w:t>uzyskanie próby reprezentatywnej</w:t>
      </w:r>
      <w:r w:rsidRPr="000341CB">
        <w:rPr>
          <w:rFonts w:ascii="Arial" w:hAnsi="Arial" w:cs="Arial"/>
          <w:sz w:val="20"/>
          <w:szCs w:val="20"/>
          <w:lang w:val="pl-PL"/>
        </w:rPr>
        <w:t>.</w:t>
      </w:r>
      <w:r w:rsidR="00977526" w:rsidRPr="000341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Należy zauważyć, że </w:t>
      </w:r>
      <w:r w:rsidR="009A70AB" w:rsidRPr="000341CB">
        <w:rPr>
          <w:rFonts w:ascii="Arial" w:hAnsi="Arial" w:cs="Arial"/>
          <w:sz w:val="20"/>
          <w:szCs w:val="20"/>
          <w:lang w:val="pl-PL"/>
        </w:rPr>
        <w:t xml:space="preserve">czułość wykrywania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nicieni </w:t>
      </w:r>
      <w:r w:rsidR="009A70AB" w:rsidRPr="000341CB">
        <w:rPr>
          <w:rFonts w:ascii="Arial" w:hAnsi="Arial" w:cs="Arial"/>
          <w:sz w:val="20"/>
          <w:szCs w:val="20"/>
          <w:lang w:val="pl-PL"/>
        </w:rPr>
        <w:t xml:space="preserve">metodą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inspekcji polowych i </w:t>
      </w:r>
      <w:r w:rsidR="009A70AB" w:rsidRPr="000341CB">
        <w:rPr>
          <w:rFonts w:ascii="Arial" w:hAnsi="Arial" w:cs="Arial"/>
          <w:sz w:val="20"/>
          <w:szCs w:val="20"/>
          <w:lang w:val="pl-PL"/>
        </w:rPr>
        <w:t>pobierania prób gleby wzrasta, jeżeli działania te przeprowadzi się możliwie najbliżej terminu zbioru roślin żywicielskich.</w:t>
      </w:r>
    </w:p>
    <w:p w:rsidR="005C1467" w:rsidRPr="000341CB" w:rsidRDefault="009A70AB" w:rsidP="000341CB">
      <w:pPr>
        <w:pStyle w:val="Akapitzlist"/>
        <w:numPr>
          <w:ilvl w:val="0"/>
          <w:numId w:val="8"/>
        </w:numPr>
        <w:tabs>
          <w:tab w:val="left" w:pos="307"/>
        </w:tabs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Pobieranie prób roślin (bulw i korzeni spichrzowych).</w:t>
      </w:r>
      <w:r w:rsidR="00977526" w:rsidRPr="000341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Próby ziemniaków należy pobierać zgodnie ze Standardem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PM 3/69, a innych roślin żywicielskich, takich jak pomidor, marchew czy skorzonera, zgodnie z Załącznikiem 2.</w:t>
      </w:r>
      <w:r w:rsidR="00977526" w:rsidRPr="000341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Inkubacja materiału roślinnego zwiększa szanse wykrycia 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agrofaga </w:t>
      </w:r>
      <w:r w:rsidRPr="000341CB">
        <w:rPr>
          <w:rFonts w:ascii="Arial" w:hAnsi="Arial" w:cs="Arial"/>
          <w:sz w:val="20"/>
          <w:szCs w:val="20"/>
          <w:lang w:val="pl-PL"/>
        </w:rPr>
        <w:t>metodą wzrokową i laboratoryjną.</w:t>
      </w:r>
    </w:p>
    <w:p w:rsidR="005C1467" w:rsidRPr="00977526" w:rsidRDefault="009A70AB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 xml:space="preserve">Próby należy poddać analizie zgodnie ze Standardem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PM 7/41.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9A70AB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t>Szczegółowe lustracje ziemniaków</w:t>
      </w:r>
    </w:p>
    <w:p w:rsidR="005C1467" w:rsidRPr="00977526" w:rsidRDefault="009A70AB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Szczegółowe lustracje można przeprowadzić na polu w okresie wegetacyjnym i na etapie przechowywania; podczas lustracji można pobrać próby ziemi lub bulw.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053F51" w:rsidRPr="000341CB">
        <w:rPr>
          <w:rFonts w:ascii="Arial" w:hAnsi="Arial" w:cs="Arial"/>
          <w:sz w:val="20"/>
          <w:szCs w:val="20"/>
          <w:lang w:val="pl-PL"/>
        </w:rPr>
        <w:t>Pola ziemniaczane do badania należy wybrać losowo, a próby pobrać na krótko (około 1 tygodnia) przed zbiorem lub podczas zbioru.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053F51" w:rsidRPr="000341CB">
        <w:rPr>
          <w:rFonts w:ascii="Arial" w:hAnsi="Arial" w:cs="Arial"/>
          <w:sz w:val="20"/>
          <w:szCs w:val="20"/>
          <w:lang w:val="pl-PL"/>
        </w:rPr>
        <w:t>Jeżeli bulwy są w przechowalni, należy losowo pobrać reprezentatywną próbę.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053F51" w:rsidRPr="000341CB">
        <w:rPr>
          <w:rFonts w:ascii="Arial" w:hAnsi="Arial" w:cs="Arial"/>
          <w:sz w:val="20"/>
          <w:szCs w:val="20"/>
          <w:lang w:val="pl-PL"/>
        </w:rPr>
        <w:t xml:space="preserve">Wszystkie próby bulw należy pobierać zgodnie ze Standardem </w:t>
      </w:r>
      <w:proofErr w:type="spellStart"/>
      <w:r w:rsidR="00053F51"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053F51" w:rsidRPr="000341CB">
        <w:rPr>
          <w:rFonts w:ascii="Arial" w:hAnsi="Arial" w:cs="Arial"/>
          <w:sz w:val="20"/>
          <w:szCs w:val="20"/>
          <w:lang w:val="pl-PL"/>
        </w:rPr>
        <w:t xml:space="preserve"> PM 3/69 i badać laboratoryjnie zgodnie ze Standardem </w:t>
      </w:r>
      <w:proofErr w:type="spellStart"/>
      <w:r w:rsidR="00053F51"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053F51" w:rsidRPr="000341CB">
        <w:rPr>
          <w:rFonts w:ascii="Arial" w:hAnsi="Arial" w:cs="Arial"/>
          <w:sz w:val="20"/>
          <w:szCs w:val="20"/>
          <w:lang w:val="pl-PL"/>
        </w:rPr>
        <w:t xml:space="preserve"> PM 7/41.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053F51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lastRenderedPageBreak/>
        <w:t>Szczegółowe lustracje polowych upraw warzyw gatunków żywicielskich, takich jak marchew i skorzonera</w:t>
      </w:r>
    </w:p>
    <w:p w:rsidR="005C1467" w:rsidRPr="00977526" w:rsidRDefault="00053F51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Pola warzyw gatunków żywicielskich, takich jak marchew i skorzonera, do badania należy wybrać losowo, a próby pobrać na krótko (około 1 tygodnia) przed zbiorem lub podczas zbioru.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Należy pobrać próby gleby i roślin.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Ponadto, można przeprowadzić wzrokową inspekcję korzeni na polu.</w:t>
      </w:r>
    </w:p>
    <w:p w:rsidR="005C1467" w:rsidRPr="00977526" w:rsidRDefault="00053F51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Można pobrać losowo próby marchwi, skorzonery i innych roślin żywicielskich po zbiorze i poddać je inspekcji pod kątem objawów wykrywalnych wzrokowo, takich jak wyrośla lub puchnięcie korzeni spichrzowych.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W przypadku zaobserwowania typowych objawów, należy przeprowadzić badania.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053F51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t>Szczegółowe lustracje odpadów stałych</w:t>
      </w:r>
    </w:p>
    <w:p w:rsidR="005C1467" w:rsidRPr="00977526" w:rsidRDefault="00A00A3A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Podczas likwidowania ogniska agrofaga należy przeprowadzić szczegółowe lustracje odpadów stałych (gleby i materiału roślinnego) w miejscu produkcji i w zakładach przetwórczych, gdzie trafił porażony lub prawdopodobnie porażony materiał.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A00A3A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t>Ogólny nadzór</w:t>
      </w:r>
    </w:p>
    <w:p w:rsidR="005C1467" w:rsidRPr="00977526" w:rsidRDefault="00A00A3A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Ogólny nadzór może obejmować wszystkie uprawy roślin żywicielskich, w tym uprawy intensywne.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Może również objąć uprawy roślin żywicielskich pod osłonami (np. pomidorów), zwłaszcza jeżeli w danym systemie produkcji używa się roślin do sadzenia z obszarów, gdzie wykryto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Można również prowadzić lustracje odpadów stałych (gleby lub materiału roślinnego) w zakładach przetwórczych.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A00A3A">
      <w:pPr>
        <w:rPr>
          <w:rFonts w:ascii="Arial" w:hAnsi="Arial" w:cs="Arial"/>
          <w:i/>
          <w:sz w:val="20"/>
          <w:szCs w:val="20"/>
        </w:rPr>
      </w:pPr>
      <w:r w:rsidRPr="000341CB">
        <w:rPr>
          <w:rFonts w:ascii="Arial" w:hAnsi="Arial" w:cs="Arial"/>
          <w:i/>
          <w:sz w:val="20"/>
          <w:szCs w:val="20"/>
          <w:lang w:val="pl-PL"/>
        </w:rPr>
        <w:t>Wykrywanie i identyfikacja</w:t>
      </w:r>
    </w:p>
    <w:p w:rsidR="005C1467" w:rsidRPr="00977526" w:rsidRDefault="00F837CB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 xml:space="preserve">Laboratoria powinny korzystać ze Standardu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PM 7/119 </w:t>
      </w:r>
      <w:r w:rsidRPr="000341CB">
        <w:rPr>
          <w:rFonts w:ascii="Arial" w:hAnsi="Arial" w:cs="Arial"/>
          <w:i/>
          <w:sz w:val="20"/>
          <w:szCs w:val="20"/>
          <w:lang w:val="pl-PL"/>
        </w:rPr>
        <w:t>Ekstrakcja nicieni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 oraz Standardu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PM 7/41 opisującego sposób identyfikacji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i </w:t>
      </w:r>
      <w:r w:rsidRPr="000341C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341C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>.</w:t>
      </w:r>
    </w:p>
    <w:p w:rsidR="00007257" w:rsidRDefault="00007257">
      <w:pPr>
        <w:tabs>
          <w:tab w:val="left" w:pos="279"/>
        </w:tabs>
        <w:outlineLvl w:val="2"/>
        <w:rPr>
          <w:rFonts w:ascii="Arial" w:hAnsi="Arial" w:cs="Arial"/>
          <w:sz w:val="20"/>
          <w:szCs w:val="20"/>
        </w:rPr>
      </w:pPr>
      <w:bookmarkStart w:id="8" w:name="bookmark9"/>
    </w:p>
    <w:bookmarkEnd w:id="8"/>
    <w:p w:rsidR="005C1467" w:rsidRPr="000341CB" w:rsidRDefault="00F837CB" w:rsidP="000341CB">
      <w:pPr>
        <w:pStyle w:val="Akapitzlist"/>
        <w:numPr>
          <w:ilvl w:val="0"/>
          <w:numId w:val="3"/>
        </w:numPr>
        <w:tabs>
          <w:tab w:val="left" w:pos="279"/>
        </w:tabs>
        <w:outlineLvl w:val="2"/>
        <w:rPr>
          <w:rFonts w:ascii="Arial" w:hAnsi="Arial" w:cs="Arial"/>
          <w:b/>
          <w:sz w:val="20"/>
          <w:szCs w:val="20"/>
        </w:rPr>
      </w:pPr>
      <w:r w:rsidRPr="000341CB">
        <w:rPr>
          <w:rFonts w:ascii="Arial" w:hAnsi="Arial" w:cs="Arial"/>
          <w:b/>
          <w:sz w:val="20"/>
          <w:szCs w:val="20"/>
          <w:lang w:val="pl-PL"/>
        </w:rPr>
        <w:t>Ustalenie obecności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F837CB">
      <w:pPr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W przypadku podejrzenia porażenia, podejrzany materiał (rośliny lub podłoże przy</w:t>
      </w:r>
      <w:r w:rsidR="000341CB" w:rsidRPr="000341CB">
        <w:rPr>
          <w:rFonts w:ascii="Arial" w:hAnsi="Arial" w:cs="Arial"/>
          <w:sz w:val="20"/>
          <w:szCs w:val="20"/>
          <w:lang w:val="pl-PL"/>
        </w:rPr>
        <w:t xml:space="preserve">legające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do roślin lub gleba/podłoże) powinien przejść badania potwierdzające zgodnie ze Standardem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PM 7/41.</w:t>
      </w:r>
      <w:r w:rsidR="00977526" w:rsidRPr="00F837CB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Przemieszczanie podejrzanego materiału powinno być zakazane do czasu uzyskania wyników badań.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W przypadku braku potwierdzenia podejrzenia wszystkie zakazy należy uchylić.</w:t>
      </w:r>
    </w:p>
    <w:p w:rsidR="005C1467" w:rsidRPr="00977526" w:rsidRDefault="00F837CB" w:rsidP="00007257">
      <w:pPr>
        <w:ind w:firstLine="360"/>
        <w:rPr>
          <w:rFonts w:ascii="Arial" w:hAnsi="Arial" w:cs="Arial"/>
          <w:sz w:val="20"/>
          <w:szCs w:val="20"/>
        </w:rPr>
      </w:pPr>
      <w:r w:rsidRPr="000341CB">
        <w:rPr>
          <w:rFonts w:ascii="Arial" w:hAnsi="Arial" w:cs="Arial"/>
          <w:sz w:val="20"/>
          <w:szCs w:val="20"/>
          <w:lang w:val="pl-PL"/>
        </w:rPr>
        <w:t>Jeżeli jest to pierwszy stwierdzony przypadek w kraju lub jego części</w:t>
      </w:r>
      <w:r w:rsidR="000341CB" w:rsidRPr="000341CB">
        <w:rPr>
          <w:rFonts w:ascii="Arial" w:hAnsi="Arial" w:cs="Arial"/>
          <w:sz w:val="20"/>
          <w:szCs w:val="20"/>
          <w:lang w:val="pl-PL"/>
        </w:rPr>
        <w:t>,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 należy przeprowadzić szczegółowe lustracje w pobliżu miejsca znaleziska.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>Następnie należy prześledzić pochodzenie i dalsze przeznaczenie materiału.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341CB">
        <w:rPr>
          <w:rFonts w:ascii="Arial" w:hAnsi="Arial" w:cs="Arial"/>
          <w:sz w:val="20"/>
          <w:szCs w:val="20"/>
          <w:lang w:val="pl-PL"/>
        </w:rPr>
        <w:t xml:space="preserve">W przypadku pierwszego wykrycia agrofaga </w:t>
      </w:r>
      <w:proofErr w:type="spellStart"/>
      <w:r w:rsidRPr="000341C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0341CB">
        <w:rPr>
          <w:rFonts w:ascii="Arial" w:hAnsi="Arial" w:cs="Arial"/>
          <w:sz w:val="20"/>
          <w:szCs w:val="20"/>
          <w:lang w:val="pl-PL"/>
        </w:rPr>
        <w:t xml:space="preserve"> powinna początkowo zakazać przemieszczania porażonych lub prawdopodobnie porażonych roślin i gleby oraz zanieczyszczonego i prawdopodobnie zanieczyszczonego materiału.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Lustracje powinny koncentrować się na pobliskich polach, gdzie są lub były niedawno</w:t>
      </w:r>
      <w:r w:rsidRPr="000D0392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0D0392">
        <w:rPr>
          <w:rFonts w:ascii="Arial" w:hAnsi="Arial" w:cs="Arial"/>
          <w:sz w:val="20"/>
          <w:szCs w:val="20"/>
          <w:lang w:val="pl-PL"/>
        </w:rPr>
        <w:t xml:space="preserve"> uprawiane rośliny żywicielskie i gdzie wykorzystywane były te same maszyny, co na polu porażonym.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CE3F44" w:rsidRPr="000D0392">
        <w:rPr>
          <w:rFonts w:ascii="Arial" w:hAnsi="Arial" w:cs="Arial"/>
          <w:sz w:val="20"/>
          <w:szCs w:val="20"/>
          <w:lang w:val="pl-PL"/>
        </w:rPr>
        <w:t xml:space="preserve">Należy podjąć odpowiednie dodatkowe środki </w:t>
      </w:r>
      <w:r w:rsidR="000341CB" w:rsidRPr="000D0392">
        <w:rPr>
          <w:rFonts w:ascii="Arial" w:hAnsi="Arial" w:cs="Arial"/>
          <w:sz w:val="20"/>
          <w:szCs w:val="20"/>
          <w:lang w:val="pl-PL"/>
        </w:rPr>
        <w:t>ostrożności</w:t>
      </w:r>
      <w:r w:rsidR="00CE3F44" w:rsidRPr="000D0392">
        <w:rPr>
          <w:rFonts w:ascii="Arial" w:hAnsi="Arial" w:cs="Arial"/>
          <w:sz w:val="20"/>
          <w:szCs w:val="20"/>
          <w:lang w:val="pl-PL"/>
        </w:rPr>
        <w:t>, takie jak zakaz przemieszczania wszystkich roślin do sadzenia z danego miejsca produkcji połączony z ograniczeniami w przemieszczaniu się personelu i maszyn rolniczych.</w:t>
      </w:r>
    </w:p>
    <w:p w:rsidR="005C1467" w:rsidRPr="00977526" w:rsidRDefault="00CE3F44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powinna określić jako „porażone”:</w:t>
      </w:r>
    </w:p>
    <w:p w:rsidR="005C1467" w:rsidRPr="000D0392" w:rsidRDefault="00CE3F44" w:rsidP="000D0392">
      <w:pPr>
        <w:pStyle w:val="Akapitzlist"/>
        <w:numPr>
          <w:ilvl w:val="0"/>
          <w:numId w:val="10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 xml:space="preserve">Partię roślin do sadzenia (w tym bulw), z której pobrano próbę </w:t>
      </w:r>
      <w:r w:rsidR="007C7A82" w:rsidRPr="000D0392">
        <w:rPr>
          <w:rFonts w:ascii="Arial" w:hAnsi="Arial" w:cs="Arial"/>
          <w:sz w:val="20"/>
          <w:szCs w:val="20"/>
          <w:lang w:val="pl-PL"/>
        </w:rPr>
        <w:t>przebadaną z wynikiem pozytywnym;</w:t>
      </w:r>
      <w:r w:rsidRPr="000D039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C1467" w:rsidRPr="000D0392" w:rsidRDefault="00834243" w:rsidP="000D0392">
      <w:pPr>
        <w:pStyle w:val="Akapitzlist"/>
        <w:numPr>
          <w:ilvl w:val="0"/>
          <w:numId w:val="10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W przypadku wykrycia nicieni w próbach gleby pobranych z pola: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produkty roślinne pochodzące z tego pola, które stykały się z glebą z niego.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 xml:space="preserve">Produkty roślinne, które nie stykały się z porażonym materiałem roślin żywicielskich, ani z glebą mogą być wprowadzane do obrotu (np. owoce pomidorów, zboża, kukurydza); </w:t>
      </w:r>
    </w:p>
    <w:p w:rsidR="005C1467" w:rsidRPr="000D0392" w:rsidRDefault="00834243" w:rsidP="000D0392">
      <w:pPr>
        <w:pStyle w:val="Akapitzlist"/>
        <w:numPr>
          <w:ilvl w:val="0"/>
          <w:numId w:val="10"/>
        </w:numPr>
        <w:tabs>
          <w:tab w:val="left" w:pos="30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Pole, gdzie wyprodukowano partię;</w:t>
      </w:r>
    </w:p>
    <w:p w:rsidR="005C1467" w:rsidRPr="000D0392" w:rsidRDefault="00834243" w:rsidP="000D0392">
      <w:pPr>
        <w:pStyle w:val="Akapitzlist"/>
        <w:numPr>
          <w:ilvl w:val="0"/>
          <w:numId w:val="10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Odpady (materiał roślinny i glebę) z porażonej partii lub porażonego pola.</w:t>
      </w:r>
    </w:p>
    <w:p w:rsidR="005C1467" w:rsidRPr="00977526" w:rsidRDefault="00834243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powinna określić jako „prawdopodobnie porażone”:</w:t>
      </w:r>
    </w:p>
    <w:p w:rsidR="005C1467" w:rsidRPr="000D0392" w:rsidRDefault="00834243" w:rsidP="000D0392">
      <w:pPr>
        <w:pStyle w:val="Akapitzlist"/>
        <w:numPr>
          <w:ilvl w:val="0"/>
          <w:numId w:val="12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Pola należące do miejsca lub stanowiska produkcji (np. gospodarstwa), gdzie wyprodukowano porażoną partię (ale nie przeprowadzono jeszcze badań potwierdzających porażenie) lub jeżeli nicienie wykryto w próbkach gleby z innych pól należących do tego miejsca lub stanowiska produkcji.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 xml:space="preserve">Status „prawdopodobnie porażony” jest stanem przejściowym wprowadzonym na okres dochodzenia </w:t>
      </w:r>
      <w:r w:rsidR="001A600F" w:rsidRPr="000D0392">
        <w:rPr>
          <w:rFonts w:ascii="Arial" w:hAnsi="Arial" w:cs="Arial"/>
          <w:sz w:val="20"/>
          <w:szCs w:val="20"/>
          <w:lang w:val="pl-PL"/>
        </w:rPr>
        <w:t>lub do chwili uzyskania wyników badań.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="001A600F" w:rsidRPr="000D0392">
        <w:rPr>
          <w:rFonts w:ascii="Arial" w:hAnsi="Arial" w:cs="Arial"/>
          <w:sz w:val="20"/>
          <w:szCs w:val="20"/>
          <w:lang w:val="pl-PL"/>
        </w:rPr>
        <w:t xml:space="preserve">Z danego pola (w tym szklarni) należy pobrać próby i zbadać je zgodnie ze Standardem </w:t>
      </w:r>
      <w:proofErr w:type="spellStart"/>
      <w:r w:rsidR="001A600F" w:rsidRPr="000D0392">
        <w:rPr>
          <w:rFonts w:ascii="Arial" w:hAnsi="Arial" w:cs="Arial"/>
          <w:sz w:val="20"/>
          <w:szCs w:val="20"/>
          <w:lang w:val="pl-PL"/>
        </w:rPr>
        <w:lastRenderedPageBreak/>
        <w:t>EPPO</w:t>
      </w:r>
      <w:proofErr w:type="spellEnd"/>
      <w:r w:rsidR="001A600F" w:rsidRPr="000D0392">
        <w:rPr>
          <w:rFonts w:ascii="Arial" w:hAnsi="Arial" w:cs="Arial"/>
          <w:sz w:val="20"/>
          <w:szCs w:val="20"/>
          <w:lang w:val="pl-PL"/>
        </w:rPr>
        <w:t xml:space="preserve"> PM 7/41 w celu zweryfikowania statusu agrofaga, chyba że dostępne są aktualne</w:t>
      </w:r>
      <w:r w:rsidR="001A600F" w:rsidRPr="000D0392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="001A600F" w:rsidRPr="000D0392">
        <w:rPr>
          <w:rFonts w:ascii="Arial" w:hAnsi="Arial" w:cs="Arial"/>
          <w:sz w:val="20"/>
          <w:szCs w:val="20"/>
          <w:lang w:val="pl-PL"/>
        </w:rPr>
        <w:t xml:space="preserve"> wyniki badań.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="001A600F" w:rsidRPr="000D0392">
        <w:rPr>
          <w:rFonts w:ascii="Arial" w:hAnsi="Arial" w:cs="Arial"/>
          <w:sz w:val="20"/>
          <w:szCs w:val="20"/>
          <w:lang w:val="pl-PL"/>
        </w:rPr>
        <w:t>Zależnie od wyniku badań status zmienia się na „porażony”, albo „agrofaga nie wykryto”.</w:t>
      </w:r>
    </w:p>
    <w:p w:rsidR="005C1467" w:rsidRPr="00977526" w:rsidRDefault="001A600F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powinna określić jako „zanieczyszczone”:</w:t>
      </w:r>
    </w:p>
    <w:p w:rsidR="005C1467" w:rsidRPr="000D0392" w:rsidRDefault="001A600F" w:rsidP="000D0392">
      <w:pPr>
        <w:pStyle w:val="Akapitzlist"/>
        <w:numPr>
          <w:ilvl w:val="0"/>
          <w:numId w:val="13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Sprzęt i inne przedmioty (maszyny, materiał opakowaniowy, przechowalnie itd.), które zetknęły się z porażonymi lub prawdopodobnie porażonymi roślinami lub glebą.</w:t>
      </w:r>
    </w:p>
    <w:p w:rsidR="00007257" w:rsidRDefault="00007257">
      <w:pPr>
        <w:tabs>
          <w:tab w:val="left" w:pos="259"/>
        </w:tabs>
        <w:outlineLvl w:val="2"/>
        <w:rPr>
          <w:rFonts w:ascii="Arial" w:hAnsi="Arial" w:cs="Arial"/>
          <w:sz w:val="20"/>
          <w:szCs w:val="20"/>
        </w:rPr>
      </w:pPr>
      <w:bookmarkStart w:id="9" w:name="bookmark10"/>
    </w:p>
    <w:bookmarkEnd w:id="9"/>
    <w:p w:rsidR="005C1467" w:rsidRPr="000D0392" w:rsidRDefault="001A600F" w:rsidP="000D0392">
      <w:pPr>
        <w:pStyle w:val="Akapitzlist"/>
        <w:numPr>
          <w:ilvl w:val="0"/>
          <w:numId w:val="3"/>
        </w:numPr>
        <w:tabs>
          <w:tab w:val="left" w:pos="259"/>
        </w:tabs>
        <w:outlineLvl w:val="2"/>
        <w:rPr>
          <w:rFonts w:ascii="Arial" w:hAnsi="Arial" w:cs="Arial"/>
          <w:b/>
          <w:sz w:val="20"/>
          <w:szCs w:val="20"/>
        </w:rPr>
      </w:pPr>
      <w:r w:rsidRPr="000D0392">
        <w:rPr>
          <w:rFonts w:ascii="Arial" w:hAnsi="Arial" w:cs="Arial"/>
          <w:b/>
          <w:sz w:val="20"/>
          <w:szCs w:val="20"/>
          <w:lang w:val="pl-PL"/>
        </w:rPr>
        <w:t xml:space="preserve">Zapobieganie rozprzestrzenianiu się </w:t>
      </w:r>
      <w:proofErr w:type="spellStart"/>
      <w:r w:rsidRPr="000D0392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0D039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0D0392">
        <w:rPr>
          <w:rFonts w:ascii="Arial" w:hAnsi="Arial" w:cs="Arial"/>
          <w:b/>
          <w:i/>
          <w:sz w:val="20"/>
          <w:szCs w:val="20"/>
          <w:lang w:val="pl-PL"/>
        </w:rPr>
        <w:t>chitwoodi</w:t>
      </w:r>
      <w:proofErr w:type="spellEnd"/>
      <w:r w:rsidRPr="000D0392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proofErr w:type="spellStart"/>
      <w:r w:rsidRPr="000D0392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0D039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0D0392">
        <w:rPr>
          <w:rFonts w:ascii="Arial" w:hAnsi="Arial" w:cs="Arial"/>
          <w:b/>
          <w:i/>
          <w:sz w:val="20"/>
          <w:szCs w:val="20"/>
          <w:lang w:val="pl-PL"/>
        </w:rPr>
        <w:t>fallax</w:t>
      </w:r>
      <w:proofErr w:type="spellEnd"/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1A600F">
      <w:pPr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Jak podano w rozdziale 1 (Zapobieganie rozprzestrzenianiu się), rośliny do sadzenia (w tym sadzeniaki ziemniaka) i gleba to główne drogi zawleczenia i rozprzestrzeniania się na duże odległości tych agrofagów.</w:t>
      </w:r>
    </w:p>
    <w:p w:rsidR="005C1467" w:rsidRPr="00977526" w:rsidRDefault="001A600F">
      <w:pPr>
        <w:ind w:firstLine="360"/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Obecnie nie istnieją środki odkażania ziemniaków i roślin do sadzenia.</w:t>
      </w:r>
    </w:p>
    <w:p w:rsidR="005C1467" w:rsidRPr="00977526" w:rsidRDefault="001A600F">
      <w:pPr>
        <w:ind w:firstLine="360"/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 xml:space="preserve">Wszystkie sadzeniaki przeznaczone do obrotu w regionie </w:t>
      </w: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powinny być wolne od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M.chitwoodi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M.fallax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, zgodnie z zaleceniem Standardu </w:t>
      </w: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PM 4/28 </w:t>
      </w:r>
      <w:r w:rsidRPr="000D0392">
        <w:rPr>
          <w:rFonts w:ascii="Arial" w:hAnsi="Arial" w:cs="Arial"/>
          <w:i/>
          <w:sz w:val="20"/>
          <w:szCs w:val="20"/>
          <w:lang w:val="pl-PL"/>
        </w:rPr>
        <w:t>System kwalifikacji sadzeniaków ziemniaka</w:t>
      </w:r>
      <w:r w:rsidRPr="000D0392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 xml:space="preserve">Ponadto, należy przestrzegać wymogów Standardu </w:t>
      </w:r>
      <w:proofErr w:type="spellStart"/>
      <w:r w:rsidRPr="000D039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PM 3/61 </w:t>
      </w:r>
      <w:r w:rsidRPr="000D0392">
        <w:rPr>
          <w:rFonts w:ascii="Arial" w:hAnsi="Arial" w:cs="Arial"/>
          <w:i/>
          <w:sz w:val="20"/>
          <w:szCs w:val="20"/>
          <w:lang w:val="pl-PL"/>
        </w:rPr>
        <w:t>Obszary i systemy produkcji wolne od agrofagów kwarantannowych ziemniaka</w:t>
      </w:r>
      <w:r w:rsidRPr="000D0392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977526" w:rsidRDefault="001A600F">
      <w:pPr>
        <w:ind w:firstLine="360"/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Jeżeli wyznaczenie wolnego od agrofaga obszaru lub miejsca produkcji nie jest możliwe, należy zastosować następujące metody:</w:t>
      </w:r>
    </w:p>
    <w:p w:rsidR="00007257" w:rsidRDefault="00007257">
      <w:pPr>
        <w:ind w:left="360" w:hanging="360"/>
        <w:rPr>
          <w:rFonts w:ascii="Arial" w:hAnsi="Arial" w:cs="Arial"/>
          <w:sz w:val="20"/>
          <w:szCs w:val="20"/>
        </w:rPr>
      </w:pPr>
    </w:p>
    <w:p w:rsidR="005C1467" w:rsidRPr="00007257" w:rsidRDefault="001A600F">
      <w:pPr>
        <w:ind w:left="360" w:hanging="360"/>
        <w:rPr>
          <w:rFonts w:ascii="Arial" w:hAnsi="Arial" w:cs="Arial"/>
          <w:i/>
          <w:sz w:val="20"/>
          <w:szCs w:val="20"/>
        </w:rPr>
      </w:pPr>
      <w:r w:rsidRPr="000D0392">
        <w:rPr>
          <w:rFonts w:ascii="Arial" w:hAnsi="Arial" w:cs="Arial"/>
          <w:i/>
          <w:sz w:val="20"/>
          <w:szCs w:val="20"/>
          <w:lang w:val="pl-PL"/>
        </w:rPr>
        <w:t>Rośliny do sadzenia, w tym sadzeniaki ziemniaka</w:t>
      </w:r>
    </w:p>
    <w:p w:rsidR="005C1467" w:rsidRPr="000D0392" w:rsidRDefault="001A600F" w:rsidP="000D0392">
      <w:pPr>
        <w:pStyle w:val="Akapitzlist"/>
        <w:numPr>
          <w:ilvl w:val="0"/>
          <w:numId w:val="14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Zakaz sadzenia roślin określonych jako porażone.</w:t>
      </w:r>
    </w:p>
    <w:p w:rsidR="005C1467" w:rsidRPr="000D0392" w:rsidRDefault="00E41A88" w:rsidP="000D0392">
      <w:pPr>
        <w:pStyle w:val="Akapitzlist"/>
        <w:numPr>
          <w:ilvl w:val="0"/>
          <w:numId w:val="14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Na polu porażonym, ani prawdopodobnie porażonym nie należy uprawiać roślin do sadzenia do czasu weryfikacji statusu agrofaga.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Przemieszczanie materiału z prawdopodobnie porażonych pól powinno być zakazane do czasu uzyskania wyników badań.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W przypadku braku potwierdzenia podejrzenia wszystkie zakazy należy uchylić.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Jednak w przypadku stwierdzenia agrofaga po raz pierwszy zaleca się podjęcie szczególnych środków przy manipulacji materiałem prawdopodobnie porażonym i przemieszczaniu go (np. ograniczenia w obrocie ziemniakami towarowymi).</w:t>
      </w:r>
    </w:p>
    <w:p w:rsidR="005C1467" w:rsidRPr="00977526" w:rsidRDefault="00E41A88">
      <w:pPr>
        <w:ind w:firstLine="360"/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Rośliny do sadzenia powinny pochodzić:</w:t>
      </w:r>
    </w:p>
    <w:p w:rsidR="005C1467" w:rsidRPr="000D0392" w:rsidRDefault="00E41A88" w:rsidP="000D0392">
      <w:pPr>
        <w:pStyle w:val="Akapitzlist"/>
        <w:numPr>
          <w:ilvl w:val="0"/>
          <w:numId w:val="16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 xml:space="preserve">Z pola, gdzie w wyniku badania prób gleby pobranych w odpowiednich terminach, zgodnie z Załącznikiem 1, nie wykryto </w:t>
      </w:r>
      <w:r w:rsidRPr="000D039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ani </w:t>
      </w:r>
      <w:r w:rsidRPr="000D039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lub</w:t>
      </w:r>
    </w:p>
    <w:p w:rsidR="005C1467" w:rsidRPr="000D0392" w:rsidRDefault="00E41A88" w:rsidP="000D0392">
      <w:pPr>
        <w:pStyle w:val="Akapitzlist"/>
        <w:numPr>
          <w:ilvl w:val="0"/>
          <w:numId w:val="16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Należy pobrać losowo próby roślin po zbiorze i sprawdzić występowanie objawów po zastosowaniu odpowiedniej metody ich stymulowania lub przebadać je laboratoryjnie (ekstrakcja i identyfikacja nicieni) w odpowiednich terminach.</w:t>
      </w:r>
    </w:p>
    <w:p w:rsidR="005C1467" w:rsidRPr="00977526" w:rsidRDefault="00BD5181">
      <w:pPr>
        <w:ind w:firstLine="360"/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 xml:space="preserve">W każdym przypadku, przed wprowadzeniem materiału do obrotu należy uzyskać wynik negatywny inspekcji polegających na obserwacji zewnętrznych objawów </w:t>
      </w:r>
      <w:r w:rsidRPr="000D039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 xml:space="preserve"> i </w:t>
      </w:r>
      <w:r w:rsidRPr="000D0392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0D0392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0D0392">
        <w:rPr>
          <w:rFonts w:ascii="Arial" w:hAnsi="Arial" w:cs="Arial"/>
          <w:sz w:val="20"/>
          <w:szCs w:val="20"/>
          <w:lang w:val="pl-PL"/>
        </w:rPr>
        <w:t>, a w przypadku ziemniaka również na cięciu bulw i poszukiwaniu objawów wewnętrznych.</w:t>
      </w:r>
    </w:p>
    <w:p w:rsidR="00007257" w:rsidRDefault="00007257">
      <w:pPr>
        <w:ind w:left="360" w:hanging="360"/>
        <w:rPr>
          <w:rFonts w:ascii="Arial" w:hAnsi="Arial" w:cs="Arial"/>
          <w:sz w:val="20"/>
          <w:szCs w:val="20"/>
        </w:rPr>
      </w:pPr>
    </w:p>
    <w:p w:rsidR="005C1467" w:rsidRPr="00007257" w:rsidRDefault="00BD5181">
      <w:pPr>
        <w:ind w:left="360" w:hanging="360"/>
        <w:rPr>
          <w:rFonts w:ascii="Arial" w:hAnsi="Arial" w:cs="Arial"/>
          <w:i/>
          <w:sz w:val="20"/>
          <w:szCs w:val="20"/>
        </w:rPr>
      </w:pPr>
      <w:r w:rsidRPr="000D0392">
        <w:rPr>
          <w:rFonts w:ascii="Arial" w:hAnsi="Arial" w:cs="Arial"/>
          <w:i/>
          <w:sz w:val="20"/>
          <w:szCs w:val="20"/>
          <w:lang w:val="pl-PL"/>
        </w:rPr>
        <w:t>Środki higieny</w:t>
      </w:r>
    </w:p>
    <w:p w:rsidR="005C1467" w:rsidRPr="000D0392" w:rsidRDefault="00BD5181" w:rsidP="000D0392">
      <w:pPr>
        <w:pStyle w:val="Akapitzlist"/>
        <w:numPr>
          <w:ilvl w:val="0"/>
          <w:numId w:val="18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0D0392">
        <w:rPr>
          <w:rFonts w:ascii="Arial" w:hAnsi="Arial" w:cs="Arial"/>
          <w:sz w:val="20"/>
          <w:szCs w:val="20"/>
          <w:lang w:val="pl-PL"/>
        </w:rPr>
        <w:t>Przed opuszczeniem porażonego lub prawdopodobnie porażonego pola sprzęt, maszyny, obuwie itd. należy oczyścić, najlepiej przy pomocy wody pod dużym ciśnieniem lub pary w celu usunięcia z nich szczątków i cząstek gleby.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Pr="000D0392">
        <w:rPr>
          <w:rFonts w:ascii="Arial" w:hAnsi="Arial" w:cs="Arial"/>
          <w:sz w:val="20"/>
          <w:szCs w:val="20"/>
          <w:lang w:val="pl-PL"/>
        </w:rPr>
        <w:t>Jeżeli nie jest to możliwe</w:t>
      </w:r>
      <w:r w:rsidR="009E6DDA" w:rsidRPr="000D0392">
        <w:rPr>
          <w:rFonts w:ascii="Arial" w:hAnsi="Arial" w:cs="Arial"/>
          <w:sz w:val="20"/>
          <w:szCs w:val="20"/>
          <w:lang w:val="pl-PL"/>
        </w:rPr>
        <w:t>,</w:t>
      </w:r>
      <w:r w:rsidRPr="000D0392">
        <w:rPr>
          <w:rFonts w:ascii="Arial" w:hAnsi="Arial" w:cs="Arial"/>
          <w:sz w:val="20"/>
          <w:szCs w:val="20"/>
          <w:lang w:val="pl-PL"/>
        </w:rPr>
        <w:t xml:space="preserve"> sprzęt taki należy bezzwłocznie przemieścić do najbliższego stanowiska czyszczenia wyposażonego w odpowiednie urządzenia do unieszkodliwiania odpadów i ścieków.</w:t>
      </w:r>
      <w:r w:rsidR="00977526" w:rsidRPr="000D0392">
        <w:rPr>
          <w:rFonts w:ascii="Arial" w:hAnsi="Arial" w:cs="Arial"/>
          <w:sz w:val="20"/>
          <w:szCs w:val="20"/>
        </w:rPr>
        <w:t xml:space="preserve"> </w:t>
      </w:r>
      <w:r w:rsidR="009E6DDA" w:rsidRPr="000D0392">
        <w:rPr>
          <w:rFonts w:ascii="Arial" w:hAnsi="Arial" w:cs="Arial"/>
          <w:sz w:val="20"/>
          <w:szCs w:val="20"/>
          <w:lang w:val="pl-PL"/>
        </w:rPr>
        <w:t>Zabiegi uprawowe na polach porażonych należy wykonywać w ostatniej kolejności.</w:t>
      </w:r>
    </w:p>
    <w:p w:rsidR="005C1467" w:rsidRPr="00977526" w:rsidRDefault="009E6DDA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Jeżeli porażenie jest powiązane z materiałem pochodzącym z innego kraju lub porażone rośliny (w tym bulwy) stwarzają ryzyko dla innego kraju, </w:t>
      </w:r>
      <w:proofErr w:type="spellStart"/>
      <w:r w:rsidRPr="00C513B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tego kraju powinna zostać bezzwłocznie poinformowana o podejrzanych wynikach, aby mogła podjąć stosowne działania.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W informacji dotyczącej wyeksportowanych partii ziemniaków należy podać co najmniej:</w:t>
      </w:r>
    </w:p>
    <w:p w:rsidR="005C1467" w:rsidRPr="00C513BB" w:rsidRDefault="009E6DDA" w:rsidP="00C513BB">
      <w:pPr>
        <w:pStyle w:val="Akapitzlist"/>
        <w:numPr>
          <w:ilvl w:val="0"/>
          <w:numId w:val="19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Nazwę odmiany partii ziemniaków,</w:t>
      </w:r>
    </w:p>
    <w:p w:rsidR="005C1467" w:rsidRPr="00C513BB" w:rsidRDefault="009E6DDA" w:rsidP="00C513BB">
      <w:pPr>
        <w:pStyle w:val="Akapitzlist"/>
        <w:numPr>
          <w:ilvl w:val="0"/>
          <w:numId w:val="19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Typ (towarowe, sadzeniaki, itp.) ziemniaków oraz w stosownych przypadkach stopień kwalifikacji materiału nasiennego;</w:t>
      </w:r>
    </w:p>
    <w:p w:rsidR="005C1467" w:rsidRPr="00C513BB" w:rsidRDefault="009E6DDA" w:rsidP="00C513BB">
      <w:pPr>
        <w:pStyle w:val="Akapitzlist"/>
        <w:numPr>
          <w:ilvl w:val="0"/>
          <w:numId w:val="19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Nazwy i adresy nadawcy i odbiorcy,</w:t>
      </w:r>
    </w:p>
    <w:p w:rsidR="005C1467" w:rsidRPr="00C513BB" w:rsidRDefault="009E6DDA" w:rsidP="00C513BB">
      <w:pPr>
        <w:pStyle w:val="Akapitzlist"/>
        <w:numPr>
          <w:ilvl w:val="0"/>
          <w:numId w:val="19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Datę dostawy partii ziemniaków,</w:t>
      </w:r>
    </w:p>
    <w:p w:rsidR="005C1467" w:rsidRPr="00C513BB" w:rsidRDefault="009E6DDA" w:rsidP="00C513BB">
      <w:pPr>
        <w:pStyle w:val="Akapitzlist"/>
        <w:numPr>
          <w:ilvl w:val="0"/>
          <w:numId w:val="19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Wielkość dostarczonej partii ziemniaków.</w:t>
      </w:r>
    </w:p>
    <w:p w:rsidR="005C1467" w:rsidRPr="00977526" w:rsidRDefault="009E6DDA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Jeżeli potwierdzone ognisko jest powiązane z materiałem z innego kraju, materiał dowodowy w postaci np. materiału i dokumentacji powinien być przetrzymywany przez okres do jednego roku, </w:t>
      </w:r>
      <w:r w:rsidRPr="00C513BB">
        <w:rPr>
          <w:rFonts w:ascii="Arial" w:hAnsi="Arial" w:cs="Arial"/>
          <w:sz w:val="20"/>
          <w:szCs w:val="20"/>
          <w:lang w:val="pl-PL"/>
        </w:rPr>
        <w:lastRenderedPageBreak/>
        <w:t xml:space="preserve">zgodnie z wymaganiami Standardu </w:t>
      </w:r>
      <w:proofErr w:type="spellStart"/>
      <w:r w:rsidRPr="00C513BB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nr 13 </w:t>
      </w:r>
      <w:r w:rsidRPr="00C513BB">
        <w:rPr>
          <w:rFonts w:ascii="Arial" w:hAnsi="Arial" w:cs="Arial"/>
          <w:i/>
          <w:sz w:val="20"/>
          <w:szCs w:val="20"/>
          <w:lang w:val="pl-PL"/>
        </w:rPr>
        <w:t>Wytyczne w sprawie powiadomień o niezgodności z przepisami i działań doraźnych</w:t>
      </w:r>
      <w:r w:rsidRPr="00C513BB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977526" w:rsidRDefault="00DA32D1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Pomiędzy zawleczeniem nicieni a ich wykryciem w glebie lub materiale roślinnym może upłynąć dużo czasu.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Dlatego ustalenie źródła porażenia może być trudne.</w:t>
      </w:r>
    </w:p>
    <w:p w:rsidR="005C1467" w:rsidRPr="00977526" w:rsidRDefault="00DA32D1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Ryzyko związane z ziemniakami towarowymi jest znacznie niższe, ponieważ nie są one przeznaczone do sadzenia, pod warunkiem, że nie stykają się one z produkcją sadzeniaków podczas transportu, manipulacji i przerobu (w tym zagospodarowania odpadów).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C513B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PM 8/1 mówi, że ziemniaki towarowe muszą być wyposażone w świadectwo fitosanitarne.</w:t>
      </w:r>
    </w:p>
    <w:p w:rsidR="005C1467" w:rsidRPr="00977526" w:rsidRDefault="00DA32D1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C513B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powinny uwzględnić potencjalne zagrożenie ze strony roślin do sadzenia będących drogą przenoszenia agrofaga do systemu produkcji ziemniaka.</w:t>
      </w:r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007257" w:rsidRDefault="00DA32D1">
      <w:pPr>
        <w:rPr>
          <w:rFonts w:ascii="Arial" w:hAnsi="Arial" w:cs="Arial"/>
          <w:i/>
          <w:sz w:val="20"/>
          <w:szCs w:val="20"/>
        </w:rPr>
      </w:pPr>
      <w:r w:rsidRPr="00C513BB">
        <w:rPr>
          <w:rFonts w:ascii="Arial" w:hAnsi="Arial" w:cs="Arial"/>
          <w:i/>
          <w:sz w:val="20"/>
          <w:szCs w:val="20"/>
          <w:lang w:val="pl-PL"/>
        </w:rPr>
        <w:t>Ziemia i odpady</w:t>
      </w:r>
    </w:p>
    <w:p w:rsidR="005C1467" w:rsidRPr="00977526" w:rsidRDefault="00DA32D1">
      <w:pPr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Ryzyko rozprzestrzeniania się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i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jest związane z glebą przy</w:t>
      </w:r>
      <w:r w:rsidR="00C513BB" w:rsidRPr="00C513BB">
        <w:rPr>
          <w:rFonts w:ascii="Arial" w:hAnsi="Arial" w:cs="Arial"/>
          <w:sz w:val="20"/>
          <w:szCs w:val="20"/>
          <w:lang w:val="pl-PL"/>
        </w:rPr>
        <w:t xml:space="preserve">legającą </w:t>
      </w:r>
      <w:r w:rsidRPr="00C513BB">
        <w:rPr>
          <w:rFonts w:ascii="Arial" w:hAnsi="Arial" w:cs="Arial"/>
          <w:sz w:val="20"/>
          <w:szCs w:val="20"/>
          <w:lang w:val="pl-PL"/>
        </w:rPr>
        <w:t>do produktów roślinnych oraz odpadami pochodzenia roślinnego (np. obierkami ziemniaków, materiałem odrzuconym z zakładów przetwórstwa warzyw).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Dlatego należy zastosować środki lub zabiegi służące bezpiecznemu unieszkodliwianiu gleby przy</w:t>
      </w:r>
      <w:r w:rsidR="00C513BB" w:rsidRPr="00C513BB">
        <w:rPr>
          <w:rFonts w:ascii="Arial" w:hAnsi="Arial" w:cs="Arial"/>
          <w:sz w:val="20"/>
          <w:szCs w:val="20"/>
          <w:lang w:val="pl-PL"/>
        </w:rPr>
        <w:t xml:space="preserve">legającej </w:t>
      </w:r>
      <w:r w:rsidRPr="00C513BB">
        <w:rPr>
          <w:rFonts w:ascii="Arial" w:hAnsi="Arial" w:cs="Arial"/>
          <w:sz w:val="20"/>
          <w:szCs w:val="20"/>
          <w:lang w:val="pl-PL"/>
        </w:rPr>
        <w:t>do roślin (np. bulw ziemniaków, roślin korzeniowych) i odpadów roślinnych.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Możliwe rozwiązania:</w:t>
      </w:r>
    </w:p>
    <w:p w:rsidR="005C1467" w:rsidRPr="00C513BB" w:rsidRDefault="00DA32D1" w:rsidP="00C513BB">
      <w:pPr>
        <w:pStyle w:val="Akapitzlist"/>
        <w:numPr>
          <w:ilvl w:val="0"/>
          <w:numId w:val="21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Umieszczenie gleby/odpadów na terenach nie używanych do produkcji rolniczej lub</w:t>
      </w:r>
    </w:p>
    <w:p w:rsidR="005C1467" w:rsidRPr="00C513BB" w:rsidRDefault="00DA32D1" w:rsidP="00C513BB">
      <w:pPr>
        <w:pStyle w:val="Akapitzlist"/>
        <w:numPr>
          <w:ilvl w:val="0"/>
          <w:numId w:val="21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Kompostowanie gleby/odpadów i weryfikacja, czy nie istnieje ryzyko rozprzestrzeniania się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lub</w:t>
      </w:r>
    </w:p>
    <w:p w:rsidR="005C1467" w:rsidRPr="00C513BB" w:rsidRDefault="00F531B0" w:rsidP="00C513BB">
      <w:pPr>
        <w:pStyle w:val="Akapitzlist"/>
        <w:numPr>
          <w:ilvl w:val="0"/>
          <w:numId w:val="21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Poddanie gleby/odpadów zabiegowi w odpowiednio wysokiej temperaturze pozwalającej zabić agrofaga </w:t>
      </w:r>
      <w:r w:rsidR="00DA32D1" w:rsidRPr="00C513BB">
        <w:rPr>
          <w:rFonts w:ascii="Arial" w:hAnsi="Arial" w:cs="Arial"/>
          <w:sz w:val="20"/>
          <w:szCs w:val="20"/>
          <w:lang w:val="pl-PL"/>
        </w:rPr>
        <w:t xml:space="preserve">i weryfikacja, czy nie istnieje ryzyko rozprzestrzeniania się </w:t>
      </w:r>
      <w:r w:rsidR="00DA32D1"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DA32D1"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DA32D1" w:rsidRPr="00C513BB">
        <w:rPr>
          <w:rFonts w:ascii="Arial" w:hAnsi="Arial" w:cs="Arial"/>
          <w:sz w:val="20"/>
          <w:szCs w:val="20"/>
          <w:lang w:val="pl-PL"/>
        </w:rPr>
        <w:t xml:space="preserve"> lub </w:t>
      </w:r>
      <w:r w:rsidR="00DA32D1"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DA32D1"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DA32D1" w:rsidRPr="00C513BB">
        <w:rPr>
          <w:rFonts w:ascii="Arial" w:hAnsi="Arial" w:cs="Arial"/>
          <w:sz w:val="20"/>
          <w:szCs w:val="20"/>
          <w:lang w:val="pl-PL"/>
        </w:rPr>
        <w:t xml:space="preserve"> lub</w:t>
      </w:r>
    </w:p>
    <w:p w:rsidR="005C1467" w:rsidRPr="00C513BB" w:rsidRDefault="00F531B0" w:rsidP="00C513BB">
      <w:pPr>
        <w:pStyle w:val="Akapitzlist"/>
        <w:numPr>
          <w:ilvl w:val="0"/>
          <w:numId w:val="21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Usuniecie gleby z roślin w miejscu produkcji przed dostarczeniem ich do zakładu przetwórczego, przy czym gleba musi pozostać na polu, gdzie te rośliny były uprawiane.</w:t>
      </w:r>
    </w:p>
    <w:p w:rsidR="005C1467" w:rsidRPr="00977526" w:rsidRDefault="00F531B0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Ponadto, ścieki powstałe podczas przerobu i pakowania ziemniaków, innych roślin żywicielskich i roślin z przylegającą ziemią powinny zostać poddane odpowiednim zabiegom; nie można wykorzystywać ich do nawadniania roślin do sadzenia.</w:t>
      </w:r>
    </w:p>
    <w:p w:rsidR="00007257" w:rsidRDefault="00007257">
      <w:pPr>
        <w:tabs>
          <w:tab w:val="left" w:pos="274"/>
        </w:tabs>
        <w:outlineLvl w:val="2"/>
        <w:rPr>
          <w:rFonts w:ascii="Arial" w:hAnsi="Arial" w:cs="Arial"/>
          <w:sz w:val="20"/>
          <w:szCs w:val="20"/>
        </w:rPr>
      </w:pPr>
      <w:bookmarkStart w:id="10" w:name="bookmark11"/>
    </w:p>
    <w:bookmarkEnd w:id="10"/>
    <w:p w:rsidR="005C1467" w:rsidRPr="00C513BB" w:rsidRDefault="00F531B0" w:rsidP="00C513BB">
      <w:pPr>
        <w:pStyle w:val="Akapitzlist"/>
        <w:numPr>
          <w:ilvl w:val="0"/>
          <w:numId w:val="3"/>
        </w:numPr>
        <w:tabs>
          <w:tab w:val="left" w:pos="274"/>
        </w:tabs>
        <w:outlineLvl w:val="2"/>
        <w:rPr>
          <w:rFonts w:ascii="Arial" w:hAnsi="Arial" w:cs="Arial"/>
          <w:b/>
          <w:sz w:val="20"/>
          <w:szCs w:val="20"/>
        </w:rPr>
      </w:pPr>
      <w:r w:rsidRPr="00C513BB">
        <w:rPr>
          <w:rFonts w:ascii="Arial" w:hAnsi="Arial" w:cs="Arial"/>
          <w:b/>
          <w:sz w:val="20"/>
          <w:szCs w:val="20"/>
          <w:lang w:val="pl-PL"/>
        </w:rPr>
        <w:t xml:space="preserve">Powstrzymywanie </w:t>
      </w:r>
      <w:proofErr w:type="spellStart"/>
      <w:r w:rsidRPr="00C513BB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C513BB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C513BB">
        <w:rPr>
          <w:rFonts w:ascii="Arial" w:hAnsi="Arial" w:cs="Arial"/>
          <w:b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proofErr w:type="spellStart"/>
      <w:r w:rsidRPr="00C513BB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C513BB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C513BB">
        <w:rPr>
          <w:rFonts w:ascii="Arial" w:hAnsi="Arial" w:cs="Arial"/>
          <w:b/>
          <w:i/>
          <w:sz w:val="20"/>
          <w:szCs w:val="20"/>
          <w:lang w:val="pl-PL"/>
        </w:rPr>
        <w:t>fallax</w:t>
      </w:r>
      <w:proofErr w:type="spellEnd"/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F531B0">
      <w:pPr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W przypadku świeżo odkrytych populacji nicieni wyniki nadzoru mogą wskazać, że agrofag jest bardziej rozpowszechniony, niż początkowo uważano.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W takim przypadku kraj może ponownie </w:t>
      </w:r>
      <w:r w:rsidR="00C513BB" w:rsidRPr="00C513BB">
        <w:rPr>
          <w:rFonts w:ascii="Arial" w:hAnsi="Arial" w:cs="Arial"/>
          <w:sz w:val="20"/>
          <w:szCs w:val="20"/>
          <w:lang w:val="pl-PL"/>
        </w:rPr>
        <w:t xml:space="preserve">rozważyć perspektywę </w:t>
      </w:r>
      <w:r w:rsidRPr="00C513BB">
        <w:rPr>
          <w:rFonts w:ascii="Arial" w:hAnsi="Arial" w:cs="Arial"/>
          <w:sz w:val="20"/>
          <w:szCs w:val="20"/>
          <w:lang w:val="pl-PL"/>
        </w:rPr>
        <w:t>wytępienia.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Jeżeli wytępienie nie wydaje się być możliwe w niektórych obszarach lub systemach produkcji, kraj powinien wdrożyć program powstrzymywania agrofaga.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Podobnie, gdy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zostanie wykryty na obszarze, gdzie można kontrolować ryzyko rozprzestrzeniania się (np. uprawa pod osłonami)</w:t>
      </w:r>
      <w:r w:rsidR="00EB311E" w:rsidRPr="00C513BB">
        <w:rPr>
          <w:rFonts w:ascii="Arial" w:hAnsi="Arial" w:cs="Arial"/>
          <w:sz w:val="20"/>
          <w:szCs w:val="20"/>
          <w:lang w:val="pl-PL"/>
        </w:rPr>
        <w:t>,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 </w:t>
      </w:r>
      <w:r w:rsidR="00EB311E" w:rsidRPr="00C513BB">
        <w:rPr>
          <w:rFonts w:ascii="Arial" w:hAnsi="Arial" w:cs="Arial"/>
          <w:sz w:val="20"/>
          <w:szCs w:val="20"/>
          <w:lang w:val="pl-PL"/>
        </w:rPr>
        <w:t xml:space="preserve">a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nie </w:t>
      </w:r>
      <w:r w:rsidR="00EB311E" w:rsidRPr="00C513BB">
        <w:rPr>
          <w:rFonts w:ascii="Arial" w:hAnsi="Arial" w:cs="Arial"/>
          <w:sz w:val="20"/>
          <w:szCs w:val="20"/>
          <w:lang w:val="pl-PL"/>
        </w:rPr>
        <w:t>prowadzi się tam uprawy roślin do sadzenia, o których mowa w rozdziale 4, można wdrożyć program powstrzymywania agrofaga służący ograniczeniu ryzyka rozprzestrzeniania się organizmu z pola na pole w tym miejscu lub stanowisku produkcji lub poza obszar wyznaczony do celów powstrzymania agrofaga.</w:t>
      </w:r>
    </w:p>
    <w:p w:rsidR="005C1467" w:rsidRPr="00977526" w:rsidRDefault="00EB311E">
      <w:pPr>
        <w:ind w:firstLine="360"/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Jeżeli obecność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zostanie potwierdzona w badaniach, w celu powstrzymania agrofaga należy zastosować poniższe środki:</w:t>
      </w:r>
    </w:p>
    <w:p w:rsidR="005C1467" w:rsidRPr="00C513BB" w:rsidRDefault="00EB311E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Na podstawie urzędowego dochodzenia (systematyczne pobieranie i badanie prób, zgodnie ze Standardem </w:t>
      </w:r>
      <w:proofErr w:type="spellStart"/>
      <w:r w:rsidRPr="00C513B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PM 7/41) prowadzonego wobec działek na polu, szklarni lub otoczenia szklarni, należy wytyczyć obszar wyznaczony (kwarantannowy).</w:t>
      </w:r>
      <w:r w:rsidR="00977526" w:rsidRPr="00C513BB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Kompetentna jednostka urzędowa powinna wyznaczyć </w:t>
      </w:r>
      <w:r w:rsidR="00C513BB" w:rsidRPr="00C513BB">
        <w:rPr>
          <w:rFonts w:ascii="Arial" w:hAnsi="Arial" w:cs="Arial"/>
          <w:sz w:val="20"/>
          <w:szCs w:val="20"/>
          <w:lang w:val="pl-PL"/>
        </w:rPr>
        <w:t xml:space="preserve">wstępnie </w:t>
      </w:r>
      <w:r w:rsidRPr="00C513BB">
        <w:rPr>
          <w:rFonts w:ascii="Arial" w:hAnsi="Arial" w:cs="Arial"/>
          <w:sz w:val="20"/>
          <w:szCs w:val="20"/>
          <w:lang w:val="pl-PL"/>
        </w:rPr>
        <w:t>porażone i prawdopodobnie porażone miejsca lub stanowiska produkcji roślin do sadzenia.</w:t>
      </w:r>
      <w:r w:rsidR="00977526" w:rsidRPr="00C513BB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Jeżeli </w:t>
      </w:r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w </w:t>
      </w:r>
      <w:r w:rsidRPr="00C513BB">
        <w:rPr>
          <w:rFonts w:ascii="Arial" w:hAnsi="Arial" w:cs="Arial"/>
          <w:sz w:val="20"/>
          <w:szCs w:val="20"/>
          <w:lang w:val="pl-PL"/>
        </w:rPr>
        <w:t xml:space="preserve">wyniku urzędowego dochodzenia </w:t>
      </w:r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przeprowadzonego z zastosowaniem odpowiednich metod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</w:t>
      </w:r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i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 nie zostaną wykryte na prawdopodobnie porażonych polach, obszar wyznaczony może być ograniczony do porażonych pól w danym miejscu produkcji, ale jako środek ostrożności obszar ten może również objąć pola prawdopodobnie porażone.</w:t>
      </w:r>
      <w:r w:rsidR="00977526" w:rsidRPr="00C513BB">
        <w:rPr>
          <w:rFonts w:ascii="Arial" w:hAnsi="Arial" w:cs="Arial"/>
          <w:sz w:val="20"/>
          <w:szCs w:val="20"/>
        </w:rPr>
        <w:t xml:space="preserve"> </w:t>
      </w:r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Statusu obszaru wyznaczonego nie należy znosić do czasu uznania porażonego pola za wolne od </w:t>
      </w:r>
      <w:r w:rsidR="00A50AF3"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A50AF3"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A50AF3" w:rsidRPr="00C513BB">
        <w:rPr>
          <w:rFonts w:ascii="Arial" w:hAnsi="Arial" w:cs="Arial"/>
          <w:sz w:val="20"/>
          <w:szCs w:val="20"/>
          <w:lang w:val="pl-PL"/>
        </w:rPr>
        <w:t xml:space="preserve"> i </w:t>
      </w:r>
      <w:r w:rsidR="00A50AF3"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A50AF3"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A50AF3" w:rsidRPr="00C513BB">
        <w:rPr>
          <w:rFonts w:ascii="Arial" w:hAnsi="Arial" w:cs="Arial"/>
          <w:sz w:val="20"/>
          <w:szCs w:val="20"/>
          <w:lang w:val="pl-PL"/>
        </w:rPr>
        <w:t>;</w:t>
      </w:r>
    </w:p>
    <w:p w:rsidR="005C1467" w:rsidRPr="00C513BB" w:rsidRDefault="00A50AF3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Obszar wyznaczony może rozciągać się na inne miejsca lub stanowiska produkcji roślin do sadzenia.</w:t>
      </w:r>
      <w:r w:rsidR="00977526" w:rsidRPr="00C513BB">
        <w:rPr>
          <w:rFonts w:ascii="Arial" w:hAnsi="Arial" w:cs="Arial"/>
          <w:sz w:val="20"/>
          <w:szCs w:val="20"/>
        </w:rPr>
        <w:t xml:space="preserve"> </w:t>
      </w:r>
      <w:r w:rsidRPr="00C513BB">
        <w:rPr>
          <w:rFonts w:ascii="Arial" w:hAnsi="Arial" w:cs="Arial"/>
          <w:sz w:val="20"/>
          <w:szCs w:val="20"/>
          <w:lang w:val="pl-PL"/>
        </w:rPr>
        <w:t>Rozszerzenie takie może być niezbędne w przypadku braku naturalnych granic pomiędzy sąsiadującymi polami lub jeżeli pola były uprawiane z wykorzystaniem maszyn wcześniej używanych na polach porażonych;</w:t>
      </w:r>
    </w:p>
    <w:p w:rsidR="005C1467" w:rsidRPr="00C513BB" w:rsidRDefault="00A50AF3" w:rsidP="00C513BB">
      <w:pPr>
        <w:pStyle w:val="Akapitzlist"/>
        <w:numPr>
          <w:ilvl w:val="0"/>
          <w:numId w:val="23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W obszarze wyznaczonym nie należy uprawiać roślin do sadzenia;</w:t>
      </w:r>
    </w:p>
    <w:p w:rsidR="005C1467" w:rsidRPr="00C513BB" w:rsidRDefault="00A50AF3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Należy wprowadzić zakaz sadzenia roślin określonych jako porażone;</w:t>
      </w:r>
    </w:p>
    <w:p w:rsidR="005C1467" w:rsidRPr="00C513BB" w:rsidRDefault="007E710D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Rośliny określone jako porażone oraz inne rośliny z przylegającą glebą pochodzące z </w:t>
      </w:r>
      <w:r w:rsidRPr="00C513BB">
        <w:rPr>
          <w:rFonts w:ascii="Arial" w:hAnsi="Arial" w:cs="Arial"/>
          <w:sz w:val="20"/>
          <w:szCs w:val="20"/>
          <w:lang w:val="pl-PL"/>
        </w:rPr>
        <w:lastRenderedPageBreak/>
        <w:t>obszaru wyznaczonego powinny zostać dostarczone do zakładu przerobu stosującego odpowiednie, urzędowo zatwierdzone procedury unieszkodliwiania odpadów;</w:t>
      </w:r>
    </w:p>
    <w:p w:rsidR="005C1467" w:rsidRPr="00C513BB" w:rsidRDefault="007E710D" w:rsidP="00C513BB">
      <w:pPr>
        <w:pStyle w:val="Akapitzlist"/>
        <w:numPr>
          <w:ilvl w:val="0"/>
          <w:numId w:val="23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Sprzęt i inne przedmioty (sprzęt transportowy, maszyny, materiały opakowaniowe, itd.), które miały kontakt z polami, porażonymi roślinami, glebą lub zanieczyszczonymi przechowalniami powinny zostać oczyszczone w sposób nie stwarzający ryzyka rozprzestrzeniania się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i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C513BB" w:rsidRDefault="0027012E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Ponadto, jeżeli materiał roślinny wyprodukowany w obszarze wyznaczonym jest przewożony do przerobu, musi istnieć system czyszczenia maszyn, urządzeń i pojazdów transportowych;</w:t>
      </w:r>
    </w:p>
    <w:p w:rsidR="005C1467" w:rsidRPr="00C513BB" w:rsidRDefault="0027012E" w:rsidP="00C513BB">
      <w:pPr>
        <w:pStyle w:val="Akapitzlist"/>
        <w:numPr>
          <w:ilvl w:val="0"/>
          <w:numId w:val="23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 xml:space="preserve">Odpady z porażonej partii (głównie bulwy, korzenie i gleba) muszą być poddane kompostowaniu, zabiegowi lub unieszkodliwianiu w sposób nie stwarzający ryzyka rozprzestrzeniania się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 xml:space="preserve"> i </w:t>
      </w:r>
      <w:r w:rsidRPr="00C513BB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C513BB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C513BB">
        <w:rPr>
          <w:rFonts w:ascii="Arial" w:hAnsi="Arial" w:cs="Arial"/>
          <w:sz w:val="20"/>
          <w:szCs w:val="20"/>
          <w:lang w:val="pl-PL"/>
        </w:rPr>
        <w:t>;</w:t>
      </w:r>
    </w:p>
    <w:p w:rsidR="005C1467" w:rsidRPr="00C513BB" w:rsidRDefault="0027012E" w:rsidP="00C513BB">
      <w:pPr>
        <w:pStyle w:val="Akapitzlist"/>
        <w:numPr>
          <w:ilvl w:val="0"/>
          <w:numId w:val="23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513BB">
        <w:rPr>
          <w:rFonts w:ascii="Arial" w:hAnsi="Arial" w:cs="Arial"/>
          <w:sz w:val="20"/>
          <w:szCs w:val="20"/>
          <w:lang w:val="pl-PL"/>
        </w:rPr>
        <w:t>Na obszarze wyznaczonym należy stosować rygorystyczne środki higieny wobec sprzętu i maszyn, zgodnie z opisem w rozdziale 4 (zapobieganie rozprzestrzenianiu się).</w:t>
      </w:r>
    </w:p>
    <w:p w:rsidR="005C1467" w:rsidRPr="00977526" w:rsidRDefault="0027012E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W miejscu produkcji, gdzie wykryto porażenie należy zastosować środki higieny w celu zapobieżenia stykaniu się roślin lub materiału opakowaniowego z porażonymi roślinami lub glebą.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>Produkty roślinne (za wyjątkiem roślin do sadzenia, w tym sadzeniaków ziemniaka) pochodzące z takiego miejsca produkcji i nie określone jako porażone mogą następnie być wprowadzone do obrotu.</w:t>
      </w:r>
    </w:p>
    <w:p w:rsidR="005C1467" w:rsidRPr="00977526" w:rsidRDefault="0027012E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Na obszarach lub w krajach, gdzie nie ma już możliwości powstrzymania ani wytępienia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powinna zapobiegać rozprzestrzenianiu się tych agrofagów stosując środki wymienione w rozdziale 4 (zapobieganie rozprzestrzenianiu się).</w:t>
      </w:r>
    </w:p>
    <w:p w:rsidR="00007257" w:rsidRDefault="00007257">
      <w:pPr>
        <w:tabs>
          <w:tab w:val="left" w:pos="279"/>
        </w:tabs>
        <w:outlineLvl w:val="2"/>
        <w:rPr>
          <w:rFonts w:ascii="Arial" w:hAnsi="Arial" w:cs="Arial"/>
          <w:sz w:val="20"/>
          <w:szCs w:val="20"/>
        </w:rPr>
      </w:pPr>
      <w:bookmarkStart w:id="11" w:name="bookmark12"/>
    </w:p>
    <w:bookmarkEnd w:id="11"/>
    <w:p w:rsidR="005C1467" w:rsidRPr="0050764C" w:rsidRDefault="0027012E" w:rsidP="0050764C">
      <w:pPr>
        <w:pStyle w:val="Akapitzlist"/>
        <w:numPr>
          <w:ilvl w:val="0"/>
          <w:numId w:val="3"/>
        </w:numPr>
        <w:tabs>
          <w:tab w:val="left" w:pos="279"/>
        </w:tabs>
        <w:outlineLvl w:val="2"/>
        <w:rPr>
          <w:rFonts w:ascii="Arial" w:hAnsi="Arial" w:cs="Arial"/>
          <w:b/>
          <w:sz w:val="20"/>
          <w:szCs w:val="20"/>
        </w:rPr>
      </w:pPr>
      <w:r w:rsidRPr="0050764C">
        <w:rPr>
          <w:rFonts w:ascii="Arial" w:hAnsi="Arial" w:cs="Arial"/>
          <w:b/>
          <w:sz w:val="20"/>
          <w:szCs w:val="20"/>
          <w:lang w:val="pl-PL"/>
        </w:rPr>
        <w:t xml:space="preserve">Tępienie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50764C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50764C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fallax</w:t>
      </w:r>
      <w:proofErr w:type="spellEnd"/>
    </w:p>
    <w:p w:rsidR="00007257" w:rsidRDefault="00007257">
      <w:pPr>
        <w:rPr>
          <w:rFonts w:ascii="Arial" w:hAnsi="Arial" w:cs="Arial"/>
          <w:sz w:val="20"/>
          <w:szCs w:val="20"/>
        </w:rPr>
      </w:pPr>
    </w:p>
    <w:p w:rsidR="005C1467" w:rsidRPr="00977526" w:rsidRDefault="0027012E">
      <w:pPr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Tępienie stosuje się, jeżeli zasięg występowania przedmiotowych agrofagów jest ograniczony na terytorium kraju lub obszaru oraz w przypadku porażeń miejscowych.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1940AE" w:rsidRPr="0050764C">
        <w:rPr>
          <w:rFonts w:ascii="Arial" w:hAnsi="Arial" w:cs="Arial"/>
          <w:sz w:val="20"/>
          <w:szCs w:val="20"/>
          <w:lang w:val="pl-PL"/>
        </w:rPr>
        <w:t>Informacje na temat zasięgu występowania należy zbierać poprzez szczegółowe lustracje.</w:t>
      </w:r>
    </w:p>
    <w:p w:rsidR="005C1467" w:rsidRPr="00977526" w:rsidRDefault="001940AE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Program tępienia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opiera się na urzędowym wytyczeniu obszaru wyznaczonego w celu zapobieżenia dalszemu rozprzestrzenianiu się tych agrofagów i zastosowaniu środków zmierzających do ich wytępienia.</w:t>
      </w:r>
    </w:p>
    <w:p w:rsidR="005C1467" w:rsidRPr="00977526" w:rsidRDefault="001940AE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Proces tępienia składa się z czterech głównych działań:</w:t>
      </w:r>
    </w:p>
    <w:p w:rsidR="005C1467" w:rsidRPr="0050764C" w:rsidRDefault="001940AE" w:rsidP="0050764C">
      <w:pPr>
        <w:pStyle w:val="Akapitzlist"/>
        <w:numPr>
          <w:ilvl w:val="0"/>
          <w:numId w:val="25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Nadzór służący dokładnemu określeniu zasięgu występowania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(wyznaczenie zasięgu ogniska), zgodnie z opisem w rozdziale 2 i 3.</w:t>
      </w:r>
    </w:p>
    <w:p w:rsidR="005C1467" w:rsidRPr="0050764C" w:rsidRDefault="001940AE" w:rsidP="0050764C">
      <w:pPr>
        <w:pStyle w:val="Akapitzlist"/>
        <w:numPr>
          <w:ilvl w:val="0"/>
          <w:numId w:val="25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Powstrzymywanie rozprzestrzeniania się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, zgodnie z opisem w rozdziale 5 oraz kontrola w formie urzędowych inspekcji.</w:t>
      </w:r>
    </w:p>
    <w:p w:rsidR="005C1467" w:rsidRPr="0050764C" w:rsidRDefault="001940AE" w:rsidP="0050764C">
      <w:pPr>
        <w:pStyle w:val="Akapitzlist"/>
        <w:numPr>
          <w:ilvl w:val="0"/>
          <w:numId w:val="25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Zabiegi lub zwalczanie zmierzające do wytępienia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, w przypadku stwierdzenia tych organizmów.</w:t>
      </w:r>
    </w:p>
    <w:p w:rsidR="005C1467" w:rsidRPr="0050764C" w:rsidRDefault="001940AE" w:rsidP="0050764C">
      <w:pPr>
        <w:pStyle w:val="Akapitzlist"/>
        <w:numPr>
          <w:ilvl w:val="0"/>
          <w:numId w:val="25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Weryfikacja wytępienia organizmu.</w:t>
      </w:r>
    </w:p>
    <w:p w:rsidR="005C1467" w:rsidRPr="00977526" w:rsidRDefault="001940AE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Sposób prowadzenia nadzoru i powstrzymywania agrofaga opisano powyżej.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Nie istnieje jedna metoda o udowodnionej skuteczności tępienia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Wytępienie tych agrofagów </w:t>
      </w:r>
      <w:r w:rsidR="003B24D0" w:rsidRPr="0050764C">
        <w:rPr>
          <w:rFonts w:ascii="Arial" w:hAnsi="Arial" w:cs="Arial"/>
          <w:sz w:val="20"/>
          <w:szCs w:val="20"/>
          <w:lang w:val="pl-PL"/>
        </w:rPr>
        <w:t>osiąga się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 stosując kombinację różnych środków i może polegać na </w:t>
      </w:r>
      <w:r w:rsidR="003B24D0" w:rsidRPr="0050764C">
        <w:rPr>
          <w:rFonts w:ascii="Arial" w:hAnsi="Arial" w:cs="Arial"/>
          <w:sz w:val="20"/>
          <w:szCs w:val="20"/>
          <w:lang w:val="pl-PL"/>
        </w:rPr>
        <w:t>wprowadzeniu czarnego ugoru na 2 lata, a następnie:</w:t>
      </w:r>
    </w:p>
    <w:p w:rsidR="005C1467" w:rsidRPr="0050764C" w:rsidRDefault="003B24D0" w:rsidP="0050764C">
      <w:pPr>
        <w:pStyle w:val="Akapitzlist"/>
        <w:numPr>
          <w:ilvl w:val="0"/>
          <w:numId w:val="27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Uprawie przez co najmniej 3 lata roślin innych, niż rośliny żywicielskie;</w:t>
      </w:r>
    </w:p>
    <w:p w:rsidR="005C1467" w:rsidRPr="0050764C" w:rsidRDefault="003B24D0" w:rsidP="0050764C">
      <w:pPr>
        <w:pStyle w:val="Akapitzlist"/>
        <w:numPr>
          <w:ilvl w:val="0"/>
          <w:numId w:val="27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Zastosowaniu zabiegu termicznego (parowania lub solaryzacji) gleby;</w:t>
      </w:r>
    </w:p>
    <w:p w:rsidR="005C1467" w:rsidRPr="0050764C" w:rsidRDefault="003B24D0" w:rsidP="0050764C">
      <w:pPr>
        <w:pStyle w:val="Akapitzlist"/>
        <w:numPr>
          <w:ilvl w:val="0"/>
          <w:numId w:val="27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Zalaniu gleby;</w:t>
      </w:r>
    </w:p>
    <w:p w:rsidR="005C1467" w:rsidRPr="0050764C" w:rsidRDefault="003B24D0" w:rsidP="0050764C">
      <w:pPr>
        <w:pStyle w:val="Akapitzlist"/>
        <w:numPr>
          <w:ilvl w:val="0"/>
          <w:numId w:val="27"/>
        </w:numPr>
        <w:tabs>
          <w:tab w:val="left" w:pos="318"/>
        </w:tabs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Zastosowaniu nematocydów, jeżeli uzna się, że skutecznie ograniczą liczebność populacji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.</w:t>
      </w:r>
    </w:p>
    <w:p w:rsidR="005C1467" w:rsidRPr="00977526" w:rsidRDefault="003B24D0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Doświadczenie pokazuje skuteczność połączenia czarnego ugoru z uprawą roślin innych, niż żywicielskie (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Gamon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&amp; Lenne, 2012).</w:t>
      </w:r>
      <w:r w:rsidR="00977526" w:rsidRPr="003B24D0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>Inne zabiegi, takie jak zabieg termiczny, zalanie i nematocydy mogą być również użyte do ograniczenia liczebności agrofaga.</w:t>
      </w:r>
    </w:p>
    <w:p w:rsidR="005C1467" w:rsidRPr="00977526" w:rsidRDefault="003B24D0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Podczas stosowania wszystkich powyższych środków należy w odpowiedni sposób i w odpowiednich terminach zwalczać chwasty i samosiewy;</w:t>
      </w:r>
      <w:r w:rsidR="00977526" w:rsidRPr="003B24D0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jednym z możliwych sposobów zwalczania chwastów jest przykrycie </w:t>
      </w:r>
      <w:r w:rsidR="00EA05B2" w:rsidRPr="0050764C">
        <w:rPr>
          <w:rFonts w:ascii="Arial" w:hAnsi="Arial" w:cs="Arial"/>
          <w:sz w:val="20"/>
          <w:szCs w:val="20"/>
          <w:lang w:val="pl-PL"/>
        </w:rPr>
        <w:t>ich plandeką</w:t>
      </w:r>
      <w:r w:rsidRPr="0050764C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EA05B2" w:rsidRPr="0050764C">
        <w:rPr>
          <w:rFonts w:ascii="Arial" w:hAnsi="Arial" w:cs="Arial"/>
          <w:sz w:val="20"/>
          <w:szCs w:val="20"/>
          <w:lang w:val="pl-PL"/>
        </w:rPr>
        <w:t>Sprzęt, maszyny i personel zaangażowany do zwalczania chwastów powinien być poddawany rygorystycznym zabiegom higienicznym.</w:t>
      </w:r>
    </w:p>
    <w:p w:rsidR="005C1467" w:rsidRPr="00977526" w:rsidRDefault="00EA05B2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Weryfikacja wytępienia agrofagów powinna przybrać formę systematycznego pobierania prób z porażonych pól (Załącznik 1) i badania ich zgodnie ze Standardem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PM 7/41 po zastosowaniu zwalczania i posadzeniu na danym polu wrażliwych roślin żywicielskich.</w:t>
      </w:r>
    </w:p>
    <w:p w:rsidR="00B21ABA" w:rsidRDefault="00B21ABA">
      <w:pPr>
        <w:ind w:left="360" w:hanging="360"/>
        <w:outlineLvl w:val="1"/>
        <w:rPr>
          <w:rFonts w:ascii="Arial" w:hAnsi="Arial" w:cs="Arial"/>
          <w:sz w:val="20"/>
          <w:szCs w:val="20"/>
        </w:rPr>
      </w:pPr>
      <w:bookmarkStart w:id="12" w:name="bookmark13"/>
    </w:p>
    <w:bookmarkEnd w:id="12"/>
    <w:p w:rsidR="005C1467" w:rsidRPr="00B21ABA" w:rsidRDefault="00EA05B2">
      <w:pPr>
        <w:ind w:left="360" w:hanging="360"/>
        <w:outlineLvl w:val="1"/>
        <w:rPr>
          <w:rFonts w:ascii="Arial" w:hAnsi="Arial" w:cs="Arial"/>
          <w:b/>
          <w:sz w:val="20"/>
          <w:szCs w:val="20"/>
        </w:rPr>
      </w:pPr>
      <w:r w:rsidRPr="0050764C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B21ABA" w:rsidRDefault="00B21ABA">
      <w:pPr>
        <w:ind w:left="360" w:hanging="360"/>
        <w:rPr>
          <w:rFonts w:ascii="Arial" w:hAnsi="Arial" w:cs="Arial"/>
          <w:sz w:val="20"/>
          <w:szCs w:val="20"/>
        </w:rPr>
      </w:pP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r w:rsidRPr="00977526">
        <w:rPr>
          <w:rFonts w:ascii="Arial" w:hAnsi="Arial" w:cs="Arial"/>
          <w:sz w:val="20"/>
          <w:szCs w:val="20"/>
        </w:rPr>
        <w:t xml:space="preserve">Been TH, </w:t>
      </w:r>
      <w:proofErr w:type="spellStart"/>
      <w:r w:rsidRPr="00977526">
        <w:rPr>
          <w:rFonts w:ascii="Arial" w:hAnsi="Arial" w:cs="Arial"/>
          <w:sz w:val="20"/>
          <w:szCs w:val="20"/>
        </w:rPr>
        <w:t>Korthals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977526">
        <w:rPr>
          <w:rFonts w:ascii="Arial" w:hAnsi="Arial" w:cs="Arial"/>
          <w:sz w:val="20"/>
          <w:szCs w:val="20"/>
        </w:rPr>
        <w:t>Schomaker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CH &amp; </w:t>
      </w:r>
      <w:proofErr w:type="spellStart"/>
      <w:r w:rsidRPr="00977526">
        <w:rPr>
          <w:rFonts w:ascii="Arial" w:hAnsi="Arial" w:cs="Arial"/>
          <w:sz w:val="20"/>
          <w:szCs w:val="20"/>
        </w:rPr>
        <w:t>Zijlstra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C (2007) The </w:t>
      </w:r>
      <w:proofErr w:type="spellStart"/>
      <w:r w:rsidRPr="00977526">
        <w:rPr>
          <w:rFonts w:ascii="Arial" w:hAnsi="Arial" w:cs="Arial"/>
          <w:sz w:val="20"/>
          <w:szCs w:val="20"/>
        </w:rPr>
        <w:t>MeloStop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Project. Report 138, Plant </w:t>
      </w:r>
      <w:r w:rsidRPr="00977526">
        <w:rPr>
          <w:rFonts w:ascii="Arial" w:hAnsi="Arial" w:cs="Arial"/>
          <w:sz w:val="20"/>
          <w:szCs w:val="20"/>
        </w:rPr>
        <w:lastRenderedPageBreak/>
        <w:t xml:space="preserve">research International BV, </w:t>
      </w:r>
      <w:proofErr w:type="spellStart"/>
      <w:r w:rsidRPr="00977526">
        <w:rPr>
          <w:rFonts w:ascii="Arial" w:hAnsi="Arial" w:cs="Arial"/>
          <w:sz w:val="20"/>
          <w:szCs w:val="20"/>
        </w:rPr>
        <w:t>Wageningen</w:t>
      </w:r>
      <w:proofErr w:type="spellEnd"/>
      <w:r w:rsidRPr="00977526">
        <w:rPr>
          <w:rFonts w:ascii="Arial" w:hAnsi="Arial" w:cs="Arial"/>
          <w:sz w:val="20"/>
          <w:szCs w:val="20"/>
        </w:rPr>
        <w:t>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EPPO</w:t>
      </w:r>
      <w:proofErr w:type="spellEnd"/>
      <w:r w:rsidRPr="00977526">
        <w:rPr>
          <w:rFonts w:ascii="Arial" w:hAnsi="Arial" w:cs="Arial"/>
          <w:sz w:val="20"/>
          <w:szCs w:val="20"/>
        </w:rPr>
        <w:t>/</w:t>
      </w:r>
      <w:proofErr w:type="spellStart"/>
      <w:r w:rsidRPr="00977526">
        <w:rPr>
          <w:rFonts w:ascii="Arial" w:hAnsi="Arial" w:cs="Arial"/>
          <w:sz w:val="20"/>
          <w:szCs w:val="20"/>
        </w:rPr>
        <w:t>CABI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(1997) In: Quarantine Pests for Europe, 2nd Edition. (</w:t>
      </w:r>
      <w:proofErr w:type="spellStart"/>
      <w:r w:rsidRPr="00977526">
        <w:rPr>
          <w:rFonts w:ascii="Arial" w:hAnsi="Arial" w:cs="Arial"/>
          <w:sz w:val="20"/>
          <w:szCs w:val="20"/>
        </w:rPr>
        <w:t>Eds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Smith IM, McNamara DG, Scott PR, Holderness M), </w:t>
      </w:r>
      <w:proofErr w:type="spellStart"/>
      <w:r w:rsidRPr="00977526">
        <w:rPr>
          <w:rFonts w:ascii="Arial" w:hAnsi="Arial" w:cs="Arial"/>
          <w:sz w:val="20"/>
          <w:szCs w:val="20"/>
        </w:rPr>
        <w:t>Meliodogyne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pp 612-618. CAB International, Wallingford (GB).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EPPO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Standard PM 3/69.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and M. </w:t>
      </w:r>
      <w:proofErr w:type="spellStart"/>
      <w:r w:rsidRPr="00977526">
        <w:rPr>
          <w:rFonts w:ascii="Arial" w:hAnsi="Arial" w:cs="Arial"/>
          <w:sz w:val="20"/>
          <w:szCs w:val="20"/>
        </w:rPr>
        <w:t>fallax</w:t>
      </w:r>
      <w:proofErr w:type="spellEnd"/>
      <w:r w:rsidRPr="00977526">
        <w:rPr>
          <w:rFonts w:ascii="Arial" w:hAnsi="Arial" w:cs="Arial"/>
          <w:sz w:val="20"/>
          <w:szCs w:val="20"/>
        </w:rPr>
        <w:t>: sampling potato tubers for detection.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EPPO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Standard PM 7/41 Diagnostics.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fallax</w:t>
      </w:r>
      <w:proofErr w:type="spellEnd"/>
      <w:r w:rsidRPr="00977526">
        <w:rPr>
          <w:rFonts w:ascii="Arial" w:hAnsi="Arial" w:cs="Arial"/>
          <w:sz w:val="20"/>
          <w:szCs w:val="20"/>
        </w:rPr>
        <w:t>.</w:t>
      </w:r>
    </w:p>
    <w:p w:rsidR="005C1467" w:rsidRPr="00977526" w:rsidRDefault="00977526">
      <w:pPr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EPPO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Standard PM 7/119 Nematode extraction.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Gamon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A &amp; </w:t>
      </w:r>
      <w:proofErr w:type="spellStart"/>
      <w:r w:rsidRPr="00977526">
        <w:rPr>
          <w:rFonts w:ascii="Arial" w:hAnsi="Arial" w:cs="Arial"/>
          <w:sz w:val="20"/>
          <w:szCs w:val="20"/>
        </w:rPr>
        <w:t>Lenne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N (2012)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fallax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in France: initial management experiences. </w:t>
      </w:r>
      <w:proofErr w:type="spellStart"/>
      <w:r w:rsidRPr="00977526">
        <w:rPr>
          <w:rFonts w:ascii="Arial" w:hAnsi="Arial" w:cs="Arial"/>
          <w:sz w:val="20"/>
          <w:szCs w:val="20"/>
        </w:rPr>
        <w:t>EPPO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Bulletin 42, 122-126.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r w:rsidRPr="00977526">
        <w:rPr>
          <w:rFonts w:ascii="Arial" w:hAnsi="Arial" w:cs="Arial"/>
          <w:sz w:val="20"/>
          <w:szCs w:val="20"/>
        </w:rPr>
        <w:t xml:space="preserve">Macleod A, Anderson H, </w:t>
      </w:r>
      <w:proofErr w:type="spellStart"/>
      <w:r w:rsidRPr="00977526">
        <w:rPr>
          <w:rFonts w:ascii="Arial" w:hAnsi="Arial" w:cs="Arial"/>
          <w:sz w:val="20"/>
          <w:szCs w:val="20"/>
        </w:rPr>
        <w:t>Follak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S, van </w:t>
      </w:r>
      <w:proofErr w:type="spellStart"/>
      <w:r w:rsidRPr="00977526">
        <w:rPr>
          <w:rFonts w:ascii="Arial" w:hAnsi="Arial" w:cs="Arial"/>
          <w:sz w:val="20"/>
          <w:szCs w:val="20"/>
        </w:rPr>
        <w:t>der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Gaag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DJ, Potting R, </w:t>
      </w:r>
      <w:proofErr w:type="spellStart"/>
      <w:r w:rsidRPr="00977526">
        <w:rPr>
          <w:rFonts w:ascii="Arial" w:hAnsi="Arial" w:cs="Arial"/>
          <w:sz w:val="20"/>
          <w:szCs w:val="20"/>
        </w:rPr>
        <w:t>Proivost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O et al. (2012) Pest Risk Assessment for the European Community plant health: a comparative approach with case studies. Supporting Publications 2012: EN-319. [1052 pp.]. </w:t>
      </w:r>
      <w:r w:rsidRPr="00B21ABA">
        <w:rPr>
          <w:rFonts w:ascii="Arial" w:hAnsi="Arial" w:cs="Arial"/>
          <w:sz w:val="20"/>
          <w:szCs w:val="20"/>
        </w:rPr>
        <w:t>http://www.efsa</w:t>
      </w:r>
      <w:r w:rsidRPr="00977526">
        <w:rPr>
          <w:rFonts w:ascii="Arial" w:hAnsi="Arial" w:cs="Arial"/>
          <w:sz w:val="20"/>
          <w:szCs w:val="20"/>
        </w:rPr>
        <w:t>. europa.eu/</w:t>
      </w:r>
      <w:proofErr w:type="spellStart"/>
      <w:r w:rsidRPr="00977526">
        <w:rPr>
          <w:rFonts w:ascii="Arial" w:hAnsi="Arial" w:cs="Arial"/>
          <w:sz w:val="20"/>
          <w:szCs w:val="20"/>
        </w:rPr>
        <w:t>fr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/supporting/doc/319e.pdf [accessed on 1 Sept 2013]. den </w:t>
      </w:r>
      <w:proofErr w:type="spellStart"/>
      <w:r w:rsidRPr="00977526">
        <w:rPr>
          <w:rFonts w:ascii="Arial" w:hAnsi="Arial" w:cs="Arial"/>
          <w:sz w:val="20"/>
          <w:szCs w:val="20"/>
        </w:rPr>
        <w:t>Nijs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L &amp; van den Berg W (2013) The added value of proficiency tests: choosing the proper method for extracting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second stage juveniles from soil. </w:t>
      </w:r>
      <w:proofErr w:type="spellStart"/>
      <w:r w:rsidRPr="00977526">
        <w:rPr>
          <w:rFonts w:ascii="Arial" w:hAnsi="Arial" w:cs="Arial"/>
          <w:sz w:val="20"/>
          <w:szCs w:val="20"/>
        </w:rPr>
        <w:t>Nematology</w:t>
      </w:r>
      <w:proofErr w:type="spellEnd"/>
      <w:r w:rsidRPr="00977526">
        <w:rPr>
          <w:rFonts w:ascii="Arial" w:hAnsi="Arial" w:cs="Arial"/>
          <w:sz w:val="20"/>
          <w:szCs w:val="20"/>
        </w:rPr>
        <w:t>, 15, 143-151.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r w:rsidRPr="00977526">
        <w:rPr>
          <w:rFonts w:ascii="Arial" w:hAnsi="Arial" w:cs="Arial"/>
          <w:sz w:val="20"/>
          <w:szCs w:val="20"/>
        </w:rPr>
        <w:t xml:space="preserve">Van Riel HR (1993) Comparison of potato cultivars in relation to their level of external symptoms on tubers caused by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77526">
        <w:rPr>
          <w:rFonts w:ascii="Arial" w:hAnsi="Arial" w:cs="Arial"/>
          <w:sz w:val="20"/>
          <w:szCs w:val="20"/>
        </w:rPr>
        <w:t>Mededelingen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Faculteit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Landbouwkundige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77526">
        <w:rPr>
          <w:rFonts w:ascii="Arial" w:hAnsi="Arial" w:cs="Arial"/>
          <w:sz w:val="20"/>
          <w:szCs w:val="20"/>
        </w:rPr>
        <w:t>Toegepaste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Biologische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Wetenschappen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Universiteit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Gent 58, 737-742.</w:t>
      </w:r>
    </w:p>
    <w:p w:rsidR="005C1467" w:rsidRPr="00977526" w:rsidRDefault="00977526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977526">
        <w:rPr>
          <w:rFonts w:ascii="Arial" w:hAnsi="Arial" w:cs="Arial"/>
          <w:sz w:val="20"/>
          <w:szCs w:val="20"/>
        </w:rPr>
        <w:t>Wesemael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WML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977526">
        <w:rPr>
          <w:rFonts w:ascii="Arial" w:hAnsi="Arial" w:cs="Arial"/>
          <w:sz w:val="20"/>
          <w:szCs w:val="20"/>
        </w:rPr>
        <w:t>Moens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M (2008) Quality damage on carrots (</w:t>
      </w:r>
      <w:proofErr w:type="spellStart"/>
      <w:r w:rsidRPr="00977526">
        <w:rPr>
          <w:rFonts w:ascii="Arial" w:hAnsi="Arial" w:cs="Arial"/>
          <w:sz w:val="20"/>
          <w:szCs w:val="20"/>
        </w:rPr>
        <w:t>Daucus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carota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L.) caused by the root-knot nematode </w:t>
      </w:r>
      <w:proofErr w:type="spellStart"/>
      <w:r w:rsidRPr="00977526">
        <w:rPr>
          <w:rFonts w:ascii="Arial" w:hAnsi="Arial" w:cs="Arial"/>
          <w:sz w:val="20"/>
          <w:szCs w:val="20"/>
        </w:rPr>
        <w:t>Meloidogyne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526">
        <w:rPr>
          <w:rFonts w:ascii="Arial" w:hAnsi="Arial" w:cs="Arial"/>
          <w:sz w:val="20"/>
          <w:szCs w:val="20"/>
        </w:rPr>
        <w:t>chitwoodi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77526">
        <w:rPr>
          <w:rFonts w:ascii="Arial" w:hAnsi="Arial" w:cs="Arial"/>
          <w:sz w:val="20"/>
          <w:szCs w:val="20"/>
        </w:rPr>
        <w:t>Nematology</w:t>
      </w:r>
      <w:proofErr w:type="spellEnd"/>
      <w:r w:rsidRPr="00977526">
        <w:rPr>
          <w:rFonts w:ascii="Arial" w:hAnsi="Arial" w:cs="Arial"/>
          <w:sz w:val="20"/>
          <w:szCs w:val="20"/>
        </w:rPr>
        <w:t xml:space="preserve"> 10, 261-270.</w:t>
      </w:r>
    </w:p>
    <w:p w:rsidR="00B21ABA" w:rsidRDefault="00B21ABA">
      <w:pPr>
        <w:outlineLvl w:val="1"/>
        <w:rPr>
          <w:rFonts w:ascii="Arial" w:hAnsi="Arial" w:cs="Arial"/>
          <w:sz w:val="20"/>
          <w:szCs w:val="20"/>
        </w:rPr>
      </w:pPr>
      <w:bookmarkStart w:id="13" w:name="bookmark14"/>
    </w:p>
    <w:p w:rsidR="00B21ABA" w:rsidRDefault="00B21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13"/>
    <w:p w:rsidR="005C1467" w:rsidRPr="00B21ABA" w:rsidRDefault="00BD777E">
      <w:pPr>
        <w:outlineLvl w:val="1"/>
        <w:rPr>
          <w:rFonts w:ascii="Arial" w:hAnsi="Arial" w:cs="Arial"/>
          <w:b/>
          <w:sz w:val="20"/>
          <w:szCs w:val="20"/>
        </w:rPr>
      </w:pPr>
      <w:r w:rsidRPr="0050764C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Załącznik 1 – Pobieranie prób gleby do badania pod kątem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50764C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50764C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50764C">
        <w:rPr>
          <w:rFonts w:ascii="Arial" w:hAnsi="Arial" w:cs="Arial"/>
          <w:b/>
          <w:i/>
          <w:sz w:val="20"/>
          <w:szCs w:val="20"/>
          <w:lang w:val="pl-PL"/>
        </w:rPr>
        <w:t>fallax</w:t>
      </w:r>
      <w:proofErr w:type="spellEnd"/>
    </w:p>
    <w:p w:rsidR="00B21ABA" w:rsidRDefault="00B21ABA">
      <w:pPr>
        <w:rPr>
          <w:rFonts w:ascii="Arial" w:hAnsi="Arial" w:cs="Arial"/>
          <w:sz w:val="20"/>
          <w:szCs w:val="20"/>
        </w:rPr>
      </w:pPr>
    </w:p>
    <w:p w:rsidR="005C1467" w:rsidRPr="00B21ABA" w:rsidRDefault="00BD777E">
      <w:pPr>
        <w:rPr>
          <w:rFonts w:ascii="Arial" w:hAnsi="Arial" w:cs="Arial"/>
          <w:i/>
          <w:sz w:val="20"/>
          <w:szCs w:val="20"/>
        </w:rPr>
      </w:pPr>
      <w:r w:rsidRPr="0050764C">
        <w:rPr>
          <w:rFonts w:ascii="Arial" w:hAnsi="Arial" w:cs="Arial"/>
          <w:i/>
          <w:sz w:val="20"/>
          <w:szCs w:val="20"/>
          <w:lang w:val="pl-PL"/>
        </w:rPr>
        <w:t>Uwaga:</w:t>
      </w:r>
      <w:r w:rsidR="00977526" w:rsidRPr="00B21ABA">
        <w:rPr>
          <w:rFonts w:ascii="Arial" w:hAnsi="Arial" w:cs="Arial"/>
          <w:i/>
          <w:sz w:val="20"/>
          <w:szCs w:val="20"/>
        </w:rPr>
        <w:t xml:space="preserve"> </w:t>
      </w:r>
      <w:r w:rsidR="0052769E" w:rsidRPr="0050764C">
        <w:rPr>
          <w:rFonts w:ascii="Arial" w:hAnsi="Arial" w:cs="Arial"/>
          <w:i/>
          <w:sz w:val="20"/>
          <w:szCs w:val="20"/>
          <w:lang w:val="pl-PL"/>
        </w:rPr>
        <w:t>Niniejszą metodę opracowano na podstawie badań przeprowadzonych w Holandii (</w:t>
      </w:r>
      <w:proofErr w:type="spellStart"/>
      <w:r w:rsidR="0052769E" w:rsidRPr="0050764C">
        <w:rPr>
          <w:rFonts w:ascii="Arial" w:hAnsi="Arial" w:cs="Arial"/>
          <w:i/>
          <w:sz w:val="20"/>
          <w:szCs w:val="20"/>
          <w:lang w:val="pl-PL"/>
        </w:rPr>
        <w:t>Been</w:t>
      </w:r>
      <w:proofErr w:type="spellEnd"/>
      <w:r w:rsidR="0052769E" w:rsidRPr="0050764C">
        <w:rPr>
          <w:rFonts w:ascii="Arial" w:hAnsi="Arial" w:cs="Arial"/>
          <w:i/>
          <w:sz w:val="20"/>
          <w:szCs w:val="20"/>
          <w:lang w:val="pl-PL"/>
        </w:rPr>
        <w:t xml:space="preserve"> et al., 2007).</w:t>
      </w:r>
      <w:r w:rsidR="00977526" w:rsidRPr="00BD777E">
        <w:rPr>
          <w:rFonts w:ascii="Arial" w:hAnsi="Arial" w:cs="Arial"/>
          <w:i/>
          <w:sz w:val="20"/>
          <w:szCs w:val="20"/>
        </w:rPr>
        <w:t xml:space="preserve"> </w:t>
      </w:r>
      <w:r w:rsidR="0052769E" w:rsidRPr="0050764C">
        <w:rPr>
          <w:rFonts w:ascii="Arial" w:hAnsi="Arial" w:cs="Arial"/>
          <w:i/>
          <w:sz w:val="20"/>
          <w:szCs w:val="20"/>
          <w:lang w:val="pl-PL"/>
        </w:rPr>
        <w:t>Podane informacje dotyczą prób pobranych bezpośrednio po uprawie rośliny żywicielskiej.</w:t>
      </w:r>
      <w:r w:rsidR="00977526" w:rsidRPr="00B21ABA">
        <w:rPr>
          <w:rFonts w:ascii="Arial" w:hAnsi="Arial" w:cs="Arial"/>
          <w:i/>
          <w:sz w:val="20"/>
          <w:szCs w:val="20"/>
        </w:rPr>
        <w:t xml:space="preserve"> </w:t>
      </w:r>
      <w:r w:rsidR="0052769E" w:rsidRPr="0050764C">
        <w:rPr>
          <w:rFonts w:ascii="Arial" w:hAnsi="Arial" w:cs="Arial"/>
          <w:i/>
          <w:sz w:val="20"/>
          <w:szCs w:val="20"/>
          <w:lang w:val="pl-PL"/>
        </w:rPr>
        <w:t>Należy przeprowadzić badania naukowe w celu ustalenia wpływu długości okresu bez uprawy rośliny żywicielskiej na poziomy detekcji.</w:t>
      </w:r>
    </w:p>
    <w:p w:rsidR="005C1467" w:rsidRPr="00977526" w:rsidRDefault="0050764C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Poniższe metody pobierania prób opierają</w:t>
      </w:r>
      <w:r w:rsidR="0052769E" w:rsidRPr="0050764C">
        <w:rPr>
          <w:rFonts w:ascii="Arial" w:hAnsi="Arial" w:cs="Arial"/>
          <w:sz w:val="20"/>
          <w:szCs w:val="20"/>
          <w:lang w:val="pl-PL"/>
        </w:rPr>
        <w:t xml:space="preserve"> się na założeniu, że ognisko </w:t>
      </w:r>
      <w:r w:rsidR="0052769E"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52769E"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52769E" w:rsidRPr="0050764C">
        <w:rPr>
          <w:rFonts w:ascii="Arial" w:hAnsi="Arial" w:cs="Arial"/>
          <w:sz w:val="20"/>
          <w:szCs w:val="20"/>
          <w:lang w:val="pl-PL"/>
        </w:rPr>
        <w:t xml:space="preserve"> lub </w:t>
      </w:r>
      <w:r w:rsidR="0052769E"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52769E"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52769E" w:rsidRPr="0050764C">
        <w:rPr>
          <w:rFonts w:ascii="Arial" w:hAnsi="Arial" w:cs="Arial"/>
          <w:sz w:val="20"/>
          <w:szCs w:val="20"/>
          <w:lang w:val="pl-PL"/>
        </w:rPr>
        <w:t xml:space="preserve"> istnieje na danym polu od niedawna i że ma wobec niego zastosowanie teoria fokusowa (</w:t>
      </w:r>
      <w:proofErr w:type="spellStart"/>
      <w:r w:rsidR="0052769E" w:rsidRPr="0050764C">
        <w:rPr>
          <w:rFonts w:ascii="Arial" w:hAnsi="Arial" w:cs="Arial"/>
          <w:sz w:val="20"/>
          <w:szCs w:val="20"/>
          <w:lang w:val="pl-PL"/>
        </w:rPr>
        <w:t>Been</w:t>
      </w:r>
      <w:proofErr w:type="spellEnd"/>
      <w:r w:rsidR="0052769E" w:rsidRPr="0050764C">
        <w:rPr>
          <w:rFonts w:ascii="Arial" w:hAnsi="Arial" w:cs="Arial"/>
          <w:sz w:val="20"/>
          <w:szCs w:val="20"/>
          <w:lang w:val="pl-PL"/>
        </w:rPr>
        <w:t xml:space="preserve"> et al., 2007).</w:t>
      </w:r>
      <w:r w:rsidR="00977526" w:rsidRPr="0052769E">
        <w:rPr>
          <w:rFonts w:ascii="Arial" w:hAnsi="Arial" w:cs="Arial"/>
          <w:sz w:val="20"/>
          <w:szCs w:val="20"/>
        </w:rPr>
        <w:t xml:space="preserve"> </w:t>
      </w:r>
      <w:r w:rsidR="00553BD6" w:rsidRPr="0050764C">
        <w:rPr>
          <w:rFonts w:ascii="Arial" w:hAnsi="Arial" w:cs="Arial"/>
          <w:sz w:val="20"/>
          <w:szCs w:val="20"/>
          <w:lang w:val="pl-PL"/>
        </w:rPr>
        <w:t>Jeżeli porażenie występuje na polu od dłuższego czasu, rozkład nicieni jest bardziej równomierny na całej jego powierzchni, w związku z czym szanse wykrycia porażenia są większe, zakładające że rośliny żywicielskie występowały na polu niedługo przed pobraniem prób.</w:t>
      </w:r>
    </w:p>
    <w:p w:rsidR="005C1467" w:rsidRPr="00977526" w:rsidRDefault="00553BD6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Grupa roślin żywicielskich jest bardzo duża, a strategię próbobrania można dostosować uwzględniając status żywicielski roślin znajdujących się na polu.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>Ponieważ nicienie rozmnażają się lepiej na dobrych roślinach żywicielskich, szanse ich wykrycia będą większe.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Fakt ten odzwierciedlony jest w </w:t>
      </w:r>
      <w:r w:rsidR="00645EE7" w:rsidRPr="0050764C">
        <w:rPr>
          <w:rFonts w:ascii="Arial" w:hAnsi="Arial" w:cs="Arial"/>
          <w:sz w:val="20"/>
          <w:szCs w:val="20"/>
          <w:lang w:val="pl-PL"/>
        </w:rPr>
        <w:t xml:space="preserve">schemacie </w:t>
      </w:r>
      <w:r w:rsidRPr="0050764C">
        <w:rPr>
          <w:rFonts w:ascii="Arial" w:hAnsi="Arial" w:cs="Arial"/>
          <w:sz w:val="20"/>
          <w:szCs w:val="20"/>
          <w:lang w:val="pl-PL"/>
        </w:rPr>
        <w:t>próbobrania opisanym poniżej.</w:t>
      </w:r>
    </w:p>
    <w:p w:rsidR="005C1467" w:rsidRPr="00977526" w:rsidRDefault="00645EE7" w:rsidP="00645EE7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Stosując </w:t>
      </w:r>
      <w:r w:rsidR="0050764C" w:rsidRPr="0050764C">
        <w:rPr>
          <w:rFonts w:ascii="Arial" w:hAnsi="Arial" w:cs="Arial"/>
          <w:sz w:val="20"/>
          <w:szCs w:val="20"/>
          <w:lang w:val="pl-PL"/>
        </w:rPr>
        <w:t xml:space="preserve">niniejszą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strategię próbobrania można określić obecność ogniska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lub </w:t>
      </w:r>
      <w:r w:rsidRPr="0050764C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50764C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o środkowej gęstości populacji (central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population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density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CPD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) na poziomie 6000 osobników młodocianych na 100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gleby tuż po uprawie rośliny żywicielskiej lub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CPD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na poziomie 3000 osobników młodocianych przed 15 listopada (w warunkach holenderskich) z ponad 90% prawdopodobieństwem detekcji.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Po 15 listopada poziom detekcji spada do 72% wykrycia ogniska z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CPD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na poziomie 600 osobników młodocianych na 100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gleby.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Takie poziomy detekcji uzyskano przygotowując mineralną i organiczną frakcję prób gleby przy pomocy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elutriatora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i poddając frakcję organiczną inkubacji (patrz Standard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PM 7/119 </w:t>
      </w:r>
      <w:r w:rsidRPr="0050764C">
        <w:rPr>
          <w:rFonts w:ascii="Arial" w:hAnsi="Arial" w:cs="Arial"/>
          <w:i/>
          <w:sz w:val="20"/>
          <w:szCs w:val="20"/>
          <w:lang w:val="pl-PL"/>
        </w:rPr>
        <w:t>Ekstrakcja nicieni</w:t>
      </w:r>
      <w:r w:rsidRPr="0050764C">
        <w:rPr>
          <w:rFonts w:ascii="Arial" w:hAnsi="Arial" w:cs="Arial"/>
          <w:sz w:val="20"/>
          <w:szCs w:val="20"/>
          <w:lang w:val="pl-PL"/>
        </w:rPr>
        <w:t>).</w:t>
      </w:r>
    </w:p>
    <w:p w:rsidR="00B21ABA" w:rsidRDefault="00B21ABA">
      <w:pPr>
        <w:outlineLvl w:val="2"/>
        <w:rPr>
          <w:rFonts w:ascii="Arial" w:hAnsi="Arial" w:cs="Arial"/>
          <w:sz w:val="20"/>
          <w:szCs w:val="20"/>
        </w:rPr>
      </w:pPr>
      <w:bookmarkStart w:id="14" w:name="bookmark15"/>
    </w:p>
    <w:bookmarkEnd w:id="14"/>
    <w:p w:rsidR="005C1467" w:rsidRPr="00B21ABA" w:rsidRDefault="00645EE7">
      <w:pPr>
        <w:outlineLvl w:val="2"/>
        <w:rPr>
          <w:rFonts w:ascii="Arial" w:hAnsi="Arial" w:cs="Arial"/>
          <w:b/>
          <w:sz w:val="20"/>
          <w:szCs w:val="20"/>
        </w:rPr>
      </w:pPr>
      <w:r w:rsidRPr="0050764C">
        <w:rPr>
          <w:rFonts w:ascii="Arial" w:hAnsi="Arial" w:cs="Arial"/>
          <w:b/>
          <w:sz w:val="20"/>
          <w:szCs w:val="20"/>
          <w:lang w:val="pl-PL"/>
        </w:rPr>
        <w:t>Wymagania dotyczące pobierania prób</w:t>
      </w:r>
    </w:p>
    <w:p w:rsidR="005C1467" w:rsidRPr="00977526" w:rsidRDefault="00DB284D">
      <w:pPr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>Należy pobrać zbiorczą próbę gleby z każdego hektara według siatki o boku 10 na 10 metrów.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>Jeżeli na polu rosły rośliny mające status dobrych żywicieli, siatkę można powiększyć (10 na 20 metrów), ale wówczas próby należy pobrać bezpośrednio po zbiorze.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4232" w:rsidRPr="0050764C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354232" w:rsidRPr="0050764C">
        <w:rPr>
          <w:rFonts w:ascii="Arial" w:hAnsi="Arial" w:cs="Arial"/>
          <w:sz w:val="20"/>
          <w:szCs w:val="20"/>
          <w:lang w:val="pl-PL"/>
        </w:rPr>
        <w:t xml:space="preserve"> musi określić termin próbobrania wziąwszy pod uwagę wiarygodność</w:t>
      </w:r>
      <w:r w:rsidR="0050764C" w:rsidRPr="0050764C">
        <w:rPr>
          <w:rFonts w:ascii="Arial" w:hAnsi="Arial" w:cs="Arial"/>
          <w:sz w:val="20"/>
          <w:szCs w:val="20"/>
          <w:lang w:val="pl-PL"/>
        </w:rPr>
        <w:t xml:space="preserve"> metody doboru próby</w:t>
      </w:r>
      <w:r w:rsidR="00354232" w:rsidRPr="0050764C">
        <w:rPr>
          <w:rFonts w:ascii="Arial" w:hAnsi="Arial" w:cs="Arial"/>
          <w:sz w:val="20"/>
          <w:szCs w:val="20"/>
          <w:lang w:val="pl-PL"/>
        </w:rPr>
        <w:t>, termin zbioru danej uprawy i możliwość pobrania prób z danego pola.</w:t>
      </w:r>
    </w:p>
    <w:p w:rsidR="005C1467" w:rsidRPr="00977526" w:rsidRDefault="00354232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Każde nakłucie wykonane w siatce powinno zawierać 40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gleby z jej górnej warstwy grubości 25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cm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>Wziąwszy to pod uwagę należy dobrać odpowiednią średnicę laski glebowej (od 1 do 2 cm).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Łączna wielkość próby gleby powinna wynieść 4000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gleby na ha w przypadku siatki 10 na 10 (roślina o nieznanym statusie żywicielskim) lub 2000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na ha, w przypadku siatki 10 na 20 (roślina o statusie dobrego żywiciela).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50764C">
        <w:rPr>
          <w:rFonts w:ascii="Arial" w:hAnsi="Arial" w:cs="Arial"/>
          <w:sz w:val="20"/>
          <w:szCs w:val="20"/>
          <w:lang w:val="pl-PL"/>
        </w:rPr>
        <w:t xml:space="preserve">We Francji pobiera się próbę 1500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z 0,5 ha (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Gamon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&amp; Lenne, 2012).</w:t>
      </w:r>
    </w:p>
    <w:p w:rsidR="005C1467" w:rsidRPr="00977526" w:rsidRDefault="00354232">
      <w:pPr>
        <w:ind w:firstLine="360"/>
        <w:rPr>
          <w:rFonts w:ascii="Arial" w:hAnsi="Arial" w:cs="Arial"/>
          <w:sz w:val="20"/>
          <w:szCs w:val="20"/>
        </w:rPr>
      </w:pPr>
      <w:r w:rsidRPr="0050764C">
        <w:rPr>
          <w:rFonts w:ascii="Arial" w:hAnsi="Arial" w:cs="Arial"/>
          <w:sz w:val="20"/>
          <w:szCs w:val="20"/>
          <w:lang w:val="pl-PL"/>
        </w:rPr>
        <w:t xml:space="preserve">Próbę gleby należy dokładnie wymieszać, a następnie pobrać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podpróbę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 xml:space="preserve"> o objętości 200 </w:t>
      </w:r>
      <w:proofErr w:type="spellStart"/>
      <w:r w:rsidRPr="0050764C">
        <w:rPr>
          <w:rFonts w:ascii="Arial" w:hAnsi="Arial" w:cs="Arial"/>
          <w:sz w:val="20"/>
          <w:szCs w:val="20"/>
          <w:lang w:val="pl-PL"/>
        </w:rPr>
        <w:t>mL</w:t>
      </w:r>
      <w:proofErr w:type="spellEnd"/>
      <w:r w:rsidRPr="0050764C">
        <w:rPr>
          <w:rFonts w:ascii="Arial" w:hAnsi="Arial" w:cs="Arial"/>
          <w:sz w:val="20"/>
          <w:szCs w:val="20"/>
          <w:lang w:val="pl-PL"/>
        </w:rPr>
        <w:t>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Następnie należy próbę przygotować do ekstrakcji nicieni, najlepiej stosując elutriację i inkubację frakcji organicznej.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Technika lejkowa </w:t>
      </w:r>
      <w:proofErr w:type="spellStart"/>
      <w:r w:rsidRPr="00EA11B8">
        <w:rPr>
          <w:rFonts w:ascii="Arial" w:hAnsi="Arial" w:cs="Arial"/>
          <w:sz w:val="20"/>
          <w:szCs w:val="20"/>
          <w:lang w:val="pl-PL"/>
        </w:rPr>
        <w:t>Baermanna</w:t>
      </w:r>
      <w:proofErr w:type="spellEnd"/>
      <w:r w:rsidRPr="00EA11B8">
        <w:rPr>
          <w:rFonts w:ascii="Arial" w:hAnsi="Arial" w:cs="Arial"/>
          <w:sz w:val="20"/>
          <w:szCs w:val="20"/>
          <w:lang w:val="pl-PL"/>
        </w:rPr>
        <w:t xml:space="preserve"> (i jej wersje) </w:t>
      </w:r>
      <w:r w:rsidR="00EA11B8" w:rsidRPr="00EA11B8">
        <w:rPr>
          <w:rFonts w:ascii="Arial" w:hAnsi="Arial" w:cs="Arial"/>
          <w:sz w:val="20"/>
          <w:szCs w:val="20"/>
          <w:lang w:val="pl-PL"/>
        </w:rPr>
        <w:t>wydaje się być mniej odpowiednia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 (den </w:t>
      </w:r>
      <w:proofErr w:type="spellStart"/>
      <w:r w:rsidRPr="00EA11B8">
        <w:rPr>
          <w:rFonts w:ascii="Arial" w:hAnsi="Arial" w:cs="Arial"/>
          <w:sz w:val="20"/>
          <w:szCs w:val="20"/>
          <w:lang w:val="pl-PL"/>
        </w:rPr>
        <w:t>Nijs</w:t>
      </w:r>
      <w:proofErr w:type="spellEnd"/>
      <w:r w:rsidRPr="00EA11B8">
        <w:rPr>
          <w:rFonts w:ascii="Arial" w:hAnsi="Arial" w:cs="Arial"/>
          <w:sz w:val="20"/>
          <w:szCs w:val="20"/>
          <w:lang w:val="pl-PL"/>
        </w:rPr>
        <w:t xml:space="preserve"> &amp; van den Berg, 2013).</w:t>
      </w:r>
    </w:p>
    <w:p w:rsidR="005C1467" w:rsidRPr="00977526" w:rsidRDefault="00354232">
      <w:pPr>
        <w:ind w:firstLine="360"/>
        <w:rPr>
          <w:rFonts w:ascii="Arial" w:hAnsi="Arial" w:cs="Arial"/>
          <w:sz w:val="20"/>
          <w:szCs w:val="20"/>
        </w:rPr>
      </w:pPr>
      <w:r w:rsidRPr="00EA11B8">
        <w:rPr>
          <w:rFonts w:ascii="Arial" w:hAnsi="Arial" w:cs="Arial"/>
          <w:sz w:val="20"/>
          <w:szCs w:val="20"/>
          <w:lang w:val="pl-PL"/>
        </w:rPr>
        <w:t xml:space="preserve">Całą zawiesinę należy </w:t>
      </w:r>
      <w:r w:rsidR="003C562A" w:rsidRPr="00EA11B8">
        <w:rPr>
          <w:rFonts w:ascii="Arial" w:hAnsi="Arial" w:cs="Arial"/>
          <w:sz w:val="20"/>
          <w:szCs w:val="20"/>
          <w:lang w:val="pl-PL"/>
        </w:rPr>
        <w:t xml:space="preserve">sprawdzić 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pod kątem </w:t>
      </w:r>
      <w:r w:rsidR="003C562A" w:rsidRPr="00EA11B8">
        <w:rPr>
          <w:rFonts w:ascii="Arial" w:hAnsi="Arial" w:cs="Arial"/>
          <w:sz w:val="20"/>
          <w:szCs w:val="20"/>
          <w:lang w:val="pl-PL"/>
        </w:rPr>
        <w:t xml:space="preserve">obecności </w:t>
      </w:r>
      <w:r w:rsidRPr="00EA11B8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EA11B8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Pr="00EA11B8">
        <w:rPr>
          <w:rFonts w:ascii="Arial" w:hAnsi="Arial" w:cs="Arial"/>
          <w:sz w:val="20"/>
          <w:szCs w:val="20"/>
          <w:lang w:val="pl-PL"/>
        </w:rPr>
        <w:t xml:space="preserve"> i </w:t>
      </w:r>
      <w:r w:rsidRPr="00EA11B8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Pr="00EA11B8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3C562A" w:rsidRPr="00EA11B8">
        <w:rPr>
          <w:rFonts w:ascii="Arial" w:hAnsi="Arial" w:cs="Arial"/>
          <w:sz w:val="20"/>
          <w:szCs w:val="20"/>
          <w:lang w:val="pl-PL"/>
        </w:rPr>
        <w:t xml:space="preserve"> i przeprowadzić identyfikację zgodnie ze Standardem </w:t>
      </w:r>
      <w:proofErr w:type="spellStart"/>
      <w:r w:rsidR="003C562A" w:rsidRPr="00EA11B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3C562A" w:rsidRPr="00EA11B8">
        <w:rPr>
          <w:rFonts w:ascii="Arial" w:hAnsi="Arial" w:cs="Arial"/>
          <w:sz w:val="20"/>
          <w:szCs w:val="20"/>
          <w:lang w:val="pl-PL"/>
        </w:rPr>
        <w:t xml:space="preserve"> PM 7/41.</w:t>
      </w:r>
    </w:p>
    <w:p w:rsidR="00B21ABA" w:rsidRDefault="00B21ABA">
      <w:pPr>
        <w:outlineLvl w:val="1"/>
        <w:rPr>
          <w:rFonts w:ascii="Arial" w:hAnsi="Arial" w:cs="Arial"/>
          <w:sz w:val="20"/>
          <w:szCs w:val="20"/>
        </w:rPr>
      </w:pPr>
      <w:bookmarkStart w:id="15" w:name="bookmark16"/>
    </w:p>
    <w:bookmarkEnd w:id="15"/>
    <w:p w:rsidR="005C1467" w:rsidRPr="00B21ABA" w:rsidRDefault="003C562A">
      <w:pPr>
        <w:outlineLvl w:val="1"/>
        <w:rPr>
          <w:rFonts w:ascii="Arial" w:hAnsi="Arial" w:cs="Arial"/>
          <w:b/>
          <w:sz w:val="20"/>
          <w:szCs w:val="20"/>
        </w:rPr>
      </w:pPr>
      <w:r w:rsidRPr="00EA11B8">
        <w:rPr>
          <w:rFonts w:ascii="Arial" w:hAnsi="Arial" w:cs="Arial"/>
          <w:b/>
          <w:sz w:val="20"/>
          <w:szCs w:val="20"/>
          <w:lang w:val="pl-PL"/>
        </w:rPr>
        <w:t xml:space="preserve">Załącznik 2 - Pobieranie prób korzeni, bulw, korzeni spichrzowych i cebulek do badania pod kątem </w:t>
      </w:r>
      <w:proofErr w:type="spellStart"/>
      <w:r w:rsidRPr="00EA11B8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EA11B8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EA11B8">
        <w:rPr>
          <w:rFonts w:ascii="Arial" w:hAnsi="Arial" w:cs="Arial"/>
          <w:b/>
          <w:i/>
          <w:sz w:val="20"/>
          <w:szCs w:val="20"/>
          <w:lang w:val="pl-PL"/>
        </w:rPr>
        <w:t>chitwoodi</w:t>
      </w:r>
      <w:proofErr w:type="spellEnd"/>
      <w:r w:rsidRPr="00EA11B8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proofErr w:type="spellStart"/>
      <w:r w:rsidRPr="00EA11B8">
        <w:rPr>
          <w:rFonts w:ascii="Arial" w:hAnsi="Arial" w:cs="Arial"/>
          <w:b/>
          <w:i/>
          <w:sz w:val="20"/>
          <w:szCs w:val="20"/>
          <w:lang w:val="pl-PL"/>
        </w:rPr>
        <w:t>Meloidogyne</w:t>
      </w:r>
      <w:proofErr w:type="spellEnd"/>
      <w:r w:rsidRPr="00EA11B8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EA11B8">
        <w:rPr>
          <w:rFonts w:ascii="Arial" w:hAnsi="Arial" w:cs="Arial"/>
          <w:b/>
          <w:i/>
          <w:sz w:val="20"/>
          <w:szCs w:val="20"/>
          <w:lang w:val="pl-PL"/>
        </w:rPr>
        <w:t>fallax</w:t>
      </w:r>
      <w:proofErr w:type="spellEnd"/>
    </w:p>
    <w:p w:rsidR="00B21ABA" w:rsidRDefault="00B21ABA">
      <w:pPr>
        <w:rPr>
          <w:rFonts w:ascii="Arial" w:hAnsi="Arial" w:cs="Arial"/>
          <w:i/>
          <w:sz w:val="20"/>
          <w:szCs w:val="20"/>
        </w:rPr>
      </w:pPr>
    </w:p>
    <w:p w:rsidR="005C1467" w:rsidRPr="00B21ABA" w:rsidRDefault="003C562A">
      <w:pPr>
        <w:rPr>
          <w:rFonts w:ascii="Arial" w:hAnsi="Arial" w:cs="Arial"/>
          <w:i/>
          <w:sz w:val="20"/>
          <w:szCs w:val="20"/>
        </w:rPr>
      </w:pPr>
      <w:r w:rsidRPr="00EA11B8">
        <w:rPr>
          <w:rFonts w:ascii="Arial" w:hAnsi="Arial" w:cs="Arial"/>
          <w:i/>
          <w:sz w:val="20"/>
          <w:szCs w:val="20"/>
          <w:lang w:val="pl-PL"/>
        </w:rPr>
        <w:t>Uwaga:</w:t>
      </w:r>
      <w:r w:rsidR="00977526" w:rsidRPr="00B21ABA">
        <w:rPr>
          <w:rFonts w:ascii="Arial" w:hAnsi="Arial" w:cs="Arial"/>
          <w:i/>
          <w:sz w:val="20"/>
          <w:szCs w:val="20"/>
        </w:rPr>
        <w:t xml:space="preserve"> </w:t>
      </w:r>
      <w:r w:rsidRPr="00EA11B8">
        <w:rPr>
          <w:rFonts w:ascii="Arial" w:hAnsi="Arial" w:cs="Arial"/>
          <w:i/>
          <w:sz w:val="20"/>
          <w:szCs w:val="20"/>
          <w:lang w:val="pl-PL"/>
        </w:rPr>
        <w:t>Niniejszą metodę opracowano na podstawie badań przeprowadzonych w Holandii (</w:t>
      </w:r>
      <w:proofErr w:type="spellStart"/>
      <w:r w:rsidRPr="00EA11B8">
        <w:rPr>
          <w:rFonts w:ascii="Arial" w:hAnsi="Arial" w:cs="Arial"/>
          <w:i/>
          <w:sz w:val="20"/>
          <w:szCs w:val="20"/>
          <w:lang w:val="pl-PL"/>
        </w:rPr>
        <w:t>Been</w:t>
      </w:r>
      <w:proofErr w:type="spellEnd"/>
      <w:r w:rsidRPr="00EA11B8">
        <w:rPr>
          <w:rFonts w:ascii="Arial" w:hAnsi="Arial" w:cs="Arial"/>
          <w:i/>
          <w:sz w:val="20"/>
          <w:szCs w:val="20"/>
          <w:lang w:val="pl-PL"/>
        </w:rPr>
        <w:t xml:space="preserve"> et al., 2007).</w:t>
      </w:r>
      <w:r w:rsidR="00977526" w:rsidRPr="003C562A">
        <w:rPr>
          <w:rFonts w:ascii="Arial" w:hAnsi="Arial" w:cs="Arial"/>
          <w:i/>
          <w:sz w:val="20"/>
          <w:szCs w:val="20"/>
        </w:rPr>
        <w:t xml:space="preserve"> </w:t>
      </w:r>
      <w:r w:rsidRPr="00EA11B8">
        <w:rPr>
          <w:rFonts w:ascii="Arial" w:hAnsi="Arial" w:cs="Arial"/>
          <w:i/>
          <w:sz w:val="20"/>
          <w:szCs w:val="20"/>
          <w:lang w:val="pl-PL"/>
        </w:rPr>
        <w:t>Podane informacje dotyczą prób pobranych bezpośrednio po uprawie rośliny żywicielskiej lub podczas okresu wegetacyjnego.</w:t>
      </w:r>
    </w:p>
    <w:p w:rsidR="005C1467" w:rsidRPr="00977526" w:rsidRDefault="003C562A">
      <w:pPr>
        <w:ind w:firstLine="360"/>
        <w:rPr>
          <w:rFonts w:ascii="Arial" w:hAnsi="Arial" w:cs="Arial"/>
          <w:sz w:val="20"/>
          <w:szCs w:val="20"/>
        </w:rPr>
      </w:pPr>
      <w:r w:rsidRPr="00EA11B8">
        <w:rPr>
          <w:rFonts w:ascii="Arial" w:hAnsi="Arial" w:cs="Arial"/>
          <w:sz w:val="20"/>
          <w:szCs w:val="20"/>
          <w:lang w:val="pl-PL"/>
        </w:rPr>
        <w:t>Zakłada się, że nicienie wniknęły do korzeni, bulw lub cebulek roślin żywicielskich.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Niektóre rośliny żywicielskie nie wykształcają objawów.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Dlatego należy pobierać próby korzeni lub produktów przeznaczonych do zbioru.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Pobierając próby po zbiorze zakłada się, że podczas manipulacji produktem doszło do wymieszania i równomiernego rozłożenia produktów porażonych w partii, w związku z czym można zastosować technikę próbobrania losowego.</w:t>
      </w:r>
    </w:p>
    <w:p w:rsidR="00B21ABA" w:rsidRDefault="00B21ABA">
      <w:pPr>
        <w:outlineLvl w:val="2"/>
        <w:rPr>
          <w:rFonts w:ascii="Arial" w:hAnsi="Arial" w:cs="Arial"/>
          <w:sz w:val="20"/>
          <w:szCs w:val="20"/>
        </w:rPr>
      </w:pPr>
      <w:bookmarkStart w:id="16" w:name="bookmark17"/>
    </w:p>
    <w:bookmarkEnd w:id="16"/>
    <w:p w:rsidR="005C1467" w:rsidRPr="00B21ABA" w:rsidRDefault="003C562A">
      <w:pPr>
        <w:outlineLvl w:val="2"/>
        <w:rPr>
          <w:rFonts w:ascii="Arial" w:hAnsi="Arial" w:cs="Arial"/>
          <w:b/>
          <w:sz w:val="20"/>
          <w:szCs w:val="20"/>
        </w:rPr>
      </w:pPr>
      <w:r w:rsidRPr="00EA11B8">
        <w:rPr>
          <w:rFonts w:ascii="Arial" w:hAnsi="Arial" w:cs="Arial"/>
          <w:b/>
          <w:sz w:val="20"/>
          <w:szCs w:val="20"/>
          <w:lang w:val="pl-PL"/>
        </w:rPr>
        <w:t>Wymagania dotyczące próbobrania podczas okresu wegetacyjnego</w:t>
      </w:r>
    </w:p>
    <w:p w:rsidR="005C1467" w:rsidRPr="00977526" w:rsidRDefault="003C562A">
      <w:pPr>
        <w:rPr>
          <w:rFonts w:ascii="Arial" w:hAnsi="Arial" w:cs="Arial"/>
          <w:sz w:val="20"/>
          <w:szCs w:val="20"/>
        </w:rPr>
      </w:pPr>
      <w:r w:rsidRPr="00EA11B8">
        <w:rPr>
          <w:rFonts w:ascii="Arial" w:hAnsi="Arial" w:cs="Arial"/>
          <w:sz w:val="20"/>
          <w:szCs w:val="20"/>
          <w:lang w:val="pl-PL"/>
        </w:rPr>
        <w:t>Należy wybrać pole, na którym uprawiane są znane rośliny żywicielskie przedmiotowych agrofagów.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Na polu należy wydzielić obszar wielkości 1 ha, najlepiej jeżeli występują tam gleby piaszczyste lub gliniasto-piaszczyste.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>Na tym obszarze należy wykopać 60 wybranych losowo roślin z korzeniami.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Jeżeli roślina żywicielska jest w zaawansowanym stadium rozwoju i wiadomo o niej, że wykształca </w:t>
      </w:r>
      <w:r w:rsidRPr="00EA11B8">
        <w:rPr>
          <w:rFonts w:ascii="Arial" w:hAnsi="Arial" w:cs="Arial"/>
          <w:sz w:val="20"/>
          <w:szCs w:val="20"/>
          <w:lang w:val="pl-PL"/>
        </w:rPr>
        <w:lastRenderedPageBreak/>
        <w:t xml:space="preserve">wyraźne wyrośla na korzeniach (np. marchew, skorzonera), inspekcja korzeni na obecność </w:t>
      </w:r>
      <w:r w:rsidR="0079428B" w:rsidRPr="00EA11B8">
        <w:rPr>
          <w:rFonts w:ascii="Arial" w:hAnsi="Arial" w:cs="Arial"/>
          <w:sz w:val="20"/>
          <w:szCs w:val="20"/>
          <w:lang w:val="pl-PL"/>
        </w:rPr>
        <w:t>guzów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 mo</w:t>
      </w:r>
      <w:r w:rsidR="0079428B" w:rsidRPr="00EA11B8">
        <w:rPr>
          <w:rFonts w:ascii="Arial" w:hAnsi="Arial" w:cs="Arial"/>
          <w:sz w:val="20"/>
          <w:szCs w:val="20"/>
          <w:lang w:val="pl-PL"/>
        </w:rPr>
        <w:t>że być wystarczająca.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79428B" w:rsidRPr="00EA11B8">
        <w:rPr>
          <w:rFonts w:ascii="Arial" w:hAnsi="Arial" w:cs="Arial"/>
          <w:sz w:val="20"/>
          <w:szCs w:val="20"/>
          <w:lang w:val="pl-PL"/>
        </w:rPr>
        <w:t>W przypadku znalezienia wyrośli, system korzeniowy należy wysłać do laboratorium w celu ekstrakcji nicieni i ich identyfikacji gatunkowej.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79428B" w:rsidRPr="00EA11B8">
        <w:rPr>
          <w:rFonts w:ascii="Arial" w:hAnsi="Arial" w:cs="Arial"/>
          <w:sz w:val="20"/>
          <w:szCs w:val="20"/>
          <w:lang w:val="pl-PL"/>
        </w:rPr>
        <w:t>Jednak w większości przypadków wystąpienie objawów jest niepewne.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79428B" w:rsidRPr="00EA11B8">
        <w:rPr>
          <w:rFonts w:ascii="Arial" w:hAnsi="Arial" w:cs="Arial"/>
          <w:sz w:val="20"/>
          <w:szCs w:val="20"/>
          <w:lang w:val="pl-PL"/>
        </w:rPr>
        <w:t>Dlatego zaleca się wysłanie do analizy laboratoryjnej systemów korzeniowych wszystkich 60 roślin.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79428B" w:rsidRPr="00EA11B8">
        <w:rPr>
          <w:rFonts w:ascii="Arial" w:hAnsi="Arial" w:cs="Arial"/>
          <w:sz w:val="20"/>
          <w:szCs w:val="20"/>
          <w:lang w:val="pl-PL"/>
        </w:rPr>
        <w:t>Ekstrakcję można usprawnić przez inkubację systemów korzeniowych przez 4 tygodnie z wykorzystaniem nawilżacza i/lub sit inkubacyjnych.</w:t>
      </w:r>
      <w:r w:rsidR="00977526" w:rsidRPr="00977526">
        <w:rPr>
          <w:rFonts w:ascii="Arial" w:hAnsi="Arial" w:cs="Arial"/>
          <w:sz w:val="20"/>
          <w:szCs w:val="20"/>
        </w:rPr>
        <w:t xml:space="preserve"> </w:t>
      </w:r>
      <w:r w:rsidR="0079428B" w:rsidRPr="00EA11B8">
        <w:rPr>
          <w:rFonts w:ascii="Arial" w:hAnsi="Arial" w:cs="Arial"/>
          <w:sz w:val="20"/>
          <w:szCs w:val="20"/>
          <w:lang w:val="pl-PL"/>
        </w:rPr>
        <w:t xml:space="preserve">Całą zawiesinę należy sprawdzić pod kątem obecności </w:t>
      </w:r>
      <w:proofErr w:type="spellStart"/>
      <w:r w:rsidR="0079428B" w:rsidRPr="00EA11B8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="0079428B" w:rsidRPr="00EA11B8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79428B" w:rsidRPr="00EA11B8">
        <w:rPr>
          <w:rFonts w:ascii="Arial" w:hAnsi="Arial" w:cs="Arial"/>
          <w:i/>
          <w:sz w:val="20"/>
          <w:szCs w:val="20"/>
          <w:lang w:val="pl-PL"/>
        </w:rPr>
        <w:t>chitwoodi</w:t>
      </w:r>
      <w:proofErr w:type="spellEnd"/>
      <w:r w:rsidR="0079428B" w:rsidRPr="00EA11B8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79428B" w:rsidRPr="00EA11B8">
        <w:rPr>
          <w:rFonts w:ascii="Arial" w:hAnsi="Arial" w:cs="Arial"/>
          <w:i/>
          <w:sz w:val="20"/>
          <w:szCs w:val="20"/>
          <w:lang w:val="pl-PL"/>
        </w:rPr>
        <w:t>Meloidogyne</w:t>
      </w:r>
      <w:proofErr w:type="spellEnd"/>
      <w:r w:rsidR="0079428B" w:rsidRPr="00EA11B8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79428B" w:rsidRPr="00EA11B8">
        <w:rPr>
          <w:rFonts w:ascii="Arial" w:hAnsi="Arial" w:cs="Arial"/>
          <w:i/>
          <w:sz w:val="20"/>
          <w:szCs w:val="20"/>
          <w:lang w:val="pl-PL"/>
        </w:rPr>
        <w:t>fallax</w:t>
      </w:r>
      <w:proofErr w:type="spellEnd"/>
      <w:r w:rsidR="0079428B" w:rsidRPr="00EA11B8">
        <w:rPr>
          <w:rFonts w:ascii="Arial" w:hAnsi="Arial" w:cs="Arial"/>
          <w:sz w:val="20"/>
          <w:szCs w:val="20"/>
          <w:lang w:val="pl-PL"/>
        </w:rPr>
        <w:t xml:space="preserve"> i przeprowadzić identyfikację zgodnie ze Standardem </w:t>
      </w:r>
      <w:proofErr w:type="spellStart"/>
      <w:r w:rsidR="0079428B" w:rsidRPr="00EA11B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79428B" w:rsidRPr="00EA11B8">
        <w:rPr>
          <w:rFonts w:ascii="Arial" w:hAnsi="Arial" w:cs="Arial"/>
          <w:sz w:val="20"/>
          <w:szCs w:val="20"/>
          <w:lang w:val="pl-PL"/>
        </w:rPr>
        <w:t xml:space="preserve"> PM 7/41.</w:t>
      </w:r>
    </w:p>
    <w:p w:rsidR="00B21ABA" w:rsidRDefault="00B21ABA">
      <w:pPr>
        <w:outlineLvl w:val="2"/>
        <w:rPr>
          <w:rFonts w:ascii="Arial" w:hAnsi="Arial" w:cs="Arial"/>
          <w:sz w:val="20"/>
          <w:szCs w:val="20"/>
        </w:rPr>
      </w:pPr>
      <w:bookmarkStart w:id="17" w:name="bookmark18"/>
    </w:p>
    <w:bookmarkEnd w:id="17"/>
    <w:p w:rsidR="005C1467" w:rsidRPr="00B21ABA" w:rsidRDefault="0079428B">
      <w:pPr>
        <w:outlineLvl w:val="2"/>
        <w:rPr>
          <w:rFonts w:ascii="Arial" w:hAnsi="Arial" w:cs="Arial"/>
          <w:b/>
          <w:sz w:val="20"/>
          <w:szCs w:val="20"/>
        </w:rPr>
      </w:pPr>
      <w:r w:rsidRPr="00EA11B8">
        <w:rPr>
          <w:rFonts w:ascii="Arial" w:hAnsi="Arial" w:cs="Arial"/>
          <w:b/>
          <w:sz w:val="20"/>
          <w:szCs w:val="20"/>
          <w:lang w:val="pl-PL"/>
        </w:rPr>
        <w:t>Wymagania dotyczące pobierania prób po zbiorze</w:t>
      </w:r>
    </w:p>
    <w:p w:rsidR="005C1467" w:rsidRPr="00977526" w:rsidRDefault="0079428B">
      <w:pPr>
        <w:rPr>
          <w:rFonts w:ascii="Arial" w:hAnsi="Arial" w:cs="Arial"/>
          <w:sz w:val="20"/>
          <w:szCs w:val="20"/>
        </w:rPr>
      </w:pPr>
      <w:r w:rsidRPr="00EA11B8">
        <w:rPr>
          <w:rFonts w:ascii="Arial" w:hAnsi="Arial" w:cs="Arial"/>
          <w:sz w:val="20"/>
          <w:szCs w:val="20"/>
          <w:lang w:val="pl-PL"/>
        </w:rPr>
        <w:t>Należy pobrać próbę 200 bulw, korzeni spichrzowych lub cebul (lub innych części podziemnych roślin) z całej partii zebranego produktu i wysłać do laboratorium.</w:t>
      </w:r>
    </w:p>
    <w:p w:rsidR="005C1467" w:rsidRPr="00977526" w:rsidRDefault="0079428B">
      <w:pPr>
        <w:ind w:firstLine="360"/>
        <w:rPr>
          <w:rFonts w:ascii="Arial" w:hAnsi="Arial" w:cs="Arial"/>
          <w:sz w:val="20"/>
          <w:szCs w:val="20"/>
        </w:rPr>
      </w:pPr>
      <w:r w:rsidRPr="00EA11B8">
        <w:rPr>
          <w:rFonts w:ascii="Arial" w:hAnsi="Arial" w:cs="Arial"/>
          <w:sz w:val="20"/>
          <w:szCs w:val="20"/>
          <w:lang w:val="pl-PL"/>
        </w:rPr>
        <w:t xml:space="preserve">Bulwy ziemniaka należy przygotować zgodnie ze Standardem </w:t>
      </w:r>
      <w:proofErr w:type="spellStart"/>
      <w:r w:rsidRPr="00EA11B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A11B8">
        <w:rPr>
          <w:rFonts w:ascii="Arial" w:hAnsi="Arial" w:cs="Arial"/>
          <w:sz w:val="20"/>
          <w:szCs w:val="20"/>
          <w:lang w:val="pl-PL"/>
        </w:rPr>
        <w:t xml:space="preserve"> PM 3/69.</w:t>
      </w:r>
      <w:r w:rsidR="00977526" w:rsidRPr="0079428B">
        <w:rPr>
          <w:rFonts w:ascii="Arial" w:hAnsi="Arial" w:cs="Arial"/>
          <w:sz w:val="20"/>
          <w:szCs w:val="20"/>
        </w:rPr>
        <w:t xml:space="preserve"> </w:t>
      </w:r>
      <w:r w:rsidRPr="00EA11B8">
        <w:rPr>
          <w:rFonts w:ascii="Arial" w:hAnsi="Arial" w:cs="Arial"/>
          <w:sz w:val="20"/>
          <w:szCs w:val="20"/>
          <w:lang w:val="pl-PL"/>
        </w:rPr>
        <w:t xml:space="preserve">Ekstrakcję nicieni z roślin innych, niż bulwy ziemniaka należy przeprowadzić zgodnie ze Standardem </w:t>
      </w:r>
      <w:proofErr w:type="spellStart"/>
      <w:r w:rsidRPr="00EA11B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EA11B8">
        <w:rPr>
          <w:rFonts w:ascii="Arial" w:hAnsi="Arial" w:cs="Arial"/>
          <w:sz w:val="20"/>
          <w:szCs w:val="20"/>
          <w:lang w:val="pl-PL"/>
        </w:rPr>
        <w:t xml:space="preserve"> PM 7/41 i PM 7/119 </w:t>
      </w:r>
      <w:r w:rsidRPr="00EA11B8">
        <w:rPr>
          <w:rFonts w:ascii="Arial" w:hAnsi="Arial" w:cs="Arial"/>
          <w:i/>
          <w:sz w:val="20"/>
          <w:szCs w:val="20"/>
          <w:lang w:val="pl-PL"/>
        </w:rPr>
        <w:t>Ekstrakcja nicieni</w:t>
      </w:r>
      <w:r w:rsidRPr="00EA11B8">
        <w:rPr>
          <w:rFonts w:ascii="Arial" w:hAnsi="Arial" w:cs="Arial"/>
          <w:sz w:val="20"/>
          <w:szCs w:val="20"/>
          <w:lang w:val="pl-PL"/>
        </w:rPr>
        <w:t>.</w:t>
      </w:r>
    </w:p>
    <w:sectPr w:rsidR="005C1467" w:rsidRPr="00977526" w:rsidSect="005C146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4C" w:rsidRDefault="0050764C" w:rsidP="005C1467">
      <w:r>
        <w:separator/>
      </w:r>
    </w:p>
  </w:endnote>
  <w:endnote w:type="continuationSeparator" w:id="0">
    <w:p w:rsidR="0050764C" w:rsidRDefault="0050764C" w:rsidP="005C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4C" w:rsidRDefault="0050764C">
      <w:r>
        <w:separator/>
      </w:r>
    </w:p>
  </w:footnote>
  <w:footnote w:type="continuationSeparator" w:id="0">
    <w:p w:rsidR="0050764C" w:rsidRDefault="0050764C">
      <w:r>
        <w:continuationSeparator/>
      </w:r>
    </w:p>
  </w:footnote>
  <w:footnote w:id="1">
    <w:p w:rsidR="0050764C" w:rsidRPr="00007257" w:rsidRDefault="0050764C" w:rsidP="00F837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341CB">
        <w:rPr>
          <w:rFonts w:ascii="Arial" w:hAnsi="Arial" w:cs="Arial"/>
          <w:lang w:val="pl-PL"/>
        </w:rPr>
        <w:t>KOOR</w:t>
      </w:r>
      <w:proofErr w:type="spellEnd"/>
      <w:r w:rsidRPr="000341CB">
        <w:rPr>
          <w:rFonts w:ascii="Arial" w:hAnsi="Arial" w:cs="Arial"/>
          <w:lang w:val="pl-PL"/>
        </w:rPr>
        <w:t xml:space="preserve"> powinna określić zakres lustracji na podstawie warunków lokalnych.</w:t>
      </w:r>
    </w:p>
  </w:footnote>
  <w:footnote w:id="2">
    <w:p w:rsidR="0050764C" w:rsidRPr="00007257" w:rsidRDefault="0050764C" w:rsidP="001A60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D0392">
        <w:rPr>
          <w:rFonts w:ascii="Arial" w:hAnsi="Arial" w:cs="Arial"/>
          <w:lang w:val="pl-PL"/>
        </w:rPr>
        <w:t>KOOR</w:t>
      </w:r>
      <w:proofErr w:type="spellEnd"/>
      <w:r w:rsidRPr="000D0392">
        <w:rPr>
          <w:rFonts w:ascii="Arial" w:hAnsi="Arial" w:cs="Arial"/>
          <w:lang w:val="pl-PL"/>
        </w:rPr>
        <w:t xml:space="preserve"> powinna określić okres, z którego wyniki są akceptowane.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C82"/>
    <w:multiLevelType w:val="hybridMultilevel"/>
    <w:tmpl w:val="EDE62F00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92C"/>
    <w:multiLevelType w:val="hybridMultilevel"/>
    <w:tmpl w:val="69DC91D4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4891"/>
    <w:multiLevelType w:val="hybridMultilevel"/>
    <w:tmpl w:val="392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028A"/>
    <w:multiLevelType w:val="hybridMultilevel"/>
    <w:tmpl w:val="DD769530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B62"/>
    <w:multiLevelType w:val="hybridMultilevel"/>
    <w:tmpl w:val="FC80583C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D97"/>
    <w:multiLevelType w:val="hybridMultilevel"/>
    <w:tmpl w:val="2FA41AB2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C00"/>
    <w:multiLevelType w:val="hybridMultilevel"/>
    <w:tmpl w:val="E92A9A54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D8D"/>
    <w:multiLevelType w:val="hybridMultilevel"/>
    <w:tmpl w:val="025CDC32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073D"/>
    <w:multiLevelType w:val="hybridMultilevel"/>
    <w:tmpl w:val="EBB2B49E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6C3E"/>
    <w:multiLevelType w:val="hybridMultilevel"/>
    <w:tmpl w:val="24763636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1CF"/>
    <w:multiLevelType w:val="hybridMultilevel"/>
    <w:tmpl w:val="ED02E678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248E"/>
    <w:multiLevelType w:val="hybridMultilevel"/>
    <w:tmpl w:val="0400AC0A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C29"/>
    <w:multiLevelType w:val="hybridMultilevel"/>
    <w:tmpl w:val="181E8288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DD6"/>
    <w:multiLevelType w:val="hybridMultilevel"/>
    <w:tmpl w:val="D40A0A2C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2541"/>
    <w:multiLevelType w:val="hybridMultilevel"/>
    <w:tmpl w:val="44E21A32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7405B"/>
    <w:multiLevelType w:val="hybridMultilevel"/>
    <w:tmpl w:val="E30E446E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948A2"/>
    <w:multiLevelType w:val="hybridMultilevel"/>
    <w:tmpl w:val="512A2416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1808"/>
    <w:multiLevelType w:val="hybridMultilevel"/>
    <w:tmpl w:val="1838777C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12ED"/>
    <w:multiLevelType w:val="hybridMultilevel"/>
    <w:tmpl w:val="850EE72A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F0824"/>
    <w:multiLevelType w:val="hybridMultilevel"/>
    <w:tmpl w:val="2D58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3989"/>
    <w:multiLevelType w:val="hybridMultilevel"/>
    <w:tmpl w:val="05E227F6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6506"/>
    <w:multiLevelType w:val="hybridMultilevel"/>
    <w:tmpl w:val="B11E5D3C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622F8"/>
    <w:multiLevelType w:val="hybridMultilevel"/>
    <w:tmpl w:val="7D1AAB06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310D"/>
    <w:multiLevelType w:val="hybridMultilevel"/>
    <w:tmpl w:val="2372321A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32C04"/>
    <w:multiLevelType w:val="hybridMultilevel"/>
    <w:tmpl w:val="A40E35CA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54EDC"/>
    <w:multiLevelType w:val="hybridMultilevel"/>
    <w:tmpl w:val="126AF3DC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F62FC"/>
    <w:multiLevelType w:val="hybridMultilevel"/>
    <w:tmpl w:val="BE38DC5A"/>
    <w:lvl w:ilvl="0" w:tplc="D060A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"/>
  </w:num>
  <w:num w:numId="5">
    <w:abstractNumId w:val="18"/>
  </w:num>
  <w:num w:numId="6">
    <w:abstractNumId w:val="26"/>
  </w:num>
  <w:num w:numId="7">
    <w:abstractNumId w:val="0"/>
  </w:num>
  <w:num w:numId="8">
    <w:abstractNumId w:val="12"/>
  </w:num>
  <w:num w:numId="9">
    <w:abstractNumId w:val="25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24"/>
  </w:num>
  <w:num w:numId="18">
    <w:abstractNumId w:val="23"/>
  </w:num>
  <w:num w:numId="19">
    <w:abstractNumId w:val="11"/>
  </w:num>
  <w:num w:numId="20">
    <w:abstractNumId w:val="22"/>
  </w:num>
  <w:num w:numId="21">
    <w:abstractNumId w:val="17"/>
  </w:num>
  <w:num w:numId="22">
    <w:abstractNumId w:val="16"/>
  </w:num>
  <w:num w:numId="23">
    <w:abstractNumId w:val="10"/>
  </w:num>
  <w:num w:numId="24">
    <w:abstractNumId w:val="21"/>
  </w:num>
  <w:num w:numId="25">
    <w:abstractNumId w:val="8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467"/>
    <w:rsid w:val="00007257"/>
    <w:rsid w:val="000341CB"/>
    <w:rsid w:val="00050334"/>
    <w:rsid w:val="00053F51"/>
    <w:rsid w:val="000A387E"/>
    <w:rsid w:val="000D0392"/>
    <w:rsid w:val="001940AE"/>
    <w:rsid w:val="001A600F"/>
    <w:rsid w:val="001F6320"/>
    <w:rsid w:val="0027012E"/>
    <w:rsid w:val="00292E45"/>
    <w:rsid w:val="002A3EF2"/>
    <w:rsid w:val="002A7E94"/>
    <w:rsid w:val="002B79EA"/>
    <w:rsid w:val="00306386"/>
    <w:rsid w:val="00354232"/>
    <w:rsid w:val="00365387"/>
    <w:rsid w:val="00382EA0"/>
    <w:rsid w:val="003857DB"/>
    <w:rsid w:val="00393447"/>
    <w:rsid w:val="003A51E3"/>
    <w:rsid w:val="003B24D0"/>
    <w:rsid w:val="003B312F"/>
    <w:rsid w:val="003C562A"/>
    <w:rsid w:val="00425AC5"/>
    <w:rsid w:val="0050764C"/>
    <w:rsid w:val="0052769E"/>
    <w:rsid w:val="00536BE0"/>
    <w:rsid w:val="00553BD6"/>
    <w:rsid w:val="005A26A9"/>
    <w:rsid w:val="005A501B"/>
    <w:rsid w:val="005B4053"/>
    <w:rsid w:val="005B5B0A"/>
    <w:rsid w:val="005C1467"/>
    <w:rsid w:val="00627AD9"/>
    <w:rsid w:val="006332F0"/>
    <w:rsid w:val="00645EE7"/>
    <w:rsid w:val="006D4C46"/>
    <w:rsid w:val="006F3DB9"/>
    <w:rsid w:val="00764DD8"/>
    <w:rsid w:val="0079428B"/>
    <w:rsid w:val="007C7A82"/>
    <w:rsid w:val="007E710D"/>
    <w:rsid w:val="00834243"/>
    <w:rsid w:val="00845C47"/>
    <w:rsid w:val="00846FCA"/>
    <w:rsid w:val="00923876"/>
    <w:rsid w:val="00977526"/>
    <w:rsid w:val="00991484"/>
    <w:rsid w:val="009A70AB"/>
    <w:rsid w:val="009E6DDA"/>
    <w:rsid w:val="00A00A3A"/>
    <w:rsid w:val="00A50AF3"/>
    <w:rsid w:val="00B20C02"/>
    <w:rsid w:val="00B21ABA"/>
    <w:rsid w:val="00B61022"/>
    <w:rsid w:val="00BD5181"/>
    <w:rsid w:val="00BD777E"/>
    <w:rsid w:val="00C513BB"/>
    <w:rsid w:val="00CC496A"/>
    <w:rsid w:val="00CE3F44"/>
    <w:rsid w:val="00D4521B"/>
    <w:rsid w:val="00DA32D1"/>
    <w:rsid w:val="00DB284D"/>
    <w:rsid w:val="00DE1EE2"/>
    <w:rsid w:val="00DE55F6"/>
    <w:rsid w:val="00E16319"/>
    <w:rsid w:val="00E41A88"/>
    <w:rsid w:val="00EA05B2"/>
    <w:rsid w:val="00EA11B8"/>
    <w:rsid w:val="00EB311E"/>
    <w:rsid w:val="00F531B0"/>
    <w:rsid w:val="00F837CB"/>
    <w:rsid w:val="00F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14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146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0072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72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25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2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700F-89F8-4317-8B24-F78BA436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4866</Words>
  <Characters>31333</Characters>
  <Application>Microsoft Office Word</Application>
  <DocSecurity>0</DocSecurity>
  <Lines>512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PM 9/17 (1) Meloidogyne chitwoodi and Meloidogyne fallax</vt:lpstr>
    </vt:vector>
  </TitlesOfParts>
  <Company/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9/17 (1) Meloidogyne chitwoodi and Meloidogyne fallax</dc:title>
  <dc:creator>Mikołaj Malanowski</dc:creator>
  <cp:lastModifiedBy>Mikołaj Malanowski</cp:lastModifiedBy>
  <cp:revision>3</cp:revision>
  <dcterms:created xsi:type="dcterms:W3CDTF">2014-04-23T05:27:00Z</dcterms:created>
  <dcterms:modified xsi:type="dcterms:W3CDTF">2014-04-23T05:29:00Z</dcterms:modified>
</cp:coreProperties>
</file>