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12 września 2022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zmieniające zarządzenie w sprawie ustanowienia planu ochrony dla rezerwatu przyrody „Dziki Ostrów”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2022, poz. 916 i 1726)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 zarządzeniu nr 3/0210/2011 Regionalnego Dyrektora Ochrony Środowiska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Bydgoszczy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grudnia 2011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sprawie ustanowienia planu ochrony dla rezerwatu przyrody „Dziki Ostrów”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(Dz. Urz. Woj. Kuj-Pom. nr 312,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3397) wprowadza się następujące zmiany: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§ 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§ 1a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„§ 1a. Rezerwat położony jest na terenie obszaru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Dziki Ostrów PLH040045”;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 §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§ 5a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 „§ 5a. Opis granic obszaru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Dziki Ostrów PLH040045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części pokrywającej się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rezerwatem,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postaci współrzędnych punktów ich załamania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układzie współrzędnych płaskich prostokątnych PL-1992, stanowi załącznik nr 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zarządzenia”;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§ 5b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 „§ 5b. Mapa obszaru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Dziki Ostrów PLH040045 wraz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leżącym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jego granicach rezerwatem przyrody Dziki Ostrów, stanowi załącznik nr 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zarządzenia”;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§ 5c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 „§ 5c. Identyfikację istniejących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potencjalnych zagrożeń dla zachowania właściwego stanu ochrony siedlisk przyrodniczych oraz gatunków roślin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zwierząt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ich siedlisk będących przedmiotami ochrony obszaru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granicach rezerwatu przyrody przedstawia tabela stanowiąca załącznik nr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zarządzenia”;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§ 5d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 „§ 5d. Cele działań ochronnych na obszarze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części pokrywającej się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rezerwatem przedstawia tabela stanowiąca załącznik nr 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zarządzenia”;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§ 5e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brzmieniu:  „§ 5e. Działania ochronne na obszarze Natura 2000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części pokrywającej się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rezerwatem za wskazaniem podmiotów odpowiedzialnych za ich wykonanie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obszarów ich wdrażania przedstawia tabela stanowiąca załącznik nr 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zarządzenia”;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uchyla się  § 6 i § 7;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otrzymuje brzmienie określone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otrzymuje brzmienie określone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6. 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 nr 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otrzymuje brzmienie określone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7. 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 określonym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8. 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 określonym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9. 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 określonym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zarządzenia;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10. 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dodaje się załącznik nr 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brzmieniu określonym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załączniku nr 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niniejszego zarządzenia.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Zarządzenie wchodzi w życie po upływie 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 od dnia ogłoszenia.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sectPr>
          <w:footerReference w:type="default" r:id="rId5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Identyfikacja oraz określenie sposobów eliminacji lub ograniczania istniejących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i potencjalnych zagrożeń wewnętrznych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zewnętrznych oraz ich skutków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83"/>
        <w:gridCol w:w="2797"/>
        <w:gridCol w:w="660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 xml:space="preserve">Lp.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Identyfikacja zagrożeń istniejących i potencjalnych</w:t>
            </w:r>
          </w:p>
          <w:p>
            <w:pPr>
              <w:jc w:val="left"/>
            </w:pPr>
            <w:r>
              <w:rPr>
                <w:b/>
                <w:sz w:val="22"/>
              </w:rPr>
              <w:t xml:space="preserve">zagrożeń </w:t>
            </w:r>
          </w:p>
          <w:p>
            <w:pPr>
              <w:jc w:val="left"/>
            </w:pPr>
            <w:r>
              <w:rPr>
                <w:b/>
                <w:sz w:val="22"/>
              </w:rPr>
              <w:t xml:space="preserve">wewnętrznych </w:t>
            </w:r>
          </w:p>
          <w:p>
            <w:pPr>
              <w:jc w:val="left"/>
            </w:pPr>
            <w:r>
              <w:rPr>
                <w:b/>
                <w:sz w:val="22"/>
              </w:rPr>
              <w:t xml:space="preserve">i zewnętrznych 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 xml:space="preserve">Sposoby  eliminacji  lub  ograniczania  istniejących  i potencjalnych zagrożeń wewnętrznych i zewnętrznych oraz ich skutków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Nadmierne ocienienie </w:t>
            </w:r>
          </w:p>
          <w:p>
            <w:pPr>
              <w:jc w:val="left"/>
            </w:pPr>
            <w:r>
              <w:rPr>
                <w:sz w:val="22"/>
              </w:rPr>
              <w:t xml:space="preserve">runa świetlistej </w:t>
            </w:r>
          </w:p>
          <w:p>
            <w:pPr>
              <w:jc w:val="left"/>
            </w:pPr>
            <w:r>
              <w:rPr>
                <w:sz w:val="22"/>
              </w:rPr>
              <w:t xml:space="preserve">dąbrowy </w:t>
            </w:r>
            <w:r>
              <w:rPr>
                <w:i/>
                <w:sz w:val="22"/>
              </w:rPr>
              <w:t>Potentillo-</w:t>
            </w:r>
          </w:p>
          <w:p>
            <w:pPr>
              <w:jc w:val="left"/>
            </w:pPr>
            <w:r>
              <w:rPr>
                <w:i/>
                <w:sz w:val="22"/>
              </w:rPr>
              <w:t xml:space="preserve">albae-Quercetum </w:t>
            </w:r>
            <w:r>
              <w:rPr>
                <w:sz w:val="22"/>
              </w:rPr>
              <w:t>(zagrożenie wewnętrzne, istniejące)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Usuwanie z terenu rezerwatu podszytów m. in. leszczyny pospolitej </w:t>
            </w:r>
            <w:r>
              <w:rPr>
                <w:i/>
                <w:sz w:val="22"/>
              </w:rPr>
              <w:t>Corylus avellana</w:t>
            </w:r>
            <w:r>
              <w:rPr>
                <w:sz w:val="22"/>
              </w:rPr>
              <w:t xml:space="preserve"> i czeremchy amerykańskiej </w:t>
            </w:r>
            <w:r>
              <w:rPr>
                <w:i/>
                <w:sz w:val="22"/>
              </w:rPr>
              <w:t>Padus serotina</w:t>
            </w:r>
            <w:r>
              <w:rPr>
                <w:sz w:val="22"/>
              </w:rPr>
              <w:t xml:space="preserve"> nadmiernie zacieniających i zagrażających stanowiskom gatunków roślin kserotermicznych charakterystycznych dla zbiorowiska świetlistej dąbrowy.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Ekspansja obcych </w:t>
            </w:r>
          </w:p>
          <w:p>
            <w:pPr>
              <w:jc w:val="left"/>
            </w:pPr>
            <w:r>
              <w:rPr>
                <w:sz w:val="22"/>
              </w:rPr>
              <w:t xml:space="preserve">gatunków roślin, </w:t>
            </w:r>
          </w:p>
          <w:p>
            <w:pPr>
              <w:jc w:val="left"/>
            </w:pPr>
            <w:r>
              <w:rPr>
                <w:sz w:val="22"/>
              </w:rPr>
              <w:t xml:space="preserve">w tym głównie </w:t>
            </w:r>
          </w:p>
          <w:p>
            <w:pPr>
              <w:jc w:val="left"/>
            </w:pPr>
            <w:r>
              <w:rPr>
                <w:sz w:val="22"/>
              </w:rPr>
              <w:t xml:space="preserve">czeremchy </w:t>
            </w:r>
          </w:p>
          <w:p>
            <w:pPr>
              <w:jc w:val="left"/>
            </w:pPr>
            <w:r>
              <w:rPr>
                <w:sz w:val="22"/>
              </w:rPr>
              <w:t xml:space="preserve">amerykańskiej </w:t>
            </w:r>
            <w:r>
              <w:rPr>
                <w:i/>
                <w:sz w:val="22"/>
              </w:rPr>
              <w:t xml:space="preserve">Padus </w:t>
            </w:r>
          </w:p>
          <w:p>
            <w:pPr>
              <w:jc w:val="left"/>
            </w:pPr>
            <w:r>
              <w:rPr>
                <w:i/>
                <w:sz w:val="22"/>
              </w:rPr>
              <w:t xml:space="preserve">serotina </w:t>
            </w:r>
            <w:r>
              <w:rPr>
                <w:sz w:val="22"/>
              </w:rPr>
              <w:t>(zagrożenie wewnętrzne, istniejące)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Mechaniczne usuwanie z terenu rezerwatu obcych gatunków krzewów oraz ich odrośli. Stosowanie metod chemicznych polegających na naniesieniu bezpośrednio na powierzchnię cięcia przy zastosowaniu pędzla/mazacza preparatu chemicznego na przykład zawierającego glifosat.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Występowanie </w:t>
            </w:r>
          </w:p>
          <w:p>
            <w:pPr>
              <w:jc w:val="left"/>
            </w:pPr>
            <w:r>
              <w:rPr>
                <w:sz w:val="22"/>
              </w:rPr>
              <w:t xml:space="preserve">zastępczego </w:t>
            </w:r>
          </w:p>
          <w:p>
            <w:pPr>
              <w:jc w:val="left"/>
            </w:pPr>
            <w:r>
              <w:rPr>
                <w:sz w:val="22"/>
              </w:rPr>
              <w:t xml:space="preserve">zbiorowiska roślinnego </w:t>
            </w:r>
          </w:p>
          <w:p>
            <w:pPr>
              <w:jc w:val="left"/>
            </w:pPr>
            <w:r>
              <w:rPr>
                <w:i/>
                <w:sz w:val="22"/>
              </w:rPr>
              <w:t xml:space="preserve">Pinus-Calamagrostis </w:t>
            </w:r>
            <w:r>
              <w:rPr>
                <w:sz w:val="22"/>
              </w:rPr>
              <w:t>(zagrożenie wewnętrzne, istniejące)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Regulacja składu gatunkowego dojrzewających drzewostanów pochodzenia sztucznego, na korzyść gatunków właściwych dla fitocenoz świetlistych dąbrów.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Nadmierne </w:t>
            </w:r>
          </w:p>
          <w:p>
            <w:pPr>
              <w:jc w:val="left"/>
            </w:pPr>
            <w:r>
              <w:rPr>
                <w:sz w:val="22"/>
              </w:rPr>
              <w:t xml:space="preserve">uszkodzenia </w:t>
            </w:r>
          </w:p>
          <w:p>
            <w:pPr>
              <w:jc w:val="left"/>
            </w:pPr>
            <w:r>
              <w:rPr>
                <w:sz w:val="22"/>
              </w:rPr>
              <w:t xml:space="preserve">siewek dębów naturalnego pochodzenia powodowane </w:t>
            </w:r>
          </w:p>
          <w:p>
            <w:pPr>
              <w:jc w:val="left"/>
            </w:pPr>
            <w:r>
              <w:rPr>
                <w:sz w:val="22"/>
              </w:rPr>
              <w:t xml:space="preserve">przez zwierzęta </w:t>
            </w:r>
          </w:p>
          <w:p>
            <w:pPr>
              <w:jc w:val="left"/>
            </w:pPr>
            <w:r>
              <w:rPr>
                <w:sz w:val="22"/>
              </w:rPr>
              <w:t>roślinożerne (zagrożenie wewnętrzne, istniejące)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2"/>
              </w:rPr>
              <w:t xml:space="preserve">Zabezpieczanie siewek dębów naturalnego pochodzenia indywidualnie lub grupowo przed uszkodzeniami mechanicznymi. 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6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Określenie działań ochronnych na obszarze ochrony czynnej,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podaniem ich rodzaju,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zakresu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lokalizacji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15"/>
        <w:gridCol w:w="2686"/>
        <w:gridCol w:w="4396"/>
        <w:gridCol w:w="2385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 xml:space="preserve">Rodzaj  działań </w:t>
            </w:r>
          </w:p>
          <w:p>
            <w:pPr>
              <w:jc w:val="left"/>
            </w:pPr>
            <w:r>
              <w:rPr>
                <w:b/>
                <w:sz w:val="22"/>
              </w:rPr>
              <w:t xml:space="preserve">ochronnych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 xml:space="preserve">Zakres działań ochronnych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  <w:t xml:space="preserve">Lokalizacja 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 xml:space="preserve">działań 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ochronnych</w:t>
            </w:r>
            <w:r>
              <w:rPr>
                <w:rStyle w:val="FootnoteReference"/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superscript"/>
              </w:rPr>
              <w:footnoteReference w:customMarkFollows="1" w:id="2"/>
              <w:t xml:space="preserve">1)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Usuwanie nadmiaru </w:t>
            </w:r>
          </w:p>
          <w:p>
            <w:pPr>
              <w:jc w:val="left"/>
            </w:pPr>
            <w:r>
              <w:rPr>
                <w:sz w:val="22"/>
              </w:rPr>
              <w:t xml:space="preserve">warstwy podszytów </w:t>
            </w:r>
          </w:p>
          <w:p>
            <w:pPr>
              <w:jc w:val="left"/>
            </w:pPr>
            <w:r>
              <w:rPr>
                <w:sz w:val="22"/>
              </w:rPr>
              <w:t xml:space="preserve">zagrażających </w:t>
            </w:r>
          </w:p>
          <w:p>
            <w:pPr>
              <w:jc w:val="left"/>
            </w:pPr>
            <w:r>
              <w:rPr>
                <w:sz w:val="22"/>
              </w:rPr>
              <w:t xml:space="preserve">stanowiskom roślin </w:t>
            </w:r>
          </w:p>
          <w:p>
            <w:pPr>
              <w:jc w:val="left"/>
            </w:pPr>
            <w:r>
              <w:rPr>
                <w:sz w:val="22"/>
              </w:rPr>
              <w:t xml:space="preserve">kserotermicznych </w:t>
            </w:r>
          </w:p>
          <w:p>
            <w:pPr>
              <w:jc w:val="left"/>
            </w:pPr>
            <w:r>
              <w:rPr>
                <w:sz w:val="22"/>
              </w:rPr>
              <w:t xml:space="preserve">charakterystycznych </w:t>
            </w:r>
          </w:p>
          <w:p>
            <w:pPr>
              <w:jc w:val="left"/>
            </w:pPr>
            <w:r>
              <w:rPr>
                <w:sz w:val="22"/>
              </w:rPr>
              <w:t xml:space="preserve">dla świetlistej </w:t>
            </w:r>
          </w:p>
          <w:p>
            <w:pPr>
              <w:jc w:val="left"/>
            </w:pPr>
            <w:r>
              <w:rPr>
                <w:sz w:val="22"/>
              </w:rPr>
              <w:t xml:space="preserve">dąbrowy.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Redukcja podszytów do maksymalnego ich udziału 20 % w biochorach świetlistej dąbrowy. Prace wykonywać co najmniej raz na 5 lat, w okresie jesienno-zimowym.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oddz. 572 c, d, g, i, j, 573 a, b, c, d, f, g, 576 a, b, 577 c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Usuwanie mechaniczne</w:t>
            </w:r>
          </w:p>
          <w:p>
            <w:pPr>
              <w:jc w:val="left"/>
            </w:pPr>
            <w:r>
              <w:rPr>
                <w:sz w:val="22"/>
              </w:rPr>
              <w:t xml:space="preserve">inwazyjnych </w:t>
            </w:r>
          </w:p>
          <w:p>
            <w:pPr>
              <w:jc w:val="left"/>
            </w:pPr>
            <w:r>
              <w:rPr>
                <w:sz w:val="22"/>
              </w:rPr>
              <w:t xml:space="preserve">gatunków roślin oraz </w:t>
            </w:r>
          </w:p>
          <w:p>
            <w:pPr>
              <w:jc w:val="left"/>
            </w:pPr>
            <w:r>
              <w:rPr>
                <w:sz w:val="22"/>
              </w:rPr>
              <w:t xml:space="preserve">ich odrośli m. in. </w:t>
            </w:r>
          </w:p>
          <w:p>
            <w:pPr>
              <w:jc w:val="left"/>
            </w:pPr>
            <w:r>
              <w:rPr>
                <w:sz w:val="22"/>
              </w:rPr>
              <w:t xml:space="preserve">czeremchy </w:t>
            </w:r>
          </w:p>
          <w:p>
            <w:pPr>
              <w:jc w:val="left"/>
            </w:pPr>
            <w:r>
              <w:rPr>
                <w:sz w:val="22"/>
              </w:rPr>
              <w:t xml:space="preserve">amerykańskiej </w:t>
            </w:r>
          </w:p>
          <w:p>
            <w:pPr>
              <w:jc w:val="left"/>
            </w:pPr>
            <w:r>
              <w:rPr>
                <w:i/>
                <w:sz w:val="22"/>
              </w:rPr>
              <w:t>Padus serotina</w:t>
            </w:r>
            <w:r>
              <w:rPr>
                <w:sz w:val="22"/>
              </w:rPr>
              <w:t>.</w:t>
            </w:r>
          </w:p>
          <w:p>
            <w:pPr>
              <w:jc w:val="left"/>
            </w:pPr>
            <w:r>
              <w:rPr>
                <w:sz w:val="22"/>
              </w:rPr>
              <w:t>Stosowanie metod chemicznych polegających na naniesieniu bezpośrednio na powierzchnię cięcia przy zastosowaniu pędzla/mazacza preparatu chemicznego na przykład zawierającego glifosat (bez rozpylania preparatu).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Prace rozpocząć w pierwszych latach kolejnego dziesięciolecia obowiązywania planu ochrony, w okresie jesienno-zimowym, a później wykonywać według potrzeb.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Fitocenozy leśne </w:t>
            </w:r>
          </w:p>
          <w:p>
            <w:pPr>
              <w:jc w:val="left"/>
            </w:pPr>
            <w:r>
              <w:rPr>
                <w:sz w:val="22"/>
              </w:rPr>
              <w:t xml:space="preserve">zagrożone </w:t>
            </w:r>
          </w:p>
          <w:p>
            <w:pPr>
              <w:jc w:val="left"/>
            </w:pPr>
            <w:r>
              <w:rPr>
                <w:sz w:val="22"/>
              </w:rPr>
              <w:t xml:space="preserve">zniekształceniem </w:t>
            </w:r>
          </w:p>
          <w:p>
            <w:pPr>
              <w:jc w:val="left"/>
            </w:pPr>
            <w:r>
              <w:rPr>
                <w:sz w:val="22"/>
              </w:rPr>
              <w:t xml:space="preserve">na skutek </w:t>
            </w:r>
          </w:p>
          <w:p>
            <w:pPr>
              <w:jc w:val="left"/>
            </w:pPr>
            <w:r>
              <w:rPr>
                <w:sz w:val="22"/>
              </w:rPr>
              <w:t xml:space="preserve">ekspansji obcych </w:t>
            </w:r>
          </w:p>
          <w:p>
            <w:pPr>
              <w:jc w:val="left"/>
            </w:pPr>
            <w:r>
              <w:rPr>
                <w:sz w:val="22"/>
              </w:rPr>
              <w:t xml:space="preserve">gatunków roślin </w:t>
            </w:r>
          </w:p>
          <w:p>
            <w:pPr>
              <w:jc w:val="left"/>
            </w:pPr>
            <w:r>
              <w:rPr>
                <w:sz w:val="22"/>
              </w:rPr>
              <w:t>krzewiastych. Cały obszar rezerwatu przyrody.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Cięcia regulujące </w:t>
            </w:r>
          </w:p>
          <w:p>
            <w:pPr>
              <w:jc w:val="left"/>
            </w:pPr>
            <w:r>
              <w:rPr>
                <w:sz w:val="22"/>
              </w:rPr>
              <w:t xml:space="preserve">skład gatunkowy </w:t>
            </w:r>
          </w:p>
          <w:p>
            <w:pPr>
              <w:jc w:val="left"/>
            </w:pPr>
            <w:r>
              <w:rPr>
                <w:sz w:val="22"/>
              </w:rPr>
              <w:t xml:space="preserve">drzewostanów </w:t>
            </w:r>
          </w:p>
          <w:p>
            <w:pPr>
              <w:jc w:val="left"/>
            </w:pPr>
            <w:r>
              <w:rPr>
                <w:sz w:val="22"/>
              </w:rPr>
              <w:t xml:space="preserve">pochodzenia </w:t>
            </w:r>
          </w:p>
          <w:p>
            <w:pPr>
              <w:jc w:val="left"/>
            </w:pPr>
            <w:r>
              <w:rPr>
                <w:sz w:val="22"/>
              </w:rPr>
              <w:t>sztucznego.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Regulacja zwarcia koron drzew do 50-70 % i składu gatunkowego drzewostanu na korzyść gatunków optymalnych dla siedliska świetlistej dąbrowy. </w:t>
            </w:r>
          </w:p>
          <w:p>
            <w:pPr>
              <w:jc w:val="left"/>
            </w:pPr>
            <w:r>
              <w:rPr>
                <w:sz w:val="22"/>
              </w:rPr>
              <w:t xml:space="preserve">Stopniowe usuwanie z drzewostanów sosny </w:t>
            </w:r>
          </w:p>
          <w:p>
            <w:pPr>
              <w:jc w:val="left"/>
            </w:pPr>
            <w:r>
              <w:rPr>
                <w:sz w:val="22"/>
              </w:rPr>
              <w:t xml:space="preserve">i modrzewia w okresie jesienno-zimowym co 5 lat. </w:t>
            </w:r>
          </w:p>
          <w:p>
            <w:pPr>
              <w:jc w:val="left"/>
            </w:pPr>
            <w:r>
              <w:rPr>
                <w:sz w:val="22"/>
              </w:rPr>
              <w:t xml:space="preserve">Pozostawienie usuniętej sosny i modrzewia </w:t>
            </w:r>
          </w:p>
          <w:p>
            <w:pPr>
              <w:jc w:val="left"/>
            </w:pPr>
            <w:r>
              <w:rPr>
                <w:sz w:val="22"/>
              </w:rPr>
              <w:t>stanowiącej łącznie ok. 5% zasobności drzewostanów do naturalnego rozpadu.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oddz. 572 a, b, </w:t>
            </w:r>
          </w:p>
          <w:p>
            <w:pPr>
              <w:jc w:val="left"/>
            </w:pPr>
            <w:r>
              <w:rPr>
                <w:sz w:val="22"/>
              </w:rPr>
              <w:t xml:space="preserve">576 d, f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Zmniejszenie </w:t>
            </w:r>
          </w:p>
          <w:p>
            <w:pPr>
              <w:jc w:val="left"/>
            </w:pPr>
            <w:r>
              <w:rPr>
                <w:sz w:val="22"/>
              </w:rPr>
              <w:t xml:space="preserve">zwarcia podsadzeń </w:t>
            </w:r>
          </w:p>
          <w:p>
            <w:pPr>
              <w:jc w:val="left"/>
            </w:pPr>
            <w:r>
              <w:rPr>
                <w:sz w:val="22"/>
              </w:rPr>
              <w:t xml:space="preserve">dębowych w celu ich </w:t>
            </w:r>
          </w:p>
          <w:p>
            <w:pPr>
              <w:jc w:val="left"/>
            </w:pPr>
            <w:r>
              <w:rPr>
                <w:sz w:val="22"/>
              </w:rPr>
              <w:t xml:space="preserve">uodpornienia na </w:t>
            </w:r>
          </w:p>
          <w:p>
            <w:pPr>
              <w:jc w:val="left"/>
            </w:pPr>
            <w:r>
              <w:rPr>
                <w:sz w:val="22"/>
              </w:rPr>
              <w:t>czynniki abiotyczne.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Przerzedzanie podsadzeń dębowych w okresie jesienno-zimowym raz na 5 lat.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oddz. 577 a, b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Zabezpieczanie siewek dębów naturalnego pochodzenia indywidualnie lub grupowo przed </w:t>
            </w:r>
          </w:p>
          <w:p>
            <w:pPr>
              <w:jc w:val="left"/>
            </w:pPr>
            <w:r>
              <w:t>uszkodzeniami mechanicznymi (powodowanymi przez zwierzęta roślinożerne).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Zabezpieczenia </w:t>
            </w:r>
            <w:r>
              <w:t xml:space="preserve">siewek dębów naturalnego pochodzenia indywidualnie lub grupowo przed uszkodzeniami mechanicznymi.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Cały obszar rezerwatu przyrody, według potrzeb.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Opis granic obszaru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Dziki Ostrów PLH040045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części pokrywającej się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rezerwatem,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postaci współrzędnych punktów ich załamania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096"/>
        <w:gridCol w:w="3493"/>
        <w:gridCol w:w="349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573060,72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434093,11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573046,26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434110,71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573046,27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434132,70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573046,29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434175,66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573036,89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434225,01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573035,53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434232,14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573025,74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434250,29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573029,21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434272,22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573023,33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434272,81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573018,87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434314,40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573004,31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434327,12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572965,25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434334,10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572948,75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434328,79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572877,51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434337,14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572823,98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434370,08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572811,64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434360,17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572800,73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434342,59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572780,33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434333,55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572764,96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434330,57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572757,22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434334,55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572715,42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434343,85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572712,49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434344,50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572711,19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434344,79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572694,43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434341,15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572658,45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434346,41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572638,53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434345,29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572630,00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434348,83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572583,58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434347,23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572578,59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434343,62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572571,43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434343,84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572564,88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434346,49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572561,69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434358,60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572560,08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434362,49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572529,10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434362,11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572490,13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434357,73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572474,47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434367,77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572444,26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434377,64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572407,52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434388,76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572387,62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434384,62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572381,28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434383,72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572376,48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434385,38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572370,65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434385,33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572364,46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434386,65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572360,01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434386,94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572350,37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434399,33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572339,81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434422,00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572307,99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434427,41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572275,26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434457,28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572271,78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434495,16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572271,39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434499,38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572282,13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434525,12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572281,10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434544,43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572270,46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434564,79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572242,08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434599,94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572230,40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434602,79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572218,81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434606,14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572210,38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434609,88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572205,47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434605,76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572206,01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434613,11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572204,20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434627,11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572204,32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434632,32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572205,40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434647,11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572210,21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434656,93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572213,86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434662,57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572223,07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434652,89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572231,42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434668,28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572241,99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434684,86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572240,03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434686,80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572238,21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434688,59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572222,08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434707,18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572213,80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434712,96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572194,61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434722,20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572164,16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434724,76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572144,48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434721,02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572120,67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434713,77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572140,08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434654,68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572140,40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434652,69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572145,19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434622,52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572131,65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434577,81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572140,29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434571,67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572167,54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434576,02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572194,35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434543,88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572197,14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434540,54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572194,25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434470,80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572183,07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434409,82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572188,58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434251,38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572188,57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434249,56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572188,33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434190,51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572187,53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434075,31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572187,52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434073,25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572187,30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434042,37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572183,45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434034,57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572185,01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434020,05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572178,17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433991,03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572168,65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433987,15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572147,21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433984,28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572136,07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433999,55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572121,67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434029,77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572106,33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434010,94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572089,46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434000,78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572089,27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433989,07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572094,11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433981,00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572104,81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433962,13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572109,06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433941,29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572114,52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433914,52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572130,38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433885,21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572147,86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433852,92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572162,93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433797,66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572195,87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433707,17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572205,17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433654,68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572209,98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433627,61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572231,33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433558,24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572255,99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433504,73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572257,23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433494,23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572259,75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433472,89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572270,34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433441,05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572278,34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433445,76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572290,73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433453,06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572302,40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433482,64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572304,77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433509,18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572314,36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433527,38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572332,68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433543,16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572348,47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433554,83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572393,05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433555,80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572417,25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433556,34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572437,00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433550,31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572437,14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433547,83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572494,44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433528,69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572546,02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433511,46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572597,04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433472,00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572628,67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433465,66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572742,56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433500,51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572765,03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433512,51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572799,60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433530,99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572846,80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433565,13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572935,57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433641,95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572938,16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433645,85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572940,30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433649,08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572995,67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433708,44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573005,07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433728,66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573007,88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433734,70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573014,35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433753,92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573021,49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433775,16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573054,66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433831,79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573056,78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433847,24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573057,05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433849,24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573059,53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433867,37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573079,14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433919,28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573098,56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433950,05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573130,35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433987,66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573140,83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434006,96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573160,66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434043,46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573066,71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434085,82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76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573060,72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sz w:val="20"/>
              </w:rPr>
              <w:t>434093,11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8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Mapa obszaru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Dziki Ostrów PLH040045 wraz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leżącym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jego granicach rezerwatem przyrody Dziki Ostrów</w:t>
      </w:r>
    </w:p>
    <w:p w:rsidR="00A77B3E">
      <w:pPr>
        <w:keepNext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drawing>
          <wp:inline>
            <wp:extent cx="6269320" cy="771910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/>
        <w:keepLines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1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Identyfikacja istniejących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potencjalnych zagrożeń dla zachowania właściwego stanu ochrony siedlisk przyrodniczych oraz gatunków roślin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zwierząt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ich siedlisk będących przedmiotami ochrony obszaru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granicach rezerwatu przyrody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32"/>
        <w:gridCol w:w="1459"/>
        <w:gridCol w:w="2077"/>
        <w:gridCol w:w="1505"/>
        <w:gridCol w:w="440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Lp.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Przedmiot ochrony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Rodzaj zagrożenia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Opis zagrożenia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istniejące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</w:rPr>
              <w:t>potencjalne</w:t>
            </w: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1.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*91I0 Ciepłolubne dąbrowy                 (</w:t>
            </w:r>
            <w:r>
              <w:rPr>
                <w:i/>
              </w:rPr>
              <w:t>Quercetalia pubescenti- petraeae</w:t>
            </w:r>
            <w: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 xml:space="preserve">I01 Obce gatunki inwazyjne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Ekspansja obcych gatunków roślin, w tym głównie czeremchy amerykańskiej, która poprzez bujny rozwój powoduje zacienienie runa oraz wypiera rodzime gatunki.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2.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-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K04.03 Zawleczenie choroby (patogeny mikrobowe).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 xml:space="preserve">Zagrożeniem jest zjawisko tak zwanego masowego zamierania dębów. W ostatnich dekadach dochodziło do zamierania wiązów i jesionu. W wielu rejonach sygnalizowane jest zamieranie olszy i brzozy oraz zasychanie drzewostanów dębowych. We wszystkich przypadkach za proces ten nie odpowiada jeden zidentyfikowany czynnik, lecz jest to zbiór różnych nakładających się w tym samym miejscu i czasie zjawisk powodujących osłabienie, a następnie obumieranie drzew. W praktyce nie ma środków i możliwości przeciwdziałających zjawisku masowego obumierania dębu jeśli już takie wystąpi. Wystąpienie gradacji patogenów (grzybów, szkodników wtórnych) należy monitorować i podjąć stosowne działania jeśli sytuacja będzie tego wymagała.    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3.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 xml:space="preserve">K02 Ewolucja biocenotyczna (sukcesja)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Ciepłolubne dąbrowy są zbiorowiskami, które na terenie kraju mają przede wszystkim charakter antropogeniczny. Powstały one w wyniku specyficznej, nieistniejącej współcześnie, działalności człowieka, zwłaszcza wypasu i grabienia liści głownie w grądach. Brak oddziaływania człowieka uruchomił naturalny proces regeneracji roślinności grądowej (grądowienie) i stopniowe przekształcanie się płatów dąbrów w grądy.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4.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K06 Inne lub mieszane formy międzygatunkowej konkurencji roślin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>-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t xml:space="preserve">Nadmierne ocienienie runa świetlistej dąbrowy </w:t>
            </w:r>
            <w:r>
              <w:rPr>
                <w:i/>
              </w:rPr>
              <w:t xml:space="preserve">Potentillo albae-Quercetum </w:t>
            </w:r>
            <w:r>
              <w:t>W wyniku dużego zwarcia lub bujnego rozwoju podszytu następuje stopniowe zwiększanie zacienienia dolnych warstw lasu (konkurencja). Efektem jest zmniejszenie pod względem ilościowym i jakościowym występujących w runie gatunków światło- i ciepłolubnych.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2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Cele działań ochronnych na obszarze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części pokrywającej się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rezerwatem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71"/>
        <w:gridCol w:w="1725"/>
        <w:gridCol w:w="2250"/>
        <w:gridCol w:w="3526"/>
        <w:gridCol w:w="201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Siedlisko przyrodnicze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  <w:t>Parametr/wskaźnik stanu ochrony</w:t>
            </w:r>
            <w:r>
              <w:rPr>
                <w:rStyle w:val="FootnoteReference"/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superscript"/>
              </w:rPr>
              <w:footnoteReference w:customMarkFollows="1" w:id="3"/>
              <w:t xml:space="preserve">1)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Cel ochrony</w:t>
            </w:r>
            <w:r>
              <w:rPr>
                <w:rStyle w:val="FootnoteReference"/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superscript"/>
              </w:rPr>
              <w:footnoteReference w:customMarkFollows="1" w:id="4"/>
              <w:t xml:space="preserve">2)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Uwagi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*91I0 Ciepłolubne dąbrowy (</w:t>
            </w:r>
            <w:r>
              <w:rPr>
                <w:i/>
                <w:sz w:val="22"/>
              </w:rPr>
              <w:t>Quercetalia pubescenti-petraeae</w:t>
            </w:r>
            <w:r>
              <w:rPr>
                <w:sz w:val="22"/>
              </w:rPr>
              <w:t>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Powierzchnia siedliska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Utrzymanie stabilnej powierzchni co najmniej 44 ha siedliska z uwzględnieniem naturalnych procesów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Zgodnie z opisem metodyki dla siedliska *91I0 (2010) i „Inwentaryzacją przyrodniczą rezerwatu przyrody Dziki Ostrów z zakresu siedliska przyrodniczego *91I0 Ciepłolubne dąbrowy </w:t>
            </w:r>
            <w:r>
              <w:rPr>
                <w:i/>
                <w:sz w:val="22"/>
              </w:rPr>
              <w:t>Quercetalia pubescenti-petraeae</w:t>
            </w:r>
            <w:r>
              <w:rPr>
                <w:sz w:val="22"/>
              </w:rPr>
              <w:t>” (2018)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Udział procentowy siedliska na transekcie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Utrzymanie wskaźnika FV. </w:t>
            </w:r>
          </w:p>
          <w:p>
            <w:pPr>
              <w:jc w:val="center"/>
            </w:pPr>
            <w:r>
              <w:rPr>
                <w:sz w:val="22"/>
              </w:rPr>
              <w:t>Zachowanie udziału procentowego siedliska na transekcie 80-100%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Gatunki charakterystyczne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Utrzymanie wskaźnika FV. Utrzymanie obecności gatunków charakterystycznych na co najmniej 10% transektu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Gatunki ciepłolubne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Utrzymanie wskaźnika FV. </w:t>
            </w:r>
          </w:p>
          <w:p>
            <w:pPr>
              <w:jc w:val="center"/>
            </w:pPr>
            <w:r>
              <w:rPr>
                <w:sz w:val="22"/>
              </w:rPr>
              <w:t>Utrzymanie obecności gatunków ciepłolubnych powyżej 20% transektu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Zwarcie podszytu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Utrzymanie wskaźnika FV. </w:t>
            </w:r>
          </w:p>
          <w:p>
            <w:pPr>
              <w:jc w:val="center"/>
            </w:pPr>
            <w:r>
              <w:rPr>
                <w:sz w:val="22"/>
              </w:rPr>
              <w:t>Utrzymanie zwarcia podszytu do 20%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Zwarcie koron drzew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Utrzymanie wskaźnika FV. </w:t>
            </w:r>
          </w:p>
          <w:p>
            <w:pPr>
              <w:jc w:val="center"/>
            </w:pPr>
            <w:r>
              <w:rPr>
                <w:sz w:val="22"/>
              </w:rPr>
              <w:t>Utrzymanie zwarcia koron drzew 50-70%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Obce gatunki inwazyjne w runie i podszycie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Utrzymanie wskaźnika U1. </w:t>
            </w:r>
          </w:p>
          <w:p>
            <w:pPr>
              <w:jc w:val="center"/>
            </w:pPr>
            <w:r>
              <w:rPr>
                <w:sz w:val="22"/>
              </w:rPr>
              <w:t>Brak lub obecność &lt;5% gatunków obcych na transekcie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Leżące martwe drewno (leżanina)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Utrzymanie wskaźnika FV.</w:t>
            </w:r>
          </w:p>
          <w:p>
            <w:pPr>
              <w:jc w:val="center"/>
            </w:pPr>
            <w:r>
              <w:rPr>
                <w:sz w:val="22"/>
              </w:rPr>
              <w:t>Utrzymanie do 5% zasobności drzewostaniu na transekcie.</w:t>
            </w: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Działania ochronne na obszarze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części pokrywającej się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rezerwatem za wskazaniem podmiotów odpowiedzialnych za ich wykonanie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obszarów ich wdrażania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00"/>
        <w:gridCol w:w="1475"/>
        <w:gridCol w:w="4211"/>
        <w:gridCol w:w="1952"/>
        <w:gridCol w:w="184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Przedmiot ochrony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</w:pPr>
            <w:r>
              <w:rPr>
                <w:b/>
                <w:sz w:val="22"/>
              </w:rPr>
              <w:t>Działania ochronne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auto"/>
                <w:sz w:val="22"/>
                <w:u w:val="none"/>
                <w:vertAlign w:val="baseline"/>
              </w:rPr>
              <w:t>Obszar wdrażania</w:t>
            </w:r>
            <w:r>
              <w:rPr>
                <w:rStyle w:val="FootnoteReference"/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superscript"/>
              </w:rPr>
              <w:footnoteReference w:customMarkFollows="1" w:id="5"/>
              <w:t xml:space="preserve">1)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Podmiot odpowiedzialny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Działania dotyczące ochrony czynnej siedlisk przyrodniczych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*91I0 Ciepłolubne dąbrowy                 (</w:t>
            </w:r>
            <w:r>
              <w:rPr>
                <w:i/>
                <w:sz w:val="22"/>
              </w:rPr>
              <w:t>Quercetalia pubescenti- petraeae</w:t>
            </w:r>
            <w:r>
              <w:rPr>
                <w:sz w:val="22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Usuwanie nadmiaru warstwy podszytów zagrażających stanowiskom roślin kserotermicznych charakterystycznych dla ciepłolubnej dąbrowy. </w:t>
            </w:r>
          </w:p>
          <w:p>
            <w:pPr>
              <w:jc w:val="left"/>
            </w:pPr>
            <w:r>
              <w:rPr>
                <w:sz w:val="22"/>
              </w:rPr>
              <w:t>Działanie polega na redukcji podszytów do maksymalnego ich udziału 20% w biochorach świetlistej dąbrowy. Prace wykonywać co najmniej raz na 5 lat, w okresie jesienno-zimowym.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oddz.: 572 c, d, g, i, j, 573 a, b, c, d, f, g, 576 a, b, 577 c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Nadleśnictwo Bydgoszcz na podstawie porozumienia zawartego z Wojskowym Zarządem Infrastruktury w Poznaniu.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Usuwanie mechaniczne inwazyjnych  gatunków roślin oraz ich odrośli m. in. czeremchy amerykańskiej </w:t>
            </w:r>
            <w:r>
              <w:rPr>
                <w:i/>
                <w:sz w:val="22"/>
              </w:rPr>
              <w:t>Padus serotina</w:t>
            </w:r>
            <w:r>
              <w:rPr>
                <w:sz w:val="22"/>
              </w:rPr>
              <w:t xml:space="preserve">. Stosowanie metod chemicznych polegających na naniesieniu bezpośrednio na powierzchnię cięcia przy zastosowaniu pędzla/mazacza preparatu chemicznego na przykład zawierającego glifosat (bez rozpylania preparatu). </w:t>
            </w:r>
          </w:p>
          <w:p>
            <w:pPr>
              <w:jc w:val="left"/>
            </w:pPr>
            <w:r>
              <w:rPr>
                <w:sz w:val="22"/>
              </w:rPr>
              <w:t>Prace rozpocząć w pierwszych latach kolejnego dziesięciolecia obowiązywania planu ochrony, w okresie jesienno -zimowym, a później wykonywać według potrzeb.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Fitocenozy leśne </w:t>
            </w:r>
          </w:p>
          <w:p>
            <w:pPr>
              <w:jc w:val="center"/>
            </w:pPr>
            <w:r>
              <w:rPr>
                <w:sz w:val="22"/>
              </w:rPr>
              <w:t xml:space="preserve">zagrożone </w:t>
            </w:r>
          </w:p>
          <w:p>
            <w:pPr>
              <w:jc w:val="center"/>
            </w:pPr>
            <w:r>
              <w:rPr>
                <w:sz w:val="22"/>
              </w:rPr>
              <w:t xml:space="preserve">zniekształceniem </w:t>
            </w:r>
          </w:p>
          <w:p>
            <w:pPr>
              <w:jc w:val="center"/>
            </w:pPr>
            <w:r>
              <w:rPr>
                <w:sz w:val="22"/>
              </w:rPr>
              <w:t xml:space="preserve">na skutek </w:t>
            </w:r>
          </w:p>
          <w:p>
            <w:pPr>
              <w:jc w:val="center"/>
            </w:pPr>
            <w:r>
              <w:rPr>
                <w:sz w:val="22"/>
              </w:rPr>
              <w:t xml:space="preserve">ekspansji obcych </w:t>
            </w:r>
          </w:p>
          <w:p>
            <w:pPr>
              <w:jc w:val="center"/>
            </w:pPr>
            <w:r>
              <w:rPr>
                <w:sz w:val="22"/>
              </w:rPr>
              <w:t>gatunków roślin krzewiastych. Cały obszar rezerwatu przyrody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Zmniejszenie zwarcia podsadzeń dębowych w celu ich uodpornienia na czynniki abiotyczne.</w:t>
            </w:r>
          </w:p>
          <w:p>
            <w:pPr>
              <w:jc w:val="left"/>
            </w:pPr>
            <w:r>
              <w:rPr>
                <w:sz w:val="22"/>
              </w:rPr>
              <w:t>Przerzedzanie podsadzeń dębowych należy wykonać w okresie jesienno-zimowym raz na 5 lat.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oddz.: 577 a, b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Zabezpieczanie siewek dębów naturalnego pochodzenia indywidualnie lub grupowo przed uszkodzeniami mechanicznymi (powodowanymi przez zwierzęta roślinożerne).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Cały obszar rezerwatu przyrody, według potrzeb.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9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Działania dotyczące monitoringu stanu przedmiotów ochrony oraz monitoringu realizacji celów działań ochronnych.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*91I0 Ciepłolubne dąbrowy                 (</w:t>
            </w:r>
            <w:r>
              <w:rPr>
                <w:i/>
                <w:sz w:val="22"/>
              </w:rPr>
              <w:t>Quercetalia pubescenti- petraeae</w:t>
            </w:r>
            <w:r>
              <w:rPr>
                <w:sz w:val="22"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Monitoring stanu siedliska przyrodniczego i realizacji celów działań ochronnych należy prowadzić minimum raz na 5 lat w oparciu o metodykę PMŚ GIOŚ.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oddz.: 572 c, d, g, i, j, 573 a, b, c, d, f, g, 576 a, b, 577 a, b, 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12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Regionalny Dyrektor Ochrony Środowiska w Bydgoszczy.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sectPr>
          <w:footerReference w:type="default" r:id="rId14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Plan ochrony dla rezerwatu przyrody 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 xml:space="preserve">został ustanowiony zarządzeniem </w:t>
      </w:r>
      <w:r>
        <w:rPr>
          <w:color w:val="000000"/>
          <w:szCs w:val="20"/>
          <w:shd w:val="clear" w:color="auto" w:fill="FFFFFF"/>
        </w:rPr>
        <w:t xml:space="preserve">nr 3/0210/2011 Regionalnego Dyrektora Ochrony Środowiska w Bydgoszczy z dnia 5 grudnia 2011 r. w sprawie ustanowienia planu ochrony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(Dz. Urz. Woj. Kuj-Pom. nr 312, poz. 3397)</w:t>
      </w:r>
      <w:r>
        <w:rPr>
          <w:color w:val="000000"/>
          <w:szCs w:val="20"/>
          <w:shd w:val="clear" w:color="auto" w:fill="FFFFFF"/>
        </w:rPr>
        <w:t xml:space="preserve">. 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ab/>
      </w:r>
      <w:r>
        <w:rPr>
          <w:color w:val="000000"/>
          <w:szCs w:val="20"/>
          <w:shd w:val="clear" w:color="auto" w:fill="FFFFFF"/>
        </w:rPr>
        <w:t xml:space="preserve">Obszar powyższego rezerwatu przyrody pokrywa się z obszarem </w:t>
      </w:r>
      <w:r>
        <w:rPr>
          <w:color w:val="000000"/>
          <w:szCs w:val="20"/>
          <w:shd w:val="clear" w:color="auto" w:fill="FFFFFF"/>
        </w:rPr>
        <w:t>Natura 2000 Dziki Ostrów PLH040045</w:t>
      </w:r>
      <w:r>
        <w:rPr>
          <w:color w:val="000000"/>
          <w:szCs w:val="20"/>
          <w:shd w:val="clear" w:color="auto" w:fill="FFFFFF"/>
        </w:rPr>
        <w:t xml:space="preserve">, zatwierdzonym decyzją wykonawczą Komisji Europejskiej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(UE) 2021/161</w:t>
      </w:r>
      <w:r>
        <w:rPr>
          <w:color w:val="000000"/>
          <w:szCs w:val="20"/>
          <w:shd w:val="clear" w:color="auto" w:fill="FFFFFF"/>
        </w:rPr>
        <w:t xml:space="preserve"> z dnia 21 stycznia 2021 r. w sprawie przyjęcia czternastego zaktualizowanego wykazu terenów mających znaczenie dla Wspólnoty składających się na kontynentalny region biogeograficzny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(notyfikowan</w:t>
      </w:r>
      <w:r>
        <w:rPr>
          <w:color w:val="000000"/>
          <w:szCs w:val="20"/>
          <w:shd w:val="clear" w:color="auto" w:fill="FFFFFF"/>
        </w:rPr>
        <w:t>ą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jako dokument nr C(2021) 21)</w:t>
      </w:r>
      <w:r>
        <w:rPr>
          <w:color w:val="000000"/>
          <w:szCs w:val="20"/>
          <w:shd w:val="clear" w:color="auto" w:fill="FFFFFF"/>
        </w:rPr>
        <w:t>; (</w:t>
      </w:r>
      <w:r>
        <w:rPr>
          <w:color w:val="000000"/>
          <w:szCs w:val="20"/>
          <w:shd w:val="clear" w:color="auto" w:fill="FFFFFF"/>
        </w:rPr>
        <w:t>Dz. U. UE L 51/330 z dnia 15 lutego 2021 r.).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</w:rPr>
        <w:tab/>
        <w:t xml:space="preserve">Plan ochrony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</w:rPr>
        <w:t xml:space="preserve"> jest zgodny z celami ochrony obszaru Natura 2000 </w:t>
      </w:r>
      <w:r>
        <w:rPr>
          <w:color w:val="000000"/>
          <w:szCs w:val="20"/>
          <w:shd w:val="clear" w:color="auto" w:fill="FFFFFF"/>
        </w:rPr>
        <w:t>Dziki Ostrów PLH040045 i w niniejszym zarządzeniu zmieniającym plan ochrony uwzględniono zakres planu zadań ochronnych dla obszaru Natura 2000 określony w art. 28 ustawy o ochronie przyrody.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Celem ochrony obszaru Natura 2000 na terenie rezerwatu jest zachowanie siedliska przyrodniczego, dla którego ochrony wyznaczono obszar Natura 2000, tj.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*91I0 Ciepłolubne dąbrowy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Quercetalia pubescenti</w:t>
      </w:r>
      <w:r>
        <w:rPr>
          <w:i/>
          <w:color w:val="000000"/>
          <w:szCs w:val="20"/>
          <w:shd w:val="clear" w:color="auto" w:fill="FFFFFF"/>
        </w:rPr>
        <w:t>-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petraeae</w:t>
      </w:r>
      <w:r>
        <w:rPr>
          <w:color w:val="000000"/>
          <w:szCs w:val="20"/>
          <w:shd w:val="clear" w:color="auto" w:fill="FFFFFF"/>
        </w:rPr>
        <w:t>, na powierzchni 44 ha oraz utrzymanie jego wskaźników na odpowiednim poziomie.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ab/>
      </w:r>
      <w:r>
        <w:rPr>
          <w:color w:val="000000"/>
          <w:szCs w:val="20"/>
          <w:shd w:val="clear" w:color="auto" w:fill="FFFFFF"/>
        </w:rPr>
        <w:t xml:space="preserve">Działania dotyczące ochrony czynnej siedliska przyrodniczego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*91I0 Ciepłolubne dąbrowy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Quercetalia pubescenti</w:t>
      </w:r>
      <w:r>
        <w:rPr>
          <w:i/>
          <w:color w:val="000000"/>
          <w:szCs w:val="20"/>
          <w:shd w:val="clear" w:color="auto" w:fill="FFFFFF"/>
        </w:rPr>
        <w:t>-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petraeae</w:t>
      </w:r>
      <w:r>
        <w:rPr>
          <w:color w:val="000000"/>
          <w:szCs w:val="20"/>
          <w:shd w:val="clear" w:color="auto" w:fill="FFFFFF"/>
        </w:rPr>
        <w:t>,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na obszarze Natura 2000 w części pokrywającej się z rezerwatem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polegać będą na: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1) usuwaniu nadmiaru warstwy podszytów zagrażających stanowiskom roślin kserotermicznych charakterystycznych dla ciepłolubnej dąbrowy;</w:t>
      </w:r>
    </w:p>
    <w:p>
      <w:pPr>
        <w:keepNext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2) u</w:t>
      </w:r>
      <w:r>
        <w:rPr>
          <w:szCs w:val="20"/>
          <w:shd w:val="clear" w:color="auto" w:fill="FFFFFF"/>
          <w:lang w:val="x-none" w:eastAsia="en-US" w:bidi="ar-SA"/>
        </w:rPr>
        <w:t>suwani</w:t>
      </w:r>
      <w:r>
        <w:rPr>
          <w:szCs w:val="20"/>
          <w:shd w:val="clear" w:color="auto" w:fill="FFFFFF"/>
        </w:rPr>
        <w:t>u</w:t>
      </w:r>
      <w:r>
        <w:rPr>
          <w:szCs w:val="20"/>
          <w:shd w:val="clear" w:color="auto" w:fill="FFFFFF"/>
          <w:lang w:val="x-none" w:eastAsia="en-US" w:bidi="ar-SA"/>
        </w:rPr>
        <w:t xml:space="preserve"> </w:t>
      </w:r>
      <w:r>
        <w:rPr>
          <w:szCs w:val="20"/>
          <w:shd w:val="clear" w:color="auto" w:fill="FFFFFF"/>
        </w:rPr>
        <w:t xml:space="preserve">mechanicznym </w:t>
      </w:r>
      <w:r>
        <w:rPr>
          <w:szCs w:val="20"/>
          <w:shd w:val="clear" w:color="auto" w:fill="FFFFFF"/>
          <w:lang w:val="x-none" w:eastAsia="en-US" w:bidi="ar-SA"/>
        </w:rPr>
        <w:t xml:space="preserve">inwazyjnych </w:t>
      </w:r>
      <w:r>
        <w:rPr>
          <w:szCs w:val="20"/>
          <w:shd w:val="clear" w:color="auto" w:fill="FFFFFF"/>
        </w:rPr>
        <w:t xml:space="preserve"> </w:t>
      </w:r>
      <w:r>
        <w:rPr>
          <w:szCs w:val="20"/>
          <w:shd w:val="clear" w:color="auto" w:fill="FFFFFF"/>
          <w:lang w:val="x-none" w:eastAsia="en-US" w:bidi="ar-SA"/>
        </w:rPr>
        <w:t xml:space="preserve">gatunków roślin oraz ich odrośli m. in. czeremchy amerykańskiej </w:t>
      </w:r>
      <w:r>
        <w:rPr>
          <w:i/>
          <w:szCs w:val="20"/>
          <w:shd w:val="clear" w:color="auto" w:fill="FFFFFF"/>
          <w:lang w:val="x-none" w:eastAsia="en-US" w:bidi="ar-SA"/>
        </w:rPr>
        <w:t>Padus serotina</w:t>
      </w:r>
      <w:r>
        <w:rPr>
          <w:szCs w:val="20"/>
          <w:shd w:val="clear" w:color="auto" w:fill="FFFFFF"/>
        </w:rPr>
        <w:t>, s</w:t>
      </w:r>
      <w:r>
        <w:rPr>
          <w:color w:val="000000"/>
          <w:szCs w:val="20"/>
          <w:shd w:val="clear" w:color="auto" w:fill="FFFFFF"/>
        </w:rPr>
        <w:t>tosowaniu metod chemicznych polegających na naniesieniu bezpośrednio na powierzchnię cięcia przy zastosowaniu pędzla/mazacza preparatu chemicznego na przykład zawierającego glifosat (bez rozpylania preparatu);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3) zmniejszaniu zwarcia podsadzeń dębowych w celu ich uodpornienia na czynniki abiotyczne;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4)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abezpieczani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siewek dębów naturalnego pochodzenia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indywidualnie lub grupowo przed uszkodzeniami mechanicznymi</w:t>
      </w:r>
      <w:r>
        <w:rPr>
          <w:color w:val="000000"/>
          <w:szCs w:val="20"/>
          <w:shd w:val="clear" w:color="auto" w:fill="FFFFFF"/>
        </w:rPr>
        <w:t xml:space="preserve"> (powodowanymi przez zwierzęta roślinożerne).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Podmiotem odpowiedzialnym za realizację powyższych działań jest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Nadleśnictwo Bydgoszcz na podstawie porozumienia zawartego z Wojskowym Zarządem Infrastruktury w Poznaniu</w:t>
      </w:r>
      <w:r>
        <w:rPr>
          <w:color w:val="000000"/>
          <w:szCs w:val="20"/>
          <w:shd w:val="clear" w:color="auto" w:fill="FFFFFF"/>
        </w:rPr>
        <w:t xml:space="preserve">. Jednocześnie zaplanowane zostało działanie polegające na monitoringu stanu siedliska przyrodniczego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*91I0 Ciepłolubne dąbrowy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Quercetalia pubescenti</w:t>
      </w:r>
      <w:r>
        <w:rPr>
          <w:i/>
          <w:color w:val="000000"/>
          <w:szCs w:val="20"/>
          <w:shd w:val="clear" w:color="auto" w:fill="FFFFFF"/>
        </w:rPr>
        <w:t>-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petraeae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oraz monitoringu realizacji celów działań ochronnych,</w:t>
      </w:r>
      <w:r>
        <w:rPr>
          <w:color w:val="000000"/>
          <w:szCs w:val="20"/>
          <w:shd w:val="clear" w:color="auto" w:fill="FFFFFF"/>
        </w:rPr>
        <w:t xml:space="preserve"> które należy prowadzić minimum raz na 5 lat w oparciu o metodykę PMŚ GIOŚ. Podmiotem odpowiedzialnym za realizację tego działania jest Regionalny Dyrektor Ochrony Środowiska w Bydgoszczy.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Obszar wdrażania działań ochronnych został określony na podstawie wyników „Inwentaryzacji przyrodniczej rezerwatu przyrody Dziki Ostrów z zakresu siedliska przyrodniczego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*91I0 Ciepłolubne dąbrowy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Quercetalia pubescenti</w:t>
      </w:r>
      <w:r>
        <w:rPr>
          <w:i/>
          <w:color w:val="000000"/>
          <w:szCs w:val="20"/>
          <w:shd w:val="clear" w:color="auto" w:fill="FFFFFF"/>
        </w:rPr>
        <w:t>-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petraeae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wykonanej przez Biuro Badań, Monitoringu i Ochrony Przyrody „EcoFalk” Michał Falkowski, 2018 r. Powyższa dokumentacja powstała w związku z wykonaniem kompensacji przyrodniczej w ramach inwestycji pn. „APS - Wojskowy Kompleks Magazynowy i Naprawczy wraz z bocznicą kolejową i infrastrukturą towarzysząca w 33 Bazie Lotnictwa transportowego w Powidzu” mogącej znacząco negatywnie oddziaływać na cele ochrony obszaru Natura 2000 Pojezierze Gnieźnieńskie PLH300026, zgodnie z decyzją Regionalnego Dyrektora Ochrony Środowiska w Poznaniu z dnia 22 sierpnia 2018 r., znak: WPN-I.6332.1.2018.JD.5.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Mając na względzie wyniki powyższej dokumentacji poprawiono również obszar wdrażania działań ochronnych na terenie rezerwatu przyrody, to znaczy w załączniku nr 2 niniejszego zarządzenia zweryfikowano oddziały, na których planowane są działania ochronne na siedlisku przyrodniczym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*91I0 Ciepłolubne dąbrowy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Quercetalia pubescenti</w:t>
      </w:r>
      <w:r>
        <w:rPr>
          <w:i/>
          <w:color w:val="000000"/>
          <w:szCs w:val="20"/>
          <w:shd w:val="clear" w:color="auto" w:fill="FFFFFF"/>
        </w:rPr>
        <w:t>-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petraeae</w:t>
      </w:r>
      <w:r>
        <w:rPr>
          <w:color w:val="000000"/>
          <w:szCs w:val="20"/>
          <w:shd w:val="clear" w:color="auto" w:fill="FFFFFF"/>
        </w:rPr>
        <w:t xml:space="preserve">. Ponadto w załącznikach nr 1, 2, 7 niniejszego zarządzenia na wniosek Nadleśnictwa Bydgoszcz z dnia 18 listopada 2021 r., znak ZG.7212.7.2021, dopuszczono możliwość stosowania metod chemicznych usuwania </w:t>
      </w:r>
      <w:r>
        <w:rPr>
          <w:szCs w:val="20"/>
          <w:shd w:val="clear" w:color="auto" w:fill="FFFFFF"/>
          <w:lang w:val="x-none" w:eastAsia="en-US" w:bidi="ar-SA"/>
        </w:rPr>
        <w:t xml:space="preserve">czeremchy amerykańskiej </w:t>
      </w:r>
      <w:r>
        <w:rPr>
          <w:i/>
          <w:szCs w:val="20"/>
          <w:shd w:val="clear" w:color="auto" w:fill="FFFFFF"/>
          <w:lang w:val="x-none" w:eastAsia="en-US" w:bidi="ar-SA"/>
        </w:rPr>
        <w:t>Padus serotina</w:t>
      </w:r>
      <w:r>
        <w:rPr>
          <w:i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polegających na naniesieniu bezpośrednio na powierzchnię cięcia przy zastosowaniu pędzla/mazacza preparatu chemicznego na przykład zawierającego glifosat, ze względu na małą skuteczność metod mechanicznych oraz wskazano  potrzebę osłony siewek dębów naturalnego pochodzenia  przed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uszkodzeniami mechanicznymi</w:t>
      </w:r>
      <w:r>
        <w:rPr>
          <w:color w:val="000000"/>
          <w:szCs w:val="20"/>
          <w:shd w:val="clear" w:color="auto" w:fill="FFFFFF"/>
        </w:rPr>
        <w:t xml:space="preserve"> (powodowanymi przez zwierzęta roślinożerne).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>dostępnienie rezerwatu przyrody dla celów edukacyjnych i turystycznych może nastąpić jedynie w formie odrębnego zarządzenia na podstawie ar. 15 ust. 1 pkt 15 ustawy z dnia 16 kwietnia 2004 r. o ochronie przyrody, a nie zarządzeniem w sprawie ustanowienia planu ochrony rezerwatu. W związku z powyższym, niniejszym zarządzeniem</w:t>
      </w:r>
      <w:r>
        <w:rPr>
          <w:color w:val="000000"/>
          <w:szCs w:val="20"/>
          <w:shd w:val="clear" w:color="auto" w:fill="FFFFFF"/>
        </w:rPr>
        <w:t xml:space="preserve"> zmieniającym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usunięte zostały zapisy określające sposób udostępnienia rezerwatu dla celów edukacyjnych, turystyczny</w:t>
      </w:r>
      <w:r>
        <w:rPr>
          <w:color w:val="000000"/>
          <w:szCs w:val="20"/>
          <w:shd w:val="clear" w:color="auto" w:fill="FFFFFF"/>
        </w:rPr>
        <w:t>ch.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9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Obwieszczeniem znak </w:t>
      </w:r>
      <w:r>
        <w:rPr>
          <w:color w:val="000000"/>
          <w:szCs w:val="20"/>
          <w:shd w:val="clear" w:color="auto" w:fill="FFFFFF"/>
        </w:rPr>
        <w:t>WOP.6202.13.2021.KLD.3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z dnia </w:t>
      </w:r>
      <w:r>
        <w:rPr>
          <w:color w:val="000000"/>
          <w:szCs w:val="20"/>
          <w:shd w:val="clear" w:color="auto" w:fill="FFFFFF"/>
        </w:rPr>
        <w:t>29 marca 2022 r.</w:t>
      </w:r>
      <w:r>
        <w:rPr>
          <w:color w:val="000000"/>
          <w:szCs w:val="20"/>
          <w:shd w:val="clear" w:color="auto" w:fill="FFFFFF"/>
          <w:lang w:val="en-US" w:eastAsia="en-US" w:bidi="en-US"/>
        </w:rPr>
        <w:t>, Regionalny Dyrektor Ochrony Środowiska w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Bydgoszczy zawiadomił 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możliwości udziału społeczeństwa w postępowaniu poprzez zapoznanie się z projektem zmiany planu ochrony dla rezerwatu przyrody 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” i możliwości </w:t>
      </w:r>
      <w:r>
        <w:rPr>
          <w:color w:val="000000"/>
          <w:szCs w:val="20"/>
          <w:shd w:val="clear" w:color="auto" w:fill="FFFFFF"/>
          <w:lang w:val="en-US" w:eastAsia="en-US" w:bidi="en-US"/>
        </w:rPr>
        <w:t>składania uwag i wniosków.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Informacja została podana do publicznej wiadomości zgodnie z</w:t>
      </w:r>
      <w:r>
        <w:rPr>
          <w:color w:val="000000"/>
          <w:szCs w:val="20"/>
          <w:shd w:val="clear" w:color="auto" w:fill="FFFFFF"/>
        </w:rPr>
        <w:t xml:space="preserve"> art. 19 ust. 1a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i 3 oraz art. 28 ust. 3 i 4  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ustawy z dnia 16 kwietnia 2004 roku o 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art. 3 ust. 1 pkt 11, art. 39 ustawy z dnia 3 października 2008 roku o udostępnieniu informacji o środowisku i jego ochronie, udziale społeczeństwa w ochronie środowiska oraz o ocenach oddziaływania na środowisko (Dz. U. z 202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r., poz. </w:t>
      </w:r>
      <w:r>
        <w:rPr>
          <w:color w:val="000000"/>
          <w:szCs w:val="20"/>
          <w:shd w:val="clear" w:color="auto" w:fill="FFFFFF"/>
        </w:rPr>
        <w:t>1029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ze zm.) i rozporządzeniem Ministra Środowiska z dnia 12 maja 2005 r. w sprawie sporządzenia projektu planu ochrony dla parku narodowego, rezerwatu przyrody i parku krajobrazowego, dokonania zmian w tym planie oraz ochrony zasobów, tworów i składników przyrody (Dz. U. Nr 94, poz. 794)</w:t>
      </w:r>
      <w:r>
        <w:rPr>
          <w:color w:val="000000"/>
          <w:szCs w:val="20"/>
          <w:shd w:val="clear" w:color="auto" w:fill="FFFFFF"/>
        </w:rPr>
        <w:t xml:space="preserve"> oraz art. 49 ustawy z dnia 14 czerwca 1960 r. Kodeks postępowania administracyjnego (Dz. U. z 2021 r., poz. 735, ze zm.)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  <w:r>
        <w:rPr>
          <w:color w:val="000000"/>
          <w:szCs w:val="20"/>
          <w:shd w:val="clear" w:color="auto" w:fill="FFFFFF"/>
        </w:rPr>
        <w:t xml:space="preserve"> Projekt zarządzenia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był podan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publicznej wiadomości również poprzez ogłoszenie w prasie o odpowiednim do rodzaju dokumentu zasięgu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Projekt zmiany planu ochrony zamieszczono również w publicznie dostępnym wykazie danych na Ekoportalu (nr karty 223/2022).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W trakcie przeprowadzonych konsultacji społecznych nie wpłynęły do tut. Urzędu uwagi do przedmiotowego projektu planu ochrony.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ar-SA" w:eastAsia="ar-SA" w:bidi="ar-SA"/>
        </w:rPr>
        <w:t>P</w:t>
      </w:r>
      <w:r>
        <w:rPr>
          <w:color w:val="000000"/>
          <w:szCs w:val="20"/>
          <w:shd w:val="clear" w:color="auto" w:fill="FFFFFF"/>
        </w:rPr>
        <w:t>rojekt zmiany planu ochrony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dla rezerwatu przyrody 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ar-SA" w:eastAsia="ar-SA" w:bidi="ar-SA"/>
        </w:rPr>
        <w:t>” został zaopiniowan</w:t>
      </w:r>
      <w:r>
        <w:rPr>
          <w:color w:val="000000"/>
          <w:szCs w:val="20"/>
          <w:shd w:val="clear" w:color="auto" w:fill="FFFFFF"/>
        </w:rPr>
        <w:t xml:space="preserve">y pozytywnie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przez zarządcę terenu </w:t>
      </w:r>
      <w:r>
        <w:rPr>
          <w:color w:val="000000"/>
          <w:szCs w:val="20"/>
          <w:shd w:val="clear" w:color="auto" w:fill="FFFFFF"/>
        </w:rPr>
        <w:t xml:space="preserve">rezerwatu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Nadleśnictwo </w:t>
      </w:r>
      <w:r>
        <w:rPr>
          <w:color w:val="000000"/>
          <w:szCs w:val="20"/>
          <w:shd w:val="clear" w:color="auto" w:fill="FFFFFF"/>
        </w:rPr>
        <w:t>Bydgoszcz pismem z dnia 25 stycznia 2022 r., znak ZG.7212.1.2022.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Projekt zarządzenia </w:t>
      </w:r>
      <w:r>
        <w:rPr>
          <w:color w:val="000000"/>
          <w:szCs w:val="20"/>
          <w:shd w:val="clear" w:color="auto" w:fill="FFFFFF"/>
        </w:rPr>
        <w:t xml:space="preserve">zmieniającego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sprawie ustanowienia planu ochrony dla rezerwatu przyrody „</w:t>
      </w:r>
      <w:r>
        <w:rPr>
          <w:color w:val="000000"/>
          <w:szCs w:val="20"/>
          <w:shd w:val="clear" w:color="auto" w:fill="FFFFFF"/>
        </w:rPr>
        <w:t>Dziki Ostrów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został zaopiniowany </w:t>
      </w:r>
      <w:r>
        <w:rPr>
          <w:color w:val="000000"/>
          <w:szCs w:val="20"/>
          <w:shd w:val="clear" w:color="auto" w:fill="FFFFFF"/>
        </w:rPr>
        <w:t xml:space="preserve">pozytywnie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przez Radę Gminy </w:t>
      </w:r>
      <w:r>
        <w:rPr>
          <w:color w:val="000000"/>
          <w:szCs w:val="20"/>
          <w:shd w:val="clear" w:color="auto" w:fill="FFFFFF"/>
        </w:rPr>
        <w:t>Nowa Wieś Wielka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uchwałą nr XXXVI/356/22,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 dni</w:t>
      </w:r>
      <w:r>
        <w:rPr>
          <w:color w:val="000000"/>
          <w:szCs w:val="20"/>
          <w:shd w:val="clear" w:color="auto" w:fill="FFFFFF"/>
        </w:rPr>
        <w:t>a 26 kwietnia 2022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 </w:t>
      </w:r>
      <w:r>
        <w:rPr>
          <w:color w:val="000000"/>
          <w:szCs w:val="20"/>
          <w:shd w:val="clear" w:color="auto" w:fill="FFFFFF"/>
        </w:rPr>
        <w:t xml:space="preserve">pozytywnie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przez Regionalną Radę Ochrony Przyrody w Bydgoszczy uchwałą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Cs w:val="20"/>
          <w:shd w:val="clear" w:color="auto" w:fill="FFFFFF"/>
        </w:rPr>
        <w:t>9/2022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 dnia </w:t>
      </w:r>
      <w:r>
        <w:rPr>
          <w:color w:val="000000"/>
          <w:szCs w:val="20"/>
          <w:shd w:val="clear" w:color="auto" w:fill="FFFFFF"/>
        </w:rPr>
        <w:t>10 sierpnia 2022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</w:t>
      </w:r>
      <w:r>
        <w:rPr>
          <w:color w:val="000000"/>
          <w:szCs w:val="20"/>
          <w:shd w:val="clear" w:color="auto" w:fill="FFFFFF"/>
        </w:rPr>
        <w:t>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135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pismem znak: </w:t>
      </w:r>
      <w:r>
        <w:rPr>
          <w:color w:val="000000"/>
          <w:szCs w:val="20"/>
          <w:shd w:val="clear" w:color="auto" w:fill="FFFFFF"/>
        </w:rPr>
        <w:t>WIR.IX.710.46.2022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 dnia </w:t>
      </w:r>
      <w:r>
        <w:rPr>
          <w:color w:val="000000"/>
          <w:szCs w:val="20"/>
          <w:shd w:val="clear" w:color="auto" w:fill="FFFFFF"/>
        </w:rPr>
        <w:t xml:space="preserve">8 września 2022 r. </w:t>
      </w:r>
    </w:p>
    <w:tbl>
      <w:tblPr>
        <w:tblStyle w:val="TableSimple1"/>
        <w:tblW w:w="8640" w:type="dxa"/>
        <w:tblInd w:w="93" w:type="dxa"/>
        <w:tblBorders>
          <w:top w:val="nil"/>
          <w:left w:val="nil"/>
          <w:bottom w:val="nil"/>
          <w:right w:val="nil"/>
        </w:tblBorders>
        <w:tblLook w:val="04A0"/>
      </w:tblPr>
      <w:tblGrid>
        <w:gridCol w:w="5081"/>
        <w:gridCol w:w="3559"/>
      </w:tblGrid>
      <w:tr>
        <w:tblPrEx>
          <w:tblW w:w="8640" w:type="dxa"/>
          <w:tblInd w:w="93" w:type="dxa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120" w:afterAutospacing="0" w:line="240" w:lineRule="auto"/>
              <w:ind w:left="0" w:right="0" w:firstLine="0"/>
              <w:contextualSpacing w:val="0"/>
              <w:jc w:val="left"/>
              <w:rPr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SIGNATURE_0_1_FUNCTION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szCs w:val="20"/>
                <w:u w:color="000000"/>
              </w:rPr>
              <w:t xml:space="preserve">Regionalny Dyrektor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Ochrony Środowiska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>w Bydgoszczy</w:t>
            </w:r>
            <w:r>
              <w:rPr>
                <w:szCs w:val="20"/>
                <w:u w:color="000000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SIGNATURE_0_1_FIRSTNAME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 xml:space="preserve">Szymon </w:t>
            </w:r>
            <w:r>
              <w:rPr>
                <w:szCs w:val="20"/>
                <w:u w:color="000000"/>
              </w:rPr>
              <w:fldChar w:fldCharType="end"/>
            </w: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SIGNATURE_0_1_LASTNAME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>Kosmalski</w:t>
            </w:r>
            <w:r>
              <w:rPr>
                <w:szCs w:val="20"/>
                <w:u w:color="000000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en-US" w:eastAsia="en-US" w:bidi="en-US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sectPr>
      <w:footerReference w:type="default" r:id="rId15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56C8EDB8-FF46-470B-88A3-EA3C05D06ED7.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Plan Urządzenia Lasu Nadleśnictwa Bydgoszcz na lata 2022 - 2031</w:t>
      </w:r>
    </w:p>
  </w:footnote>
  <w:footnote w:id="3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Parametry/wskaźniki stanu ochrony, zostały oparte na podstawie wskaźników stanu zachowania zawartych w metodyce monitoringu, o którym mowa w art. 112 ust. 2 ustawy o ochronie przyrody, a także  raportów, o których mowa w art. 38 tej. ustawy.</w:t>
      </w:r>
    </w:p>
  </w:footnote>
  <w:footnote w:id="4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Cel ochrony uwzględnia najnowsze z dostępnych oceny stanu zachowania dla poszczególnych wskaźników, które posłużyły do określenia Przedmiotów celu ochrony.</w:t>
      </w:r>
    </w:p>
  </w:footnote>
  <w:footnote w:id="5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Plan Urządzenia Lasu Nadleśnictwa Bydgoszcz na lata 2022 - 2031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customStyle="1" w:styleId="Normal0">
    <w:name w:val="Normal_0"/>
    <w:basedOn w:val="Normal"/>
    <w:pPr>
      <w:jc w:val="left"/>
    </w:pPr>
    <w:rPr>
      <w:color w:val="000000"/>
      <w:sz w:val="22"/>
      <w:szCs w:val="20"/>
      <w:lang w:val="x-none" w:eastAsia="en-US" w:bidi="ar-SA"/>
    </w:rPr>
  </w:style>
  <w:style w:type="table" w:styleId="TableSimple1">
    <w:name w:val="Table Simple 1"/>
    <w:basedOn w:val="TableNormal"/>
    <w:rPr>
      <w:color w:val="000000"/>
      <w:sz w:val="22"/>
      <w:shd w:val="clear" w:color="auto" w:fill="FFFFFF"/>
      <w:lang w:val="x-none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ZalacznikCE4CC410-ED6A-4250-BBC3-8EC608961972.jpg" TargetMode="External" /><Relationship Id="rId11" Type="http://schemas.openxmlformats.org/officeDocument/2006/relationships/footer" Target="footer5.xml" /><Relationship Id="rId12" Type="http://schemas.openxmlformats.org/officeDocument/2006/relationships/footer" Target="footer6.xml" /><Relationship Id="rId13" Type="http://schemas.openxmlformats.org/officeDocument/2006/relationships/footer" Target="footer7.xml" /><Relationship Id="rId14" Type="http://schemas.openxmlformats.org/officeDocument/2006/relationships/footer" Target="footer8.xml" /><Relationship Id="rId15" Type="http://schemas.openxmlformats.org/officeDocument/2006/relationships/footer" Target="footer9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footer" Target="footer3.xml" /><Relationship Id="rId8" Type="http://schemas.openxmlformats.org/officeDocument/2006/relationships/footer" Target="footer4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12 września 2022 r.</dc:title>
  <dc:subject>zmieniające zarządzenie w^sprawie ustanowienia planu ochrony dla rezerwatu przyrody „Dziki Ostrów”</dc:subject>
  <dc:creator>kleszczynska</dc:creator>
  <cp:lastModifiedBy>kleszczynska</cp:lastModifiedBy>
  <cp:revision>1</cp:revision>
  <dcterms:created xsi:type="dcterms:W3CDTF">2022-09-13T09:58:45Z</dcterms:created>
  <dcterms:modified xsi:type="dcterms:W3CDTF">2022-09-13T09:58:45Z</dcterms:modified>
  <cp:category>Akt prawny</cp:category>
</cp:coreProperties>
</file>