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1203"/>
        <w:gridCol w:w="2309"/>
        <w:gridCol w:w="6146"/>
        <w:gridCol w:w="4152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4D086F" w:rsidRDefault="00807385" w:rsidP="00651688">
            <w:pPr>
              <w:spacing w:before="120" w:after="120"/>
              <w:ind w:left="2948" w:hanging="2948"/>
              <w:rPr>
                <w:b/>
                <w:i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AA6E13">
              <w:rPr>
                <w:b/>
                <w:i/>
              </w:rPr>
              <w:t xml:space="preserve">Projekt ustawy o zmianie ustawy o krajowym systemie </w:t>
            </w:r>
            <w:proofErr w:type="spellStart"/>
            <w:r w:rsidR="00AA6E13">
              <w:rPr>
                <w:b/>
                <w:i/>
              </w:rPr>
              <w:t>cyberbezpieczeństwa</w:t>
            </w:r>
            <w:proofErr w:type="spellEnd"/>
            <w:r w:rsidR="00AA6E13">
              <w:rPr>
                <w:b/>
                <w:i/>
              </w:rPr>
              <w:t xml:space="preserve"> i ustawy – Prawo telekomunikacyjne  (UD 68)</w:t>
            </w:r>
          </w:p>
        </w:tc>
      </w:tr>
      <w:tr w:rsidR="007B1E39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146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15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7B1E39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1144A3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RCL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B67B92" w:rsidRDefault="001144A3" w:rsidP="002E0D6A">
            <w:pPr>
              <w:jc w:val="center"/>
            </w:pPr>
            <w:r>
              <w:t>Definicje</w:t>
            </w:r>
          </w:p>
        </w:tc>
        <w:tc>
          <w:tcPr>
            <w:tcW w:w="6146" w:type="dxa"/>
            <w:shd w:val="clear" w:color="auto" w:fill="auto"/>
          </w:tcPr>
          <w:p w:rsidR="009A041E" w:rsidRDefault="001144A3" w:rsidP="00A01EB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144A3">
              <w:rPr>
                <w:rFonts w:ascii="Times New Roman" w:hAnsi="Times New Roman"/>
                <w:sz w:val="24"/>
                <w:szCs w:val="24"/>
              </w:rPr>
              <w:t>rojektowana definicja „</w:t>
            </w:r>
            <w:proofErr w:type="spellStart"/>
            <w:r w:rsidRPr="001144A3">
              <w:rPr>
                <w:rFonts w:ascii="Times New Roman" w:hAnsi="Times New Roman"/>
                <w:sz w:val="24"/>
                <w:szCs w:val="24"/>
              </w:rPr>
              <w:t>cyberzagrożenia</w:t>
            </w:r>
            <w:proofErr w:type="spellEnd"/>
            <w:r w:rsidRPr="001144A3">
              <w:rPr>
                <w:rFonts w:ascii="Times New Roman" w:hAnsi="Times New Roman"/>
                <w:sz w:val="24"/>
                <w:szCs w:val="24"/>
              </w:rPr>
              <w:t>”</w:t>
            </w:r>
            <w:r w:rsidR="00AD2157">
              <w:rPr>
                <w:rFonts w:ascii="Times New Roman" w:hAnsi="Times New Roman"/>
                <w:sz w:val="24"/>
                <w:szCs w:val="24"/>
              </w:rPr>
              <w:t xml:space="preserve"> (art. </w:t>
            </w:r>
            <w:r w:rsidR="009960CE">
              <w:rPr>
                <w:rFonts w:ascii="Times New Roman" w:hAnsi="Times New Roman"/>
                <w:sz w:val="24"/>
                <w:szCs w:val="24"/>
              </w:rPr>
              <w:t xml:space="preserve">1 pkt 2 lit f </w:t>
            </w:r>
            <w:r w:rsidR="00A51A9D">
              <w:rPr>
                <w:rFonts w:ascii="Times New Roman" w:hAnsi="Times New Roman"/>
                <w:sz w:val="24"/>
                <w:szCs w:val="24"/>
              </w:rPr>
              <w:t>projektu ustawy zmieniającej</w:t>
            </w:r>
            <w:r w:rsidR="009960CE">
              <w:rPr>
                <w:rFonts w:ascii="Times New Roman" w:hAnsi="Times New Roman"/>
                <w:sz w:val="24"/>
                <w:szCs w:val="24"/>
              </w:rPr>
              <w:t>)</w:t>
            </w:r>
            <w:r w:rsidR="0079451E">
              <w:rPr>
                <w:rFonts w:ascii="Times New Roman" w:hAnsi="Times New Roman"/>
                <w:sz w:val="24"/>
                <w:szCs w:val="24"/>
              </w:rPr>
              <w:t xml:space="preserve"> wymaga uzupełnienia, gdyż w </w:t>
            </w:r>
            <w:r w:rsidRPr="001144A3">
              <w:rPr>
                <w:rFonts w:ascii="Times New Roman" w:hAnsi="Times New Roman"/>
                <w:sz w:val="24"/>
                <w:szCs w:val="24"/>
              </w:rPr>
              <w:t>wersji przekazan</w:t>
            </w:r>
            <w:r w:rsidR="009960CE">
              <w:rPr>
                <w:rFonts w:ascii="Times New Roman" w:hAnsi="Times New Roman"/>
                <w:sz w:val="24"/>
                <w:szCs w:val="24"/>
              </w:rPr>
              <w:t>ej w przedstawionym projekcie</w:t>
            </w:r>
            <w:r w:rsidRPr="001144A3">
              <w:rPr>
                <w:rFonts w:ascii="Times New Roman" w:hAnsi="Times New Roman"/>
                <w:sz w:val="24"/>
                <w:szCs w:val="24"/>
              </w:rPr>
              <w:t xml:space="preserve"> jej druga cześć jest trudna do odczytania.</w:t>
            </w:r>
            <w:r w:rsidR="00643EDA">
              <w:rPr>
                <w:rFonts w:ascii="Times New Roman" w:hAnsi="Times New Roman"/>
                <w:sz w:val="24"/>
                <w:szCs w:val="24"/>
              </w:rPr>
              <w:t xml:space="preserve"> (…)</w:t>
            </w:r>
            <w:r w:rsidRPr="001144A3">
              <w:rPr>
                <w:rFonts w:ascii="Times New Roman" w:hAnsi="Times New Roman"/>
                <w:sz w:val="24"/>
                <w:szCs w:val="24"/>
              </w:rPr>
              <w:t xml:space="preserve"> „w inny sposób niekorzystnie wpłynąć w przypadku systemów informacyjnych, użytkowników takich systemów oraz innych osób;” Nie wiadomo na co może niekorzystnie wpłyn</w:t>
            </w:r>
            <w:r w:rsidR="00AD2157">
              <w:rPr>
                <w:rFonts w:ascii="Times New Roman" w:hAnsi="Times New Roman"/>
                <w:sz w:val="24"/>
                <w:szCs w:val="24"/>
              </w:rPr>
              <w:t xml:space="preserve">ąć </w:t>
            </w:r>
            <w:proofErr w:type="spellStart"/>
            <w:r w:rsidR="00AD2157">
              <w:rPr>
                <w:rFonts w:ascii="Times New Roman" w:hAnsi="Times New Roman"/>
                <w:sz w:val="24"/>
                <w:szCs w:val="24"/>
              </w:rPr>
              <w:t>cyberzag</w:t>
            </w:r>
            <w:r w:rsidR="00A01EBE">
              <w:rPr>
                <w:rFonts w:ascii="Times New Roman" w:hAnsi="Times New Roman"/>
                <w:sz w:val="24"/>
                <w:szCs w:val="24"/>
              </w:rPr>
              <w:t>r</w:t>
            </w:r>
            <w:r w:rsidR="00AD2157">
              <w:rPr>
                <w:rFonts w:ascii="Times New Roman" w:hAnsi="Times New Roman"/>
                <w:sz w:val="24"/>
                <w:szCs w:val="24"/>
              </w:rPr>
              <w:t>ożenie</w:t>
            </w:r>
            <w:proofErr w:type="spellEnd"/>
            <w:r w:rsidR="00AD2157">
              <w:rPr>
                <w:rFonts w:ascii="Times New Roman" w:hAnsi="Times New Roman"/>
                <w:sz w:val="24"/>
                <w:szCs w:val="24"/>
              </w:rPr>
              <w:t xml:space="preserve"> i do </w:t>
            </w:r>
            <w:r w:rsidRPr="001144A3">
              <w:rPr>
                <w:rFonts w:ascii="Times New Roman" w:hAnsi="Times New Roman"/>
                <w:sz w:val="24"/>
                <w:szCs w:val="24"/>
              </w:rPr>
              <w:t>p</w:t>
            </w:r>
            <w:r w:rsidR="00AD2157">
              <w:rPr>
                <w:rFonts w:ascii="Times New Roman" w:hAnsi="Times New Roman"/>
                <w:sz w:val="24"/>
                <w:szCs w:val="24"/>
              </w:rPr>
              <w:t>rzypadku jakich</w:t>
            </w:r>
            <w:r w:rsidRPr="001144A3">
              <w:rPr>
                <w:rFonts w:ascii="Times New Roman" w:hAnsi="Times New Roman"/>
                <w:sz w:val="24"/>
                <w:szCs w:val="24"/>
              </w:rPr>
              <w:t xml:space="preserve"> systemów informacyjnych się odnosi.</w:t>
            </w:r>
          </w:p>
        </w:tc>
        <w:tc>
          <w:tcPr>
            <w:tcW w:w="4152" w:type="dxa"/>
            <w:shd w:val="clear" w:color="auto" w:fill="auto"/>
          </w:tcPr>
          <w:p w:rsidR="00B67B92" w:rsidRDefault="00AD2157" w:rsidP="00651688">
            <w:pPr>
              <w:spacing w:line="276" w:lineRule="auto"/>
              <w:jc w:val="both"/>
            </w:pPr>
            <w:r>
              <w:t>Uzupełnienie definicji, zgodnie z merytoryczną decyzją projektodawcy</w:t>
            </w:r>
          </w:p>
        </w:tc>
      </w:tr>
      <w:tr w:rsidR="0076259B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76259B" w:rsidRPr="004D086F" w:rsidRDefault="0076259B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76259B" w:rsidRDefault="0076259B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RCL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76259B" w:rsidRDefault="0076259B" w:rsidP="002E0D6A">
            <w:pPr>
              <w:jc w:val="center"/>
            </w:pPr>
            <w:r>
              <w:t>Upoważnienia ustawowe</w:t>
            </w:r>
          </w:p>
          <w:p w:rsidR="0076259B" w:rsidRDefault="0076259B" w:rsidP="002E0D6A">
            <w:pPr>
              <w:jc w:val="center"/>
            </w:pPr>
          </w:p>
        </w:tc>
        <w:tc>
          <w:tcPr>
            <w:tcW w:w="6146" w:type="dxa"/>
            <w:shd w:val="clear" w:color="auto" w:fill="auto"/>
          </w:tcPr>
          <w:p w:rsidR="0076259B" w:rsidRDefault="00F13652" w:rsidP="001E167D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n</w:t>
            </w:r>
            <w:r w:rsidR="00A01EBE">
              <w:rPr>
                <w:rFonts w:ascii="Times New Roman" w:hAnsi="Times New Roman"/>
                <w:sz w:val="24"/>
                <w:szCs w:val="24"/>
              </w:rPr>
              <w:t>owym projekcie ustawy</w:t>
            </w:r>
            <w:r w:rsidR="001E167D">
              <w:rPr>
                <w:rFonts w:ascii="Times New Roman" w:hAnsi="Times New Roman"/>
                <w:sz w:val="24"/>
                <w:szCs w:val="24"/>
              </w:rPr>
              <w:t xml:space="preserve"> są dokonywane zmiany w przepisach upoważaniających. Przykładowo</w:t>
            </w:r>
            <w:r w:rsidR="009C3BD1">
              <w:rPr>
                <w:rFonts w:ascii="Times New Roman" w:hAnsi="Times New Roman"/>
                <w:sz w:val="24"/>
                <w:szCs w:val="24"/>
              </w:rPr>
              <w:t xml:space="preserve"> dokonywana</w:t>
            </w:r>
            <w:r w:rsidR="00643EDA">
              <w:rPr>
                <w:rFonts w:ascii="Times New Roman" w:hAnsi="Times New Roman"/>
                <w:sz w:val="24"/>
                <w:szCs w:val="24"/>
              </w:rPr>
              <w:t xml:space="preserve"> jest</w:t>
            </w:r>
            <w:r w:rsidR="009C3BD1">
              <w:rPr>
                <w:rFonts w:ascii="Times New Roman" w:hAnsi="Times New Roman"/>
                <w:sz w:val="24"/>
                <w:szCs w:val="24"/>
              </w:rPr>
              <w:t xml:space="preserve"> zmiana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art. 10 ust. 5 ustawy o KSC. Zgodnie z § 32 ust. 2 ZTP </w:t>
            </w:r>
            <w:r w:rsidR="002815FD">
              <w:rPr>
                <w:rFonts w:ascii="Times New Roman" w:hAnsi="Times New Roman"/>
                <w:sz w:val="24"/>
                <w:szCs w:val="24"/>
              </w:rPr>
              <w:t xml:space="preserve">jeżeli zmiana dotyczy zakresu spraw przekazanych do uregulowania, rodzaju aktu </w:t>
            </w:r>
            <w:r w:rsidR="00D075C2">
              <w:rPr>
                <w:rFonts w:ascii="Times New Roman" w:hAnsi="Times New Roman"/>
                <w:sz w:val="24"/>
                <w:szCs w:val="24"/>
              </w:rPr>
              <w:t>lub wytycznych</w:t>
            </w:r>
            <w:r w:rsidR="002815FD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2815FD" w:rsidRPr="002815FD">
              <w:rPr>
                <w:rFonts w:ascii="Times New Roman" w:hAnsi="Times New Roman"/>
                <w:sz w:val="24"/>
                <w:szCs w:val="24"/>
              </w:rPr>
              <w:t>przyjmuje się, że akt wykonawczy wydany na podstawie tego przepisu upoważniającego traci moc obowiązującą z dniem wejścia w życie przepisu zmieniającego treść przepisu upoważniającego.</w:t>
            </w:r>
            <w:r w:rsidR="0079451E">
              <w:rPr>
                <w:rFonts w:ascii="Times New Roman" w:hAnsi="Times New Roman"/>
                <w:sz w:val="24"/>
                <w:szCs w:val="24"/>
              </w:rPr>
              <w:t>” W </w:t>
            </w:r>
            <w:r w:rsidR="002815FD">
              <w:rPr>
                <w:rFonts w:ascii="Times New Roman" w:hAnsi="Times New Roman"/>
                <w:sz w:val="24"/>
                <w:szCs w:val="24"/>
              </w:rPr>
              <w:t>upoważnieniu z art. 10 ust. 5 pojęcie „</w:t>
            </w:r>
            <w:proofErr w:type="spellStart"/>
            <w:r w:rsidR="002815FD">
              <w:rPr>
                <w:rFonts w:ascii="Times New Roman" w:hAnsi="Times New Roman"/>
                <w:sz w:val="24"/>
                <w:szCs w:val="24"/>
              </w:rPr>
              <w:t>cyberbezpieczeństwo</w:t>
            </w:r>
            <w:proofErr w:type="spellEnd"/>
            <w:r w:rsidR="002815FD">
              <w:rPr>
                <w:rFonts w:ascii="Times New Roman" w:hAnsi="Times New Roman"/>
                <w:sz w:val="24"/>
                <w:szCs w:val="24"/>
              </w:rPr>
              <w:t>” zostało zas</w:t>
            </w:r>
            <w:r w:rsidR="009C3BD1">
              <w:rPr>
                <w:rFonts w:ascii="Times New Roman" w:hAnsi="Times New Roman"/>
                <w:sz w:val="24"/>
                <w:szCs w:val="24"/>
              </w:rPr>
              <w:t>tąpione pojęciem „bezpieczeństwo</w:t>
            </w:r>
            <w:r w:rsidR="002815FD">
              <w:rPr>
                <w:rFonts w:ascii="Times New Roman" w:hAnsi="Times New Roman"/>
                <w:sz w:val="24"/>
                <w:szCs w:val="24"/>
              </w:rPr>
              <w:t xml:space="preserve"> systemów informacyjnych”. Będzie to powodowało zmianę sposobu określenia zakresu przedmiotowego aktu</w:t>
            </w:r>
            <w:r w:rsidR="00215913">
              <w:rPr>
                <w:rFonts w:ascii="Times New Roman" w:hAnsi="Times New Roman"/>
                <w:sz w:val="24"/>
                <w:szCs w:val="24"/>
              </w:rPr>
              <w:t xml:space="preserve">, co będzie skutkowało koniecznością </w:t>
            </w:r>
            <w:r w:rsidR="002159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modyfikacji tytułu oraz § 1 rozporządzenia. </w:t>
            </w:r>
          </w:p>
        </w:tc>
        <w:tc>
          <w:tcPr>
            <w:tcW w:w="4152" w:type="dxa"/>
            <w:shd w:val="clear" w:color="auto" w:fill="auto"/>
          </w:tcPr>
          <w:p w:rsidR="0076259B" w:rsidRDefault="00215913" w:rsidP="00182683">
            <w:pPr>
              <w:spacing w:line="276" w:lineRule="auto"/>
              <w:jc w:val="both"/>
            </w:pPr>
            <w:r>
              <w:lastRenderedPageBreak/>
              <w:t xml:space="preserve">Zasadnym wydaje się zastosowanie </w:t>
            </w:r>
            <w:r w:rsidR="00852A0E">
              <w:t xml:space="preserve">przepisu czasowo utrzymującego w mocy zgodnie z </w:t>
            </w:r>
            <w:r w:rsidR="009C3BD1">
              <w:t xml:space="preserve">§ 33 ZTP, </w:t>
            </w:r>
            <w:r w:rsidR="001E167D">
              <w:t>w związku z dokonywanymi</w:t>
            </w:r>
            <w:r w:rsidR="00182683">
              <w:t xml:space="preserve"> zmian</w:t>
            </w:r>
            <w:r w:rsidR="001E167D">
              <w:t>ami przepisów upoważniających</w:t>
            </w:r>
            <w:r w:rsidR="00852A0E">
              <w:t xml:space="preserve">. </w:t>
            </w:r>
          </w:p>
        </w:tc>
      </w:tr>
      <w:tr w:rsidR="007B1E39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F17743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RCL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B67B92" w:rsidRDefault="006819CA" w:rsidP="002E0D6A">
            <w:pPr>
              <w:jc w:val="center"/>
            </w:pPr>
            <w:r>
              <w:t xml:space="preserve">Rozdział 5. Obowiązki </w:t>
            </w:r>
            <w:r w:rsidR="00B11188">
              <w:t xml:space="preserve">podmiotu publicznego. </w:t>
            </w:r>
            <w:r w:rsidR="009A7357">
              <w:t>Art.</w:t>
            </w:r>
            <w:r>
              <w:t xml:space="preserve"> 21</w:t>
            </w:r>
            <w:r w:rsidR="00230DB1">
              <w:t>-25</w:t>
            </w:r>
            <w:r w:rsidR="009A7357">
              <w:t xml:space="preserve"> ustawy o KSC</w:t>
            </w:r>
          </w:p>
        </w:tc>
        <w:tc>
          <w:tcPr>
            <w:tcW w:w="6146" w:type="dxa"/>
            <w:shd w:val="clear" w:color="auto" w:fill="auto"/>
          </w:tcPr>
          <w:p w:rsidR="00B67B92" w:rsidRDefault="00C6706F" w:rsidP="00582431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79451E">
              <w:rPr>
                <w:rFonts w:ascii="Times New Roman" w:hAnsi="Times New Roman"/>
                <w:sz w:val="24"/>
                <w:szCs w:val="24"/>
              </w:rPr>
              <w:t xml:space="preserve">zakresie </w:t>
            </w:r>
            <w:r>
              <w:rPr>
                <w:rFonts w:ascii="Times New Roman" w:hAnsi="Times New Roman"/>
                <w:sz w:val="24"/>
                <w:szCs w:val="24"/>
              </w:rPr>
              <w:t>art. 21-25</w:t>
            </w:r>
            <w:r w:rsidR="00FA3605">
              <w:rPr>
                <w:rFonts w:ascii="Times New Roman" w:hAnsi="Times New Roman"/>
                <w:sz w:val="24"/>
                <w:szCs w:val="24"/>
              </w:rPr>
              <w:t xml:space="preserve"> ustawy o KSC</w:t>
            </w:r>
            <w:r w:rsidR="00A51A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778E8">
              <w:rPr>
                <w:rFonts w:ascii="Times New Roman" w:hAnsi="Times New Roman"/>
                <w:sz w:val="24"/>
                <w:szCs w:val="24"/>
              </w:rPr>
              <w:t>art. 1 pkt 13-16 projektu ustawy zmieniającej)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ponownej analizy wymaga katalog podmiotów objętych obowiązkami</w:t>
            </w:r>
            <w:r w:rsidR="00D778E8">
              <w:rPr>
                <w:rFonts w:ascii="Times New Roman" w:hAnsi="Times New Roman"/>
                <w:sz w:val="24"/>
                <w:szCs w:val="24"/>
              </w:rPr>
              <w:t>, kierowanymi do</w:t>
            </w:r>
            <w:r w:rsidR="00934EFE">
              <w:rPr>
                <w:rFonts w:ascii="Times New Roman" w:hAnsi="Times New Roman"/>
                <w:sz w:val="24"/>
                <w:szCs w:val="24"/>
              </w:rPr>
              <w:t xml:space="preserve"> podmiotów publicznych. </w:t>
            </w:r>
            <w:r w:rsidR="008A7058">
              <w:rPr>
                <w:rFonts w:ascii="Times New Roman" w:hAnsi="Times New Roman"/>
                <w:sz w:val="24"/>
                <w:szCs w:val="24"/>
              </w:rPr>
              <w:t>Weryfikacji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7058">
              <w:rPr>
                <w:rFonts w:ascii="Times New Roman" w:hAnsi="Times New Roman"/>
                <w:sz w:val="24"/>
                <w:szCs w:val="24"/>
              </w:rPr>
              <w:t>wymaga</w:t>
            </w:r>
            <w:r w:rsidR="00934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605" w:rsidRPr="00FA3605">
              <w:rPr>
                <w:rFonts w:ascii="Times New Roman" w:hAnsi="Times New Roman"/>
                <w:sz w:val="24"/>
                <w:szCs w:val="24"/>
              </w:rPr>
              <w:t>odesła</w:t>
            </w:r>
            <w:r w:rsidR="00155F34">
              <w:rPr>
                <w:rFonts w:ascii="Times New Roman" w:hAnsi="Times New Roman"/>
                <w:sz w:val="24"/>
                <w:szCs w:val="24"/>
              </w:rPr>
              <w:t>nie</w:t>
            </w:r>
            <w:r w:rsidR="003357AF">
              <w:rPr>
                <w:rFonts w:ascii="Times New Roman" w:hAnsi="Times New Roman"/>
                <w:sz w:val="24"/>
                <w:szCs w:val="24"/>
              </w:rPr>
              <w:t xml:space="preserve"> do art. 4 pkt 7-15</w:t>
            </w:r>
            <w:r w:rsidR="00155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4EFE">
              <w:rPr>
                <w:rFonts w:ascii="Times New Roman" w:hAnsi="Times New Roman"/>
                <w:sz w:val="24"/>
                <w:szCs w:val="24"/>
              </w:rPr>
              <w:t>ustawy o KSC</w:t>
            </w:r>
            <w:r w:rsidR="00155F34">
              <w:rPr>
                <w:rFonts w:ascii="Times New Roman" w:hAnsi="Times New Roman"/>
                <w:sz w:val="24"/>
                <w:szCs w:val="24"/>
              </w:rPr>
              <w:t>.</w:t>
            </w:r>
            <w:r w:rsidR="00FA3605" w:rsidRPr="00FA3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400C" w:rsidRPr="00F1400C">
              <w:rPr>
                <w:rFonts w:ascii="Times New Roman" w:hAnsi="Times New Roman"/>
                <w:sz w:val="24"/>
                <w:szCs w:val="24"/>
              </w:rPr>
              <w:t>Na skutek zmian w katalogu podmiotów objętych krajowym system</w:t>
            </w:r>
            <w:r w:rsidR="00F1400C">
              <w:rPr>
                <w:rFonts w:ascii="Times New Roman" w:hAnsi="Times New Roman"/>
                <w:sz w:val="24"/>
                <w:szCs w:val="24"/>
              </w:rPr>
              <w:t>em</w:t>
            </w:r>
            <w:r w:rsidR="00F1400C" w:rsidRPr="00F1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400C" w:rsidRPr="00F1400C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155F34">
              <w:rPr>
                <w:rFonts w:ascii="Times New Roman" w:hAnsi="Times New Roman"/>
                <w:sz w:val="24"/>
                <w:szCs w:val="24"/>
              </w:rPr>
              <w:t xml:space="preserve"> (art. 4</w:t>
            </w:r>
            <w:r w:rsidR="00230DB1">
              <w:rPr>
                <w:rFonts w:ascii="Times New Roman" w:hAnsi="Times New Roman"/>
                <w:sz w:val="24"/>
                <w:szCs w:val="24"/>
              </w:rPr>
              <w:t xml:space="preserve"> ustawy o </w:t>
            </w:r>
            <w:r w:rsidR="002619DC">
              <w:rPr>
                <w:rFonts w:ascii="Times New Roman" w:hAnsi="Times New Roman"/>
                <w:sz w:val="24"/>
                <w:szCs w:val="24"/>
              </w:rPr>
              <w:t>KSC), przy jednoczesnym zastosowaniu niezmienionego odesłania do art. 4 pkt 7-15 ustawy o KSC</w:t>
            </w:r>
            <w:r w:rsidR="00D075C2">
              <w:rPr>
                <w:rFonts w:ascii="Times New Roman" w:hAnsi="Times New Roman"/>
                <w:sz w:val="24"/>
                <w:szCs w:val="24"/>
              </w:rPr>
              <w:t>,</w:t>
            </w:r>
            <w:r w:rsidR="002619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F1400C" w:rsidRPr="00F1400C">
              <w:rPr>
                <w:rFonts w:ascii="Times New Roman" w:hAnsi="Times New Roman"/>
                <w:sz w:val="24"/>
                <w:szCs w:val="24"/>
              </w:rPr>
              <w:t>ako taki podmiot</w:t>
            </w:r>
            <w:r w:rsidR="00155F34">
              <w:rPr>
                <w:rFonts w:ascii="Times New Roman" w:hAnsi="Times New Roman"/>
                <w:sz w:val="24"/>
                <w:szCs w:val="24"/>
              </w:rPr>
              <w:t xml:space="preserve"> publiczny</w:t>
            </w:r>
            <w:r w:rsidR="00F1400C" w:rsidRPr="00F1400C">
              <w:rPr>
                <w:rFonts w:ascii="Times New Roman" w:hAnsi="Times New Roman"/>
                <w:sz w:val="24"/>
                <w:szCs w:val="24"/>
              </w:rPr>
              <w:t xml:space="preserve"> klasy</w:t>
            </w:r>
            <w:r w:rsidR="002619DC">
              <w:rPr>
                <w:rFonts w:ascii="Times New Roman" w:hAnsi="Times New Roman"/>
                <w:sz w:val="24"/>
                <w:szCs w:val="24"/>
              </w:rPr>
              <w:t xml:space="preserve">fikowany będzie również ISAC, </w:t>
            </w:r>
            <w:r w:rsidR="0079451E">
              <w:rPr>
                <w:rFonts w:ascii="Times New Roman" w:hAnsi="Times New Roman"/>
                <w:sz w:val="24"/>
                <w:szCs w:val="24"/>
              </w:rPr>
              <w:t>o </w:t>
            </w:r>
            <w:r w:rsidR="0077631E">
              <w:rPr>
                <w:rFonts w:ascii="Times New Roman" w:hAnsi="Times New Roman"/>
                <w:sz w:val="24"/>
                <w:szCs w:val="24"/>
              </w:rPr>
              <w:t>którym mowa w art. </w:t>
            </w:r>
            <w:r w:rsidR="00F1400C" w:rsidRPr="00F1400C">
              <w:rPr>
                <w:rFonts w:ascii="Times New Roman" w:hAnsi="Times New Roman"/>
                <w:sz w:val="24"/>
                <w:szCs w:val="24"/>
              </w:rPr>
              <w:t xml:space="preserve">4 pkt 7b </w:t>
            </w:r>
            <w:r w:rsidR="00582431">
              <w:rPr>
                <w:rFonts w:ascii="Times New Roman" w:hAnsi="Times New Roman"/>
                <w:sz w:val="24"/>
                <w:szCs w:val="24"/>
              </w:rPr>
              <w:t xml:space="preserve">ustawy o KSC. </w:t>
            </w:r>
            <w:r w:rsidR="00B11188">
              <w:rPr>
                <w:rFonts w:ascii="Times New Roman" w:hAnsi="Times New Roman"/>
                <w:sz w:val="24"/>
                <w:szCs w:val="24"/>
              </w:rPr>
              <w:t xml:space="preserve">Ani ustawa ani uzasadnienie nie wskazują, że ISAC </w:t>
            </w:r>
            <w:r w:rsidR="0077631E">
              <w:rPr>
                <w:rFonts w:ascii="Times New Roman" w:hAnsi="Times New Roman"/>
                <w:sz w:val="24"/>
                <w:szCs w:val="24"/>
              </w:rPr>
              <w:t>jest obligatoryjnie podmiotem o </w:t>
            </w:r>
            <w:r w:rsidR="00B11188">
              <w:rPr>
                <w:rFonts w:ascii="Times New Roman" w:hAnsi="Times New Roman"/>
                <w:sz w:val="24"/>
                <w:szCs w:val="24"/>
              </w:rPr>
              <w:t xml:space="preserve">charakterze publicznym, który powinien być </w:t>
            </w:r>
            <w:r>
              <w:rPr>
                <w:rFonts w:ascii="Times New Roman" w:hAnsi="Times New Roman"/>
                <w:sz w:val="24"/>
                <w:szCs w:val="24"/>
              </w:rPr>
              <w:t>objęty obowiązkami</w:t>
            </w:r>
            <w:r w:rsidR="00D778E8">
              <w:rPr>
                <w:rFonts w:ascii="Times New Roman" w:hAnsi="Times New Roman"/>
                <w:sz w:val="24"/>
                <w:szCs w:val="24"/>
              </w:rPr>
              <w:t>, o których mowa w art. </w:t>
            </w:r>
            <w:r w:rsidR="008A7058">
              <w:rPr>
                <w:rFonts w:ascii="Times New Roman" w:hAnsi="Times New Roman"/>
                <w:sz w:val="24"/>
                <w:szCs w:val="24"/>
              </w:rPr>
              <w:t>21-25 ustawy o KSC.</w:t>
            </w:r>
          </w:p>
        </w:tc>
        <w:tc>
          <w:tcPr>
            <w:tcW w:w="4152" w:type="dxa"/>
            <w:shd w:val="clear" w:color="auto" w:fill="auto"/>
          </w:tcPr>
          <w:p w:rsidR="00B67B92" w:rsidRDefault="008A7058" w:rsidP="00651688">
            <w:pPr>
              <w:spacing w:line="276" w:lineRule="auto"/>
              <w:jc w:val="both"/>
            </w:pPr>
            <w:r>
              <w:t>Analiza odesłań do art. 4 ustawy o KSC w związku z projektowan</w:t>
            </w:r>
            <w:r w:rsidR="001E6A6A">
              <w:t>ą zmi</w:t>
            </w:r>
            <w:r w:rsidR="008E236B">
              <w:t>aną</w:t>
            </w:r>
            <w:r w:rsidR="00A972FF">
              <w:t xml:space="preserve"> treści tego przepisu</w:t>
            </w:r>
            <w:r w:rsidR="001E6A6A">
              <w:t xml:space="preserve"> w zakresie katalogu podmiotów objętych </w:t>
            </w:r>
            <w:r w:rsidR="008E236B">
              <w:t>obowiązkami, o </w:t>
            </w:r>
            <w:r w:rsidR="00144874">
              <w:t>któr</w:t>
            </w:r>
            <w:r w:rsidR="008E236B">
              <w:t>ych mowa w rozdziale 5 ustawy o </w:t>
            </w:r>
            <w:r w:rsidR="00144874">
              <w:t xml:space="preserve">KSC. </w:t>
            </w:r>
          </w:p>
        </w:tc>
      </w:tr>
      <w:tr w:rsidR="00C66922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C66922" w:rsidRPr="004D086F" w:rsidRDefault="00C6692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C66922" w:rsidRDefault="00C6692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C66922" w:rsidRDefault="00C66922" w:rsidP="002E0D6A">
            <w:pPr>
              <w:jc w:val="center"/>
            </w:pPr>
            <w:r>
              <w:t>Art. 22 ustawy o KSC</w:t>
            </w:r>
          </w:p>
        </w:tc>
        <w:tc>
          <w:tcPr>
            <w:tcW w:w="6146" w:type="dxa"/>
            <w:shd w:val="clear" w:color="auto" w:fill="auto"/>
          </w:tcPr>
          <w:p w:rsidR="00C66922" w:rsidRDefault="00C66922" w:rsidP="008A7058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Krajowym systemem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są objęte również związki jednostek samorządu terytorialnego</w:t>
            </w:r>
            <w:r w:rsidR="00061B2C">
              <w:rPr>
                <w:rFonts w:ascii="Times New Roman" w:hAnsi="Times New Roman"/>
                <w:sz w:val="24"/>
                <w:szCs w:val="24"/>
              </w:rPr>
              <w:t xml:space="preserve"> oraz związki metropolitalne</w:t>
            </w:r>
            <w:r w:rsidR="00F02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(na mocy odesłania do art. 9 </w:t>
            </w:r>
            <w:r w:rsidR="00101DF4">
              <w:rPr>
                <w:rFonts w:ascii="Times New Roman" w:hAnsi="Times New Roman"/>
                <w:sz w:val="24"/>
                <w:szCs w:val="24"/>
              </w:rPr>
              <w:t>pkt 2 i 2a ustawy o finansach publicznych)</w:t>
            </w:r>
            <w:r w:rsidR="00780BE2">
              <w:rPr>
                <w:rFonts w:ascii="Times New Roman" w:hAnsi="Times New Roman"/>
                <w:sz w:val="24"/>
                <w:szCs w:val="24"/>
              </w:rPr>
              <w:t xml:space="preserve"> oraz samorządowe zakłady budżetowe</w:t>
            </w:r>
            <w:r w:rsidR="00F02A2B">
              <w:rPr>
                <w:rFonts w:ascii="Times New Roman" w:hAnsi="Times New Roman"/>
                <w:sz w:val="24"/>
                <w:szCs w:val="24"/>
              </w:rPr>
              <w:t xml:space="preserve"> (odesłanie do art. 9 pkt 4 ustawy o finansach publicznych)</w:t>
            </w:r>
            <w:r w:rsidR="00061B2C">
              <w:rPr>
                <w:rFonts w:ascii="Times New Roman" w:hAnsi="Times New Roman"/>
                <w:sz w:val="24"/>
                <w:szCs w:val="24"/>
              </w:rPr>
              <w:t>. Zmiana w art. 22</w:t>
            </w:r>
            <w:r w:rsidR="007511A3">
              <w:rPr>
                <w:rFonts w:ascii="Times New Roman" w:hAnsi="Times New Roman"/>
                <w:sz w:val="24"/>
                <w:szCs w:val="24"/>
              </w:rPr>
              <w:t xml:space="preserve"> ustawy o KSC</w:t>
            </w:r>
            <w:r w:rsidR="00061B2C">
              <w:rPr>
                <w:rFonts w:ascii="Times New Roman" w:hAnsi="Times New Roman"/>
                <w:sz w:val="24"/>
                <w:szCs w:val="24"/>
              </w:rPr>
              <w:t>, wprowadzana projektem ustawy zmieniającej, zobowiązuje jednos</w:t>
            </w:r>
            <w:r w:rsidR="008E236B">
              <w:rPr>
                <w:rFonts w:ascii="Times New Roman" w:hAnsi="Times New Roman"/>
                <w:sz w:val="24"/>
                <w:szCs w:val="24"/>
              </w:rPr>
              <w:t>tki samorządu terytorialnego do</w:t>
            </w:r>
            <w:r w:rsidR="00780BE2">
              <w:rPr>
                <w:rFonts w:ascii="Times New Roman" w:hAnsi="Times New Roman"/>
                <w:sz w:val="24"/>
                <w:szCs w:val="24"/>
              </w:rPr>
              <w:t xml:space="preserve"> przekazywania informacji o </w:t>
            </w:r>
            <w:r w:rsidR="0020384F">
              <w:rPr>
                <w:rFonts w:ascii="Times New Roman" w:hAnsi="Times New Roman"/>
                <w:sz w:val="24"/>
                <w:szCs w:val="24"/>
              </w:rPr>
              <w:t xml:space="preserve">incydentach </w:t>
            </w:r>
            <w:r w:rsidR="0083684B">
              <w:rPr>
                <w:rFonts w:ascii="Times New Roman" w:hAnsi="Times New Roman"/>
                <w:sz w:val="24"/>
                <w:szCs w:val="24"/>
              </w:rPr>
              <w:t xml:space="preserve">również </w:t>
            </w:r>
            <w:r w:rsidR="0020384F">
              <w:rPr>
                <w:rFonts w:ascii="Times New Roman" w:hAnsi="Times New Roman"/>
                <w:sz w:val="24"/>
                <w:szCs w:val="24"/>
              </w:rPr>
              <w:t xml:space="preserve">wojewodzie. </w:t>
            </w:r>
          </w:p>
          <w:p w:rsidR="0045089E" w:rsidRDefault="0045089E" w:rsidP="008A7058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2" w:type="dxa"/>
            <w:shd w:val="clear" w:color="auto" w:fill="auto"/>
          </w:tcPr>
          <w:p w:rsidR="00C66922" w:rsidRDefault="0020384F" w:rsidP="005A0C0B">
            <w:pPr>
              <w:spacing w:line="276" w:lineRule="auto"/>
              <w:jc w:val="both"/>
            </w:pPr>
            <w:r>
              <w:t>Wymaga wyjaśnienia czy związki jednostek samorządu terytorialnego, związki metropolitalne czy samorządowe zakłady budżetowe</w:t>
            </w:r>
            <w:r w:rsidR="005A0C0B">
              <w:t xml:space="preserve"> będą</w:t>
            </w:r>
            <w:r w:rsidR="00A972FF">
              <w:t xml:space="preserve"> również</w:t>
            </w:r>
            <w:r w:rsidR="005A0C0B">
              <w:t xml:space="preserve"> zobowiązane do z</w:t>
            </w:r>
            <w:r w:rsidR="00C00847">
              <w:t>głaszania incydentów wojewodzie czy też obowiązek ten będzie dotyczył jedynie jednostek samorządu terytorialnego.</w:t>
            </w:r>
            <w:r w:rsidR="005A0C0B">
              <w:t xml:space="preserve"> </w:t>
            </w:r>
          </w:p>
        </w:tc>
      </w:tr>
      <w:tr w:rsidR="00DF1718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DF1718" w:rsidRPr="004D086F" w:rsidRDefault="00DF1718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DF1718" w:rsidRDefault="00DF1718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DF1718" w:rsidRDefault="00DF1718" w:rsidP="002E0D6A">
            <w:pPr>
              <w:jc w:val="center"/>
            </w:pPr>
            <w:r>
              <w:t>Rozdział 5a</w:t>
            </w:r>
            <w:r w:rsidR="008E236B">
              <w:t xml:space="preserve">. </w:t>
            </w:r>
            <w:r w:rsidR="008E236B" w:rsidRPr="008E236B">
              <w:t xml:space="preserve">Zadania i obowiązki ISAC w ramach krajowego systemu </w:t>
            </w:r>
            <w:proofErr w:type="spellStart"/>
            <w:r w:rsidR="008E236B" w:rsidRPr="008E236B">
              <w:lastRenderedPageBreak/>
              <w:t>cyberbezpieczeństwa</w:t>
            </w:r>
            <w:proofErr w:type="spellEnd"/>
          </w:p>
        </w:tc>
        <w:tc>
          <w:tcPr>
            <w:tcW w:w="6146" w:type="dxa"/>
            <w:shd w:val="clear" w:color="auto" w:fill="auto"/>
          </w:tcPr>
          <w:p w:rsidR="00DF1718" w:rsidRDefault="00DF1718" w:rsidP="00A633C7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Ze względu na to, że wpis do wykazu ISAC nie warunkuje prowadzenia działalności</w:t>
            </w:r>
            <w:r w:rsidR="0032611B">
              <w:rPr>
                <w:rFonts w:ascii="Times New Roman" w:hAnsi="Times New Roman"/>
                <w:sz w:val="24"/>
                <w:szCs w:val="24"/>
              </w:rPr>
              <w:t xml:space="preserve"> jako ISAC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ani </w:t>
            </w:r>
            <w:r w:rsidR="00A633C7">
              <w:rPr>
                <w:rFonts w:ascii="Times New Roman" w:hAnsi="Times New Roman"/>
                <w:sz w:val="24"/>
                <w:szCs w:val="24"/>
              </w:rPr>
              <w:t xml:space="preserve">umożliwia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współpracy z podmiotami krajowego systemu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cyberbezpieczeństwa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funkcja wykazu ISAC prowadzonego przez ministra właściwego do spraw informatyzacji</w:t>
            </w:r>
            <w:r w:rsidR="003261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nie jest zrozumiała.</w:t>
            </w:r>
            <w:r w:rsidR="00A633C7">
              <w:rPr>
                <w:rFonts w:ascii="Times New Roman" w:hAnsi="Times New Roman"/>
                <w:sz w:val="24"/>
                <w:szCs w:val="24"/>
              </w:rPr>
              <w:t xml:space="preserve"> W projektowanym kształcie m</w:t>
            </w:r>
            <w:r w:rsidR="0032611B">
              <w:rPr>
                <w:rFonts w:ascii="Times New Roman" w:hAnsi="Times New Roman"/>
                <w:sz w:val="24"/>
                <w:szCs w:val="24"/>
              </w:rPr>
              <w:t>oże on stanowić baz</w:t>
            </w:r>
            <w:r w:rsidR="002464A7">
              <w:rPr>
                <w:rFonts w:ascii="Times New Roman" w:hAnsi="Times New Roman"/>
                <w:sz w:val="24"/>
                <w:szCs w:val="24"/>
              </w:rPr>
              <w:t>ę danych kontaktowych podmiotów</w:t>
            </w:r>
            <w:r w:rsidR="00A633C7">
              <w:rPr>
                <w:rFonts w:ascii="Times New Roman" w:hAnsi="Times New Roman"/>
                <w:sz w:val="24"/>
                <w:szCs w:val="24"/>
              </w:rPr>
              <w:t xml:space="preserve"> gotowych do wykonywania zadań ISAC</w:t>
            </w:r>
            <w:r w:rsidR="002464A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5F1B">
              <w:rPr>
                <w:rFonts w:ascii="Times New Roman" w:hAnsi="Times New Roman"/>
                <w:sz w:val="24"/>
                <w:szCs w:val="24"/>
              </w:rPr>
              <w:t>Powstaje także wątpliwość czy mogą wykonywać zadania ISAC podmioty nie objęte wykazem</w:t>
            </w:r>
            <w:r w:rsidR="002464A7">
              <w:rPr>
                <w:rFonts w:ascii="Times New Roman" w:hAnsi="Times New Roman"/>
                <w:sz w:val="24"/>
                <w:szCs w:val="24"/>
              </w:rPr>
              <w:t xml:space="preserve"> i czy wykreślenie z wykazu, o którym mowa w art. 24a ust. 11 </w:t>
            </w:r>
            <w:r w:rsidR="0083684B">
              <w:rPr>
                <w:rFonts w:ascii="Times New Roman" w:hAnsi="Times New Roman"/>
                <w:sz w:val="24"/>
                <w:szCs w:val="24"/>
              </w:rPr>
              <w:t>stanowi skuteczny środek zapobiegania naruszeniom przepisów i zasad</w:t>
            </w:r>
            <w:r w:rsidR="00BE5C53">
              <w:rPr>
                <w:rFonts w:ascii="Times New Roman" w:hAnsi="Times New Roman"/>
                <w:sz w:val="24"/>
                <w:szCs w:val="24"/>
              </w:rPr>
              <w:t xml:space="preserve"> współpracy w ramach krajowego systemu </w:t>
            </w:r>
            <w:proofErr w:type="spellStart"/>
            <w:r w:rsidR="00BE5C53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BE5C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152" w:type="dxa"/>
            <w:shd w:val="clear" w:color="auto" w:fill="auto"/>
          </w:tcPr>
          <w:p w:rsidR="00DF1718" w:rsidRDefault="00BE5C53" w:rsidP="005A0C0B">
            <w:pPr>
              <w:spacing w:line="276" w:lineRule="auto"/>
              <w:jc w:val="both"/>
            </w:pPr>
            <w:r>
              <w:lastRenderedPageBreak/>
              <w:t>Przedstawienie wyjaśnienia</w:t>
            </w:r>
            <w:r w:rsidR="008E1F05">
              <w:t xml:space="preserve"> i stosowna korekta</w:t>
            </w:r>
            <w:r>
              <w:t xml:space="preserve"> </w:t>
            </w:r>
            <w:r w:rsidR="006C24DF">
              <w:t xml:space="preserve">przepisów </w:t>
            </w:r>
            <w:r>
              <w:t>po</w:t>
            </w:r>
            <w:r w:rsidR="006C24DF">
              <w:t xml:space="preserve"> ich ponownej analizie</w:t>
            </w:r>
            <w:r>
              <w:t xml:space="preserve">. </w:t>
            </w:r>
          </w:p>
        </w:tc>
      </w:tr>
      <w:tr w:rsidR="007B1E39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B67B92" w:rsidRDefault="00A12FD0" w:rsidP="002E0D6A">
            <w:pPr>
              <w:jc w:val="center"/>
            </w:pPr>
            <w:r>
              <w:t>Art. 26 ustawy o KSC</w:t>
            </w:r>
          </w:p>
        </w:tc>
        <w:tc>
          <w:tcPr>
            <w:tcW w:w="6146" w:type="dxa"/>
            <w:shd w:val="clear" w:color="auto" w:fill="auto"/>
          </w:tcPr>
          <w:p w:rsidR="00B67B92" w:rsidRDefault="00C029CD" w:rsidP="003C48AA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9CD">
              <w:rPr>
                <w:rFonts w:ascii="Times New Roman" w:hAnsi="Times New Roman"/>
                <w:sz w:val="24"/>
                <w:szCs w:val="24"/>
              </w:rPr>
              <w:t xml:space="preserve">W związku z poszerzeniem katalogu podmiotów krajowego systemu </w:t>
            </w:r>
            <w:proofErr w:type="spellStart"/>
            <w:r w:rsidRPr="00C029CD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Pr="00C029CD">
              <w:rPr>
                <w:rFonts w:ascii="Times New Roman" w:hAnsi="Times New Roman"/>
                <w:sz w:val="24"/>
                <w:szCs w:val="24"/>
              </w:rPr>
              <w:t xml:space="preserve"> weryfikacji wymaga zakres właściwości poszczegól</w:t>
            </w:r>
            <w:r w:rsidR="001F3466">
              <w:rPr>
                <w:rFonts w:ascii="Times New Roman" w:hAnsi="Times New Roman"/>
                <w:sz w:val="24"/>
                <w:szCs w:val="24"/>
              </w:rPr>
              <w:t>nych CSIRT poziomu krajowego, o 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którym mowa w art. 26 ust. 5-7 ustawy o KSC. Przykładowo</w:t>
            </w:r>
            <w:r w:rsidR="001A05B2">
              <w:rPr>
                <w:rFonts w:ascii="Times New Roman" w:hAnsi="Times New Roman"/>
                <w:sz w:val="24"/>
                <w:szCs w:val="24"/>
              </w:rPr>
              <w:t>,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zgodnie z art. 26 ust. 6</w:t>
            </w:r>
            <w:r w:rsidR="001A05B2">
              <w:rPr>
                <w:rFonts w:ascii="Times New Roman" w:hAnsi="Times New Roman"/>
                <w:sz w:val="24"/>
                <w:szCs w:val="24"/>
              </w:rPr>
              <w:t xml:space="preserve"> ustawy o KSC,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do zadań CSIRT NASK należy koordynacja obsługi incydentów zgłaszanych przez jednostki sektora finansó</w:t>
            </w:r>
            <w:r w:rsidR="00BE5C53">
              <w:rPr>
                <w:rFonts w:ascii="Times New Roman" w:hAnsi="Times New Roman"/>
                <w:sz w:val="24"/>
                <w:szCs w:val="24"/>
              </w:rPr>
              <w:t>w publicznych, o których mowa w 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art. 9 pkt 2-6, 11 i 12 ustawy z dnia 27 sierpnia 2009 r. o</w:t>
            </w:r>
            <w:r w:rsidR="00977FA6">
              <w:rPr>
                <w:rFonts w:ascii="Times New Roman" w:hAnsi="Times New Roman"/>
                <w:sz w:val="24"/>
                <w:szCs w:val="24"/>
              </w:rPr>
              <w:t xml:space="preserve"> finansach publicznych.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T</w:t>
            </w:r>
            <w:r w:rsidR="004E7D22">
              <w:rPr>
                <w:rFonts w:ascii="Times New Roman" w:hAnsi="Times New Roman"/>
                <w:sz w:val="24"/>
                <w:szCs w:val="24"/>
              </w:rPr>
              <w:t>ymczasem zgodnie z art. 4 ustawy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o KSC</w:t>
            </w:r>
            <w:r w:rsidR="007A0405">
              <w:rPr>
                <w:rFonts w:ascii="Times New Roman" w:hAnsi="Times New Roman"/>
                <w:sz w:val="24"/>
                <w:szCs w:val="24"/>
              </w:rPr>
              <w:t>,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podmioty, o których mowa w art. 9 pkt 11 i 12 ustawy o finansach publicznych – czyli uczelnie publiczne oraz Polska Akademia Nauk i tworzone przez nią jednostki organizacyjne </w:t>
            </w:r>
            <w:r w:rsidR="009D56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nie zostały objęt</w:t>
            </w:r>
            <w:r w:rsidR="001F3466">
              <w:rPr>
                <w:rFonts w:ascii="Times New Roman" w:hAnsi="Times New Roman"/>
                <w:sz w:val="24"/>
                <w:szCs w:val="24"/>
              </w:rPr>
              <w:t>e odesłaniem do art. 9 pkt 11 i 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12 ustawy z dnia 27 sierpnia 2009 </w:t>
            </w:r>
            <w:r w:rsidR="00ED2859">
              <w:rPr>
                <w:rFonts w:ascii="Times New Roman" w:hAnsi="Times New Roman"/>
                <w:sz w:val="24"/>
                <w:szCs w:val="24"/>
              </w:rPr>
              <w:t>r. o finansach publicznych. N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a gruncie ustawy o KSC funkcjonują jako podmioty systemu szkolnictwa wyższego </w:t>
            </w:r>
            <w:r w:rsidR="0018175C">
              <w:rPr>
                <w:rFonts w:ascii="Times New Roman" w:hAnsi="Times New Roman"/>
                <w:sz w:val="24"/>
                <w:szCs w:val="24"/>
              </w:rPr>
              <w:t xml:space="preserve">na mocy odesłania do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art. 7 ust. 1 pkt 1 i 3-7 ustawy z dnia 20 lipca 2018 r. – Prawo o szkolnictwie wyższym i nauce. </w:t>
            </w:r>
            <w:r w:rsidR="003C48AA">
              <w:rPr>
                <w:rFonts w:ascii="Times New Roman" w:hAnsi="Times New Roman"/>
                <w:sz w:val="24"/>
                <w:szCs w:val="24"/>
              </w:rPr>
              <w:lastRenderedPageBreak/>
              <w:t>K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atalog z art. 7</w:t>
            </w:r>
            <w:r w:rsidR="004E7D22">
              <w:rPr>
                <w:rFonts w:ascii="Times New Roman" w:hAnsi="Times New Roman"/>
                <w:sz w:val="24"/>
                <w:szCs w:val="24"/>
              </w:rPr>
              <w:t xml:space="preserve"> ustawy – Prawo o szkolnictwie wyższym i nauce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obejmuje również instytuty badawcze, </w:t>
            </w:r>
            <w:r w:rsidR="002E5FED">
              <w:rPr>
                <w:rFonts w:ascii="Times New Roman" w:hAnsi="Times New Roman"/>
                <w:sz w:val="24"/>
                <w:szCs w:val="24"/>
              </w:rPr>
              <w:t>takie jak instytuty naukowe PAN,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instytuty badawcze, dzia</w:t>
            </w:r>
            <w:r w:rsidR="001F3466">
              <w:rPr>
                <w:rFonts w:ascii="Times New Roman" w:hAnsi="Times New Roman"/>
                <w:sz w:val="24"/>
                <w:szCs w:val="24"/>
              </w:rPr>
              <w:t>łające na podstawie ustawy z 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dnia 30 kwietnia 2010 r. o </w:t>
            </w:r>
            <w:r w:rsidR="001F3466">
              <w:rPr>
                <w:rFonts w:ascii="Times New Roman" w:hAnsi="Times New Roman"/>
                <w:sz w:val="24"/>
                <w:szCs w:val="24"/>
              </w:rPr>
              <w:t>instytutach badawczych</w:t>
            </w:r>
            <w:r w:rsidR="001817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międzynarodowe instytuty naukowe utworzone na podstawie odrębnych ustaw działające na teryt</w:t>
            </w:r>
            <w:r w:rsidR="004E7D22">
              <w:rPr>
                <w:rFonts w:ascii="Times New Roman" w:hAnsi="Times New Roman"/>
                <w:sz w:val="24"/>
                <w:szCs w:val="24"/>
              </w:rPr>
              <w:t>orium Rzeczypospolitej Polskiej</w:t>
            </w:r>
            <w:r w:rsidR="002E5FED">
              <w:rPr>
                <w:rFonts w:ascii="Times New Roman" w:hAnsi="Times New Roman"/>
                <w:sz w:val="24"/>
                <w:szCs w:val="24"/>
              </w:rPr>
              <w:t>,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Centrum Łukasiewicz, działające na podstawie ustawy z dnia 21 lutego 2019 r</w:t>
            </w:r>
            <w:r w:rsidR="0018175C">
              <w:rPr>
                <w:rFonts w:ascii="Times New Roman" w:hAnsi="Times New Roman"/>
                <w:sz w:val="24"/>
                <w:szCs w:val="24"/>
              </w:rPr>
              <w:t xml:space="preserve">. o Sieci Badawczej Łukasiewicz,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instytuty działające w rama</w:t>
            </w:r>
            <w:r w:rsidR="00E56294">
              <w:rPr>
                <w:rFonts w:ascii="Times New Roman" w:hAnsi="Times New Roman"/>
                <w:sz w:val="24"/>
                <w:szCs w:val="24"/>
              </w:rPr>
              <w:t xml:space="preserve">ch Sieci Badawczej Łukasiewicz </w:t>
            </w:r>
            <w:r w:rsidR="002039C8">
              <w:rPr>
                <w:rFonts w:ascii="Times New Roman" w:hAnsi="Times New Roman"/>
                <w:sz w:val="24"/>
                <w:szCs w:val="24"/>
              </w:rPr>
              <w:t>oraz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Polską Akademię Umiejętności. Tymczasem art. 26 w ust. 6 pkt 1 lit. c ustawy o KSC wskazuje jedynie, że zakresem właściwości CSIRT NASK są objęte instytuty badawc</w:t>
            </w:r>
            <w:r w:rsidR="00ED2859">
              <w:rPr>
                <w:rFonts w:ascii="Times New Roman" w:hAnsi="Times New Roman"/>
                <w:sz w:val="24"/>
                <w:szCs w:val="24"/>
              </w:rPr>
              <w:t xml:space="preserve">ze – bez odwoływania się do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specyfiki</w:t>
            </w:r>
            <w:r w:rsidR="00ED2859">
              <w:rPr>
                <w:rFonts w:ascii="Times New Roman" w:hAnsi="Times New Roman"/>
                <w:sz w:val="24"/>
                <w:szCs w:val="24"/>
              </w:rPr>
              <w:t xml:space="preserve"> tych instytutów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określonej w art. 7 ustawy – Prawo o szkolnictwie wyższym i nauce</w:t>
            </w:r>
            <w:r w:rsidR="000B26E6">
              <w:rPr>
                <w:rFonts w:ascii="Times New Roman" w:hAnsi="Times New Roman"/>
                <w:sz w:val="24"/>
                <w:szCs w:val="24"/>
              </w:rPr>
              <w:t xml:space="preserve">, co może powodować trudności </w:t>
            </w:r>
            <w:r w:rsidR="009D56BB">
              <w:rPr>
                <w:rFonts w:ascii="Times New Roman" w:hAnsi="Times New Roman"/>
                <w:sz w:val="24"/>
                <w:szCs w:val="24"/>
              </w:rPr>
              <w:t>interpretacyjne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.</w:t>
            </w:r>
            <w:r w:rsidR="00977FA6">
              <w:rPr>
                <w:rFonts w:ascii="Times New Roman" w:hAnsi="Times New Roman"/>
                <w:sz w:val="24"/>
                <w:szCs w:val="24"/>
              </w:rPr>
              <w:t xml:space="preserve"> Kwestia ta wymaga uzupełnienia.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Podobnie nie zostało rozstrzy</w:t>
            </w:r>
            <w:r w:rsidR="00B233D7">
              <w:rPr>
                <w:rFonts w:ascii="Times New Roman" w:hAnsi="Times New Roman"/>
                <w:sz w:val="24"/>
                <w:szCs w:val="24"/>
              </w:rPr>
              <w:t>gnięte do właściwości którego z 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CSIRT</w:t>
            </w:r>
            <w:r w:rsidR="00B233D7">
              <w:rPr>
                <w:rFonts w:ascii="Times New Roman" w:hAnsi="Times New Roman"/>
                <w:sz w:val="24"/>
                <w:szCs w:val="24"/>
              </w:rPr>
              <w:t xml:space="preserve"> poziomu krajowego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należeć będzie obsługa incydentów zgłaszanych przez osobno wskazane w art. 4</w:t>
            </w:r>
            <w:r w:rsidR="009421B3">
              <w:rPr>
                <w:rFonts w:ascii="Times New Roman" w:hAnsi="Times New Roman"/>
                <w:sz w:val="24"/>
                <w:szCs w:val="24"/>
              </w:rPr>
              <w:t>: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6E6">
              <w:rPr>
                <w:rFonts w:ascii="Times New Roman" w:hAnsi="Times New Roman"/>
                <w:sz w:val="24"/>
                <w:szCs w:val="24"/>
              </w:rPr>
              <w:t>Wody Polskie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 oraz Polski Funduszu Rozwoju</w:t>
            </w:r>
            <w:r w:rsidR="00382CBB">
              <w:rPr>
                <w:rFonts w:ascii="Times New Roman" w:hAnsi="Times New Roman"/>
                <w:sz w:val="24"/>
                <w:szCs w:val="24"/>
              </w:rPr>
              <w:t xml:space="preserve"> (art. 1 pkt 4 lit. d projektu ustawy zmieniającej)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. Ogólny przepis art. 26 ust. 6 pkt 1 li</w:t>
            </w:r>
            <w:r w:rsidR="00BD45E2">
              <w:rPr>
                <w:rFonts w:ascii="Times New Roman" w:hAnsi="Times New Roman"/>
                <w:sz w:val="24"/>
                <w:szCs w:val="24"/>
              </w:rPr>
              <w:t xml:space="preserve">t. k </w:t>
            </w:r>
            <w:r w:rsidR="00ED2859">
              <w:rPr>
                <w:rFonts w:ascii="Times New Roman" w:hAnsi="Times New Roman"/>
                <w:sz w:val="24"/>
                <w:szCs w:val="24"/>
              </w:rPr>
              <w:t xml:space="preserve">ustawy o KSC </w:t>
            </w:r>
            <w:r w:rsidR="00BD45E2">
              <w:rPr>
                <w:rFonts w:ascii="Times New Roman" w:hAnsi="Times New Roman"/>
                <w:sz w:val="24"/>
                <w:szCs w:val="24"/>
              </w:rPr>
              <w:t>wskazujący na właściwość C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S</w:t>
            </w:r>
            <w:r w:rsidR="00BD45E2">
              <w:rPr>
                <w:rFonts w:ascii="Times New Roman" w:hAnsi="Times New Roman"/>
                <w:sz w:val="24"/>
                <w:szCs w:val="24"/>
              </w:rPr>
              <w:t>I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RT NASK w zakresie innych podmiotów niż wymienione w lit. a-j i ust. 5 i 7 a</w:t>
            </w:r>
            <w:r w:rsidR="00BD45E2">
              <w:rPr>
                <w:rFonts w:ascii="Times New Roman" w:hAnsi="Times New Roman"/>
                <w:sz w:val="24"/>
                <w:szCs w:val="24"/>
              </w:rPr>
              <w:t>rt. 26 nie jest</w:t>
            </w:r>
            <w:r w:rsidR="00007B0E">
              <w:rPr>
                <w:rFonts w:ascii="Times New Roman" w:hAnsi="Times New Roman"/>
                <w:sz w:val="24"/>
                <w:szCs w:val="24"/>
              </w:rPr>
              <w:t xml:space="preserve"> w tym przypadku </w:t>
            </w:r>
            <w:r w:rsidR="00BD45E2">
              <w:rPr>
                <w:rFonts w:ascii="Times New Roman" w:hAnsi="Times New Roman"/>
                <w:sz w:val="24"/>
                <w:szCs w:val="24"/>
              </w:rPr>
              <w:t xml:space="preserve"> wystarczający.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 xml:space="preserve">Weryfikacji wymaga również zakres właściwości przekazanej w drodze porozumienia pomiędzy poszczególnymi CSIRT na podstawie art. 26 ust. 10 i 11 ustawy o KSC. Sugeruje się przegląd zawartych porozumień </w:t>
            </w:r>
            <w:r w:rsidRPr="00C029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celem dostosowania właściwości rzeczowej CSIRT poziomu krajowego, która jest określona w ustawie do zakresu faktycznie wykonywanych zadań. Nie kwestionując możliwości zawarcia porozumień, co do zakresu zadań wykonywanych na rzecz niektórych podmiotów, zwłaszcza w przypadku powstania nowych kategorii podmiotów objętych krajowym systemem </w:t>
            </w:r>
            <w:proofErr w:type="spellStart"/>
            <w:r w:rsidRPr="00C029CD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Pr="00C029CD">
              <w:rPr>
                <w:rFonts w:ascii="Times New Roman" w:hAnsi="Times New Roman"/>
                <w:sz w:val="24"/>
                <w:szCs w:val="24"/>
              </w:rPr>
              <w:t>, zasadnym wydaje się dostosowanie przepisów ustawy do prakty</w:t>
            </w:r>
            <w:r w:rsidR="00B233D7">
              <w:rPr>
                <w:rFonts w:ascii="Times New Roman" w:hAnsi="Times New Roman"/>
                <w:sz w:val="24"/>
                <w:szCs w:val="24"/>
              </w:rPr>
              <w:t>ki jej stosowania wynikającej z </w:t>
            </w:r>
            <w:r w:rsidRPr="00C029CD">
              <w:rPr>
                <w:rFonts w:ascii="Times New Roman" w:hAnsi="Times New Roman"/>
                <w:sz w:val="24"/>
                <w:szCs w:val="24"/>
              </w:rPr>
              <w:t>zawartych porozumień. Kwestię te pozostawia się jednakże do decyzji merytorycznej projektodawcy. W razie wzięcia pod uwagę tego problemu, konieczne będzie uzupełnienie projektu o stosowne przepisy przejściowe i dostosowujące dotyczące zwartych porozumień</w:t>
            </w:r>
            <w:r w:rsidR="00BD45E2">
              <w:rPr>
                <w:rFonts w:ascii="Times New Roman" w:hAnsi="Times New Roman"/>
                <w:sz w:val="24"/>
                <w:szCs w:val="24"/>
              </w:rPr>
              <w:t xml:space="preserve"> ich utrzymania, uchylenia  czy wygaszenia.</w:t>
            </w:r>
          </w:p>
        </w:tc>
        <w:tc>
          <w:tcPr>
            <w:tcW w:w="4152" w:type="dxa"/>
            <w:shd w:val="clear" w:color="auto" w:fill="auto"/>
          </w:tcPr>
          <w:p w:rsidR="00B67B92" w:rsidRDefault="00E56294" w:rsidP="00651688">
            <w:pPr>
              <w:spacing w:line="276" w:lineRule="auto"/>
              <w:jc w:val="both"/>
            </w:pPr>
            <w:r>
              <w:lastRenderedPageBreak/>
              <w:t>Rozstrzygnięcie właściwości CSIRT poziomu krajowego dla:</w:t>
            </w:r>
          </w:p>
          <w:p w:rsidR="00E56294" w:rsidRDefault="00E56294" w:rsidP="00651688">
            <w:pPr>
              <w:spacing w:line="276" w:lineRule="auto"/>
              <w:jc w:val="both"/>
            </w:pPr>
            <w:r>
              <w:t>1. podmiotów systemu szkolnictwa wyższego i nauki</w:t>
            </w:r>
          </w:p>
          <w:p w:rsidR="00E56294" w:rsidRDefault="00E56294" w:rsidP="00651688">
            <w:pPr>
              <w:spacing w:line="276" w:lineRule="auto"/>
              <w:jc w:val="both"/>
            </w:pPr>
            <w:r>
              <w:t>2. Państwowego Gospodarstwa Wodnego „Wody Polskie”</w:t>
            </w:r>
          </w:p>
          <w:p w:rsidR="00E56294" w:rsidRDefault="00E56294" w:rsidP="00651688">
            <w:pPr>
              <w:spacing w:line="276" w:lineRule="auto"/>
              <w:jc w:val="both"/>
            </w:pPr>
            <w:r>
              <w:t xml:space="preserve">3. </w:t>
            </w:r>
            <w:r w:rsidR="008E1F05">
              <w:t>Polskiego Funduszu Rozwoju</w:t>
            </w:r>
          </w:p>
          <w:p w:rsidR="00007B0E" w:rsidRDefault="00840A5A" w:rsidP="00651688">
            <w:pPr>
              <w:spacing w:line="276" w:lineRule="auto"/>
              <w:jc w:val="both"/>
            </w:pPr>
            <w:r>
              <w:t xml:space="preserve">4. </w:t>
            </w:r>
            <w:r w:rsidR="00007B0E">
              <w:t xml:space="preserve">Rozstrzygnięcie o właściwości CSIRT w kontekście porozumień zawartych pomiędzy CSIRT poziomu krajowego. </w:t>
            </w:r>
          </w:p>
        </w:tc>
      </w:tr>
      <w:tr w:rsidR="007B1E39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B67B92" w:rsidRDefault="00F02A2B" w:rsidP="002E0D6A">
            <w:pPr>
              <w:jc w:val="center"/>
            </w:pPr>
            <w:r>
              <w:t>Relacja do ustawy o ponownym wykorzystywaniu informacji sektora publicznego</w:t>
            </w:r>
            <w:r w:rsidR="00BA1A73">
              <w:t>, art. 37 ustawy o KSC</w:t>
            </w:r>
          </w:p>
          <w:p w:rsidR="00F6119B" w:rsidRDefault="00F6119B" w:rsidP="002E0D6A">
            <w:pPr>
              <w:jc w:val="center"/>
            </w:pPr>
          </w:p>
        </w:tc>
        <w:tc>
          <w:tcPr>
            <w:tcW w:w="6146" w:type="dxa"/>
            <w:shd w:val="clear" w:color="auto" w:fill="auto"/>
          </w:tcPr>
          <w:p w:rsidR="00B67B92" w:rsidRDefault="00F02A2B" w:rsidP="003C48AA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związku z szeroką definicją</w:t>
            </w:r>
            <w:r w:rsidR="001F2101">
              <w:rPr>
                <w:rFonts w:ascii="Times New Roman" w:hAnsi="Times New Roman"/>
                <w:sz w:val="24"/>
                <w:szCs w:val="24"/>
              </w:rPr>
              <w:t xml:space="preserve"> pojęcia „informacja</w:t>
            </w:r>
            <w:r w:rsidR="001509F3">
              <w:rPr>
                <w:rFonts w:ascii="Times New Roman" w:hAnsi="Times New Roman"/>
                <w:sz w:val="24"/>
                <w:szCs w:val="24"/>
              </w:rPr>
              <w:t xml:space="preserve"> sektora publicznego</w:t>
            </w:r>
            <w:r w:rsidR="001F2101">
              <w:rPr>
                <w:rFonts w:ascii="Times New Roman" w:hAnsi="Times New Roman"/>
                <w:sz w:val="24"/>
                <w:szCs w:val="24"/>
              </w:rPr>
              <w:t>”</w:t>
            </w:r>
            <w:r w:rsidR="001509F3">
              <w:rPr>
                <w:rFonts w:ascii="Times New Roman" w:hAnsi="Times New Roman"/>
                <w:sz w:val="24"/>
                <w:szCs w:val="24"/>
              </w:rPr>
              <w:t>,</w:t>
            </w:r>
            <w:r w:rsidR="001F2101">
              <w:rPr>
                <w:rFonts w:ascii="Times New Roman" w:hAnsi="Times New Roman"/>
                <w:sz w:val="24"/>
                <w:szCs w:val="24"/>
              </w:rPr>
              <w:t xml:space="preserve"> które jest projektowan</w:t>
            </w:r>
            <w:r w:rsidR="003C48AA">
              <w:rPr>
                <w:rFonts w:ascii="Times New Roman" w:hAnsi="Times New Roman"/>
                <w:sz w:val="24"/>
                <w:szCs w:val="24"/>
              </w:rPr>
              <w:t>e</w:t>
            </w:r>
            <w:r w:rsidR="001F210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="00BA6C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0E6D">
              <w:rPr>
                <w:rFonts w:ascii="Times New Roman" w:hAnsi="Times New Roman"/>
                <w:sz w:val="24"/>
                <w:szCs w:val="24"/>
              </w:rPr>
              <w:t>ustawie o otwartych danych i ponownym wykorzystywaniu informacji sektora publicznego,</w:t>
            </w:r>
            <w:r w:rsidR="00F959EF">
              <w:rPr>
                <w:rFonts w:ascii="Times New Roman" w:hAnsi="Times New Roman"/>
                <w:sz w:val="24"/>
                <w:szCs w:val="24"/>
              </w:rPr>
              <w:t>[</w:t>
            </w:r>
            <w:r w:rsidR="00F959EF">
              <w:t xml:space="preserve"> </w:t>
            </w:r>
            <w:r w:rsidR="00F959EF" w:rsidRPr="00F959EF">
              <w:rPr>
                <w:rFonts w:ascii="Times New Roman" w:hAnsi="Times New Roman"/>
                <w:i/>
                <w:sz w:val="24"/>
                <w:szCs w:val="24"/>
              </w:rPr>
              <w:t>informacja sektora publicznego – każdą treść lub jej część, niezależnie od sposobu utrwalenia, w szczególności w postaci papierowej, elektronicznej, dźwiękowej, wizualnej lub audiowizualnej, będącą w posiadaniu podmiotu zobowiązanego</w:t>
            </w:r>
            <w:r w:rsidR="00F959EF">
              <w:rPr>
                <w:rFonts w:ascii="Times New Roman" w:hAnsi="Times New Roman"/>
                <w:i/>
                <w:sz w:val="24"/>
                <w:szCs w:val="24"/>
              </w:rPr>
              <w:t>]</w:t>
            </w:r>
            <w:r w:rsidR="00F959EF">
              <w:rPr>
                <w:rFonts w:ascii="Times New Roman" w:hAnsi="Times New Roman"/>
                <w:sz w:val="24"/>
                <w:szCs w:val="24"/>
              </w:rPr>
              <w:t xml:space="preserve"> oraz faktem, że katalog podmiotów zobowiązanych do udostępniania informacji sektora publicznego pokrywa się z katalogiem podmiotów objętych systemem </w:t>
            </w:r>
            <w:proofErr w:type="spellStart"/>
            <w:r w:rsidR="00F959EF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F959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101">
              <w:rPr>
                <w:rFonts w:ascii="Times New Roman" w:hAnsi="Times New Roman"/>
                <w:sz w:val="24"/>
                <w:szCs w:val="24"/>
              </w:rPr>
              <w:t xml:space="preserve"> wymaga analizy możliwość wył</w:t>
            </w:r>
            <w:r w:rsidR="00F959EF">
              <w:rPr>
                <w:rFonts w:ascii="Times New Roman" w:hAnsi="Times New Roman"/>
                <w:sz w:val="24"/>
                <w:szCs w:val="24"/>
              </w:rPr>
              <w:t>ączenia stosowania przepisów</w:t>
            </w:r>
            <w:r w:rsidR="001F2101">
              <w:rPr>
                <w:rFonts w:ascii="Times New Roman" w:hAnsi="Times New Roman"/>
                <w:sz w:val="24"/>
                <w:szCs w:val="24"/>
              </w:rPr>
              <w:t xml:space="preserve"> ustawy</w:t>
            </w:r>
            <w:r w:rsidR="00F959EF">
              <w:rPr>
                <w:rFonts w:ascii="Times New Roman" w:hAnsi="Times New Roman"/>
                <w:sz w:val="24"/>
                <w:szCs w:val="24"/>
              </w:rPr>
              <w:t xml:space="preserve"> o otwartych danych i ponownym wykorzystywaniu informacji sektora publicznego </w:t>
            </w:r>
            <w:r w:rsidR="001D7FC4">
              <w:rPr>
                <w:rFonts w:ascii="Times New Roman" w:hAnsi="Times New Roman"/>
                <w:sz w:val="24"/>
                <w:szCs w:val="24"/>
              </w:rPr>
              <w:t>do</w:t>
            </w:r>
            <w:r w:rsidR="003F5A2B">
              <w:rPr>
                <w:rFonts w:ascii="Times New Roman" w:hAnsi="Times New Roman"/>
                <w:sz w:val="24"/>
                <w:szCs w:val="24"/>
              </w:rPr>
              <w:t xml:space="preserve"> części</w:t>
            </w:r>
            <w:r w:rsidR="001D7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7F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informacji </w:t>
            </w:r>
            <w:r w:rsidR="00C834D2">
              <w:rPr>
                <w:rFonts w:ascii="Times New Roman" w:hAnsi="Times New Roman"/>
                <w:sz w:val="24"/>
                <w:szCs w:val="24"/>
              </w:rPr>
              <w:t xml:space="preserve">będących w posiadaniu podmiotów zobowiązanych dotyczących </w:t>
            </w:r>
            <w:proofErr w:type="spellStart"/>
            <w:r w:rsidR="001D7FC4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1D7FC4">
              <w:rPr>
                <w:rFonts w:ascii="Times New Roman" w:hAnsi="Times New Roman"/>
                <w:sz w:val="24"/>
                <w:szCs w:val="24"/>
              </w:rPr>
              <w:t>. Definicja</w:t>
            </w:r>
            <w:r w:rsidR="003F5A2B">
              <w:rPr>
                <w:rFonts w:ascii="Times New Roman" w:hAnsi="Times New Roman"/>
                <w:sz w:val="24"/>
                <w:szCs w:val="24"/>
              </w:rPr>
              <w:t xml:space="preserve"> informacji sektora publicznego</w:t>
            </w:r>
            <w:r w:rsidR="001D7FC4">
              <w:rPr>
                <w:rFonts w:ascii="Times New Roman" w:hAnsi="Times New Roman"/>
                <w:sz w:val="24"/>
                <w:szCs w:val="24"/>
              </w:rPr>
              <w:t xml:space="preserve"> nie wiąże tego pojęcia </w:t>
            </w:r>
            <w:r w:rsidR="00C834D2">
              <w:rPr>
                <w:rFonts w:ascii="Times New Roman" w:hAnsi="Times New Roman"/>
                <w:sz w:val="24"/>
                <w:szCs w:val="24"/>
              </w:rPr>
              <w:t>z </w:t>
            </w:r>
            <w:r w:rsidR="001F2101">
              <w:rPr>
                <w:rFonts w:ascii="Times New Roman" w:hAnsi="Times New Roman"/>
                <w:sz w:val="24"/>
                <w:szCs w:val="24"/>
              </w:rPr>
              <w:t xml:space="preserve">zakresem </w:t>
            </w:r>
            <w:r w:rsidR="001509F3">
              <w:rPr>
                <w:rFonts w:ascii="Times New Roman" w:hAnsi="Times New Roman"/>
                <w:sz w:val="24"/>
                <w:szCs w:val="24"/>
              </w:rPr>
              <w:t>pojęcia „informacja publiczna” w rozumieniu ustawy z dnia 6 września 2001 r. o dostępie do informacji publicznej</w:t>
            </w:r>
            <w:r w:rsidR="00815AF1">
              <w:rPr>
                <w:rFonts w:ascii="Times New Roman" w:hAnsi="Times New Roman"/>
                <w:sz w:val="24"/>
                <w:szCs w:val="24"/>
              </w:rPr>
              <w:t xml:space="preserve">. Tym samym nie będzie wystarczające wyłączenie stosowanie ustawy o dostępie do </w:t>
            </w:r>
            <w:r w:rsidR="00C834D2">
              <w:rPr>
                <w:rFonts w:ascii="Times New Roman" w:hAnsi="Times New Roman"/>
                <w:sz w:val="24"/>
                <w:szCs w:val="24"/>
              </w:rPr>
              <w:t>informacji publicznej, o którym</w:t>
            </w:r>
            <w:r w:rsidR="00815AF1">
              <w:rPr>
                <w:rFonts w:ascii="Times New Roman" w:hAnsi="Times New Roman"/>
                <w:sz w:val="24"/>
                <w:szCs w:val="24"/>
              </w:rPr>
              <w:t xml:space="preserve"> mowa w art. </w:t>
            </w:r>
            <w:r w:rsidR="00C834D2">
              <w:rPr>
                <w:rFonts w:ascii="Times New Roman" w:hAnsi="Times New Roman"/>
                <w:sz w:val="24"/>
                <w:szCs w:val="24"/>
              </w:rPr>
              <w:t>37 ustawy o KSC.</w:t>
            </w:r>
            <w:r w:rsidR="0042096C">
              <w:rPr>
                <w:rFonts w:ascii="Times New Roman" w:hAnsi="Times New Roman"/>
                <w:sz w:val="24"/>
                <w:szCs w:val="24"/>
              </w:rPr>
              <w:t xml:space="preserve"> Ustawa o KSC nie </w:t>
            </w:r>
            <w:r w:rsidR="00BA1A73">
              <w:rPr>
                <w:rFonts w:ascii="Times New Roman" w:hAnsi="Times New Roman"/>
                <w:sz w:val="24"/>
                <w:szCs w:val="24"/>
              </w:rPr>
              <w:t>formułuje</w:t>
            </w:r>
            <w:r w:rsidR="0042096C">
              <w:rPr>
                <w:rFonts w:ascii="Times New Roman" w:hAnsi="Times New Roman"/>
                <w:sz w:val="24"/>
                <w:szCs w:val="24"/>
              </w:rPr>
              <w:t xml:space="preserve"> także osobnej definicji prawnie chronionej tajemnicy w zakresie </w:t>
            </w:r>
            <w:proofErr w:type="spellStart"/>
            <w:r w:rsidR="0042096C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BA1A73">
              <w:rPr>
                <w:rFonts w:ascii="Times New Roman" w:hAnsi="Times New Roman"/>
                <w:sz w:val="24"/>
                <w:szCs w:val="24"/>
              </w:rPr>
              <w:t>, a zatem</w:t>
            </w:r>
            <w:r w:rsidR="00B3104E">
              <w:rPr>
                <w:rFonts w:ascii="Times New Roman" w:hAnsi="Times New Roman"/>
                <w:sz w:val="24"/>
                <w:szCs w:val="24"/>
              </w:rPr>
              <w:t xml:space="preserve"> informacje te nie będą </w:t>
            </w:r>
            <w:r w:rsidR="00BA1A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104E">
              <w:rPr>
                <w:rFonts w:ascii="Times New Roman" w:hAnsi="Times New Roman"/>
                <w:sz w:val="24"/>
                <w:szCs w:val="24"/>
              </w:rPr>
              <w:t xml:space="preserve">objęte </w:t>
            </w:r>
            <w:r w:rsidR="00BA1A73">
              <w:rPr>
                <w:rFonts w:ascii="Times New Roman" w:hAnsi="Times New Roman"/>
                <w:sz w:val="24"/>
                <w:szCs w:val="24"/>
              </w:rPr>
              <w:t>wyłączeniem dotyczącym tych tajemnic zawartym w projekcie ustawy o otwartych danych i ponownym wykorzystywaniu informacji sektora publicznego</w:t>
            </w:r>
            <w:r w:rsidR="003C48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52" w:type="dxa"/>
            <w:shd w:val="clear" w:color="auto" w:fill="auto"/>
          </w:tcPr>
          <w:p w:rsidR="00B67B92" w:rsidRDefault="00E47ED4" w:rsidP="00651688">
            <w:pPr>
              <w:spacing w:line="276" w:lineRule="auto"/>
              <w:jc w:val="both"/>
            </w:pPr>
            <w:r>
              <w:lastRenderedPageBreak/>
              <w:t xml:space="preserve">Wyłączenie informacji przetwarzanych przez poszczególne podmioty systemu </w:t>
            </w:r>
            <w:proofErr w:type="spellStart"/>
            <w:r>
              <w:t>cyberbezpieczeństwa</w:t>
            </w:r>
            <w:proofErr w:type="spellEnd"/>
            <w:r>
              <w:t xml:space="preserve"> lub poszczególnych kategorii informacji</w:t>
            </w:r>
            <w:r w:rsidR="00BF7A71">
              <w:t xml:space="preserve"> sektora publicznego z możliwości ich ponownego wykorzystywania. Wyłączenie to jak się wydaje nie powinno obejmować danych stanowiących informacji publiczną, które są publikowane w BIP. </w:t>
            </w:r>
          </w:p>
        </w:tc>
      </w:tr>
      <w:tr w:rsidR="00F6119B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F6119B" w:rsidRPr="004D086F" w:rsidRDefault="00F6119B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6119B" w:rsidRDefault="00F6119B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F6119B" w:rsidRDefault="00F6119B" w:rsidP="002E0D6A">
            <w:pPr>
              <w:jc w:val="center"/>
            </w:pPr>
            <w:r>
              <w:t>Art. 39</w:t>
            </w:r>
            <w:r w:rsidR="00617A00">
              <w:t xml:space="preserve"> ustawy o KSC</w:t>
            </w:r>
          </w:p>
        </w:tc>
        <w:tc>
          <w:tcPr>
            <w:tcW w:w="6146" w:type="dxa"/>
            <w:shd w:val="clear" w:color="auto" w:fill="auto"/>
          </w:tcPr>
          <w:p w:rsidR="00F6119B" w:rsidRDefault="00617A00" w:rsidP="00C834D2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związku z wprowadzeniem CSIRT sektorowych oraz ISAC i SOC wymaga analizy czy przepis art. 39 </w:t>
            </w:r>
            <w:r w:rsidR="00BE0613">
              <w:rPr>
                <w:rFonts w:ascii="Times New Roman" w:hAnsi="Times New Roman"/>
                <w:sz w:val="24"/>
                <w:szCs w:val="24"/>
              </w:rPr>
              <w:t>dotyczący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przetwarzania danych o incy</w:t>
            </w:r>
            <w:r w:rsidR="0071692F">
              <w:rPr>
                <w:rFonts w:ascii="Times New Roman" w:hAnsi="Times New Roman"/>
                <w:sz w:val="24"/>
                <w:szCs w:val="24"/>
              </w:rPr>
              <w:t xml:space="preserve">dentach, w tym danych osobowych, </w:t>
            </w:r>
            <w:r>
              <w:rPr>
                <w:rFonts w:ascii="Times New Roman" w:hAnsi="Times New Roman"/>
                <w:sz w:val="24"/>
                <w:szCs w:val="24"/>
              </w:rPr>
              <w:t>nie wymaga uzupełnienia o zadania realizowane przez CSIRT sektorowe, ISAC czy SOC.</w:t>
            </w:r>
            <w:r w:rsidR="00617448">
              <w:rPr>
                <w:rFonts w:ascii="Times New Roman" w:hAnsi="Times New Roman"/>
                <w:sz w:val="24"/>
                <w:szCs w:val="24"/>
              </w:rPr>
              <w:t xml:space="preserve"> Zwłaszcza w </w:t>
            </w:r>
            <w:r w:rsidR="00BE0613">
              <w:rPr>
                <w:rFonts w:ascii="Times New Roman" w:hAnsi="Times New Roman"/>
                <w:sz w:val="24"/>
                <w:szCs w:val="24"/>
              </w:rPr>
              <w:t xml:space="preserve">kontekście przetwarzania danych osobowych. </w:t>
            </w:r>
          </w:p>
        </w:tc>
        <w:tc>
          <w:tcPr>
            <w:tcW w:w="4152" w:type="dxa"/>
            <w:shd w:val="clear" w:color="auto" w:fill="auto"/>
          </w:tcPr>
          <w:p w:rsidR="00F6119B" w:rsidRDefault="00143535" w:rsidP="00651688">
            <w:pPr>
              <w:spacing w:line="276" w:lineRule="auto"/>
              <w:jc w:val="both"/>
            </w:pPr>
            <w:r>
              <w:t>Przeanalizowanie przepisó</w:t>
            </w:r>
            <w:r w:rsidR="00EE003A">
              <w:t>w pod kątem nowych zadań i  nowych podmiotów oraz</w:t>
            </w:r>
            <w:r>
              <w:t xml:space="preserve"> </w:t>
            </w:r>
            <w:r w:rsidR="009324FF">
              <w:t>ewentualne</w:t>
            </w:r>
            <w:r>
              <w:t xml:space="preserve"> uzupełnienie odesłań w art. 39 ustawy o KSC lub stworzenie osobnej regulacji dotyczącej przetwarzania danych</w:t>
            </w:r>
            <w:r w:rsidR="004551D7">
              <w:t>, w tym danych osobowych</w:t>
            </w:r>
            <w:r>
              <w:t xml:space="preserve"> przez SOC i ISAC.</w:t>
            </w:r>
          </w:p>
        </w:tc>
      </w:tr>
      <w:tr w:rsidR="004551D7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4551D7" w:rsidRPr="004D086F" w:rsidRDefault="004551D7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4551D7" w:rsidRDefault="004551D7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4551D7" w:rsidRDefault="00E17260" w:rsidP="00E17260">
            <w:pPr>
              <w:jc w:val="center"/>
            </w:pPr>
            <w:r>
              <w:t xml:space="preserve">Rozdział 11a. Krajowy system certyfikacji </w:t>
            </w:r>
            <w:proofErr w:type="spellStart"/>
            <w:r>
              <w:t>cyberbezpieczeństwa</w:t>
            </w:r>
            <w:proofErr w:type="spellEnd"/>
            <w:r>
              <w:t xml:space="preserve"> </w:t>
            </w:r>
          </w:p>
        </w:tc>
        <w:tc>
          <w:tcPr>
            <w:tcW w:w="6146" w:type="dxa"/>
            <w:shd w:val="clear" w:color="auto" w:fill="auto"/>
          </w:tcPr>
          <w:p w:rsidR="00E17260" w:rsidRDefault="00B946F1" w:rsidP="00435DB0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opisanej procedurze dotyczącej zatwierdzenia certyfikatu</w:t>
            </w:r>
            <w:r w:rsidR="00146CA7">
              <w:rPr>
                <w:rFonts w:ascii="Times New Roman" w:hAnsi="Times New Roman"/>
                <w:sz w:val="24"/>
                <w:szCs w:val="24"/>
              </w:rPr>
              <w:t xml:space="preserve"> (art. 59o i art. 59q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6CA7">
              <w:rPr>
                <w:rFonts w:ascii="Times New Roman" w:hAnsi="Times New Roman"/>
                <w:sz w:val="24"/>
                <w:szCs w:val="24"/>
              </w:rPr>
              <w:t xml:space="preserve">ustawy o KSC)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projektodawca posługuje się pojęciem </w:t>
            </w:r>
            <w:r w:rsidR="00EB2438">
              <w:rPr>
                <w:rFonts w:ascii="Times New Roman" w:hAnsi="Times New Roman"/>
                <w:sz w:val="24"/>
                <w:szCs w:val="24"/>
              </w:rPr>
              <w:t xml:space="preserve">„przesłania” i </w:t>
            </w:r>
            <w:r>
              <w:rPr>
                <w:rFonts w:ascii="Times New Roman" w:hAnsi="Times New Roman"/>
                <w:sz w:val="24"/>
                <w:szCs w:val="24"/>
              </w:rPr>
              <w:t>„doręczenia” nie precyz</w:t>
            </w:r>
            <w:r w:rsidR="00EB2438">
              <w:rPr>
                <w:rFonts w:ascii="Times New Roman" w:hAnsi="Times New Roman"/>
                <w:sz w:val="24"/>
                <w:szCs w:val="24"/>
              </w:rPr>
              <w:t>ując j</w:t>
            </w:r>
            <w:r w:rsidR="009324FF">
              <w:rPr>
                <w:rFonts w:ascii="Times New Roman" w:hAnsi="Times New Roman"/>
                <w:sz w:val="24"/>
                <w:szCs w:val="24"/>
              </w:rPr>
              <w:t>ednak w jakim trybie</w:t>
            </w:r>
            <w:r w:rsidR="00AC5395">
              <w:rPr>
                <w:rFonts w:ascii="Times New Roman" w:hAnsi="Times New Roman"/>
                <w:sz w:val="24"/>
                <w:szCs w:val="24"/>
              </w:rPr>
              <w:t xml:space="preserve"> następuje</w:t>
            </w:r>
            <w:r w:rsidR="009324FF">
              <w:rPr>
                <w:rFonts w:ascii="Times New Roman" w:hAnsi="Times New Roman"/>
                <w:sz w:val="24"/>
                <w:szCs w:val="24"/>
              </w:rPr>
              <w:t xml:space="preserve"> przesłanie </w:t>
            </w:r>
            <w:r w:rsidR="00EB2438">
              <w:rPr>
                <w:rFonts w:ascii="Times New Roman" w:hAnsi="Times New Roman"/>
                <w:sz w:val="24"/>
                <w:szCs w:val="24"/>
              </w:rPr>
              <w:t>wnios</w:t>
            </w:r>
            <w:r w:rsidR="00AC5395">
              <w:rPr>
                <w:rFonts w:ascii="Times New Roman" w:hAnsi="Times New Roman"/>
                <w:sz w:val="24"/>
                <w:szCs w:val="24"/>
              </w:rPr>
              <w:t>ku oraz  doręczenia decyzji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C5395">
              <w:rPr>
                <w:rFonts w:ascii="Times New Roman" w:hAnsi="Times New Roman"/>
                <w:sz w:val="24"/>
                <w:szCs w:val="24"/>
              </w:rPr>
              <w:t xml:space="preserve"> Czy odnosi się ono do doręczenia za pośrednictwem operatora pocztowego czy przy użyciu środków komunikacji elektronicznej. </w:t>
            </w:r>
          </w:p>
          <w:p w:rsidR="004551D7" w:rsidRDefault="00E17260" w:rsidP="00435DB0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Podobnie rozstrzygnięcia wymaga</w:t>
            </w:r>
            <w:r w:rsidR="00146CA7">
              <w:rPr>
                <w:rFonts w:ascii="Times New Roman" w:hAnsi="Times New Roman"/>
                <w:sz w:val="24"/>
                <w:szCs w:val="24"/>
              </w:rPr>
              <w:t>ją kwestie proceduralne dotyczące sposobu informowania o cofnięciu certyfikatu przez jednostkę oceniającą zgodność (art. 59u ustawy o KSC)</w:t>
            </w:r>
            <w:r w:rsidR="00637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72FC" w:rsidRDefault="006372FC" w:rsidP="00435DB0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Upoważn</w:t>
            </w:r>
            <w:r w:rsidR="009324FF">
              <w:rPr>
                <w:rFonts w:ascii="Times New Roman" w:hAnsi="Times New Roman"/>
                <w:sz w:val="24"/>
                <w:szCs w:val="24"/>
              </w:rPr>
              <w:t>ienie ustawowe z art. 59w ustawy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 KSC, przekazujące do uregulowania w drodze rozporządzenia wysokość opłat za zatwierdzenie certyfikatu</w:t>
            </w:r>
            <w:r w:rsidR="003C48A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może wymagać uzupełnienia, gdyż przepisy us</w:t>
            </w:r>
            <w:r w:rsidR="00786390">
              <w:rPr>
                <w:rFonts w:ascii="Times New Roman" w:hAnsi="Times New Roman"/>
                <w:sz w:val="24"/>
                <w:szCs w:val="24"/>
              </w:rPr>
              <w:t>tawy nie rozstrzygają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sposobu czy trybu wnoszenia takiej opłaty. </w:t>
            </w:r>
          </w:p>
          <w:p w:rsidR="005332C4" w:rsidRDefault="005332C4" w:rsidP="00001A6B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zakresie art. 59</w:t>
            </w:r>
            <w:r w:rsidR="00342038">
              <w:rPr>
                <w:rFonts w:ascii="Times New Roman" w:hAnsi="Times New Roman"/>
                <w:sz w:val="24"/>
                <w:szCs w:val="24"/>
              </w:rPr>
              <w:t>za ustawy o KSC, który wskazuje</w:t>
            </w:r>
            <w:r w:rsidR="00062F9F">
              <w:rPr>
                <w:rFonts w:ascii="Times New Roman" w:hAnsi="Times New Roman"/>
                <w:sz w:val="24"/>
                <w:szCs w:val="24"/>
              </w:rPr>
              <w:t xml:space="preserve">, że jednostki oceniające zgodność publikują na swojej stronie internetowej </w:t>
            </w:r>
            <w:r w:rsidR="00440049">
              <w:rPr>
                <w:rFonts w:ascii="Times New Roman" w:hAnsi="Times New Roman"/>
                <w:sz w:val="24"/>
                <w:szCs w:val="24"/>
              </w:rPr>
              <w:t>„</w:t>
            </w:r>
            <w:r w:rsidR="00062F9F">
              <w:rPr>
                <w:rFonts w:ascii="Times New Roman" w:hAnsi="Times New Roman"/>
                <w:sz w:val="24"/>
                <w:szCs w:val="24"/>
              </w:rPr>
              <w:t>procedurę postępowania ze skargami</w:t>
            </w:r>
            <w:r w:rsidR="004400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40049" w:rsidRPr="00440049">
              <w:rPr>
                <w:rFonts w:ascii="Times New Roman" w:hAnsi="Times New Roman"/>
                <w:sz w:val="24"/>
                <w:szCs w:val="24"/>
              </w:rPr>
              <w:t>o których mowa w art. 63 rozporządzenia 2019/881</w:t>
            </w:r>
            <w:r w:rsidR="00440049">
              <w:rPr>
                <w:rFonts w:ascii="Times New Roman" w:hAnsi="Times New Roman"/>
                <w:sz w:val="24"/>
                <w:szCs w:val="24"/>
              </w:rPr>
              <w:t>”</w:t>
            </w:r>
            <w:r w:rsidR="00B52220">
              <w:rPr>
                <w:rFonts w:ascii="Times New Roman" w:hAnsi="Times New Roman"/>
                <w:sz w:val="24"/>
                <w:szCs w:val="24"/>
              </w:rPr>
              <w:t xml:space="preserve"> (art. 59za ust. 1 ustawy o KSC)</w:t>
            </w:r>
            <w:r w:rsidR="00440049">
              <w:rPr>
                <w:rFonts w:ascii="Times New Roman" w:hAnsi="Times New Roman"/>
                <w:sz w:val="24"/>
                <w:szCs w:val="24"/>
              </w:rPr>
              <w:t xml:space="preserve">  i </w:t>
            </w:r>
            <w:r w:rsidR="00B52220">
              <w:rPr>
                <w:rFonts w:ascii="Times New Roman" w:hAnsi="Times New Roman"/>
                <w:sz w:val="24"/>
                <w:szCs w:val="24"/>
              </w:rPr>
              <w:t>„</w:t>
            </w:r>
            <w:r w:rsidR="00440049">
              <w:rPr>
                <w:rFonts w:ascii="Times New Roman" w:hAnsi="Times New Roman"/>
                <w:sz w:val="24"/>
                <w:szCs w:val="24"/>
              </w:rPr>
              <w:t xml:space="preserve">informują o prawie </w:t>
            </w:r>
            <w:r w:rsidR="00B52220">
              <w:rPr>
                <w:rFonts w:ascii="Times New Roman" w:hAnsi="Times New Roman"/>
                <w:sz w:val="24"/>
                <w:szCs w:val="24"/>
              </w:rPr>
              <w:t xml:space="preserve">do skierowania sprawy do sądu” (art. 59za ust. 4) ustawa powinna przesądzać </w:t>
            </w:r>
            <w:r w:rsidR="00EF21B7">
              <w:rPr>
                <w:rFonts w:ascii="Times New Roman" w:hAnsi="Times New Roman"/>
                <w:sz w:val="24"/>
                <w:szCs w:val="24"/>
              </w:rPr>
              <w:t>do jakiego sądu może być skierowana taka sprawa</w:t>
            </w:r>
            <w:r w:rsidR="0032289B">
              <w:rPr>
                <w:rFonts w:ascii="Times New Roman" w:hAnsi="Times New Roman"/>
                <w:sz w:val="24"/>
                <w:szCs w:val="24"/>
              </w:rPr>
              <w:t xml:space="preserve"> (powszechnego czy administracyjnego)</w:t>
            </w:r>
            <w:r w:rsidR="00EF21B7">
              <w:rPr>
                <w:rFonts w:ascii="Times New Roman" w:hAnsi="Times New Roman"/>
                <w:sz w:val="24"/>
                <w:szCs w:val="24"/>
              </w:rPr>
              <w:t xml:space="preserve">, a co a tym idzie w jakiej procedurze będzie rozpatrywana. </w:t>
            </w:r>
            <w:r w:rsidR="0032289B">
              <w:rPr>
                <w:rFonts w:ascii="Times New Roman" w:hAnsi="Times New Roman"/>
                <w:sz w:val="24"/>
                <w:szCs w:val="24"/>
              </w:rPr>
              <w:t>Procedurę adm</w:t>
            </w:r>
            <w:r w:rsidR="00547D78">
              <w:rPr>
                <w:rFonts w:ascii="Times New Roman" w:hAnsi="Times New Roman"/>
                <w:sz w:val="24"/>
                <w:szCs w:val="24"/>
              </w:rPr>
              <w:t xml:space="preserve">inistracyjną (zgodnie z ar. 59zc </w:t>
            </w:r>
            <w:r w:rsidR="0032289B">
              <w:rPr>
                <w:rFonts w:ascii="Times New Roman" w:hAnsi="Times New Roman"/>
                <w:sz w:val="24"/>
                <w:szCs w:val="24"/>
              </w:rPr>
              <w:t xml:space="preserve"> ustawy o KSC)</w:t>
            </w:r>
            <w:r w:rsidR="00547D78">
              <w:rPr>
                <w:rFonts w:ascii="Times New Roman" w:hAnsi="Times New Roman"/>
                <w:sz w:val="24"/>
                <w:szCs w:val="24"/>
              </w:rPr>
              <w:t xml:space="preserve"> stosuje się </w:t>
            </w:r>
            <w:r w:rsidR="00617448">
              <w:rPr>
                <w:rFonts w:ascii="Times New Roman" w:hAnsi="Times New Roman"/>
                <w:sz w:val="24"/>
                <w:szCs w:val="24"/>
              </w:rPr>
              <w:t xml:space="preserve">jedynie </w:t>
            </w:r>
            <w:r w:rsidR="00547D78">
              <w:rPr>
                <w:rFonts w:ascii="Times New Roman" w:hAnsi="Times New Roman"/>
                <w:sz w:val="24"/>
                <w:szCs w:val="24"/>
              </w:rPr>
              <w:t>do skarg na jednostkę oceniającą zgodność kierowanych do ministra</w:t>
            </w:r>
            <w:r w:rsidR="00617448">
              <w:rPr>
                <w:rFonts w:ascii="Times New Roman" w:hAnsi="Times New Roman"/>
                <w:sz w:val="24"/>
                <w:szCs w:val="24"/>
              </w:rPr>
              <w:t xml:space="preserve"> właściwego do spraw informatyzacji</w:t>
            </w:r>
            <w:r w:rsidR="00547D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152" w:type="dxa"/>
            <w:shd w:val="clear" w:color="auto" w:fill="auto"/>
          </w:tcPr>
          <w:p w:rsidR="004551D7" w:rsidRDefault="00B946F1" w:rsidP="00651688">
            <w:pPr>
              <w:spacing w:line="276" w:lineRule="auto"/>
              <w:jc w:val="both"/>
            </w:pPr>
            <w:r>
              <w:lastRenderedPageBreak/>
              <w:t xml:space="preserve">Uzupełnienie regulacji o przepisy proceduralne dotyczące </w:t>
            </w:r>
            <w:r w:rsidR="00EB2438">
              <w:t xml:space="preserve">sposobu wnoszenia wniosku i sposobu dokonywania </w:t>
            </w:r>
            <w:r>
              <w:t xml:space="preserve">doręczeń lub o stosowne odesłanie. </w:t>
            </w:r>
          </w:p>
          <w:p w:rsidR="001D48E9" w:rsidRDefault="001D48E9" w:rsidP="00651688">
            <w:pPr>
              <w:spacing w:line="276" w:lineRule="auto"/>
              <w:jc w:val="both"/>
            </w:pPr>
            <w:r>
              <w:t xml:space="preserve">Analiza i ewentualne uzupełnienie upoważnienia ustawowego. </w:t>
            </w:r>
          </w:p>
          <w:p w:rsidR="003A7E5F" w:rsidRDefault="003A7E5F" w:rsidP="00651688">
            <w:pPr>
              <w:spacing w:line="276" w:lineRule="auto"/>
              <w:jc w:val="both"/>
            </w:pPr>
            <w:r>
              <w:lastRenderedPageBreak/>
              <w:t xml:space="preserve">Określenie sądu właściwego, procedury i trybu  </w:t>
            </w:r>
            <w:r w:rsidR="005F71B6">
              <w:t xml:space="preserve">rozpoznawania spraw związanych, ze skargami </w:t>
            </w:r>
            <w:r w:rsidR="005F71B6" w:rsidRPr="00440049">
              <w:t>o których mowa w art. 63 rozporządzenia 2019/881</w:t>
            </w:r>
            <w:r w:rsidR="003C48AA">
              <w:t>.</w:t>
            </w:r>
          </w:p>
        </w:tc>
      </w:tr>
      <w:tr w:rsidR="00547D78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547D78" w:rsidRPr="004D086F" w:rsidRDefault="00547D78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547D78" w:rsidRDefault="00547D78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547D78" w:rsidRDefault="003A7E5F" w:rsidP="00E17260">
            <w:pPr>
              <w:jc w:val="center"/>
            </w:pPr>
            <w:r>
              <w:t>Rozdział 11b. Operator sieci komunikacji strategicznej</w:t>
            </w:r>
          </w:p>
        </w:tc>
        <w:tc>
          <w:tcPr>
            <w:tcW w:w="6146" w:type="dxa"/>
            <w:shd w:val="clear" w:color="auto" w:fill="auto"/>
          </w:tcPr>
          <w:p w:rsidR="00547D78" w:rsidRPr="008416E0" w:rsidRDefault="001E0CB2" w:rsidP="003D0FE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6E0">
              <w:rPr>
                <w:rFonts w:ascii="Times New Roman" w:hAnsi="Times New Roman"/>
                <w:sz w:val="24"/>
                <w:szCs w:val="24"/>
              </w:rPr>
              <w:t xml:space="preserve">Szczegółowego uzasadnienia </w:t>
            </w:r>
            <w:r w:rsidR="0071692F" w:rsidRPr="008416E0">
              <w:rPr>
                <w:rFonts w:ascii="Times New Roman" w:hAnsi="Times New Roman"/>
                <w:sz w:val="24"/>
                <w:szCs w:val="24"/>
              </w:rPr>
              <w:t xml:space="preserve">wymaga umieszczenie regulacji dotyczących operatora sieci komunikacji strategicznej w ustawie </w:t>
            </w:r>
            <w:r w:rsidRPr="008416E0">
              <w:rPr>
                <w:rFonts w:ascii="Times New Roman" w:hAnsi="Times New Roman"/>
                <w:sz w:val="24"/>
                <w:szCs w:val="24"/>
              </w:rPr>
              <w:t xml:space="preserve">o krajowym systemie </w:t>
            </w:r>
            <w:proofErr w:type="spellStart"/>
            <w:r w:rsidRPr="008416E0">
              <w:rPr>
                <w:rFonts w:ascii="Times New Roman" w:hAnsi="Times New Roman"/>
                <w:sz w:val="24"/>
                <w:szCs w:val="24"/>
              </w:rPr>
              <w:t>cybe</w:t>
            </w:r>
            <w:r w:rsidR="004E0BFB">
              <w:rPr>
                <w:rFonts w:ascii="Times New Roman" w:hAnsi="Times New Roman"/>
                <w:sz w:val="24"/>
                <w:szCs w:val="24"/>
              </w:rPr>
              <w:t>rbezpieczeństwa</w:t>
            </w:r>
            <w:proofErr w:type="spellEnd"/>
            <w:r w:rsidR="004E0BFB">
              <w:rPr>
                <w:rFonts w:ascii="Times New Roman" w:hAnsi="Times New Roman"/>
                <w:sz w:val="24"/>
                <w:szCs w:val="24"/>
              </w:rPr>
              <w:t>, nie natomiast</w:t>
            </w:r>
            <w:r w:rsidR="006470FD" w:rsidRPr="008416E0">
              <w:rPr>
                <w:rFonts w:ascii="Times New Roman" w:hAnsi="Times New Roman"/>
                <w:sz w:val="24"/>
                <w:szCs w:val="24"/>
              </w:rPr>
              <w:t xml:space="preserve"> w ustawie</w:t>
            </w:r>
            <w:r w:rsidRPr="008416E0">
              <w:rPr>
                <w:rFonts w:ascii="Times New Roman" w:hAnsi="Times New Roman"/>
                <w:sz w:val="24"/>
                <w:szCs w:val="24"/>
              </w:rPr>
              <w:t xml:space="preserve"> – Prawo telekomunikacyjnej lub ustawie o zarządzaniu kryzysowym. </w:t>
            </w:r>
            <w:r w:rsidR="003A7E5F" w:rsidRPr="008416E0">
              <w:rPr>
                <w:rFonts w:ascii="Times New Roman" w:hAnsi="Times New Roman"/>
                <w:sz w:val="24"/>
                <w:szCs w:val="24"/>
              </w:rPr>
              <w:t>Art.</w:t>
            </w:r>
            <w:r w:rsidR="00C759B0" w:rsidRPr="008416E0">
              <w:rPr>
                <w:rFonts w:ascii="Times New Roman" w:hAnsi="Times New Roman"/>
                <w:sz w:val="24"/>
                <w:szCs w:val="24"/>
              </w:rPr>
              <w:t xml:space="preserve"> 59</w:t>
            </w:r>
            <w:r w:rsidR="005F71B6" w:rsidRPr="008416E0">
              <w:rPr>
                <w:rFonts w:ascii="Times New Roman" w:hAnsi="Times New Roman"/>
                <w:sz w:val="24"/>
                <w:szCs w:val="24"/>
              </w:rPr>
              <w:t xml:space="preserve">zd ustawy o KSC </w:t>
            </w:r>
            <w:r w:rsidR="00A538C6" w:rsidRPr="008416E0">
              <w:rPr>
                <w:rFonts w:ascii="Times New Roman" w:hAnsi="Times New Roman"/>
                <w:sz w:val="24"/>
                <w:szCs w:val="24"/>
              </w:rPr>
              <w:t xml:space="preserve">wskazuje, że zadania operatora sieci </w:t>
            </w:r>
            <w:r w:rsidR="00A538C6" w:rsidRPr="008416E0">
              <w:rPr>
                <w:rFonts w:ascii="Times New Roman" w:hAnsi="Times New Roman"/>
                <w:sz w:val="24"/>
                <w:szCs w:val="24"/>
              </w:rPr>
              <w:lastRenderedPageBreak/>
              <w:t>komunikacji strategicznej odnoszą się do „(…) zapewnienia realizacji zadań na rzecz obronności, bezpieczeństwa państwa oraz bezpieczeństwa i porządku publicz</w:t>
            </w:r>
            <w:r w:rsidR="008831D9" w:rsidRPr="008416E0">
              <w:rPr>
                <w:rFonts w:ascii="Times New Roman" w:hAnsi="Times New Roman"/>
                <w:sz w:val="24"/>
                <w:szCs w:val="24"/>
              </w:rPr>
              <w:t>nego w zakresie telekomunikacji</w:t>
            </w:r>
            <w:r w:rsidR="00A538C6" w:rsidRPr="008416E0">
              <w:rPr>
                <w:rFonts w:ascii="Times New Roman" w:hAnsi="Times New Roman"/>
                <w:sz w:val="24"/>
                <w:szCs w:val="24"/>
              </w:rPr>
              <w:t>”.</w:t>
            </w:r>
            <w:r w:rsidR="00C72322" w:rsidRPr="008416E0">
              <w:rPr>
                <w:rFonts w:ascii="Times New Roman" w:hAnsi="Times New Roman"/>
                <w:sz w:val="24"/>
                <w:szCs w:val="24"/>
              </w:rPr>
              <w:t xml:space="preserve"> Nie dotyczą zatem zadań z zakresu krajowego systemu </w:t>
            </w:r>
            <w:proofErr w:type="spellStart"/>
            <w:r w:rsidR="00C72322" w:rsidRPr="008416E0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C72322" w:rsidRPr="008416E0">
              <w:rPr>
                <w:rFonts w:ascii="Times New Roman" w:hAnsi="Times New Roman"/>
                <w:sz w:val="24"/>
                <w:szCs w:val="24"/>
              </w:rPr>
              <w:t>.</w:t>
            </w:r>
            <w:r w:rsidR="00A538C6" w:rsidRPr="008416E0">
              <w:rPr>
                <w:rFonts w:ascii="Times New Roman" w:hAnsi="Times New Roman"/>
                <w:sz w:val="24"/>
                <w:szCs w:val="24"/>
              </w:rPr>
              <w:t xml:space="preserve"> Nie kwestionując związku funkcjonalnego pomiędzy zapewnienie</w:t>
            </w:r>
            <w:r w:rsidR="008831D9" w:rsidRPr="008416E0">
              <w:rPr>
                <w:rFonts w:ascii="Times New Roman" w:hAnsi="Times New Roman"/>
                <w:sz w:val="24"/>
                <w:szCs w:val="24"/>
              </w:rPr>
              <w:t>m</w:t>
            </w:r>
            <w:r w:rsidR="00A538C6" w:rsidRPr="008416E0">
              <w:rPr>
                <w:rFonts w:ascii="Times New Roman" w:hAnsi="Times New Roman"/>
                <w:sz w:val="24"/>
                <w:szCs w:val="24"/>
              </w:rPr>
              <w:t xml:space="preserve"> bezpieczeństwa sieci telekomunikacyjnej a wykonywaniem zadań dotyczących </w:t>
            </w:r>
            <w:proofErr w:type="spellStart"/>
            <w:r w:rsidR="00A538C6" w:rsidRPr="008416E0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FF07DD" w:rsidRPr="008416E0">
              <w:rPr>
                <w:rFonts w:ascii="Times New Roman" w:hAnsi="Times New Roman"/>
                <w:sz w:val="24"/>
                <w:szCs w:val="24"/>
              </w:rPr>
              <w:t xml:space="preserve"> przepisy ustawy powin</w:t>
            </w:r>
            <w:r w:rsidR="003D0FEE" w:rsidRPr="008416E0">
              <w:rPr>
                <w:rFonts w:ascii="Times New Roman" w:hAnsi="Times New Roman"/>
                <w:sz w:val="24"/>
                <w:szCs w:val="24"/>
              </w:rPr>
              <w:t>ny wskazywać jakie</w:t>
            </w:r>
            <w:r w:rsidR="00FF07DD" w:rsidRPr="008416E0">
              <w:rPr>
                <w:rFonts w:ascii="Times New Roman" w:hAnsi="Times New Roman"/>
                <w:sz w:val="24"/>
                <w:szCs w:val="24"/>
              </w:rPr>
              <w:t xml:space="preserve"> zadania </w:t>
            </w:r>
            <w:r w:rsidR="00BC7E6B" w:rsidRPr="008416E0">
              <w:rPr>
                <w:rFonts w:ascii="Times New Roman" w:hAnsi="Times New Roman"/>
                <w:sz w:val="24"/>
                <w:szCs w:val="24"/>
              </w:rPr>
              <w:t>z zakresu krajow</w:t>
            </w:r>
            <w:r w:rsidR="003D0FEE" w:rsidRPr="008416E0">
              <w:rPr>
                <w:rFonts w:ascii="Times New Roman" w:hAnsi="Times New Roman"/>
                <w:sz w:val="24"/>
                <w:szCs w:val="24"/>
              </w:rPr>
              <w:t xml:space="preserve">ego systemu </w:t>
            </w:r>
            <w:proofErr w:type="spellStart"/>
            <w:r w:rsidR="003D0FEE" w:rsidRPr="008416E0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3D0FEE" w:rsidRPr="008416E0">
              <w:rPr>
                <w:rFonts w:ascii="Times New Roman" w:hAnsi="Times New Roman"/>
                <w:sz w:val="24"/>
                <w:szCs w:val="24"/>
              </w:rPr>
              <w:t xml:space="preserve"> wykonuje operator sieci </w:t>
            </w:r>
            <w:r w:rsidR="00C105A2" w:rsidRPr="008416E0">
              <w:rPr>
                <w:rFonts w:ascii="Times New Roman" w:hAnsi="Times New Roman"/>
                <w:sz w:val="24"/>
                <w:szCs w:val="24"/>
              </w:rPr>
              <w:t>strategicznej. Należy również zauważyć, że zgodnie z art. 2 ust. 2 pkt 1 ustawy o KSC nie stosuje się do przedsiębiorców telekomunikacyjnych w zakresie wymogów bezpieczeństwa i zgłaszania incydentów</w:t>
            </w:r>
            <w:r w:rsidR="00725CAA" w:rsidRPr="008416E0">
              <w:rPr>
                <w:rFonts w:ascii="Times New Roman" w:hAnsi="Times New Roman"/>
                <w:sz w:val="24"/>
                <w:szCs w:val="24"/>
              </w:rPr>
              <w:t>, zaś operator sieci strategicznej zgodnie z projektowanymi przepisami jest</w:t>
            </w:r>
            <w:r w:rsidR="000B0C68" w:rsidRPr="008416E0">
              <w:rPr>
                <w:rFonts w:ascii="Times New Roman" w:hAnsi="Times New Roman"/>
                <w:sz w:val="24"/>
                <w:szCs w:val="24"/>
              </w:rPr>
              <w:t xml:space="preserve"> przedsiębiorcą telekomunikacyjnym. </w:t>
            </w:r>
            <w:r w:rsidR="00C105A2" w:rsidRPr="008416E0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="004E7732" w:rsidRPr="008416E0">
              <w:rPr>
                <w:rFonts w:ascii="Times New Roman" w:hAnsi="Times New Roman"/>
                <w:sz w:val="24"/>
                <w:szCs w:val="24"/>
              </w:rPr>
              <w:t xml:space="preserve">desłania do przepisów Prawa telekomunikacyjnego (np.: </w:t>
            </w:r>
            <w:r w:rsidR="00BC7E6B" w:rsidRPr="008416E0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4E7732" w:rsidRPr="008416E0">
              <w:rPr>
                <w:rFonts w:ascii="Times New Roman" w:hAnsi="Times New Roman"/>
                <w:sz w:val="24"/>
                <w:szCs w:val="24"/>
              </w:rPr>
              <w:t>projektowany</w:t>
            </w:r>
            <w:r w:rsidR="00BC7E6B" w:rsidRPr="008416E0">
              <w:rPr>
                <w:rFonts w:ascii="Times New Roman" w:hAnsi="Times New Roman"/>
                <w:sz w:val="24"/>
                <w:szCs w:val="24"/>
              </w:rPr>
              <w:t>m</w:t>
            </w:r>
            <w:r w:rsidR="004E7732" w:rsidRPr="008416E0">
              <w:rPr>
                <w:rFonts w:ascii="Times New Roman" w:hAnsi="Times New Roman"/>
                <w:sz w:val="24"/>
                <w:szCs w:val="24"/>
              </w:rPr>
              <w:t xml:space="preserve"> art. 59ze) oraz wskazanie, że w razie </w:t>
            </w:r>
            <w:proofErr w:type="spellStart"/>
            <w:r w:rsidR="004E7732" w:rsidRPr="008416E0">
              <w:rPr>
                <w:rFonts w:ascii="Times New Roman" w:hAnsi="Times New Roman"/>
                <w:sz w:val="24"/>
                <w:szCs w:val="24"/>
              </w:rPr>
              <w:t>niezawarcia</w:t>
            </w:r>
            <w:proofErr w:type="spellEnd"/>
            <w:r w:rsidR="004E7732" w:rsidRPr="008416E0">
              <w:rPr>
                <w:rFonts w:ascii="Times New Roman" w:hAnsi="Times New Roman"/>
                <w:sz w:val="24"/>
                <w:szCs w:val="24"/>
              </w:rPr>
              <w:t xml:space="preserve"> umowy</w:t>
            </w:r>
            <w:r w:rsidR="008F18EE" w:rsidRPr="008416E0">
              <w:rPr>
                <w:rFonts w:ascii="Times New Roman" w:hAnsi="Times New Roman"/>
                <w:sz w:val="24"/>
                <w:szCs w:val="24"/>
              </w:rPr>
              <w:t xml:space="preserve"> o dostęp do sieci telekomunikacyjnej</w:t>
            </w:r>
            <w:r w:rsidR="004E7732" w:rsidRPr="008416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360" w:rsidRPr="008416E0">
              <w:rPr>
                <w:rFonts w:ascii="Times New Roman" w:hAnsi="Times New Roman"/>
                <w:sz w:val="24"/>
                <w:szCs w:val="24"/>
              </w:rPr>
              <w:t xml:space="preserve">przez operatora telekomunikacyjnego </w:t>
            </w:r>
            <w:r w:rsidR="008F18EE" w:rsidRPr="008416E0">
              <w:rPr>
                <w:rFonts w:ascii="Times New Roman" w:hAnsi="Times New Roman"/>
                <w:sz w:val="24"/>
                <w:szCs w:val="24"/>
              </w:rPr>
              <w:t>P</w:t>
            </w:r>
            <w:r w:rsidR="00D70360" w:rsidRPr="008416E0">
              <w:rPr>
                <w:rFonts w:ascii="Times New Roman" w:hAnsi="Times New Roman"/>
                <w:sz w:val="24"/>
                <w:szCs w:val="24"/>
              </w:rPr>
              <w:t>rezes UKE wydaje decyzję</w:t>
            </w:r>
            <w:r w:rsidR="008831D9" w:rsidRPr="008416E0">
              <w:rPr>
                <w:rFonts w:ascii="Times New Roman" w:hAnsi="Times New Roman"/>
                <w:sz w:val="24"/>
                <w:szCs w:val="24"/>
              </w:rPr>
              <w:t xml:space="preserve"> w tym zakresie,</w:t>
            </w:r>
            <w:r w:rsidR="000B0C68" w:rsidRPr="008416E0">
              <w:rPr>
                <w:rFonts w:ascii="Times New Roman" w:hAnsi="Times New Roman"/>
                <w:sz w:val="24"/>
                <w:szCs w:val="24"/>
              </w:rPr>
              <w:t xml:space="preserve"> wskazują</w:t>
            </w:r>
            <w:r w:rsidR="00D70360" w:rsidRPr="008416E0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="008F18EE" w:rsidRPr="008416E0">
              <w:rPr>
                <w:rFonts w:ascii="Times New Roman" w:hAnsi="Times New Roman"/>
                <w:sz w:val="24"/>
                <w:szCs w:val="24"/>
              </w:rPr>
              <w:t>przepisy te należy wiązać z wykonywaniem zadań na rzecz obronności i bezpieczeństwa państwa przez operatorów telekomunikacyjnych</w:t>
            </w:r>
            <w:r w:rsidR="00594412" w:rsidRPr="008416E0">
              <w:rPr>
                <w:rFonts w:ascii="Times New Roman" w:hAnsi="Times New Roman"/>
                <w:sz w:val="24"/>
                <w:szCs w:val="24"/>
              </w:rPr>
              <w:t>. Przepisy te regulował dotychczas dział VIII</w:t>
            </w:r>
            <w:r w:rsidR="00F86FB5" w:rsidRPr="008416E0">
              <w:rPr>
                <w:rFonts w:ascii="Times New Roman" w:hAnsi="Times New Roman"/>
                <w:sz w:val="24"/>
                <w:szCs w:val="24"/>
              </w:rPr>
              <w:t xml:space="preserve"> ustawy z dnia 16 lipca 2004 r. – Prawo telekomunikacyjne pt.</w:t>
            </w:r>
            <w:r w:rsidR="00594412" w:rsidRPr="008416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FB5" w:rsidRPr="008416E0">
              <w:rPr>
                <w:rFonts w:ascii="Times New Roman" w:hAnsi="Times New Roman"/>
                <w:sz w:val="24"/>
                <w:szCs w:val="24"/>
              </w:rPr>
              <w:t>„</w:t>
            </w:r>
            <w:r w:rsidR="00594412" w:rsidRPr="008416E0">
              <w:rPr>
                <w:rFonts w:ascii="Times New Roman" w:hAnsi="Times New Roman"/>
                <w:sz w:val="24"/>
                <w:szCs w:val="24"/>
              </w:rPr>
              <w:t>Obowiązki na rzecz obronności, bezpieczeństwa państwa oraz bezpieczeństwa i porządku publicznego</w:t>
            </w:r>
            <w:r w:rsidR="00F86FB5" w:rsidRPr="008416E0">
              <w:rPr>
                <w:rFonts w:ascii="Times New Roman" w:hAnsi="Times New Roman"/>
                <w:sz w:val="24"/>
                <w:szCs w:val="24"/>
              </w:rPr>
              <w:t>”</w:t>
            </w:r>
            <w:r w:rsidR="00440E81" w:rsidRPr="008416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24681" w:rsidRPr="008416E0">
              <w:rPr>
                <w:rFonts w:ascii="Times New Roman" w:hAnsi="Times New Roman"/>
                <w:sz w:val="24"/>
                <w:szCs w:val="24"/>
              </w:rPr>
              <w:t xml:space="preserve">W projektowanych przepisach pojawiają się </w:t>
            </w:r>
            <w:r w:rsidR="00424681" w:rsidRPr="008416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także pojęcia i zadania dotyczące </w:t>
            </w:r>
            <w:r w:rsidR="00440E81" w:rsidRPr="008416E0">
              <w:rPr>
                <w:rFonts w:ascii="Times New Roman" w:hAnsi="Times New Roman"/>
                <w:sz w:val="24"/>
                <w:szCs w:val="24"/>
              </w:rPr>
              <w:t>„ zapewnieniem ciągłości funkcjonowania i odtwarzania infrastruktury krytycznej”</w:t>
            </w:r>
            <w:r w:rsidR="00424681" w:rsidRPr="008416E0">
              <w:rPr>
                <w:rFonts w:ascii="Times New Roman" w:hAnsi="Times New Roman"/>
                <w:sz w:val="24"/>
                <w:szCs w:val="24"/>
              </w:rPr>
              <w:t>, a zatem powiązane z</w:t>
            </w:r>
            <w:r w:rsidR="00DA3C10" w:rsidRPr="008416E0">
              <w:rPr>
                <w:rFonts w:ascii="Times New Roman" w:hAnsi="Times New Roman"/>
                <w:sz w:val="24"/>
                <w:szCs w:val="24"/>
              </w:rPr>
              <w:t> </w:t>
            </w:r>
            <w:r w:rsidR="00CA2E2F" w:rsidRPr="008416E0">
              <w:rPr>
                <w:rFonts w:ascii="Times New Roman" w:hAnsi="Times New Roman"/>
                <w:sz w:val="24"/>
                <w:szCs w:val="24"/>
              </w:rPr>
              <w:t>wykonywaniem zadań na podstawie  ustawy</w:t>
            </w:r>
            <w:r w:rsidR="00424681" w:rsidRPr="008416E0">
              <w:rPr>
                <w:rFonts w:ascii="Times New Roman" w:hAnsi="Times New Roman"/>
                <w:sz w:val="24"/>
                <w:szCs w:val="24"/>
              </w:rPr>
              <w:t xml:space="preserve"> z dnia 26 kwietnia 2007 r. o zarządzaniu kryzysowym. </w:t>
            </w:r>
            <w:r w:rsidR="006470FD" w:rsidRPr="008416E0">
              <w:rPr>
                <w:rFonts w:ascii="Times New Roman" w:hAnsi="Times New Roman"/>
                <w:sz w:val="24"/>
                <w:szCs w:val="24"/>
              </w:rPr>
              <w:t>Wymaga zatem</w:t>
            </w:r>
            <w:r w:rsidR="000B0C68" w:rsidRPr="008416E0">
              <w:rPr>
                <w:rFonts w:ascii="Times New Roman" w:hAnsi="Times New Roman"/>
                <w:sz w:val="24"/>
                <w:szCs w:val="24"/>
              </w:rPr>
              <w:t xml:space="preserve"> wyjaśnienia czy projektowane przepisy nie stanowią materii ustawy – Prawo telekomunikacyjnej lub ustawy o zarządzaniu kryzysowym. </w:t>
            </w:r>
          </w:p>
        </w:tc>
        <w:tc>
          <w:tcPr>
            <w:tcW w:w="4152" w:type="dxa"/>
            <w:shd w:val="clear" w:color="auto" w:fill="auto"/>
          </w:tcPr>
          <w:p w:rsidR="00547D78" w:rsidRDefault="00A76572" w:rsidP="008831D9">
            <w:pPr>
              <w:spacing w:line="276" w:lineRule="auto"/>
              <w:jc w:val="both"/>
            </w:pPr>
            <w:r>
              <w:lastRenderedPageBreak/>
              <w:t>Przedstawienie szczegółowego wyjaśnienia oraz p</w:t>
            </w:r>
            <w:r w:rsidR="008814F4">
              <w:t>owiązanie</w:t>
            </w:r>
            <w:r w:rsidR="008831D9">
              <w:t xml:space="preserve"> </w:t>
            </w:r>
            <w:r w:rsidR="008831D9" w:rsidRPr="008831D9">
              <w:t>regulacji zgodnie z jej zakresem przedmiotowym</w:t>
            </w:r>
            <w:r>
              <w:t>,</w:t>
            </w:r>
            <w:r w:rsidR="008814F4">
              <w:t xml:space="preserve"> na poziomie normatywnym</w:t>
            </w:r>
            <w:r>
              <w:t>,</w:t>
            </w:r>
            <w:r w:rsidR="008814F4">
              <w:t xml:space="preserve"> z wykonywaniem zadań z zakresu </w:t>
            </w:r>
            <w:proofErr w:type="spellStart"/>
            <w:r w:rsidR="008814F4">
              <w:t>cyberbezpieczeństwa</w:t>
            </w:r>
            <w:proofErr w:type="spellEnd"/>
            <w:r w:rsidR="008814F4">
              <w:t xml:space="preserve">. </w:t>
            </w:r>
          </w:p>
        </w:tc>
      </w:tr>
      <w:tr w:rsidR="00CA2E2F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CA2E2F" w:rsidRPr="004D086F" w:rsidRDefault="00CA2E2F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CA2E2F" w:rsidRDefault="00CA2E2F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CA2E2F" w:rsidRDefault="00CA2E2F" w:rsidP="00E86394">
            <w:pPr>
              <w:jc w:val="center"/>
            </w:pPr>
            <w:r>
              <w:t>Art. 62a ustawy o KSC</w:t>
            </w:r>
          </w:p>
        </w:tc>
        <w:tc>
          <w:tcPr>
            <w:tcW w:w="6146" w:type="dxa"/>
            <w:shd w:val="clear" w:color="auto" w:fill="auto"/>
          </w:tcPr>
          <w:p w:rsidR="00CA2E2F" w:rsidRDefault="00CA2E2F" w:rsidP="001E6E06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Przepisy dotyczące przyznawania dodatkowego wynagrodzenia dla osób zatrudnionych przy wykonywaniu zadań dotyczących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wymagaj</w:t>
            </w:r>
            <w:r w:rsidR="007B5092">
              <w:rPr>
                <w:rFonts w:ascii="Times New Roman" w:hAnsi="Times New Roman"/>
                <w:sz w:val="24"/>
                <w:szCs w:val="24"/>
              </w:rPr>
              <w:t>ą korekty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E6E06">
              <w:rPr>
                <w:rFonts w:ascii="Times New Roman" w:hAnsi="Times New Roman"/>
                <w:sz w:val="24"/>
                <w:szCs w:val="24"/>
              </w:rPr>
              <w:t>Z przepisów nie wynika, czy dodatkowe wynagrodzenie ma charakter jednorazowy, stanowi dodatek do wynagrodzenia zasadniczego, stanowi dodatek za wykonywanie konkretnego zadania czy ma charakter stały</w:t>
            </w:r>
            <w:r w:rsidR="003F44CC">
              <w:rPr>
                <w:rFonts w:ascii="Times New Roman" w:hAnsi="Times New Roman"/>
                <w:sz w:val="24"/>
                <w:szCs w:val="24"/>
              </w:rPr>
              <w:t>, wypłacany miesięcznie</w:t>
            </w:r>
            <w:r w:rsidR="007B5092">
              <w:rPr>
                <w:rFonts w:ascii="Times New Roman" w:hAnsi="Times New Roman"/>
                <w:sz w:val="24"/>
                <w:szCs w:val="24"/>
              </w:rPr>
              <w:t>? Budzi wątpliwości umieszczenie tej regulacji</w:t>
            </w:r>
            <w:r w:rsidR="00565A6C">
              <w:rPr>
                <w:rFonts w:ascii="Times New Roman" w:hAnsi="Times New Roman"/>
                <w:sz w:val="24"/>
                <w:szCs w:val="24"/>
              </w:rPr>
              <w:t xml:space="preserve"> w przepisach ustawy o krajowym systemie </w:t>
            </w:r>
            <w:proofErr w:type="spellStart"/>
            <w:r w:rsidR="00565A6C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565A6C">
              <w:rPr>
                <w:rFonts w:ascii="Times New Roman" w:hAnsi="Times New Roman"/>
                <w:sz w:val="24"/>
                <w:szCs w:val="24"/>
              </w:rPr>
              <w:t xml:space="preserve">, bez odniesienia zasad i trybu przyznawania tego wynagrodzenia </w:t>
            </w:r>
            <w:r w:rsidR="00576604">
              <w:rPr>
                <w:rFonts w:ascii="Times New Roman" w:hAnsi="Times New Roman"/>
                <w:sz w:val="24"/>
                <w:szCs w:val="24"/>
              </w:rPr>
              <w:t xml:space="preserve">w przepisach </w:t>
            </w:r>
            <w:r w:rsidR="00565A6C">
              <w:rPr>
                <w:rFonts w:ascii="Times New Roman" w:hAnsi="Times New Roman"/>
                <w:sz w:val="24"/>
                <w:szCs w:val="24"/>
              </w:rPr>
              <w:t>stanowiących podstawę wynagradzania dla osób zatrudnionych</w:t>
            </w:r>
            <w:r w:rsidR="00295D96">
              <w:rPr>
                <w:rFonts w:ascii="Times New Roman" w:hAnsi="Times New Roman"/>
                <w:sz w:val="24"/>
                <w:szCs w:val="24"/>
              </w:rPr>
              <w:t xml:space="preserve"> w tych podmiotach</w:t>
            </w:r>
            <w:r w:rsidR="00565A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400B3">
              <w:rPr>
                <w:rFonts w:ascii="Times New Roman" w:hAnsi="Times New Roman"/>
                <w:sz w:val="24"/>
                <w:szCs w:val="24"/>
              </w:rPr>
              <w:t>M</w:t>
            </w:r>
            <w:r w:rsidR="004D10DE">
              <w:rPr>
                <w:rFonts w:ascii="Times New Roman" w:hAnsi="Times New Roman"/>
                <w:sz w:val="24"/>
                <w:szCs w:val="24"/>
              </w:rPr>
              <w:t>oże to rodzić trudności w ich stosowaniu</w:t>
            </w:r>
            <w:r w:rsidR="003400B3">
              <w:rPr>
                <w:rFonts w:ascii="Times New Roman" w:hAnsi="Times New Roman"/>
                <w:sz w:val="24"/>
                <w:szCs w:val="24"/>
              </w:rPr>
              <w:t xml:space="preserve">, gdyż na podstawie projektowanego </w:t>
            </w:r>
            <w:r w:rsidR="003F44CC">
              <w:rPr>
                <w:rFonts w:ascii="Times New Roman" w:hAnsi="Times New Roman"/>
                <w:sz w:val="24"/>
                <w:szCs w:val="24"/>
              </w:rPr>
              <w:t>aktu nie można przesądzić czy podstawą do wypłaty dodatkowych środków będzie zawierana dodatkowo umowa (nie przesądzając o dopus</w:t>
            </w:r>
            <w:r w:rsidR="000067A7">
              <w:rPr>
                <w:rFonts w:ascii="Times New Roman" w:hAnsi="Times New Roman"/>
                <w:sz w:val="24"/>
                <w:szCs w:val="24"/>
              </w:rPr>
              <w:t>zczalności jej zawarcia w </w:t>
            </w:r>
            <w:r w:rsidR="003F44CC">
              <w:rPr>
                <w:rFonts w:ascii="Times New Roman" w:hAnsi="Times New Roman"/>
                <w:sz w:val="24"/>
                <w:szCs w:val="24"/>
              </w:rPr>
              <w:t>poszczególnych podmiotach)</w:t>
            </w:r>
            <w:r w:rsidR="00542593">
              <w:rPr>
                <w:rFonts w:ascii="Times New Roman" w:hAnsi="Times New Roman"/>
                <w:sz w:val="24"/>
                <w:szCs w:val="24"/>
              </w:rPr>
              <w:t>, fakt wykonywania zadań</w:t>
            </w:r>
            <w:r w:rsidR="004D10DE">
              <w:rPr>
                <w:rFonts w:ascii="Times New Roman" w:hAnsi="Times New Roman"/>
                <w:sz w:val="24"/>
                <w:szCs w:val="24"/>
              </w:rPr>
              <w:t xml:space="preserve">, wydane polecenie w tym zakresie czy sam fakt zajmowania stanowiska związanego z </w:t>
            </w:r>
            <w:proofErr w:type="spellStart"/>
            <w:r w:rsidR="004D10DE">
              <w:rPr>
                <w:rFonts w:ascii="Times New Roman" w:hAnsi="Times New Roman"/>
                <w:sz w:val="24"/>
                <w:szCs w:val="24"/>
              </w:rPr>
              <w:t>cyberbezpieczeństwem</w:t>
            </w:r>
            <w:proofErr w:type="spellEnd"/>
            <w:r w:rsidR="00C30F45">
              <w:rPr>
                <w:rFonts w:ascii="Times New Roman" w:hAnsi="Times New Roman"/>
                <w:sz w:val="24"/>
                <w:szCs w:val="24"/>
              </w:rPr>
              <w:t>?</w:t>
            </w:r>
            <w:r w:rsidR="00295D96">
              <w:rPr>
                <w:rFonts w:ascii="Times New Roman" w:hAnsi="Times New Roman"/>
                <w:sz w:val="24"/>
                <w:szCs w:val="24"/>
              </w:rPr>
              <w:t xml:space="preserve"> Podobnie nie został przesądzony charakter tego świadczenia z punktu widzenia przepisów dotyczących ubezpieczenia społecznego</w:t>
            </w:r>
            <w:r w:rsidR="000067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67A7">
              <w:rPr>
                <w:rFonts w:ascii="Times New Roman" w:hAnsi="Times New Roman"/>
                <w:sz w:val="24"/>
                <w:szCs w:val="24"/>
              </w:rPr>
              <w:lastRenderedPageBreak/>
              <w:t>oraz pobierania zaliczki na podatek dochodowy</w:t>
            </w:r>
            <w:r w:rsidR="00DA3C10">
              <w:rPr>
                <w:rFonts w:ascii="Times New Roman" w:hAnsi="Times New Roman"/>
                <w:sz w:val="24"/>
                <w:szCs w:val="24"/>
              </w:rPr>
              <w:t xml:space="preserve"> czy wliczania ich wysokości do obliczania innych świadczeń pracowniczych, zależnych od średniego wynagrodzenia w danym okresie (np.: dodatkowe wynagrodzenie roczne)</w:t>
            </w:r>
            <w:r w:rsidR="00295D96">
              <w:rPr>
                <w:rFonts w:ascii="Times New Roman" w:hAnsi="Times New Roman"/>
                <w:sz w:val="24"/>
                <w:szCs w:val="24"/>
              </w:rPr>
              <w:t>.</w:t>
            </w:r>
            <w:r w:rsidR="003A2F85">
              <w:rPr>
                <w:rFonts w:ascii="Times New Roman" w:hAnsi="Times New Roman"/>
                <w:sz w:val="24"/>
                <w:szCs w:val="24"/>
              </w:rPr>
              <w:t xml:space="preserve"> Kwestie te mogą wymagać odrębnego uregulowania w przypadku każdego pracodawcy, należy zatem powiązać te regulacje z przepisami dotyczącymi zasad zatrudniania i wynagradzania w tych jednostkach.  </w:t>
            </w:r>
          </w:p>
          <w:p w:rsidR="00542593" w:rsidRPr="00A538C6" w:rsidRDefault="00542593" w:rsidP="00A25201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Ponadto budzi wątpliwości wskazanie w normie ustawowej liczby osób, którym takie doda</w:t>
            </w:r>
            <w:r w:rsidR="004C0DA6">
              <w:rPr>
                <w:rFonts w:ascii="Times New Roman" w:hAnsi="Times New Roman"/>
                <w:sz w:val="24"/>
                <w:szCs w:val="24"/>
              </w:rPr>
              <w:t>tkowe wynagrodzenie przysługuje</w:t>
            </w:r>
            <w:r w:rsidR="00474E32">
              <w:rPr>
                <w:rFonts w:ascii="Times New Roman" w:hAnsi="Times New Roman"/>
                <w:sz w:val="24"/>
                <w:szCs w:val="24"/>
              </w:rPr>
              <w:t>. N</w:t>
            </w:r>
            <w:r w:rsidR="004C0DA6">
              <w:rPr>
                <w:rFonts w:ascii="Times New Roman" w:hAnsi="Times New Roman"/>
                <w:sz w:val="24"/>
                <w:szCs w:val="24"/>
              </w:rPr>
              <w:t xml:space="preserve">ie wskazano jak ten </w:t>
            </w:r>
            <w:r w:rsidR="00474E32">
              <w:rPr>
                <w:rFonts w:ascii="Times New Roman" w:hAnsi="Times New Roman"/>
                <w:sz w:val="24"/>
                <w:szCs w:val="24"/>
              </w:rPr>
              <w:t>limit</w:t>
            </w:r>
            <w:r w:rsidR="004C0DA6">
              <w:rPr>
                <w:rFonts w:ascii="Times New Roman" w:hAnsi="Times New Roman"/>
                <w:sz w:val="24"/>
                <w:szCs w:val="24"/>
              </w:rPr>
              <w:t xml:space="preserve"> przełoży się na możliwość przyznawania wynagrodzenia i finansowania</w:t>
            </w:r>
            <w:r w:rsidR="00690F24">
              <w:rPr>
                <w:rFonts w:ascii="Times New Roman" w:hAnsi="Times New Roman"/>
                <w:sz w:val="24"/>
                <w:szCs w:val="24"/>
              </w:rPr>
              <w:t xml:space="preserve"> w poszczególnych podmiotach:</w:t>
            </w:r>
            <w:r w:rsidR="004C0DA6">
              <w:rPr>
                <w:rFonts w:ascii="Times New Roman" w:hAnsi="Times New Roman"/>
                <w:sz w:val="24"/>
                <w:szCs w:val="24"/>
              </w:rPr>
              <w:t xml:space="preserve"> CSIRT NASK, CSIRT MON,</w:t>
            </w:r>
            <w:r w:rsidR="004D10DE">
              <w:rPr>
                <w:rFonts w:ascii="Times New Roman" w:hAnsi="Times New Roman"/>
                <w:sz w:val="24"/>
                <w:szCs w:val="24"/>
              </w:rPr>
              <w:t xml:space="preserve"> ABW oraz </w:t>
            </w:r>
            <w:r w:rsidR="00690F24">
              <w:rPr>
                <w:rFonts w:ascii="Times New Roman" w:hAnsi="Times New Roman"/>
                <w:sz w:val="24"/>
                <w:szCs w:val="24"/>
              </w:rPr>
              <w:t>w urzędzie obsługującym</w:t>
            </w:r>
            <w:r w:rsidR="004D10D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4C0DA6">
              <w:rPr>
                <w:rFonts w:ascii="Times New Roman" w:hAnsi="Times New Roman"/>
                <w:sz w:val="24"/>
                <w:szCs w:val="24"/>
              </w:rPr>
              <w:t xml:space="preserve">ełnomocnika.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6394">
              <w:rPr>
                <w:rFonts w:ascii="Times New Roman" w:hAnsi="Times New Roman"/>
                <w:sz w:val="24"/>
                <w:szCs w:val="24"/>
              </w:rPr>
              <w:t>Normy ustawowe</w:t>
            </w:r>
            <w:r w:rsidR="00A252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6394">
              <w:rPr>
                <w:rFonts w:ascii="Times New Roman" w:hAnsi="Times New Roman"/>
                <w:sz w:val="24"/>
                <w:szCs w:val="24"/>
              </w:rPr>
              <w:t>powinny</w:t>
            </w:r>
            <w:r w:rsidR="006B70DF">
              <w:rPr>
                <w:rFonts w:ascii="Times New Roman" w:hAnsi="Times New Roman"/>
                <w:sz w:val="24"/>
                <w:szCs w:val="24"/>
              </w:rPr>
              <w:t xml:space="preserve"> w </w:t>
            </w:r>
            <w:r>
              <w:rPr>
                <w:rFonts w:ascii="Times New Roman" w:hAnsi="Times New Roman"/>
                <w:sz w:val="24"/>
                <w:szCs w:val="24"/>
              </w:rPr>
              <w:t>sposób abstrakcyjny i generalny ustalać warunki przyznawania takiego wynagrodzenia</w:t>
            </w:r>
            <w:r w:rsidR="00DE33E2">
              <w:rPr>
                <w:rFonts w:ascii="Times New Roman" w:hAnsi="Times New Roman"/>
                <w:sz w:val="24"/>
                <w:szCs w:val="24"/>
              </w:rPr>
              <w:t>, kwestie zaś limitowania środków i ich podziału na e</w:t>
            </w:r>
            <w:r w:rsidR="00A25201">
              <w:rPr>
                <w:rFonts w:ascii="Times New Roman" w:hAnsi="Times New Roman"/>
                <w:sz w:val="24"/>
                <w:szCs w:val="24"/>
              </w:rPr>
              <w:t>taty powinny zostać powiązane z</w:t>
            </w:r>
            <w:r w:rsidR="00DE33E2">
              <w:rPr>
                <w:rFonts w:ascii="Times New Roman" w:hAnsi="Times New Roman"/>
                <w:sz w:val="24"/>
                <w:szCs w:val="24"/>
              </w:rPr>
              <w:t xml:space="preserve"> zasadami finansowania poszczególnych jednostek</w:t>
            </w:r>
            <w:r w:rsidR="004D10DE">
              <w:rPr>
                <w:rFonts w:ascii="Times New Roman" w:hAnsi="Times New Roman"/>
                <w:sz w:val="24"/>
                <w:szCs w:val="24"/>
              </w:rPr>
              <w:t xml:space="preserve"> oraz obsadzania stanowisk w tych jednostkach</w:t>
            </w:r>
            <w:r w:rsidR="00A25201">
              <w:rPr>
                <w:rFonts w:ascii="Times New Roman" w:hAnsi="Times New Roman"/>
                <w:sz w:val="24"/>
                <w:szCs w:val="24"/>
              </w:rPr>
              <w:t>.</w:t>
            </w:r>
            <w:r w:rsidR="003A2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33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52" w:type="dxa"/>
            <w:shd w:val="clear" w:color="auto" w:fill="auto"/>
          </w:tcPr>
          <w:p w:rsidR="00CA2E2F" w:rsidRDefault="003400B3" w:rsidP="00651688">
            <w:pPr>
              <w:spacing w:line="276" w:lineRule="auto"/>
              <w:jc w:val="both"/>
            </w:pPr>
            <w:r>
              <w:lastRenderedPageBreak/>
              <w:t>Powiązanie</w:t>
            </w:r>
            <w:r w:rsidR="00576604">
              <w:t xml:space="preserve"> wynagrodzenia dodatkowego</w:t>
            </w:r>
            <w:r>
              <w:t xml:space="preserve"> z przepisami normującymi pierwotnie zasady zatrudnienia</w:t>
            </w:r>
            <w:r w:rsidR="00B05BA8">
              <w:t xml:space="preserve"> oraz przyjęcia do służby, a także</w:t>
            </w:r>
            <w:r>
              <w:t xml:space="preserve"> wynagradzania </w:t>
            </w:r>
            <w:r w:rsidR="00B05BA8">
              <w:t>osób zatrudnionych w CSIRT NASK, CSIRT MON i CSIRT GOV oraz urzędzie obsługującym Pełnomocnika</w:t>
            </w:r>
            <w:r w:rsidR="00576604">
              <w:t xml:space="preserve"> do wskazanych zadań</w:t>
            </w:r>
            <w:r w:rsidR="00B05BA8">
              <w:t xml:space="preserve">. </w:t>
            </w:r>
          </w:p>
        </w:tc>
      </w:tr>
      <w:tr w:rsidR="00E86394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E86394" w:rsidRPr="004D086F" w:rsidRDefault="00E86394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E86394" w:rsidRDefault="00E86394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E86394" w:rsidRDefault="00E86394" w:rsidP="00E86394">
            <w:pPr>
              <w:jc w:val="center"/>
            </w:pPr>
            <w:r w:rsidRPr="00E86394">
              <w:t xml:space="preserve"> art. 62b</w:t>
            </w:r>
            <w:r>
              <w:t xml:space="preserve"> ustawy o KSC</w:t>
            </w:r>
          </w:p>
        </w:tc>
        <w:tc>
          <w:tcPr>
            <w:tcW w:w="6146" w:type="dxa"/>
            <w:shd w:val="clear" w:color="auto" w:fill="auto"/>
          </w:tcPr>
          <w:p w:rsidR="00E86394" w:rsidRDefault="00593051" w:rsidP="008831D9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Uregulowanie wskazujące, że w Dzienniku Urzędowym RP „Monitor Polski” zamieszczane są ogłoszenia zawierające odnośnik do strony internetowej zawierającej treść rekomendacji </w:t>
            </w:r>
            <w:r w:rsidR="006E72B1">
              <w:rPr>
                <w:rFonts w:ascii="Times New Roman" w:hAnsi="Times New Roman"/>
                <w:sz w:val="24"/>
                <w:szCs w:val="24"/>
              </w:rPr>
              <w:t xml:space="preserve">dotyczących </w:t>
            </w:r>
            <w:r w:rsidR="003C12BE">
              <w:rPr>
                <w:rFonts w:ascii="Times New Roman" w:hAnsi="Times New Roman"/>
                <w:sz w:val="24"/>
                <w:szCs w:val="24"/>
              </w:rPr>
              <w:t>„</w:t>
            </w:r>
            <w:r w:rsidR="006E72B1">
              <w:rPr>
                <w:rFonts w:ascii="Times New Roman" w:hAnsi="Times New Roman"/>
                <w:sz w:val="24"/>
                <w:szCs w:val="24"/>
              </w:rPr>
              <w:t xml:space="preserve">podejmowania środków technicznych i organizacyjnych mających na celu zwiększenie </w:t>
            </w:r>
            <w:proofErr w:type="spellStart"/>
            <w:r w:rsidR="006E72B1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3C12BE">
              <w:rPr>
                <w:rFonts w:ascii="Times New Roman" w:hAnsi="Times New Roman"/>
                <w:sz w:val="24"/>
                <w:szCs w:val="24"/>
              </w:rPr>
              <w:t>”</w:t>
            </w:r>
            <w:r w:rsidR="006E72B1">
              <w:rPr>
                <w:rFonts w:ascii="Times New Roman" w:hAnsi="Times New Roman"/>
                <w:sz w:val="24"/>
                <w:szCs w:val="24"/>
              </w:rPr>
              <w:t xml:space="preserve"> budzi wątpliwoś</w:t>
            </w:r>
            <w:r w:rsidR="003C12BE">
              <w:rPr>
                <w:rFonts w:ascii="Times New Roman" w:hAnsi="Times New Roman"/>
                <w:sz w:val="24"/>
                <w:szCs w:val="24"/>
              </w:rPr>
              <w:t>ci.</w:t>
            </w:r>
            <w:r w:rsidR="006E7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2BE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="006E72B1">
              <w:rPr>
                <w:rFonts w:ascii="Times New Roman" w:hAnsi="Times New Roman"/>
                <w:sz w:val="24"/>
                <w:szCs w:val="24"/>
              </w:rPr>
              <w:t xml:space="preserve">elem publikowania w dzienniku urzędowym jest </w:t>
            </w:r>
            <w:r w:rsidR="00D25BC9">
              <w:rPr>
                <w:rFonts w:ascii="Times New Roman" w:hAnsi="Times New Roman"/>
                <w:sz w:val="24"/>
                <w:szCs w:val="24"/>
              </w:rPr>
              <w:t>prakt</w:t>
            </w:r>
            <w:r w:rsidR="00DF0F40">
              <w:rPr>
                <w:rFonts w:ascii="Times New Roman" w:hAnsi="Times New Roman"/>
                <w:sz w:val="24"/>
                <w:szCs w:val="24"/>
              </w:rPr>
              <w:t xml:space="preserve">yczna realizacji </w:t>
            </w:r>
            <w:r w:rsidR="009D1A4D">
              <w:rPr>
                <w:rFonts w:ascii="Times New Roman" w:hAnsi="Times New Roman"/>
                <w:sz w:val="24"/>
                <w:szCs w:val="24"/>
              </w:rPr>
              <w:t xml:space="preserve">konstytucyjnej </w:t>
            </w:r>
            <w:r w:rsidR="00DF0F40">
              <w:rPr>
                <w:rFonts w:ascii="Times New Roman" w:hAnsi="Times New Roman"/>
                <w:sz w:val="24"/>
                <w:szCs w:val="24"/>
              </w:rPr>
              <w:t xml:space="preserve">zasady pewności prawa </w:t>
            </w:r>
            <w:r w:rsidR="009D1A4D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9D1A4D">
              <w:rPr>
                <w:rFonts w:ascii="Times New Roman" w:hAnsi="Times New Roman"/>
                <w:sz w:val="24"/>
                <w:szCs w:val="24"/>
              </w:rPr>
              <w:lastRenderedPageBreak/>
              <w:t>zaufania obywateli do państwa przez utrwalenie w sposób nie budzących wątpliwości treści aktów władzy publicznej.</w:t>
            </w:r>
            <w:r w:rsidR="007235DB">
              <w:rPr>
                <w:rFonts w:ascii="Times New Roman" w:hAnsi="Times New Roman"/>
                <w:sz w:val="24"/>
                <w:szCs w:val="24"/>
              </w:rPr>
              <w:t xml:space="preserve"> Mając na uwadze, że rekomendacje będą skierowane do podmiotów krajowego systemu </w:t>
            </w:r>
            <w:proofErr w:type="spellStart"/>
            <w:r w:rsidR="007235DB">
              <w:rPr>
                <w:rFonts w:ascii="Times New Roman" w:hAnsi="Times New Roman"/>
                <w:sz w:val="24"/>
                <w:szCs w:val="24"/>
              </w:rPr>
              <w:t>cyberbezpieczeństwa</w:t>
            </w:r>
            <w:proofErr w:type="spellEnd"/>
            <w:r w:rsidR="00523093">
              <w:rPr>
                <w:rFonts w:ascii="Times New Roman" w:hAnsi="Times New Roman"/>
                <w:sz w:val="24"/>
                <w:szCs w:val="24"/>
              </w:rPr>
              <w:t>, a </w:t>
            </w:r>
            <w:r w:rsidR="007235DB">
              <w:rPr>
                <w:rFonts w:ascii="Times New Roman" w:hAnsi="Times New Roman"/>
                <w:sz w:val="24"/>
                <w:szCs w:val="24"/>
              </w:rPr>
              <w:t>zatem również podmiotów które nie są podmiotam</w:t>
            </w:r>
            <w:r w:rsidR="0093131A">
              <w:rPr>
                <w:rFonts w:ascii="Times New Roman" w:hAnsi="Times New Roman"/>
                <w:sz w:val="24"/>
                <w:szCs w:val="24"/>
              </w:rPr>
              <w:t>i publicznymi (takich jak ISAC</w:t>
            </w:r>
            <w:r w:rsidR="00505651">
              <w:rPr>
                <w:rFonts w:ascii="Times New Roman" w:hAnsi="Times New Roman"/>
                <w:sz w:val="24"/>
                <w:szCs w:val="24"/>
              </w:rPr>
              <w:t xml:space="preserve"> czy SOC</w:t>
            </w:r>
            <w:r w:rsidR="0093131A">
              <w:rPr>
                <w:rFonts w:ascii="Times New Roman" w:hAnsi="Times New Roman"/>
                <w:sz w:val="24"/>
                <w:szCs w:val="24"/>
              </w:rPr>
              <w:t>)</w:t>
            </w:r>
            <w:r w:rsidR="007B6C77">
              <w:rPr>
                <w:rFonts w:ascii="Times New Roman" w:hAnsi="Times New Roman"/>
                <w:sz w:val="24"/>
                <w:szCs w:val="24"/>
              </w:rPr>
              <w:t>,</w:t>
            </w:r>
            <w:r w:rsidR="007235D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3131A">
              <w:rPr>
                <w:rFonts w:ascii="Times New Roman" w:hAnsi="Times New Roman"/>
                <w:sz w:val="24"/>
                <w:szCs w:val="24"/>
              </w:rPr>
              <w:t>z</w:t>
            </w:r>
            <w:r w:rsidR="009D1A4D">
              <w:rPr>
                <w:rFonts w:ascii="Times New Roman" w:hAnsi="Times New Roman"/>
                <w:sz w:val="24"/>
                <w:szCs w:val="24"/>
              </w:rPr>
              <w:t>amieszczenie ogłoszenia</w:t>
            </w:r>
            <w:r w:rsidR="00CB7772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D1A4D">
              <w:rPr>
                <w:rFonts w:ascii="Times New Roman" w:hAnsi="Times New Roman"/>
                <w:sz w:val="24"/>
                <w:szCs w:val="24"/>
              </w:rPr>
              <w:t xml:space="preserve"> od</w:t>
            </w:r>
            <w:r w:rsidR="0093131A">
              <w:rPr>
                <w:rFonts w:ascii="Times New Roman" w:hAnsi="Times New Roman"/>
                <w:sz w:val="24"/>
                <w:szCs w:val="24"/>
              </w:rPr>
              <w:t>nośnik</w:t>
            </w:r>
            <w:r w:rsidR="00CB7772">
              <w:rPr>
                <w:rFonts w:ascii="Times New Roman" w:hAnsi="Times New Roman"/>
                <w:sz w:val="24"/>
                <w:szCs w:val="24"/>
              </w:rPr>
              <w:t>iem</w:t>
            </w:r>
            <w:r w:rsidR="0093131A">
              <w:rPr>
                <w:rFonts w:ascii="Times New Roman" w:hAnsi="Times New Roman"/>
                <w:sz w:val="24"/>
                <w:szCs w:val="24"/>
              </w:rPr>
              <w:t xml:space="preserve"> do strony internetowej</w:t>
            </w:r>
            <w:r w:rsidR="00505651">
              <w:rPr>
                <w:rFonts w:ascii="Times New Roman" w:hAnsi="Times New Roman"/>
                <w:sz w:val="24"/>
                <w:szCs w:val="24"/>
              </w:rPr>
              <w:t>, która będzie zawierała treść rekomendacji wydaje się nie realizować ww. celu publikacji.</w:t>
            </w:r>
            <w:r w:rsidR="00D14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018A">
              <w:rPr>
                <w:rFonts w:ascii="Times New Roman" w:hAnsi="Times New Roman"/>
                <w:sz w:val="24"/>
                <w:szCs w:val="24"/>
              </w:rPr>
              <w:t>Należy podnieść, że t</w:t>
            </w:r>
            <w:r w:rsidR="00D14AC2">
              <w:rPr>
                <w:rFonts w:ascii="Times New Roman" w:hAnsi="Times New Roman"/>
                <w:sz w:val="24"/>
                <w:szCs w:val="24"/>
              </w:rPr>
              <w:t xml:space="preserve">reść </w:t>
            </w:r>
            <w:r w:rsidR="00AE018A">
              <w:rPr>
                <w:rFonts w:ascii="Times New Roman" w:hAnsi="Times New Roman"/>
                <w:sz w:val="24"/>
                <w:szCs w:val="24"/>
              </w:rPr>
              <w:t xml:space="preserve">publikacji </w:t>
            </w:r>
            <w:r w:rsidR="00D14AC2">
              <w:rPr>
                <w:rFonts w:ascii="Times New Roman" w:hAnsi="Times New Roman"/>
                <w:sz w:val="24"/>
                <w:szCs w:val="24"/>
              </w:rPr>
              <w:t xml:space="preserve">na stronie internetowej będzie mogła podlegać modyfikacjom niezależnie od </w:t>
            </w:r>
            <w:r w:rsidR="00F33E07">
              <w:rPr>
                <w:rFonts w:ascii="Times New Roman" w:hAnsi="Times New Roman"/>
                <w:sz w:val="24"/>
                <w:szCs w:val="24"/>
              </w:rPr>
              <w:t>opublikowania odnośnika</w:t>
            </w:r>
            <w:r w:rsidR="00FD2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C77">
              <w:rPr>
                <w:rFonts w:ascii="Times New Roman" w:hAnsi="Times New Roman"/>
                <w:sz w:val="24"/>
                <w:szCs w:val="24"/>
              </w:rPr>
              <w:t xml:space="preserve">do jej adresu </w:t>
            </w:r>
            <w:r w:rsidR="00FD26DE">
              <w:rPr>
                <w:rFonts w:ascii="Times New Roman" w:hAnsi="Times New Roman"/>
                <w:sz w:val="24"/>
                <w:szCs w:val="24"/>
              </w:rPr>
              <w:t>w Dzienniku Urzędowym RP „Monitor Polski”</w:t>
            </w:r>
            <w:r w:rsidR="00F33E07">
              <w:rPr>
                <w:rFonts w:ascii="Times New Roman" w:hAnsi="Times New Roman"/>
                <w:sz w:val="24"/>
                <w:szCs w:val="24"/>
              </w:rPr>
              <w:t>.</w:t>
            </w:r>
            <w:r w:rsidR="00980669">
              <w:rPr>
                <w:rFonts w:ascii="Times New Roman" w:hAnsi="Times New Roman"/>
                <w:sz w:val="24"/>
                <w:szCs w:val="24"/>
              </w:rPr>
              <w:t xml:space="preserve"> Na gruncie projektowanych przepisów</w:t>
            </w:r>
            <w:r w:rsidR="00F33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0669">
              <w:rPr>
                <w:rFonts w:ascii="Times New Roman" w:hAnsi="Times New Roman"/>
                <w:sz w:val="24"/>
                <w:szCs w:val="24"/>
              </w:rPr>
              <w:t>nie będzie</w:t>
            </w:r>
            <w:r w:rsidR="00AD6C3B">
              <w:rPr>
                <w:rFonts w:ascii="Times New Roman" w:hAnsi="Times New Roman"/>
                <w:sz w:val="24"/>
                <w:szCs w:val="24"/>
              </w:rPr>
              <w:t xml:space="preserve"> możliwe ustalenie</w:t>
            </w:r>
            <w:r w:rsidR="00523093">
              <w:rPr>
                <w:rFonts w:ascii="Times New Roman" w:hAnsi="Times New Roman"/>
                <w:sz w:val="24"/>
                <w:szCs w:val="24"/>
              </w:rPr>
              <w:t xml:space="preserve">, w sposób niebudzący wątpliwości, </w:t>
            </w:r>
            <w:r w:rsidR="00AD6C3B">
              <w:rPr>
                <w:rFonts w:ascii="Times New Roman" w:hAnsi="Times New Roman"/>
                <w:sz w:val="24"/>
                <w:szCs w:val="24"/>
              </w:rPr>
              <w:t xml:space="preserve"> treści rekomendacji</w:t>
            </w:r>
            <w:r w:rsidR="009806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C3B">
              <w:rPr>
                <w:rFonts w:ascii="Times New Roman" w:hAnsi="Times New Roman"/>
                <w:sz w:val="24"/>
                <w:szCs w:val="24"/>
              </w:rPr>
              <w:t xml:space="preserve"> na podstawie</w:t>
            </w:r>
            <w:r w:rsidR="00AE018A">
              <w:rPr>
                <w:rFonts w:ascii="Times New Roman" w:hAnsi="Times New Roman"/>
                <w:sz w:val="24"/>
                <w:szCs w:val="24"/>
              </w:rPr>
              <w:t xml:space="preserve"> ogłoszenia opublikowanego</w:t>
            </w:r>
            <w:r w:rsidR="00523093">
              <w:rPr>
                <w:rFonts w:ascii="Times New Roman" w:hAnsi="Times New Roman"/>
                <w:sz w:val="24"/>
                <w:szCs w:val="24"/>
              </w:rPr>
              <w:t xml:space="preserve"> w </w:t>
            </w:r>
            <w:r w:rsidR="00AD6C3B">
              <w:rPr>
                <w:rFonts w:ascii="Times New Roman" w:hAnsi="Times New Roman"/>
                <w:sz w:val="24"/>
                <w:szCs w:val="24"/>
              </w:rPr>
              <w:t xml:space="preserve">Dzienniku Urzędowym. </w:t>
            </w:r>
            <w:r w:rsidR="00505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6C77">
              <w:rPr>
                <w:rFonts w:ascii="Times New Roman" w:hAnsi="Times New Roman"/>
                <w:sz w:val="24"/>
                <w:szCs w:val="24"/>
              </w:rPr>
              <w:t xml:space="preserve">Dodatkowych, szczegółowych ustaleń wymagają również kwestie techniczne związane z tą publikacją </w:t>
            </w:r>
            <w:r w:rsidR="00B721E9">
              <w:rPr>
                <w:rFonts w:ascii="Times New Roman" w:hAnsi="Times New Roman"/>
                <w:sz w:val="24"/>
                <w:szCs w:val="24"/>
              </w:rPr>
              <w:t>Niezależnie od powyższego należy zauważyć, że p</w:t>
            </w:r>
            <w:r w:rsidR="005B7116">
              <w:rPr>
                <w:rFonts w:ascii="Times New Roman" w:hAnsi="Times New Roman"/>
                <w:sz w:val="24"/>
                <w:szCs w:val="24"/>
              </w:rPr>
              <w:t xml:space="preserve">rojektowane przepisy nie wskazują czy treść rekomendacji może podlegać zmianom </w:t>
            </w:r>
            <w:r w:rsidR="00AD6C3B">
              <w:rPr>
                <w:rFonts w:ascii="Times New Roman" w:hAnsi="Times New Roman"/>
                <w:sz w:val="24"/>
                <w:szCs w:val="24"/>
              </w:rPr>
              <w:t>oraz czy czas stosowania t</w:t>
            </w:r>
            <w:r w:rsidR="00B721E9">
              <w:rPr>
                <w:rFonts w:ascii="Times New Roman" w:hAnsi="Times New Roman"/>
                <w:sz w:val="24"/>
                <w:szCs w:val="24"/>
              </w:rPr>
              <w:t>ych rekomendacji jest określony, a także czy informacja o takiej zmianie jest publikowana</w:t>
            </w:r>
            <w:r w:rsidR="00691F71">
              <w:rPr>
                <w:rFonts w:ascii="Times New Roman" w:hAnsi="Times New Roman"/>
                <w:sz w:val="24"/>
                <w:szCs w:val="24"/>
              </w:rPr>
              <w:t xml:space="preserve">, podobnie jak informacja o wygaśnięciu danej rekomendacji. </w:t>
            </w:r>
            <w:r w:rsidR="00AD6C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52" w:type="dxa"/>
            <w:shd w:val="clear" w:color="auto" w:fill="auto"/>
          </w:tcPr>
          <w:p w:rsidR="00E86394" w:rsidRDefault="00E24CA9" w:rsidP="00E24CA9">
            <w:pPr>
              <w:spacing w:line="276" w:lineRule="auto"/>
              <w:jc w:val="both"/>
            </w:pPr>
            <w:r>
              <w:lastRenderedPageBreak/>
              <w:t>Ponowna analiza</w:t>
            </w:r>
            <w:r w:rsidR="00AD6C3B">
              <w:t xml:space="preserve"> i zmiana przepisów. </w:t>
            </w:r>
          </w:p>
        </w:tc>
      </w:tr>
      <w:tr w:rsidR="008D6C4D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8D6C4D" w:rsidRPr="004D086F" w:rsidRDefault="008D6C4D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D6C4D" w:rsidRDefault="008D6C4D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8D6C4D" w:rsidRPr="00E86394" w:rsidRDefault="008D6C4D" w:rsidP="00E86394">
            <w:pPr>
              <w:jc w:val="center"/>
            </w:pPr>
            <w:r>
              <w:t>Art. 66b ust. 3 ustawy o KSC</w:t>
            </w:r>
          </w:p>
        </w:tc>
        <w:tc>
          <w:tcPr>
            <w:tcW w:w="6146" w:type="dxa"/>
            <w:shd w:val="clear" w:color="auto" w:fill="auto"/>
          </w:tcPr>
          <w:p w:rsidR="00643D1D" w:rsidRDefault="008D6C4D" w:rsidP="002E0D57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D1D">
              <w:rPr>
                <w:rFonts w:ascii="Times New Roman" w:hAnsi="Times New Roman"/>
                <w:sz w:val="24"/>
                <w:szCs w:val="24"/>
              </w:rPr>
              <w:t>Zgodnie z projektowaną regulacją „3. Podmioty o których mowa w art. 66 ust. 1 pkt 1-4, do których stosuje się ustawa – Prawo zamówień publicznych, nie dokonują zamówień sprzętu, oprogramowania i</w:t>
            </w:r>
            <w:r w:rsidR="007C7245" w:rsidRPr="00643D1D">
              <w:rPr>
                <w:rFonts w:ascii="Times New Roman" w:hAnsi="Times New Roman"/>
                <w:sz w:val="24"/>
                <w:szCs w:val="24"/>
              </w:rPr>
              <w:t xml:space="preserve"> usług określonych w decyzji, o </w:t>
            </w:r>
            <w:r w:rsidR="00395414" w:rsidRPr="00643D1D">
              <w:rPr>
                <w:rFonts w:ascii="Times New Roman" w:hAnsi="Times New Roman"/>
                <w:sz w:val="24"/>
                <w:szCs w:val="24"/>
              </w:rPr>
              <w:t>której mowa w art. 66a ust. 8</w:t>
            </w:r>
            <w:r w:rsidR="004B7FA7" w:rsidRPr="00643D1D">
              <w:rPr>
                <w:rFonts w:ascii="Times New Roman" w:hAnsi="Times New Roman"/>
                <w:sz w:val="24"/>
                <w:szCs w:val="24"/>
              </w:rPr>
              <w:t>”, a zatem decyzji o</w:t>
            </w:r>
            <w:r w:rsidR="008312B6" w:rsidRPr="00643D1D">
              <w:rPr>
                <w:rFonts w:ascii="Times New Roman" w:hAnsi="Times New Roman"/>
                <w:sz w:val="24"/>
                <w:szCs w:val="24"/>
              </w:rPr>
              <w:t xml:space="preserve"> uznaniu</w:t>
            </w:r>
            <w:r w:rsidR="004B7FA7" w:rsidRPr="00643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7FA7" w:rsidRPr="00643D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dostawcy </w:t>
            </w:r>
            <w:r w:rsidR="008312B6" w:rsidRPr="00643D1D">
              <w:rPr>
                <w:rFonts w:ascii="Times New Roman" w:hAnsi="Times New Roman"/>
                <w:sz w:val="24"/>
                <w:szCs w:val="24"/>
              </w:rPr>
              <w:t xml:space="preserve">usług lub oprogramowania za dostawcę wysokiego ryzyka. </w:t>
            </w:r>
            <w:r w:rsidR="00336722" w:rsidRPr="00643D1D">
              <w:rPr>
                <w:rFonts w:ascii="Times New Roman" w:hAnsi="Times New Roman"/>
                <w:sz w:val="24"/>
                <w:szCs w:val="24"/>
              </w:rPr>
              <w:t xml:space="preserve"> Przepis budzi wątpliwości, gdyż sformułowanie „</w:t>
            </w:r>
            <w:r w:rsidR="007C7245" w:rsidRPr="00643D1D">
              <w:rPr>
                <w:rFonts w:ascii="Times New Roman" w:hAnsi="Times New Roman"/>
                <w:sz w:val="24"/>
                <w:szCs w:val="24"/>
              </w:rPr>
              <w:t>nie </w:t>
            </w:r>
            <w:r w:rsidR="00336722" w:rsidRPr="00643D1D">
              <w:rPr>
                <w:rFonts w:ascii="Times New Roman" w:hAnsi="Times New Roman"/>
                <w:sz w:val="24"/>
                <w:szCs w:val="24"/>
              </w:rPr>
              <w:t>dokonuje zamówień” nie precyzuje jaki skutek dla postępowania w sprawach zamówień publicznych wywołuje</w:t>
            </w:r>
            <w:r w:rsidR="002E0D57" w:rsidRPr="00643D1D">
              <w:rPr>
                <w:rFonts w:ascii="Times New Roman" w:hAnsi="Times New Roman"/>
                <w:sz w:val="24"/>
                <w:szCs w:val="24"/>
              </w:rPr>
              <w:t xml:space="preserve"> decyzja</w:t>
            </w:r>
            <w:r w:rsidR="001A2EA0" w:rsidRPr="00643D1D">
              <w:rPr>
                <w:rFonts w:ascii="Times New Roman" w:hAnsi="Times New Roman"/>
                <w:sz w:val="24"/>
                <w:szCs w:val="24"/>
              </w:rPr>
              <w:t xml:space="preserve"> o uznaniu dostawcy</w:t>
            </w:r>
            <w:r w:rsidR="00401B89" w:rsidRPr="00643D1D">
              <w:rPr>
                <w:rFonts w:ascii="Times New Roman" w:hAnsi="Times New Roman"/>
                <w:sz w:val="24"/>
                <w:szCs w:val="24"/>
              </w:rPr>
              <w:t xml:space="preserve"> za podmiot wysokiego ryzyka</w:t>
            </w:r>
            <w:r w:rsidR="002E0D57" w:rsidRPr="00643D1D">
              <w:rPr>
                <w:rFonts w:ascii="Times New Roman" w:hAnsi="Times New Roman"/>
                <w:sz w:val="24"/>
                <w:szCs w:val="24"/>
              </w:rPr>
              <w:t>. Skutek ten będzie się różnił w zależności od etapu postępowania o udzielenie zamówienia publicznego. W tym kształcie regulacja nie przesądza czy zamawiający powinien umorzyć postępowanie w sprawie zamówienia publicznego</w:t>
            </w:r>
            <w:r w:rsidR="001A2EA0" w:rsidRPr="00643D1D">
              <w:rPr>
                <w:rFonts w:ascii="Times New Roman" w:hAnsi="Times New Roman"/>
                <w:sz w:val="24"/>
                <w:szCs w:val="24"/>
              </w:rPr>
              <w:t xml:space="preserve"> (wówczas należałoby uzupełnić przesłanki umorzenia postępowania zawarte w ustawie PZP)</w:t>
            </w:r>
            <w:r w:rsidR="002E0D57" w:rsidRPr="00643D1D">
              <w:rPr>
                <w:rFonts w:ascii="Times New Roman" w:hAnsi="Times New Roman"/>
                <w:sz w:val="24"/>
                <w:szCs w:val="24"/>
              </w:rPr>
              <w:t>, odrzucić ofertę wykonawcy, który został uznany za dostawcę wysokiego ryzyka</w:t>
            </w:r>
            <w:r w:rsidR="000B076E" w:rsidRPr="00643D1D">
              <w:rPr>
                <w:rFonts w:ascii="Times New Roman" w:hAnsi="Times New Roman"/>
                <w:sz w:val="24"/>
                <w:szCs w:val="24"/>
              </w:rPr>
              <w:t xml:space="preserve"> (wówczas koniecznym wydaje się uzupełnienie przesłanek odrzucenia oferty)</w:t>
            </w:r>
            <w:r w:rsidR="002E0D57" w:rsidRPr="00643D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F4857" w:rsidRPr="00643D1D">
              <w:rPr>
                <w:rFonts w:ascii="Times New Roman" w:hAnsi="Times New Roman"/>
                <w:sz w:val="24"/>
                <w:szCs w:val="24"/>
              </w:rPr>
              <w:t>ani nie wskazuje jaki skutek wywołuje uznanie dostawcy za dostawcę wysokiego ryzyka w sytuacji, w której została zawarta umowa, która przewiduje realizację zamówienia w częściach</w:t>
            </w:r>
            <w:r w:rsidR="001A2EA0" w:rsidRPr="00643D1D">
              <w:rPr>
                <w:rFonts w:ascii="Times New Roman" w:hAnsi="Times New Roman"/>
                <w:sz w:val="24"/>
                <w:szCs w:val="24"/>
              </w:rPr>
              <w:t xml:space="preserve"> albo umowa periodyczna. </w:t>
            </w:r>
            <w:r w:rsidR="00336722" w:rsidRPr="00643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4E81" w:rsidRPr="00643D1D">
              <w:rPr>
                <w:rFonts w:ascii="Times New Roman" w:hAnsi="Times New Roman"/>
                <w:sz w:val="24"/>
                <w:szCs w:val="24"/>
              </w:rPr>
              <w:t>Czy umowa ta powinna z</w:t>
            </w:r>
            <w:r w:rsidR="000B076E" w:rsidRPr="00643D1D">
              <w:rPr>
                <w:rFonts w:ascii="Times New Roman" w:hAnsi="Times New Roman"/>
                <w:sz w:val="24"/>
                <w:szCs w:val="24"/>
              </w:rPr>
              <w:t xml:space="preserve">ostać wypowiedziana, i wszczęte </w:t>
            </w:r>
            <w:r w:rsidR="00EF4E81" w:rsidRPr="00643D1D">
              <w:rPr>
                <w:rFonts w:ascii="Times New Roman" w:hAnsi="Times New Roman"/>
                <w:sz w:val="24"/>
                <w:szCs w:val="24"/>
              </w:rPr>
              <w:t xml:space="preserve">nowe postępowanie w sprawie o udzielenie zamówienia publicznego </w:t>
            </w:r>
            <w:r w:rsidR="00862367" w:rsidRPr="00643D1D">
              <w:rPr>
                <w:rFonts w:ascii="Times New Roman" w:hAnsi="Times New Roman"/>
                <w:sz w:val="24"/>
                <w:szCs w:val="24"/>
              </w:rPr>
              <w:t xml:space="preserve">czy też umowa ta może być kontynuowana </w:t>
            </w:r>
            <w:r w:rsidR="00667B6E" w:rsidRPr="00643D1D">
              <w:rPr>
                <w:rFonts w:ascii="Times New Roman" w:hAnsi="Times New Roman"/>
                <w:sz w:val="24"/>
                <w:szCs w:val="24"/>
              </w:rPr>
              <w:t>aż do upływu okresu, w którym dany sprzęt lub oprogramowanie powinny zostać wycofane?</w:t>
            </w:r>
          </w:p>
          <w:p w:rsidR="00643D1D" w:rsidRDefault="00801A68" w:rsidP="00F91B5A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Należy również podnieść, że z</w:t>
            </w:r>
            <w:r w:rsidR="00B029A6">
              <w:rPr>
                <w:rFonts w:ascii="Times New Roman" w:hAnsi="Times New Roman"/>
                <w:sz w:val="24"/>
                <w:szCs w:val="24"/>
              </w:rPr>
              <w:t>aproponowana red</w:t>
            </w:r>
            <w:r>
              <w:rPr>
                <w:rFonts w:ascii="Times New Roman" w:hAnsi="Times New Roman"/>
                <w:sz w:val="24"/>
                <w:szCs w:val="24"/>
              </w:rPr>
              <w:t>akcja przepisu wydaje się nieadekwatna</w:t>
            </w:r>
            <w:r w:rsidR="00F91B5A">
              <w:rPr>
                <w:rFonts w:ascii="Times New Roman" w:hAnsi="Times New Roman"/>
                <w:sz w:val="24"/>
                <w:szCs w:val="24"/>
              </w:rPr>
              <w:t xml:space="preserve"> do jej celu. Przyjmując, że</w:t>
            </w:r>
            <w:r w:rsidR="00226219">
              <w:rPr>
                <w:rFonts w:ascii="Times New Roman" w:hAnsi="Times New Roman"/>
                <w:sz w:val="24"/>
                <w:szCs w:val="24"/>
              </w:rPr>
              <w:t xml:space="preserve"> celem regulacji jest ograniczenie</w:t>
            </w:r>
            <w:r w:rsidR="00B029A6">
              <w:rPr>
                <w:rFonts w:ascii="Times New Roman" w:hAnsi="Times New Roman"/>
                <w:sz w:val="24"/>
                <w:szCs w:val="24"/>
              </w:rPr>
              <w:t xml:space="preserve"> możliwości nabywania sprzętu lub oprogramowania, które </w:t>
            </w:r>
            <w:r w:rsidR="00AD644E">
              <w:rPr>
                <w:rFonts w:ascii="Times New Roman" w:hAnsi="Times New Roman"/>
                <w:sz w:val="24"/>
                <w:szCs w:val="24"/>
              </w:rPr>
              <w:t>zostały objęte decyzją, o której mowa w art. 66a ust. 8</w:t>
            </w:r>
            <w:r w:rsidR="00226219">
              <w:rPr>
                <w:rFonts w:ascii="Times New Roman" w:hAnsi="Times New Roman"/>
                <w:sz w:val="24"/>
                <w:szCs w:val="24"/>
              </w:rPr>
              <w:t xml:space="preserve"> ustawy o KSC</w:t>
            </w:r>
            <w:r w:rsidR="00AD64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26219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AD644E">
              <w:rPr>
                <w:rFonts w:ascii="Times New Roman" w:hAnsi="Times New Roman"/>
                <w:sz w:val="24"/>
                <w:szCs w:val="24"/>
              </w:rPr>
              <w:t xml:space="preserve">nie ma znaczenia w jakiej procedurze nabywana jest ten </w:t>
            </w:r>
            <w:r w:rsidR="00226219">
              <w:rPr>
                <w:rFonts w:ascii="Times New Roman" w:hAnsi="Times New Roman"/>
                <w:sz w:val="24"/>
                <w:szCs w:val="24"/>
              </w:rPr>
              <w:t xml:space="preserve">sprzęt lub </w:t>
            </w:r>
            <w:r w:rsidR="002262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oprogramowanie i czy podmiot stosuje do tej procedury zakupu postępowanie w sprawach zamówień publicznych. </w:t>
            </w:r>
            <w:r w:rsidR="00F91B5A">
              <w:rPr>
                <w:rFonts w:ascii="Times New Roman" w:hAnsi="Times New Roman"/>
                <w:sz w:val="24"/>
                <w:szCs w:val="24"/>
              </w:rPr>
              <w:t>Przepis w takim przypadku powinien stanowić o niemożliwości zakupu przedmiotów objętych decyzją z art. 66a ust. 8 ustawy o KSC.</w:t>
            </w:r>
          </w:p>
        </w:tc>
        <w:tc>
          <w:tcPr>
            <w:tcW w:w="4152" w:type="dxa"/>
            <w:shd w:val="clear" w:color="auto" w:fill="auto"/>
          </w:tcPr>
          <w:p w:rsidR="008D6C4D" w:rsidRDefault="005662C1" w:rsidP="00651688">
            <w:pPr>
              <w:spacing w:line="276" w:lineRule="auto"/>
              <w:jc w:val="both"/>
            </w:pPr>
            <w:r>
              <w:lastRenderedPageBreak/>
              <w:t>Przepis wymaga ponownej analizy</w:t>
            </w:r>
            <w:r w:rsidR="00F91B5A">
              <w:t>, w szczególności co do trafności przyjętego rozwiązania,</w:t>
            </w:r>
            <w:bookmarkStart w:id="0" w:name="_GoBack"/>
            <w:bookmarkEnd w:id="0"/>
            <w:r>
              <w:t xml:space="preserve"> i korekty. </w:t>
            </w:r>
          </w:p>
        </w:tc>
      </w:tr>
      <w:tr w:rsidR="00FB4C3E" w:rsidTr="0067738D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FB4C3E" w:rsidRPr="004D086F" w:rsidRDefault="00FB4C3E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B4C3E" w:rsidRDefault="00FB4C3E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FB4C3E" w:rsidRDefault="00FB4C3E" w:rsidP="00E86394">
            <w:pPr>
              <w:jc w:val="center"/>
            </w:pPr>
            <w:r>
              <w:t>Art. 66d ustawy o KSC</w:t>
            </w:r>
          </w:p>
        </w:tc>
        <w:tc>
          <w:tcPr>
            <w:tcW w:w="6146" w:type="dxa"/>
            <w:shd w:val="clear" w:color="auto" w:fill="auto"/>
          </w:tcPr>
          <w:p w:rsidR="00FB4C3E" w:rsidRDefault="00FB4C3E" w:rsidP="00062633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Przepisy dotyczące ograniczenia zakresu </w:t>
            </w:r>
            <w:r w:rsidR="002B5E82">
              <w:rPr>
                <w:rFonts w:ascii="Times New Roman" w:hAnsi="Times New Roman"/>
                <w:sz w:val="24"/>
                <w:szCs w:val="24"/>
              </w:rPr>
              <w:t>doręczanego uzasadnienia wyroku</w:t>
            </w:r>
            <w:r w:rsidR="00967064">
              <w:rPr>
                <w:rFonts w:ascii="Times New Roman" w:hAnsi="Times New Roman"/>
                <w:sz w:val="24"/>
                <w:szCs w:val="24"/>
              </w:rPr>
              <w:t xml:space="preserve"> oraz wyłączenia możliwości wstrzymania natychmiastowej wykonalności decyzji </w:t>
            </w:r>
            <w:r w:rsidR="00062633">
              <w:rPr>
                <w:rFonts w:ascii="Times New Roman" w:hAnsi="Times New Roman"/>
                <w:sz w:val="24"/>
                <w:szCs w:val="24"/>
              </w:rPr>
              <w:t xml:space="preserve">o uznaniu dostawcy usług za podmiot wysokiego ryzyka </w:t>
            </w:r>
            <w:r w:rsidR="00967064">
              <w:rPr>
                <w:rFonts w:ascii="Times New Roman" w:hAnsi="Times New Roman"/>
                <w:sz w:val="24"/>
                <w:szCs w:val="24"/>
              </w:rPr>
              <w:t>wymagają ponownej analizy w zakresie spójności z regulacjami ustawy – Prawo o postępowaniu przed sądami administracyjnymi i u</w:t>
            </w:r>
            <w:r w:rsidR="006F6255">
              <w:rPr>
                <w:rFonts w:ascii="Times New Roman" w:hAnsi="Times New Roman"/>
                <w:sz w:val="24"/>
                <w:szCs w:val="24"/>
              </w:rPr>
              <w:t xml:space="preserve">stawą o ochronie informacji niejawnych. </w:t>
            </w:r>
            <w:r w:rsidR="009670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2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1BD1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2C2DA1">
              <w:rPr>
                <w:rFonts w:ascii="Times New Roman" w:hAnsi="Times New Roman"/>
                <w:sz w:val="24"/>
                <w:szCs w:val="24"/>
              </w:rPr>
              <w:t>iezależnie</w:t>
            </w:r>
            <w:r w:rsidR="00A91BD1">
              <w:rPr>
                <w:rFonts w:ascii="Times New Roman" w:hAnsi="Times New Roman"/>
                <w:sz w:val="24"/>
                <w:szCs w:val="24"/>
              </w:rPr>
              <w:t xml:space="preserve"> od dopuszczalności ograniczenia</w:t>
            </w:r>
            <w:r w:rsidR="00AD20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2DA1">
              <w:rPr>
                <w:rFonts w:ascii="Times New Roman" w:hAnsi="Times New Roman"/>
                <w:sz w:val="24"/>
                <w:szCs w:val="24"/>
              </w:rPr>
              <w:t xml:space="preserve">doręczenia </w:t>
            </w:r>
            <w:r w:rsidR="00A91BD1">
              <w:rPr>
                <w:rFonts w:ascii="Times New Roman" w:hAnsi="Times New Roman"/>
                <w:sz w:val="24"/>
                <w:szCs w:val="24"/>
              </w:rPr>
              <w:t xml:space="preserve">pocztowego </w:t>
            </w:r>
            <w:r w:rsidR="002C2DA1">
              <w:rPr>
                <w:rFonts w:ascii="Times New Roman" w:hAnsi="Times New Roman"/>
                <w:sz w:val="24"/>
                <w:szCs w:val="24"/>
              </w:rPr>
              <w:t xml:space="preserve">ze względu na ochronę informacji niejawnych, z uwagi na </w:t>
            </w:r>
            <w:r w:rsidR="001641BC">
              <w:rPr>
                <w:rFonts w:ascii="Times New Roman" w:hAnsi="Times New Roman"/>
                <w:sz w:val="24"/>
                <w:szCs w:val="24"/>
              </w:rPr>
              <w:t>prawo do rzetelnego postępowania</w:t>
            </w:r>
            <w:r w:rsidR="00A91BD1">
              <w:rPr>
                <w:rFonts w:ascii="Times New Roman" w:hAnsi="Times New Roman"/>
                <w:sz w:val="24"/>
                <w:szCs w:val="24"/>
              </w:rPr>
              <w:t>,</w:t>
            </w:r>
            <w:r w:rsidR="001641BC">
              <w:rPr>
                <w:rFonts w:ascii="Times New Roman" w:hAnsi="Times New Roman"/>
                <w:sz w:val="24"/>
                <w:szCs w:val="24"/>
              </w:rPr>
              <w:t xml:space="preserve"> strona nie powinna być ograniczona w </w:t>
            </w:r>
            <w:r w:rsidR="00E21AE7">
              <w:rPr>
                <w:rFonts w:ascii="Times New Roman" w:hAnsi="Times New Roman"/>
                <w:sz w:val="24"/>
                <w:szCs w:val="24"/>
              </w:rPr>
              <w:t xml:space="preserve">samym </w:t>
            </w:r>
            <w:r w:rsidR="001641BC">
              <w:rPr>
                <w:rFonts w:ascii="Times New Roman" w:hAnsi="Times New Roman"/>
                <w:sz w:val="24"/>
                <w:szCs w:val="24"/>
              </w:rPr>
              <w:t>dostępie do uzasadnienia</w:t>
            </w:r>
            <w:r w:rsidR="00AD2027">
              <w:rPr>
                <w:rFonts w:ascii="Times New Roman" w:hAnsi="Times New Roman"/>
                <w:sz w:val="24"/>
                <w:szCs w:val="24"/>
              </w:rPr>
              <w:t xml:space="preserve"> rozstrzy</w:t>
            </w:r>
            <w:r w:rsidR="00230C75">
              <w:rPr>
                <w:rFonts w:ascii="Times New Roman" w:hAnsi="Times New Roman"/>
                <w:sz w:val="24"/>
                <w:szCs w:val="24"/>
              </w:rPr>
              <w:t xml:space="preserve">gnięcia podejmowanego przez sąd, aby mieć możliwość ich zaskarżenia. </w:t>
            </w:r>
          </w:p>
        </w:tc>
        <w:tc>
          <w:tcPr>
            <w:tcW w:w="4152" w:type="dxa"/>
            <w:shd w:val="clear" w:color="auto" w:fill="auto"/>
          </w:tcPr>
          <w:p w:rsidR="00FB4C3E" w:rsidRDefault="004C5F92" w:rsidP="00651688">
            <w:pPr>
              <w:spacing w:line="276" w:lineRule="auto"/>
              <w:jc w:val="both"/>
            </w:pPr>
            <w:r>
              <w:t>Przepisy wymagają ponownej analizy</w:t>
            </w:r>
            <w:r w:rsidR="001A2427">
              <w:t>, w szczególności co do trafności przyjętego rozwiązania,</w:t>
            </w:r>
            <w:r>
              <w:t xml:space="preserve"> i </w:t>
            </w:r>
            <w:r w:rsidR="00E21AE7">
              <w:t xml:space="preserve">ewentualnej </w:t>
            </w:r>
            <w:r>
              <w:t xml:space="preserve">korekty. 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886" w:rsidRDefault="00D14886" w:rsidP="006F2464">
      <w:r>
        <w:separator/>
      </w:r>
    </w:p>
  </w:endnote>
  <w:endnote w:type="continuationSeparator" w:id="0">
    <w:p w:rsidR="00D14886" w:rsidRDefault="00D14886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1B5A">
      <w:rPr>
        <w:noProof/>
      </w:rPr>
      <w:t>11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886" w:rsidRDefault="00D14886" w:rsidP="006F2464">
      <w:r>
        <w:separator/>
      </w:r>
    </w:p>
  </w:footnote>
  <w:footnote w:type="continuationSeparator" w:id="0">
    <w:p w:rsidR="00D14886" w:rsidRDefault="00D14886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01A6B"/>
    <w:rsid w:val="000067A7"/>
    <w:rsid w:val="00007B0E"/>
    <w:rsid w:val="00034258"/>
    <w:rsid w:val="00061B2C"/>
    <w:rsid w:val="00062633"/>
    <w:rsid w:val="000626E8"/>
    <w:rsid w:val="00062F9F"/>
    <w:rsid w:val="000B076E"/>
    <w:rsid w:val="000B0C68"/>
    <w:rsid w:val="000B26E6"/>
    <w:rsid w:val="000F4857"/>
    <w:rsid w:val="000F70DC"/>
    <w:rsid w:val="00101DF4"/>
    <w:rsid w:val="001144A3"/>
    <w:rsid w:val="00135F1B"/>
    <w:rsid w:val="00142403"/>
    <w:rsid w:val="00143535"/>
    <w:rsid w:val="00144874"/>
    <w:rsid w:val="00146CA7"/>
    <w:rsid w:val="001509F3"/>
    <w:rsid w:val="00150E6D"/>
    <w:rsid w:val="00155F34"/>
    <w:rsid w:val="001641BC"/>
    <w:rsid w:val="0018175C"/>
    <w:rsid w:val="00182683"/>
    <w:rsid w:val="00184E11"/>
    <w:rsid w:val="00191DBE"/>
    <w:rsid w:val="001A05B2"/>
    <w:rsid w:val="001A2427"/>
    <w:rsid w:val="001A2EA0"/>
    <w:rsid w:val="001D48E9"/>
    <w:rsid w:val="001D7FC4"/>
    <w:rsid w:val="001E0CB2"/>
    <w:rsid w:val="001E167D"/>
    <w:rsid w:val="001E6A6A"/>
    <w:rsid w:val="001E6E06"/>
    <w:rsid w:val="001F2101"/>
    <w:rsid w:val="001F3466"/>
    <w:rsid w:val="0020384F"/>
    <w:rsid w:val="002039C8"/>
    <w:rsid w:val="00204D78"/>
    <w:rsid w:val="00210F7E"/>
    <w:rsid w:val="002144C2"/>
    <w:rsid w:val="00215913"/>
    <w:rsid w:val="00226219"/>
    <w:rsid w:val="00230C75"/>
    <w:rsid w:val="00230DB1"/>
    <w:rsid w:val="002464A7"/>
    <w:rsid w:val="00260F7E"/>
    <w:rsid w:val="002619DC"/>
    <w:rsid w:val="002670DC"/>
    <w:rsid w:val="002715B2"/>
    <w:rsid w:val="002815FD"/>
    <w:rsid w:val="002830F3"/>
    <w:rsid w:val="00295D96"/>
    <w:rsid w:val="002B5E82"/>
    <w:rsid w:val="002C2DA1"/>
    <w:rsid w:val="002C3EF7"/>
    <w:rsid w:val="002E0D57"/>
    <w:rsid w:val="002E0D6A"/>
    <w:rsid w:val="002E5FED"/>
    <w:rsid w:val="003124D1"/>
    <w:rsid w:val="0032289B"/>
    <w:rsid w:val="003242CF"/>
    <w:rsid w:val="0032611B"/>
    <w:rsid w:val="003357AF"/>
    <w:rsid w:val="00336722"/>
    <w:rsid w:val="003400B3"/>
    <w:rsid w:val="00342038"/>
    <w:rsid w:val="00371A2B"/>
    <w:rsid w:val="003741C4"/>
    <w:rsid w:val="00382CBB"/>
    <w:rsid w:val="00395414"/>
    <w:rsid w:val="003A2F85"/>
    <w:rsid w:val="003A5E57"/>
    <w:rsid w:val="003A7E5F"/>
    <w:rsid w:val="003C12BE"/>
    <w:rsid w:val="003C48AA"/>
    <w:rsid w:val="003C5A07"/>
    <w:rsid w:val="003C639D"/>
    <w:rsid w:val="003D0FEE"/>
    <w:rsid w:val="003D5162"/>
    <w:rsid w:val="003E4667"/>
    <w:rsid w:val="003F44CC"/>
    <w:rsid w:val="003F5A2B"/>
    <w:rsid w:val="00401B89"/>
    <w:rsid w:val="00403B56"/>
    <w:rsid w:val="0042096C"/>
    <w:rsid w:val="00424681"/>
    <w:rsid w:val="00435DB0"/>
    <w:rsid w:val="00440049"/>
    <w:rsid w:val="00440E81"/>
    <w:rsid w:val="0045089E"/>
    <w:rsid w:val="004534E3"/>
    <w:rsid w:val="004551D7"/>
    <w:rsid w:val="00462ED0"/>
    <w:rsid w:val="0047105F"/>
    <w:rsid w:val="00474E32"/>
    <w:rsid w:val="0048004E"/>
    <w:rsid w:val="00494158"/>
    <w:rsid w:val="004B48D2"/>
    <w:rsid w:val="004B7F7C"/>
    <w:rsid w:val="004B7FA7"/>
    <w:rsid w:val="004C0DA6"/>
    <w:rsid w:val="004C4FBF"/>
    <w:rsid w:val="004C5F92"/>
    <w:rsid w:val="004D086F"/>
    <w:rsid w:val="004D10DE"/>
    <w:rsid w:val="004D2502"/>
    <w:rsid w:val="004E0BFB"/>
    <w:rsid w:val="004E7732"/>
    <w:rsid w:val="004E7D22"/>
    <w:rsid w:val="00505651"/>
    <w:rsid w:val="00523093"/>
    <w:rsid w:val="005310EA"/>
    <w:rsid w:val="005332C4"/>
    <w:rsid w:val="00536799"/>
    <w:rsid w:val="00540339"/>
    <w:rsid w:val="00542593"/>
    <w:rsid w:val="00547D78"/>
    <w:rsid w:val="00564F2F"/>
    <w:rsid w:val="00565A6C"/>
    <w:rsid w:val="005662C1"/>
    <w:rsid w:val="005728C0"/>
    <w:rsid w:val="00576604"/>
    <w:rsid w:val="00582431"/>
    <w:rsid w:val="00593051"/>
    <w:rsid w:val="00594412"/>
    <w:rsid w:val="005967FA"/>
    <w:rsid w:val="005A0C0B"/>
    <w:rsid w:val="005B7116"/>
    <w:rsid w:val="005E3274"/>
    <w:rsid w:val="005F6527"/>
    <w:rsid w:val="005F71B6"/>
    <w:rsid w:val="00617448"/>
    <w:rsid w:val="00617A00"/>
    <w:rsid w:val="00626F32"/>
    <w:rsid w:val="00630397"/>
    <w:rsid w:val="006372FC"/>
    <w:rsid w:val="00643D1D"/>
    <w:rsid w:val="00643EDA"/>
    <w:rsid w:val="00644BC8"/>
    <w:rsid w:val="006470FD"/>
    <w:rsid w:val="00651688"/>
    <w:rsid w:val="00652FFF"/>
    <w:rsid w:val="00667B6E"/>
    <w:rsid w:val="006705EC"/>
    <w:rsid w:val="0067738D"/>
    <w:rsid w:val="006819CA"/>
    <w:rsid w:val="00690F24"/>
    <w:rsid w:val="00691F71"/>
    <w:rsid w:val="006A7837"/>
    <w:rsid w:val="006B70DF"/>
    <w:rsid w:val="006C24DF"/>
    <w:rsid w:val="006E16E9"/>
    <w:rsid w:val="006E72B1"/>
    <w:rsid w:val="006F2464"/>
    <w:rsid w:val="006F3847"/>
    <w:rsid w:val="006F6255"/>
    <w:rsid w:val="00700073"/>
    <w:rsid w:val="0071692F"/>
    <w:rsid w:val="007235DB"/>
    <w:rsid w:val="00725CAA"/>
    <w:rsid w:val="00732757"/>
    <w:rsid w:val="007343EB"/>
    <w:rsid w:val="007511A3"/>
    <w:rsid w:val="0076259B"/>
    <w:rsid w:val="00764098"/>
    <w:rsid w:val="0077631E"/>
    <w:rsid w:val="00780BE2"/>
    <w:rsid w:val="00782C82"/>
    <w:rsid w:val="00786390"/>
    <w:rsid w:val="0079451E"/>
    <w:rsid w:val="007A0405"/>
    <w:rsid w:val="007A1FB6"/>
    <w:rsid w:val="007B1E39"/>
    <w:rsid w:val="007B5092"/>
    <w:rsid w:val="007B6C77"/>
    <w:rsid w:val="007B75B4"/>
    <w:rsid w:val="007C7245"/>
    <w:rsid w:val="007D0231"/>
    <w:rsid w:val="007E156A"/>
    <w:rsid w:val="007F0D07"/>
    <w:rsid w:val="00801A68"/>
    <w:rsid w:val="00807385"/>
    <w:rsid w:val="00812123"/>
    <w:rsid w:val="00815AF1"/>
    <w:rsid w:val="008312B6"/>
    <w:rsid w:val="00834518"/>
    <w:rsid w:val="0083684B"/>
    <w:rsid w:val="00840A5A"/>
    <w:rsid w:val="008416E0"/>
    <w:rsid w:val="00843C93"/>
    <w:rsid w:val="00852A0E"/>
    <w:rsid w:val="00853901"/>
    <w:rsid w:val="00862367"/>
    <w:rsid w:val="00880F3C"/>
    <w:rsid w:val="008814F4"/>
    <w:rsid w:val="0088319C"/>
    <w:rsid w:val="008831D9"/>
    <w:rsid w:val="00885551"/>
    <w:rsid w:val="00887CF5"/>
    <w:rsid w:val="008A7058"/>
    <w:rsid w:val="008C1A18"/>
    <w:rsid w:val="008C1BB1"/>
    <w:rsid w:val="008D6C4D"/>
    <w:rsid w:val="008E1F05"/>
    <w:rsid w:val="008E236B"/>
    <w:rsid w:val="008F18EE"/>
    <w:rsid w:val="0093131A"/>
    <w:rsid w:val="009324FF"/>
    <w:rsid w:val="00934EFE"/>
    <w:rsid w:val="00936A6F"/>
    <w:rsid w:val="009421B3"/>
    <w:rsid w:val="00944932"/>
    <w:rsid w:val="00961A22"/>
    <w:rsid w:val="00967064"/>
    <w:rsid w:val="009709DA"/>
    <w:rsid w:val="00971CF0"/>
    <w:rsid w:val="00977FA6"/>
    <w:rsid w:val="00980669"/>
    <w:rsid w:val="009960CE"/>
    <w:rsid w:val="00996E77"/>
    <w:rsid w:val="009A041E"/>
    <w:rsid w:val="009A7357"/>
    <w:rsid w:val="009C3BD1"/>
    <w:rsid w:val="009C6C55"/>
    <w:rsid w:val="009D1A4D"/>
    <w:rsid w:val="009D56BB"/>
    <w:rsid w:val="009E22C0"/>
    <w:rsid w:val="00A01EBE"/>
    <w:rsid w:val="00A07BA4"/>
    <w:rsid w:val="00A12FD0"/>
    <w:rsid w:val="00A23C68"/>
    <w:rsid w:val="00A25201"/>
    <w:rsid w:val="00A51A9D"/>
    <w:rsid w:val="00A538C6"/>
    <w:rsid w:val="00A633C7"/>
    <w:rsid w:val="00A6793B"/>
    <w:rsid w:val="00A76572"/>
    <w:rsid w:val="00A91BD1"/>
    <w:rsid w:val="00A9613E"/>
    <w:rsid w:val="00A972FF"/>
    <w:rsid w:val="00AA6E13"/>
    <w:rsid w:val="00AC33C1"/>
    <w:rsid w:val="00AC5395"/>
    <w:rsid w:val="00AC59E1"/>
    <w:rsid w:val="00AC6AD3"/>
    <w:rsid w:val="00AD2027"/>
    <w:rsid w:val="00AD2157"/>
    <w:rsid w:val="00AD4A7C"/>
    <w:rsid w:val="00AD644E"/>
    <w:rsid w:val="00AD6C3B"/>
    <w:rsid w:val="00AE018A"/>
    <w:rsid w:val="00B029A6"/>
    <w:rsid w:val="00B05BA8"/>
    <w:rsid w:val="00B11188"/>
    <w:rsid w:val="00B233D7"/>
    <w:rsid w:val="00B3104E"/>
    <w:rsid w:val="00B5067B"/>
    <w:rsid w:val="00B52220"/>
    <w:rsid w:val="00B67B92"/>
    <w:rsid w:val="00B721E9"/>
    <w:rsid w:val="00B946F1"/>
    <w:rsid w:val="00B965A1"/>
    <w:rsid w:val="00BA1A73"/>
    <w:rsid w:val="00BA6CDF"/>
    <w:rsid w:val="00BC4557"/>
    <w:rsid w:val="00BC7E6B"/>
    <w:rsid w:val="00BD45E2"/>
    <w:rsid w:val="00BE0613"/>
    <w:rsid w:val="00BE5C53"/>
    <w:rsid w:val="00BF6E72"/>
    <w:rsid w:val="00BF7A71"/>
    <w:rsid w:val="00C00847"/>
    <w:rsid w:val="00C029CD"/>
    <w:rsid w:val="00C105A2"/>
    <w:rsid w:val="00C30F45"/>
    <w:rsid w:val="00C6150D"/>
    <w:rsid w:val="00C64B1B"/>
    <w:rsid w:val="00C66922"/>
    <w:rsid w:val="00C6706F"/>
    <w:rsid w:val="00C72322"/>
    <w:rsid w:val="00C74643"/>
    <w:rsid w:val="00C759B0"/>
    <w:rsid w:val="00C82EA3"/>
    <w:rsid w:val="00C834D2"/>
    <w:rsid w:val="00C86AA6"/>
    <w:rsid w:val="00C86B63"/>
    <w:rsid w:val="00CA0F3C"/>
    <w:rsid w:val="00CA2E2F"/>
    <w:rsid w:val="00CB7772"/>
    <w:rsid w:val="00CE79CA"/>
    <w:rsid w:val="00CF662D"/>
    <w:rsid w:val="00D075C2"/>
    <w:rsid w:val="00D14886"/>
    <w:rsid w:val="00D14AC2"/>
    <w:rsid w:val="00D25BC9"/>
    <w:rsid w:val="00D70360"/>
    <w:rsid w:val="00D778E8"/>
    <w:rsid w:val="00D82759"/>
    <w:rsid w:val="00DA3C10"/>
    <w:rsid w:val="00DE33E2"/>
    <w:rsid w:val="00DF0F40"/>
    <w:rsid w:val="00DF1718"/>
    <w:rsid w:val="00E14C33"/>
    <w:rsid w:val="00E17260"/>
    <w:rsid w:val="00E21AE7"/>
    <w:rsid w:val="00E24CA9"/>
    <w:rsid w:val="00E378FE"/>
    <w:rsid w:val="00E47ED4"/>
    <w:rsid w:val="00E56294"/>
    <w:rsid w:val="00E662E0"/>
    <w:rsid w:val="00E84B64"/>
    <w:rsid w:val="00E86394"/>
    <w:rsid w:val="00EB2438"/>
    <w:rsid w:val="00EC0828"/>
    <w:rsid w:val="00ED2859"/>
    <w:rsid w:val="00EE003A"/>
    <w:rsid w:val="00EE31DB"/>
    <w:rsid w:val="00EF21B7"/>
    <w:rsid w:val="00EF4E81"/>
    <w:rsid w:val="00F02A2B"/>
    <w:rsid w:val="00F1303F"/>
    <w:rsid w:val="00F13652"/>
    <w:rsid w:val="00F1400C"/>
    <w:rsid w:val="00F17743"/>
    <w:rsid w:val="00F24423"/>
    <w:rsid w:val="00F33E07"/>
    <w:rsid w:val="00F53E33"/>
    <w:rsid w:val="00F6119B"/>
    <w:rsid w:val="00F86FB5"/>
    <w:rsid w:val="00F91B5A"/>
    <w:rsid w:val="00F959EF"/>
    <w:rsid w:val="00FA3605"/>
    <w:rsid w:val="00FB4C3E"/>
    <w:rsid w:val="00FD1760"/>
    <w:rsid w:val="00FD26DE"/>
    <w:rsid w:val="00FF07DD"/>
    <w:rsid w:val="00FF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6F625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F62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F6255"/>
  </w:style>
  <w:style w:type="paragraph" w:styleId="Tematkomentarza">
    <w:name w:val="annotation subject"/>
    <w:basedOn w:val="Tekstkomentarza"/>
    <w:next w:val="Tekstkomentarza"/>
    <w:link w:val="TematkomentarzaZnak"/>
    <w:rsid w:val="006F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F6255"/>
    <w:rPr>
      <w:b/>
      <w:bCs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F6255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F6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6F625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F62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F6255"/>
  </w:style>
  <w:style w:type="paragraph" w:styleId="Tematkomentarza">
    <w:name w:val="annotation subject"/>
    <w:basedOn w:val="Tekstkomentarza"/>
    <w:next w:val="Tekstkomentarza"/>
    <w:link w:val="TematkomentarzaZnak"/>
    <w:rsid w:val="006F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F6255"/>
    <w:rPr>
      <w:b/>
      <w:bCs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F6255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F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8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357</TotalTime>
  <Pages>13</Pages>
  <Words>3114</Words>
  <Characters>18686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Trojanowska-Wysocka Barbara</cp:lastModifiedBy>
  <cp:revision>18</cp:revision>
  <cp:lastPrinted>2012-08-20T11:53:00Z</cp:lastPrinted>
  <dcterms:created xsi:type="dcterms:W3CDTF">2021-01-26T23:11:00Z</dcterms:created>
  <dcterms:modified xsi:type="dcterms:W3CDTF">2021-01-27T14:09:00Z</dcterms:modified>
</cp:coreProperties>
</file>