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4543F" w14:textId="77777777" w:rsidR="00346D46" w:rsidRPr="00E02588" w:rsidRDefault="00900F50" w:rsidP="00E02588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E0258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PROTOKÓŁ</w:t>
      </w:r>
    </w:p>
    <w:p w14:paraId="2240AEE2" w14:textId="4E1F2394" w:rsidR="00900F50" w:rsidRPr="00E02588" w:rsidRDefault="00900F50" w:rsidP="00E02588">
      <w:pPr>
        <w:spacing w:after="100" w:afterAutospacing="1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0258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 XX</w:t>
      </w:r>
      <w:r w:rsidR="00B735BE" w:rsidRPr="00E0258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</w:t>
      </w:r>
      <w:r w:rsidRPr="00E0258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posiedzenia Polsko-Litewskiej Komisji Międzyrządowej</w:t>
      </w:r>
      <w:r w:rsidR="005904CF" w:rsidRPr="00E0258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br/>
        <w:t>ds.</w:t>
      </w:r>
      <w:r w:rsidRPr="00E0258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Współpracy Transgranicznej</w:t>
      </w:r>
    </w:p>
    <w:p w14:paraId="2681DE35" w14:textId="77777777" w:rsidR="00900F50" w:rsidRPr="00E02588" w:rsidRDefault="00900F50" w:rsidP="00E02588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366361" w14:textId="1CCFDC32" w:rsidR="00A17EF0" w:rsidRPr="00E02588" w:rsidRDefault="00B735BE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>W dniach 21-22</w:t>
      </w:r>
      <w:r w:rsidR="00900F50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Pr="00E02588">
        <w:rPr>
          <w:rFonts w:asciiTheme="minorHAnsi" w:hAnsiTheme="minorHAnsi" w:cstheme="minorHAnsi"/>
          <w:sz w:val="24"/>
          <w:szCs w:val="24"/>
        </w:rPr>
        <w:t>listopada 2022</w:t>
      </w:r>
      <w:r w:rsidR="00900F50" w:rsidRPr="00E02588">
        <w:rPr>
          <w:rFonts w:asciiTheme="minorHAnsi" w:hAnsiTheme="minorHAnsi" w:cstheme="minorHAnsi"/>
          <w:sz w:val="24"/>
          <w:szCs w:val="24"/>
        </w:rPr>
        <w:t xml:space="preserve"> r.</w:t>
      </w:r>
      <w:r w:rsidR="00A17EF0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Pr="00E02588">
        <w:rPr>
          <w:rFonts w:asciiTheme="minorHAnsi" w:hAnsiTheme="minorHAnsi" w:cstheme="minorHAnsi"/>
          <w:sz w:val="24"/>
          <w:szCs w:val="24"/>
        </w:rPr>
        <w:t>w Warszawie</w:t>
      </w:r>
      <w:r w:rsidR="00900F50" w:rsidRPr="00E02588">
        <w:rPr>
          <w:rFonts w:asciiTheme="minorHAnsi" w:hAnsiTheme="minorHAnsi" w:cstheme="minorHAnsi"/>
          <w:sz w:val="24"/>
          <w:szCs w:val="24"/>
        </w:rPr>
        <w:t xml:space="preserve"> odbyło się XX</w:t>
      </w:r>
      <w:r w:rsidRPr="00E02588">
        <w:rPr>
          <w:rFonts w:asciiTheme="minorHAnsi" w:hAnsiTheme="minorHAnsi" w:cstheme="minorHAnsi"/>
          <w:sz w:val="24"/>
          <w:szCs w:val="24"/>
        </w:rPr>
        <w:t>I</w:t>
      </w:r>
      <w:r w:rsidR="00900F50" w:rsidRPr="00E02588">
        <w:rPr>
          <w:rFonts w:asciiTheme="minorHAnsi" w:hAnsiTheme="minorHAnsi" w:cstheme="minorHAnsi"/>
          <w:sz w:val="24"/>
          <w:szCs w:val="24"/>
        </w:rPr>
        <w:t xml:space="preserve"> posiedzenie Polsko-Litewskiej Komisji Międzyrządowej </w:t>
      </w:r>
      <w:r w:rsidR="005904CF" w:rsidRPr="00E02588">
        <w:rPr>
          <w:rFonts w:asciiTheme="minorHAnsi" w:hAnsiTheme="minorHAnsi" w:cstheme="minorHAnsi"/>
          <w:sz w:val="24"/>
          <w:szCs w:val="24"/>
        </w:rPr>
        <w:t xml:space="preserve">ds. </w:t>
      </w:r>
      <w:r w:rsidR="00900F50" w:rsidRPr="00E02588">
        <w:rPr>
          <w:rFonts w:asciiTheme="minorHAnsi" w:hAnsiTheme="minorHAnsi" w:cstheme="minorHAnsi"/>
          <w:sz w:val="24"/>
          <w:szCs w:val="24"/>
        </w:rPr>
        <w:t>Współpracy Transgranicznej (zwan</w:t>
      </w:r>
      <w:r w:rsidR="002F7713" w:rsidRPr="00E02588">
        <w:rPr>
          <w:rFonts w:asciiTheme="minorHAnsi" w:hAnsiTheme="minorHAnsi" w:cstheme="minorHAnsi"/>
          <w:sz w:val="24"/>
          <w:szCs w:val="24"/>
        </w:rPr>
        <w:t xml:space="preserve">a </w:t>
      </w:r>
      <w:r w:rsidR="00900F50" w:rsidRPr="00E02588">
        <w:rPr>
          <w:rFonts w:asciiTheme="minorHAnsi" w:hAnsiTheme="minorHAnsi" w:cstheme="minorHAnsi"/>
          <w:sz w:val="24"/>
          <w:szCs w:val="24"/>
        </w:rPr>
        <w:t>dalej „Komisj</w:t>
      </w:r>
      <w:r w:rsidR="002F7713" w:rsidRPr="00E02588">
        <w:rPr>
          <w:rFonts w:asciiTheme="minorHAnsi" w:hAnsiTheme="minorHAnsi" w:cstheme="minorHAnsi"/>
          <w:sz w:val="24"/>
          <w:szCs w:val="24"/>
        </w:rPr>
        <w:t>ą</w:t>
      </w:r>
      <w:r w:rsidR="00900F50" w:rsidRPr="00E02588">
        <w:rPr>
          <w:rFonts w:asciiTheme="minorHAnsi" w:hAnsiTheme="minorHAnsi" w:cstheme="minorHAnsi"/>
          <w:sz w:val="24"/>
          <w:szCs w:val="24"/>
        </w:rPr>
        <w:t>”).</w:t>
      </w:r>
      <w:r w:rsidR="00F004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8F6F0F" w14:textId="77777777" w:rsidR="00900F50" w:rsidRPr="00E02588" w:rsidRDefault="00900F50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A45EBA" w14:textId="77777777" w:rsidR="00900F50" w:rsidRPr="00E02588" w:rsidRDefault="00900F50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>Listy uczestników – członków Komisji oraz osób zaproszonych na posiedzenie stanowią załączniki do Protokołu (Załącznik 1 i Załącznik 2).</w:t>
      </w:r>
    </w:p>
    <w:p w14:paraId="35D2DBF7" w14:textId="77777777" w:rsidR="00A17EF0" w:rsidRPr="00E02588" w:rsidRDefault="00A17EF0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4D56C3" w14:textId="77777777" w:rsidR="00900F50" w:rsidRPr="00E02588" w:rsidRDefault="00900F50" w:rsidP="00E02588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Podczas posiedzenia plenarnego Komisja przyjęła następujący </w:t>
      </w:r>
      <w:r w:rsidRPr="00E02588">
        <w:rPr>
          <w:rFonts w:asciiTheme="minorHAnsi" w:hAnsiTheme="minorHAnsi" w:cstheme="minorHAnsi"/>
          <w:bCs/>
          <w:sz w:val="24"/>
          <w:szCs w:val="24"/>
        </w:rPr>
        <w:t>porządek obrad:</w:t>
      </w:r>
    </w:p>
    <w:p w14:paraId="33067459" w14:textId="77777777" w:rsidR="001C57DF" w:rsidRPr="00E02588" w:rsidRDefault="001019BC" w:rsidP="00E0258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Inauguracja</w:t>
      </w:r>
      <w:r w:rsidR="00FC354D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900F50" w:rsidRPr="00E02588">
        <w:rPr>
          <w:rFonts w:asciiTheme="minorHAnsi" w:hAnsiTheme="minorHAnsi" w:cstheme="minorHAnsi"/>
          <w:b/>
          <w:sz w:val="24"/>
          <w:szCs w:val="24"/>
          <w:lang w:val="pl-PL"/>
        </w:rPr>
        <w:t>posiedzenia</w:t>
      </w:r>
      <w:r w:rsidR="002442C5" w:rsidRPr="00E02588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  <w:r w:rsidR="00900F50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</w:t>
      </w:r>
    </w:p>
    <w:p w14:paraId="19AA3767" w14:textId="3339F539" w:rsidR="00A17EF0" w:rsidRPr="00E02588" w:rsidRDefault="00900F50" w:rsidP="00E02588">
      <w:pPr>
        <w:pStyle w:val="Akapitzlist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Podsumowanie </w:t>
      </w:r>
      <w:r w:rsidR="001C0CE7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prac </w:t>
      </w:r>
      <w:r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grup roboczych </w:t>
      </w:r>
      <w:r w:rsidR="001C0CE7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>z</w:t>
      </w:r>
      <w:r w:rsidR="00A67C45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>realizowanych</w:t>
      </w:r>
      <w:r w:rsidR="00B37368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="002442C5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w okresie </w:t>
      </w:r>
      <w:r w:rsidR="00B37368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od </w:t>
      </w:r>
      <w:r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ostatniego posiedzenia Komisji i </w:t>
      </w:r>
      <w:r w:rsidR="00B37368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określenie zadań </w:t>
      </w:r>
      <w:r w:rsidR="003F70C0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>na 2023</w:t>
      </w:r>
      <w:r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rok</w:t>
      </w:r>
      <w:r w:rsidR="00B37368" w:rsidRPr="00E02588">
        <w:rPr>
          <w:rFonts w:asciiTheme="minorHAnsi" w:hAnsiTheme="minorHAnsi" w:cstheme="minorHAnsi"/>
          <w:b/>
          <w:bCs/>
          <w:sz w:val="24"/>
          <w:szCs w:val="24"/>
          <w:lang w:val="pl-PL"/>
        </w:rPr>
        <w:t>:</w:t>
      </w:r>
    </w:p>
    <w:p w14:paraId="321C1F52" w14:textId="0FDD6699" w:rsidR="00A17EF0" w:rsidRPr="00E02588" w:rsidRDefault="001019BC" w:rsidP="00E02588">
      <w:pPr>
        <w:pStyle w:val="Akapitzlist"/>
        <w:numPr>
          <w:ilvl w:val="1"/>
          <w:numId w:val="1"/>
        </w:numPr>
        <w:tabs>
          <w:tab w:val="left" w:pos="1134"/>
        </w:tabs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sz w:val="24"/>
          <w:szCs w:val="24"/>
          <w:lang w:val="pl-PL"/>
        </w:rPr>
        <w:t>G</w:t>
      </w:r>
      <w:r w:rsidR="00B37368" w:rsidRPr="00E02588">
        <w:rPr>
          <w:rFonts w:asciiTheme="minorHAnsi" w:hAnsiTheme="minorHAnsi" w:cstheme="minorHAnsi"/>
          <w:sz w:val="24"/>
          <w:szCs w:val="24"/>
          <w:lang w:val="pl-PL"/>
        </w:rPr>
        <w:t xml:space="preserve">rupa robocza ds. współpracy </w:t>
      </w:r>
      <w:r w:rsidR="005904CF" w:rsidRPr="00E02588">
        <w:rPr>
          <w:rFonts w:asciiTheme="minorHAnsi" w:hAnsiTheme="minorHAnsi" w:cstheme="minorHAnsi"/>
          <w:sz w:val="24"/>
          <w:szCs w:val="24"/>
          <w:lang w:val="pl-PL"/>
        </w:rPr>
        <w:t>przygranicznej</w:t>
      </w:r>
      <w:r w:rsidR="00B37368" w:rsidRPr="00E02588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BEA4967" w14:textId="79356129" w:rsidR="00B37368" w:rsidRPr="00E02588" w:rsidRDefault="003F70C0" w:rsidP="00E02588">
      <w:pPr>
        <w:pStyle w:val="Akapitzlist"/>
        <w:numPr>
          <w:ilvl w:val="1"/>
          <w:numId w:val="1"/>
        </w:numPr>
        <w:tabs>
          <w:tab w:val="left" w:pos="1134"/>
        </w:tabs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sz w:val="24"/>
          <w:szCs w:val="24"/>
          <w:lang w:val="pl-PL"/>
        </w:rPr>
        <w:t>Grupa robocza ds. współpracy międzyregionalnej</w:t>
      </w:r>
      <w:r w:rsidR="00B37368" w:rsidRPr="00E02588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60EF298" w14:textId="3E647878" w:rsidR="00B37368" w:rsidRPr="00E02588" w:rsidRDefault="003F70C0" w:rsidP="00E02588">
      <w:pPr>
        <w:pStyle w:val="Akapitzlist"/>
        <w:numPr>
          <w:ilvl w:val="1"/>
          <w:numId w:val="1"/>
        </w:numPr>
        <w:tabs>
          <w:tab w:val="left" w:pos="1134"/>
        </w:tabs>
        <w:spacing w:after="0" w:line="276" w:lineRule="auto"/>
        <w:ind w:left="1134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sz w:val="24"/>
          <w:szCs w:val="24"/>
          <w:lang w:val="pl-PL"/>
        </w:rPr>
        <w:t>Grupa robocza ds. ratownictwa i ochrony ludności w warunkach sytuacji nadzwyczajnych</w:t>
      </w:r>
      <w:r w:rsidR="00B37368" w:rsidRPr="00E02588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67DACEC" w14:textId="61CFB3B0" w:rsidR="003B2E24" w:rsidRPr="00E02588" w:rsidRDefault="003F70C0" w:rsidP="00E02588">
      <w:pPr>
        <w:pStyle w:val="Akapitzlist"/>
        <w:numPr>
          <w:ilvl w:val="1"/>
          <w:numId w:val="1"/>
        </w:numPr>
        <w:tabs>
          <w:tab w:val="left" w:pos="1134"/>
        </w:tabs>
        <w:spacing w:after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sz w:val="24"/>
          <w:szCs w:val="24"/>
          <w:lang w:val="pl-PL"/>
        </w:rPr>
        <w:t>Grupa robocza ds. gospodarki przestrzennej</w:t>
      </w:r>
      <w:r w:rsidR="002442C5" w:rsidRPr="00E02588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E5FD5AA" w14:textId="77777777" w:rsidR="00A17EF0" w:rsidRPr="00E02588" w:rsidRDefault="00D54FFD" w:rsidP="00E0258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Współpraca w dziedzinie transportu</w:t>
      </w:r>
      <w:r w:rsidR="00A17EF0" w:rsidRPr="00E02588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0F5F469F" w14:textId="47711F15" w:rsidR="001C57DF" w:rsidRPr="00E02588" w:rsidRDefault="00701559" w:rsidP="00E02588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left="1134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Cs/>
          <w:sz w:val="24"/>
          <w:szCs w:val="24"/>
          <w:lang w:val="pl-PL"/>
        </w:rPr>
        <w:t>Zakres współpracy pomiędzy Ministerstwem Infrastruktury Rzeczypospolitej Polskiej a Ministerstwem Transportu i Komunikacji Republiki Litewskiej.</w:t>
      </w:r>
    </w:p>
    <w:p w14:paraId="5525019A" w14:textId="4DA84BED" w:rsidR="003B2E24" w:rsidRPr="00E02588" w:rsidRDefault="00056D06" w:rsidP="00E02588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349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Program</w:t>
      </w:r>
      <w:r w:rsidR="00404F99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Interreg Litwa-Polska 2021-2027.</w:t>
      </w:r>
      <w:r w:rsidR="00404F99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14:paraId="07BB417F" w14:textId="5CF3FAE2" w:rsidR="003B2E24" w:rsidRPr="00E02588" w:rsidRDefault="00056D06" w:rsidP="00E02588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Współpraca służb</w:t>
      </w:r>
      <w:r w:rsidR="00456BD8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404F99" w:rsidRPr="00E02588">
        <w:rPr>
          <w:rFonts w:asciiTheme="minorHAnsi" w:hAnsiTheme="minorHAnsi" w:cstheme="minorHAnsi"/>
          <w:b/>
          <w:sz w:val="24"/>
          <w:szCs w:val="24"/>
          <w:lang w:val="pl-PL"/>
        </w:rPr>
        <w:t>na pograniczu polsko-litewskim</w:t>
      </w:r>
      <w:r w:rsidR="002442C5" w:rsidRPr="00E02588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  <w:r w:rsidR="00404F99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14:paraId="35CC62BB" w14:textId="7153A02B" w:rsidR="003B2E24" w:rsidRPr="00E02588" w:rsidRDefault="00056D06" w:rsidP="00E02588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Doświadczenia polsko-litewskiej współpracy transgranicznej – realizacja projektów.</w:t>
      </w:r>
    </w:p>
    <w:p w14:paraId="7CF45F3F" w14:textId="5D37F55A" w:rsidR="003B2E24" w:rsidRPr="00E02588" w:rsidRDefault="00456BD8" w:rsidP="00E02588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Dyskusja</w:t>
      </w:r>
      <w:r w:rsidR="00A17EF0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. </w:t>
      </w: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Uzgodnienie</w:t>
      </w:r>
      <w:r w:rsidR="00FC354D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ostatecznej wersji projektu protokołu</w:t>
      </w: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  <w:r w:rsidR="00FC354D" w:rsidRPr="00E02588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</w:p>
    <w:p w14:paraId="2B0AEA0B" w14:textId="3BB5A312" w:rsidR="00A17EF0" w:rsidRPr="00E02588" w:rsidRDefault="00FC354D" w:rsidP="00E02588">
      <w:pPr>
        <w:pStyle w:val="Akapitzlist"/>
        <w:numPr>
          <w:ilvl w:val="0"/>
          <w:numId w:val="1"/>
        </w:numPr>
        <w:tabs>
          <w:tab w:val="left" w:pos="709"/>
        </w:tabs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 xml:space="preserve">Podpisanie </w:t>
      </w:r>
      <w:r w:rsidR="000054C8" w:rsidRPr="00E02588">
        <w:rPr>
          <w:rFonts w:asciiTheme="minorHAnsi" w:hAnsiTheme="minorHAnsi" w:cstheme="minorHAnsi"/>
          <w:b/>
          <w:sz w:val="24"/>
          <w:szCs w:val="24"/>
          <w:lang w:val="pl-PL"/>
        </w:rPr>
        <w:t>P</w:t>
      </w:r>
      <w:r w:rsidRPr="00E02588">
        <w:rPr>
          <w:rFonts w:asciiTheme="minorHAnsi" w:hAnsiTheme="minorHAnsi" w:cstheme="minorHAnsi"/>
          <w:b/>
          <w:sz w:val="24"/>
          <w:szCs w:val="24"/>
          <w:lang w:val="pl-PL"/>
        </w:rPr>
        <w:t>rotokołu</w:t>
      </w:r>
      <w:r w:rsidR="00456BD8" w:rsidRPr="00E02588">
        <w:rPr>
          <w:rFonts w:asciiTheme="minorHAnsi" w:hAnsiTheme="minorHAnsi" w:cstheme="minorHAnsi"/>
          <w:b/>
          <w:sz w:val="24"/>
          <w:szCs w:val="24"/>
          <w:lang w:val="pl-PL"/>
        </w:rPr>
        <w:t>.</w:t>
      </w:r>
    </w:p>
    <w:p w14:paraId="5CC164B0" w14:textId="77777777" w:rsidR="002442C5" w:rsidRPr="00E02588" w:rsidRDefault="002442C5" w:rsidP="00E02588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024092BA" w14:textId="77777777" w:rsidR="00A17EF0" w:rsidRPr="00E02588" w:rsidRDefault="001019BC" w:rsidP="00E0258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2588">
        <w:rPr>
          <w:rFonts w:asciiTheme="minorHAnsi" w:hAnsiTheme="minorHAnsi" w:cstheme="minorHAnsi"/>
          <w:b/>
          <w:sz w:val="24"/>
          <w:szCs w:val="24"/>
        </w:rPr>
        <w:t>Inauguracja</w:t>
      </w:r>
      <w:r w:rsidR="00AA39A3" w:rsidRPr="00E025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354D" w:rsidRPr="00E02588">
        <w:rPr>
          <w:rFonts w:asciiTheme="minorHAnsi" w:hAnsiTheme="minorHAnsi" w:cstheme="minorHAnsi"/>
          <w:b/>
          <w:sz w:val="24"/>
          <w:szCs w:val="24"/>
        </w:rPr>
        <w:t xml:space="preserve">posiedzenia </w:t>
      </w:r>
    </w:p>
    <w:p w14:paraId="0249946F" w14:textId="77777777" w:rsidR="00435BC6" w:rsidRPr="00E02588" w:rsidRDefault="00435BC6" w:rsidP="00E02588">
      <w:pPr>
        <w:spacing w:line="276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</w:p>
    <w:p w14:paraId="5BD015E8" w14:textId="47500D58" w:rsidR="002442C5" w:rsidRPr="00E02588" w:rsidRDefault="00331B72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Przewodniczący </w:t>
      </w:r>
      <w:r w:rsidR="00435BC6" w:rsidRPr="00E02588">
        <w:rPr>
          <w:rFonts w:asciiTheme="minorHAnsi" w:hAnsiTheme="minorHAnsi" w:cstheme="minorHAnsi"/>
          <w:sz w:val="24"/>
          <w:szCs w:val="24"/>
        </w:rPr>
        <w:t xml:space="preserve">w swoich wystąpieniach </w:t>
      </w:r>
      <w:r w:rsidR="00FE2610" w:rsidRPr="00E02588">
        <w:rPr>
          <w:rFonts w:asciiTheme="minorHAnsi" w:hAnsiTheme="minorHAnsi" w:cstheme="minorHAnsi"/>
          <w:sz w:val="24"/>
          <w:szCs w:val="24"/>
        </w:rPr>
        <w:t>odnieśli się do aktual</w:t>
      </w:r>
      <w:r w:rsidR="009E36EB" w:rsidRPr="00E02588">
        <w:rPr>
          <w:rFonts w:asciiTheme="minorHAnsi" w:hAnsiTheme="minorHAnsi" w:cstheme="minorHAnsi"/>
          <w:sz w:val="24"/>
          <w:szCs w:val="24"/>
        </w:rPr>
        <w:t xml:space="preserve">nej sytuacji związanej </w:t>
      </w:r>
      <w:r w:rsidRPr="00E02588">
        <w:rPr>
          <w:rFonts w:asciiTheme="minorHAnsi" w:hAnsiTheme="minorHAnsi" w:cstheme="minorHAnsi"/>
          <w:sz w:val="24"/>
          <w:szCs w:val="24"/>
        </w:rPr>
        <w:br/>
      </w:r>
      <w:r w:rsidR="009E36EB" w:rsidRPr="00E02588">
        <w:rPr>
          <w:rFonts w:asciiTheme="minorHAnsi" w:hAnsiTheme="minorHAnsi" w:cstheme="minorHAnsi"/>
          <w:sz w:val="24"/>
          <w:szCs w:val="24"/>
        </w:rPr>
        <w:t xml:space="preserve">z </w:t>
      </w:r>
      <w:r w:rsidR="00201449" w:rsidRPr="00E02588">
        <w:rPr>
          <w:rFonts w:asciiTheme="minorHAnsi" w:hAnsiTheme="minorHAnsi" w:cstheme="minorHAnsi"/>
          <w:sz w:val="24"/>
          <w:szCs w:val="24"/>
        </w:rPr>
        <w:t xml:space="preserve">zagrożeniami </w:t>
      </w:r>
      <w:r w:rsidR="00FE2610" w:rsidRPr="00E02588">
        <w:rPr>
          <w:rFonts w:asciiTheme="minorHAnsi" w:hAnsiTheme="minorHAnsi" w:cstheme="minorHAnsi"/>
          <w:sz w:val="24"/>
          <w:szCs w:val="24"/>
        </w:rPr>
        <w:t>dotyczącymi zmian</w:t>
      </w:r>
      <w:r w:rsidR="00201449" w:rsidRPr="00E02588">
        <w:rPr>
          <w:rFonts w:asciiTheme="minorHAnsi" w:hAnsiTheme="minorHAnsi" w:cstheme="minorHAnsi"/>
          <w:sz w:val="24"/>
          <w:szCs w:val="24"/>
        </w:rPr>
        <w:t xml:space="preserve"> dynamiki bezpieczeństwa w bezpośrednim sąsiedztwie państw-stron Komisji, a także bezpośrednio do zbrojnej agresji Federacji Rosyjskiej na Ukrainę.</w:t>
      </w:r>
      <w:r w:rsidR="001640B7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FA5343" w:rsidRPr="00E02588">
        <w:rPr>
          <w:rFonts w:asciiTheme="minorHAnsi" w:hAnsiTheme="minorHAnsi" w:cstheme="minorHAnsi"/>
          <w:sz w:val="24"/>
          <w:szCs w:val="24"/>
        </w:rPr>
        <w:t xml:space="preserve">Współprzewodniczący podkreślili, że </w:t>
      </w:r>
      <w:r w:rsidR="00201449" w:rsidRPr="00E02588">
        <w:rPr>
          <w:rFonts w:asciiTheme="minorHAnsi" w:hAnsiTheme="minorHAnsi" w:cstheme="minorHAnsi"/>
          <w:sz w:val="24"/>
          <w:szCs w:val="24"/>
        </w:rPr>
        <w:t>wysoki poziom</w:t>
      </w:r>
      <w:r w:rsidR="001640B7" w:rsidRPr="00E02588">
        <w:rPr>
          <w:rFonts w:asciiTheme="minorHAnsi" w:hAnsiTheme="minorHAnsi" w:cstheme="minorHAnsi"/>
          <w:sz w:val="24"/>
          <w:szCs w:val="24"/>
        </w:rPr>
        <w:t xml:space="preserve"> współpracy</w:t>
      </w:r>
      <w:r w:rsidR="005E6294" w:rsidRPr="00E02588">
        <w:rPr>
          <w:rFonts w:asciiTheme="minorHAnsi" w:hAnsiTheme="minorHAnsi" w:cstheme="minorHAnsi"/>
          <w:sz w:val="24"/>
          <w:szCs w:val="24"/>
        </w:rPr>
        <w:t xml:space="preserve"> transgranicznej</w:t>
      </w:r>
      <w:r w:rsidR="001640B7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5E6294" w:rsidRPr="00E02588">
        <w:rPr>
          <w:rFonts w:asciiTheme="minorHAnsi" w:hAnsiTheme="minorHAnsi" w:cstheme="minorHAnsi"/>
          <w:sz w:val="24"/>
          <w:szCs w:val="24"/>
        </w:rPr>
        <w:t>przyczynia się do podnoszenia poziomu bezpieczeństwa</w:t>
      </w:r>
      <w:r w:rsidR="00FA5343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5E6294" w:rsidRPr="00E02588">
        <w:rPr>
          <w:rFonts w:asciiTheme="minorHAnsi" w:hAnsiTheme="minorHAnsi" w:cstheme="minorHAnsi"/>
          <w:sz w:val="24"/>
          <w:szCs w:val="24"/>
        </w:rPr>
        <w:t xml:space="preserve">wśród społeczności lokalnych po obu stronach granicy. </w:t>
      </w:r>
      <w:r w:rsidR="00FA5343" w:rsidRPr="00E02588">
        <w:rPr>
          <w:rFonts w:asciiTheme="minorHAnsi" w:hAnsiTheme="minorHAnsi" w:cstheme="minorHAnsi"/>
          <w:sz w:val="24"/>
          <w:szCs w:val="24"/>
        </w:rPr>
        <w:t>Solidne podstawy współpracy</w:t>
      </w:r>
      <w:r w:rsidR="005E6294" w:rsidRPr="00E02588">
        <w:rPr>
          <w:rFonts w:asciiTheme="minorHAnsi" w:hAnsiTheme="minorHAnsi" w:cstheme="minorHAnsi"/>
          <w:sz w:val="24"/>
          <w:szCs w:val="24"/>
        </w:rPr>
        <w:t xml:space="preserve"> i </w:t>
      </w:r>
      <w:r w:rsidR="00CA7CBB" w:rsidRPr="00E02588">
        <w:rPr>
          <w:rFonts w:asciiTheme="minorHAnsi" w:hAnsiTheme="minorHAnsi" w:cstheme="minorHAnsi"/>
          <w:sz w:val="24"/>
          <w:szCs w:val="24"/>
        </w:rPr>
        <w:t xml:space="preserve">długie </w:t>
      </w:r>
      <w:r w:rsidR="005E6294" w:rsidRPr="00E02588">
        <w:rPr>
          <w:rFonts w:asciiTheme="minorHAnsi" w:hAnsiTheme="minorHAnsi" w:cstheme="minorHAnsi"/>
          <w:sz w:val="24"/>
          <w:szCs w:val="24"/>
        </w:rPr>
        <w:t>lata wspólnych doświadczeń</w:t>
      </w:r>
      <w:r w:rsidR="00CA7CBB" w:rsidRPr="00E02588">
        <w:rPr>
          <w:rFonts w:asciiTheme="minorHAnsi" w:hAnsiTheme="minorHAnsi" w:cstheme="minorHAnsi"/>
          <w:sz w:val="24"/>
          <w:szCs w:val="24"/>
        </w:rPr>
        <w:t xml:space="preserve"> w ramach prac Komisji </w:t>
      </w:r>
      <w:r w:rsidR="005E6294" w:rsidRPr="00E02588">
        <w:rPr>
          <w:rFonts w:asciiTheme="minorHAnsi" w:hAnsiTheme="minorHAnsi" w:cstheme="minorHAnsi"/>
          <w:sz w:val="24"/>
          <w:szCs w:val="24"/>
        </w:rPr>
        <w:t>są gwarancją rozwoju</w:t>
      </w:r>
      <w:r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435BC6" w:rsidRPr="00E02588">
        <w:rPr>
          <w:rFonts w:asciiTheme="minorHAnsi" w:hAnsiTheme="minorHAnsi" w:cstheme="minorHAnsi"/>
          <w:sz w:val="24"/>
          <w:szCs w:val="24"/>
        </w:rPr>
        <w:t>inicjatyw transgranicznych</w:t>
      </w:r>
      <w:r w:rsidR="00FE2610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CA7CBB" w:rsidRPr="00E02588">
        <w:rPr>
          <w:rFonts w:asciiTheme="minorHAnsi" w:hAnsiTheme="minorHAnsi" w:cstheme="minorHAnsi"/>
          <w:sz w:val="24"/>
          <w:szCs w:val="24"/>
        </w:rPr>
        <w:t>i przekładają się na wiele aspektów</w:t>
      </w:r>
      <w:r w:rsidR="00435BC6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CA7CBB" w:rsidRPr="00E02588">
        <w:rPr>
          <w:rFonts w:asciiTheme="minorHAnsi" w:hAnsiTheme="minorHAnsi" w:cstheme="minorHAnsi"/>
          <w:sz w:val="24"/>
          <w:szCs w:val="24"/>
        </w:rPr>
        <w:t>dobrosąsiedzkiej współpracy na polsko-litewskim pograniczu</w:t>
      </w:r>
      <w:r w:rsidR="00435BC6" w:rsidRPr="00E02588">
        <w:rPr>
          <w:rFonts w:asciiTheme="minorHAnsi" w:hAnsiTheme="minorHAnsi" w:cstheme="minorHAnsi"/>
          <w:sz w:val="24"/>
          <w:szCs w:val="24"/>
        </w:rPr>
        <w:t>.</w:t>
      </w:r>
      <w:r w:rsidR="00435BC6" w:rsidRPr="00E02588">
        <w:rPr>
          <w:rFonts w:asciiTheme="minorHAnsi" w:hAnsiTheme="minorHAnsi" w:cstheme="minorHAnsi"/>
          <w:sz w:val="24"/>
          <w:szCs w:val="24"/>
        </w:rPr>
        <w:cr/>
      </w:r>
    </w:p>
    <w:p w14:paraId="58E53CDE" w14:textId="54AB403C" w:rsidR="00A17EF0" w:rsidRPr="00E02588" w:rsidRDefault="00AA39A3" w:rsidP="00E0258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2588">
        <w:rPr>
          <w:rFonts w:asciiTheme="minorHAnsi" w:hAnsiTheme="minorHAnsi" w:cstheme="minorHAnsi"/>
          <w:b/>
          <w:bCs/>
          <w:sz w:val="24"/>
          <w:szCs w:val="24"/>
        </w:rPr>
        <w:t xml:space="preserve">Podsumowanie </w:t>
      </w:r>
      <w:r w:rsidR="001C0CE7" w:rsidRPr="00E02588">
        <w:rPr>
          <w:rFonts w:asciiTheme="minorHAnsi" w:hAnsiTheme="minorHAnsi" w:cstheme="minorHAnsi"/>
          <w:b/>
          <w:bCs/>
          <w:sz w:val="24"/>
          <w:szCs w:val="24"/>
        </w:rPr>
        <w:t xml:space="preserve">prac </w:t>
      </w:r>
      <w:r w:rsidRPr="00E02588">
        <w:rPr>
          <w:rFonts w:asciiTheme="minorHAnsi" w:hAnsiTheme="minorHAnsi" w:cstheme="minorHAnsi"/>
          <w:b/>
          <w:bCs/>
          <w:sz w:val="24"/>
          <w:szCs w:val="24"/>
        </w:rPr>
        <w:t xml:space="preserve">grup roboczych </w:t>
      </w:r>
      <w:r w:rsidR="001C0CE7" w:rsidRPr="00E02588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A67C45" w:rsidRPr="00E02588">
        <w:rPr>
          <w:rFonts w:asciiTheme="minorHAnsi" w:hAnsiTheme="minorHAnsi" w:cstheme="minorHAnsi"/>
          <w:b/>
          <w:bCs/>
          <w:sz w:val="24"/>
          <w:szCs w:val="24"/>
        </w:rPr>
        <w:t>realizowanych</w:t>
      </w:r>
      <w:r w:rsidRPr="00E025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442C5" w:rsidRPr="00E02588">
        <w:rPr>
          <w:rFonts w:asciiTheme="minorHAnsi" w:hAnsiTheme="minorHAnsi" w:cstheme="minorHAnsi"/>
          <w:b/>
          <w:bCs/>
          <w:sz w:val="24"/>
          <w:szCs w:val="24"/>
        </w:rPr>
        <w:t xml:space="preserve">w okresie </w:t>
      </w:r>
      <w:r w:rsidRPr="00E02588">
        <w:rPr>
          <w:rFonts w:asciiTheme="minorHAnsi" w:hAnsiTheme="minorHAnsi" w:cstheme="minorHAnsi"/>
          <w:b/>
          <w:bCs/>
          <w:sz w:val="24"/>
          <w:szCs w:val="24"/>
        </w:rPr>
        <w:t>od</w:t>
      </w:r>
      <w:r w:rsidR="001C0CE7" w:rsidRPr="00E025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2588">
        <w:rPr>
          <w:rFonts w:asciiTheme="minorHAnsi" w:hAnsiTheme="minorHAnsi" w:cstheme="minorHAnsi"/>
          <w:b/>
          <w:bCs/>
          <w:sz w:val="24"/>
          <w:szCs w:val="24"/>
        </w:rPr>
        <w:t>ostatniego posiedzenia Ko</w:t>
      </w:r>
      <w:r w:rsidR="004934E3" w:rsidRPr="00E02588">
        <w:rPr>
          <w:rFonts w:asciiTheme="minorHAnsi" w:hAnsiTheme="minorHAnsi" w:cstheme="minorHAnsi"/>
          <w:b/>
          <w:bCs/>
          <w:sz w:val="24"/>
          <w:szCs w:val="24"/>
        </w:rPr>
        <w:t>misji i określenie zadań na 2023</w:t>
      </w:r>
      <w:r w:rsidRPr="00E02588">
        <w:rPr>
          <w:rFonts w:asciiTheme="minorHAnsi" w:hAnsiTheme="minorHAnsi" w:cstheme="minorHAnsi"/>
          <w:b/>
          <w:bCs/>
          <w:sz w:val="24"/>
          <w:szCs w:val="24"/>
        </w:rPr>
        <w:t xml:space="preserve"> rok</w:t>
      </w:r>
      <w:r w:rsidR="00A17EF0" w:rsidRPr="00E02588">
        <w:rPr>
          <w:rFonts w:asciiTheme="minorHAnsi" w:hAnsiTheme="minorHAnsi" w:cstheme="minorHAnsi"/>
          <w:b/>
          <w:sz w:val="24"/>
          <w:szCs w:val="24"/>
        </w:rPr>
        <w:t>:</w:t>
      </w:r>
    </w:p>
    <w:p w14:paraId="6D5CEFCE" w14:textId="77777777" w:rsidR="002442C5" w:rsidRPr="00E02588" w:rsidRDefault="002442C5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68A5E7" w14:textId="40E63205" w:rsidR="002442C5" w:rsidRPr="00E02588" w:rsidRDefault="002543DD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Komisja </w:t>
      </w:r>
      <w:r w:rsidR="004934E3" w:rsidRPr="00E02588">
        <w:rPr>
          <w:rFonts w:asciiTheme="minorHAnsi" w:hAnsiTheme="minorHAnsi" w:cstheme="minorHAnsi"/>
          <w:sz w:val="24"/>
          <w:szCs w:val="24"/>
        </w:rPr>
        <w:t>wysłuchała informacji</w:t>
      </w:r>
      <w:r w:rsidRPr="00E02588">
        <w:rPr>
          <w:rFonts w:asciiTheme="minorHAnsi" w:hAnsiTheme="minorHAnsi" w:cstheme="minorHAnsi"/>
          <w:sz w:val="24"/>
          <w:szCs w:val="24"/>
        </w:rPr>
        <w:t xml:space="preserve"> przewodniczących grup roboczych na temat działalności grup i </w:t>
      </w:r>
      <w:r w:rsidR="001C0CE7" w:rsidRPr="00E02588">
        <w:rPr>
          <w:rFonts w:asciiTheme="minorHAnsi" w:hAnsiTheme="minorHAnsi" w:cstheme="minorHAnsi"/>
          <w:sz w:val="24"/>
          <w:szCs w:val="24"/>
        </w:rPr>
        <w:t>z</w:t>
      </w:r>
      <w:r w:rsidRPr="00E02588">
        <w:rPr>
          <w:rFonts w:asciiTheme="minorHAnsi" w:hAnsiTheme="minorHAnsi" w:cstheme="minorHAnsi"/>
          <w:sz w:val="24"/>
          <w:szCs w:val="24"/>
        </w:rPr>
        <w:t>realizowanych przez nie zadań ora</w:t>
      </w:r>
      <w:r w:rsidR="004934E3" w:rsidRPr="00E02588">
        <w:rPr>
          <w:rFonts w:asciiTheme="minorHAnsi" w:hAnsiTheme="minorHAnsi" w:cstheme="minorHAnsi"/>
          <w:sz w:val="24"/>
          <w:szCs w:val="24"/>
        </w:rPr>
        <w:t>z planów na 2023</w:t>
      </w:r>
      <w:r w:rsidRPr="00E02588">
        <w:rPr>
          <w:rFonts w:asciiTheme="minorHAnsi" w:hAnsiTheme="minorHAnsi" w:cstheme="minorHAnsi"/>
          <w:sz w:val="24"/>
          <w:szCs w:val="24"/>
        </w:rPr>
        <w:t xml:space="preserve"> rok.</w:t>
      </w:r>
    </w:p>
    <w:p w14:paraId="46B15055" w14:textId="77777777" w:rsidR="005832ED" w:rsidRPr="00E02588" w:rsidRDefault="005832ED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639650" w14:textId="77777777" w:rsidR="00A17EF0" w:rsidRPr="00E02588" w:rsidRDefault="002543DD" w:rsidP="00E02588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2588">
        <w:rPr>
          <w:rFonts w:asciiTheme="minorHAnsi" w:hAnsiTheme="minorHAnsi" w:cstheme="minorHAnsi"/>
          <w:b/>
          <w:sz w:val="24"/>
          <w:szCs w:val="24"/>
        </w:rPr>
        <w:t xml:space="preserve">Grupa </w:t>
      </w:r>
      <w:r w:rsidR="00B5724E" w:rsidRPr="00E02588">
        <w:rPr>
          <w:rFonts w:asciiTheme="minorHAnsi" w:hAnsiTheme="minorHAnsi" w:cstheme="minorHAnsi"/>
          <w:b/>
          <w:sz w:val="24"/>
          <w:szCs w:val="24"/>
        </w:rPr>
        <w:t>r</w:t>
      </w:r>
      <w:r w:rsidRPr="00E02588">
        <w:rPr>
          <w:rFonts w:asciiTheme="minorHAnsi" w:hAnsiTheme="minorHAnsi" w:cstheme="minorHAnsi"/>
          <w:b/>
          <w:sz w:val="24"/>
          <w:szCs w:val="24"/>
        </w:rPr>
        <w:t xml:space="preserve">obocza ds. </w:t>
      </w:r>
      <w:r w:rsidR="00B5724E" w:rsidRPr="00E02588">
        <w:rPr>
          <w:rFonts w:asciiTheme="minorHAnsi" w:hAnsiTheme="minorHAnsi" w:cstheme="minorHAnsi"/>
          <w:b/>
          <w:sz w:val="24"/>
          <w:szCs w:val="24"/>
        </w:rPr>
        <w:t>w</w:t>
      </w:r>
      <w:r w:rsidRPr="00E02588">
        <w:rPr>
          <w:rFonts w:asciiTheme="minorHAnsi" w:hAnsiTheme="minorHAnsi" w:cstheme="minorHAnsi"/>
          <w:b/>
          <w:sz w:val="24"/>
          <w:szCs w:val="24"/>
        </w:rPr>
        <w:t xml:space="preserve">spółpracy </w:t>
      </w:r>
      <w:r w:rsidR="00B818FA" w:rsidRPr="00E02588">
        <w:rPr>
          <w:rFonts w:asciiTheme="minorHAnsi" w:hAnsiTheme="minorHAnsi" w:cstheme="minorHAnsi"/>
          <w:b/>
          <w:sz w:val="24"/>
          <w:szCs w:val="24"/>
        </w:rPr>
        <w:t>przygranicznej</w:t>
      </w:r>
      <w:r w:rsidRPr="00E0258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8A2ED6" w14:textId="77777777" w:rsidR="00464F3B" w:rsidRPr="00E02588" w:rsidRDefault="00464F3B" w:rsidP="00E02588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B75AD2D" w14:textId="5164084E" w:rsidR="002E4CD4" w:rsidRPr="00E02588" w:rsidRDefault="002E4CD4" w:rsidP="00E02588">
      <w:pPr>
        <w:spacing w:line="276" w:lineRule="auto"/>
        <w:jc w:val="both"/>
        <w:rPr>
          <w:sz w:val="24"/>
          <w:szCs w:val="24"/>
        </w:rPr>
      </w:pPr>
      <w:r w:rsidRPr="00E02588">
        <w:rPr>
          <w:iCs/>
          <w:sz w:val="24"/>
          <w:szCs w:val="24"/>
        </w:rPr>
        <w:t xml:space="preserve">Komisja przyjęła do wiadomości, że współpraca służb sanitarno-epidemiologicznych, weterynaryjnych, ochrony środowiska, pożarniczych, ratowniczych, zarządzania kryzysowego, granicznych i celnych, ochrony porządku publicznego oraz służb policyjnych była tematem </w:t>
      </w:r>
      <w:r w:rsidR="00F97CA8">
        <w:rPr>
          <w:iCs/>
          <w:sz w:val="24"/>
          <w:szCs w:val="24"/>
        </w:rPr>
        <w:br/>
      </w:r>
      <w:r w:rsidRPr="00E02588">
        <w:rPr>
          <w:iCs/>
          <w:sz w:val="24"/>
          <w:szCs w:val="24"/>
        </w:rPr>
        <w:t xml:space="preserve">XVI posiedzenia Grupy Roboczej ds. Współpracy Przygranicznej, które odbyło się </w:t>
      </w:r>
      <w:r w:rsidR="00F97CA8">
        <w:rPr>
          <w:iCs/>
          <w:sz w:val="24"/>
          <w:szCs w:val="24"/>
        </w:rPr>
        <w:br/>
      </w:r>
      <w:r w:rsidRPr="00E02588">
        <w:rPr>
          <w:iCs/>
          <w:sz w:val="24"/>
          <w:szCs w:val="24"/>
        </w:rPr>
        <w:t xml:space="preserve">20 października 2022 r. w Mariampolu. Komisja </w:t>
      </w:r>
      <w:r w:rsidR="00EC011B">
        <w:rPr>
          <w:iCs/>
          <w:sz w:val="24"/>
          <w:szCs w:val="24"/>
        </w:rPr>
        <w:t>zapoznała się z informacją</w:t>
      </w:r>
      <w:r w:rsidRPr="00E02588">
        <w:rPr>
          <w:iCs/>
          <w:sz w:val="24"/>
          <w:szCs w:val="24"/>
        </w:rPr>
        <w:t xml:space="preserve"> na temat działalności i zadań grupy roboczej, a także sposobu wypełnienia zobowiązań podjętych na poprzednich posiedzeniach. </w:t>
      </w:r>
    </w:p>
    <w:p w14:paraId="2C816F8A" w14:textId="77777777" w:rsidR="002E4CD4" w:rsidRPr="00E02588" w:rsidRDefault="002E4CD4" w:rsidP="00E02588">
      <w:pPr>
        <w:spacing w:line="276" w:lineRule="auto"/>
        <w:jc w:val="both"/>
        <w:rPr>
          <w:sz w:val="24"/>
          <w:szCs w:val="24"/>
        </w:rPr>
      </w:pPr>
      <w:r w:rsidRPr="00E02588">
        <w:rPr>
          <w:iCs/>
          <w:sz w:val="24"/>
          <w:szCs w:val="24"/>
        </w:rPr>
        <w:lastRenderedPageBreak/>
        <w:t xml:space="preserve">  </w:t>
      </w:r>
    </w:p>
    <w:p w14:paraId="7CA0D2F3" w14:textId="069D6446" w:rsidR="002E4CD4" w:rsidRPr="00E02588" w:rsidRDefault="002E4CD4" w:rsidP="00E02588">
      <w:pPr>
        <w:spacing w:line="276" w:lineRule="auto"/>
        <w:jc w:val="both"/>
        <w:rPr>
          <w:sz w:val="24"/>
          <w:szCs w:val="24"/>
        </w:rPr>
      </w:pPr>
      <w:r w:rsidRPr="00E02588">
        <w:rPr>
          <w:iCs/>
          <w:sz w:val="24"/>
          <w:szCs w:val="24"/>
        </w:rPr>
        <w:t xml:space="preserve">Komisja doceniła fakt, że spotkania grupy roboczej mają charakter stały i odbywają się bezproblemowo, co ułatwia wymianę doświadczeń i stwarza możliwości </w:t>
      </w:r>
      <w:r w:rsidR="00826AE9" w:rsidRPr="00E02588">
        <w:rPr>
          <w:iCs/>
          <w:sz w:val="24"/>
          <w:szCs w:val="24"/>
        </w:rPr>
        <w:t xml:space="preserve">dla </w:t>
      </w:r>
      <w:r w:rsidRPr="00E02588">
        <w:rPr>
          <w:iCs/>
          <w:sz w:val="24"/>
          <w:szCs w:val="24"/>
        </w:rPr>
        <w:t>stałego rozwoju relacji</w:t>
      </w:r>
      <w:r w:rsidR="00826AE9" w:rsidRPr="00E02588">
        <w:rPr>
          <w:iCs/>
          <w:sz w:val="24"/>
          <w:szCs w:val="24"/>
        </w:rPr>
        <w:t xml:space="preserve"> dwustronnych</w:t>
      </w:r>
      <w:r w:rsidRPr="00E02588">
        <w:rPr>
          <w:iCs/>
          <w:sz w:val="24"/>
          <w:szCs w:val="24"/>
        </w:rPr>
        <w:t xml:space="preserve">. </w:t>
      </w:r>
    </w:p>
    <w:p w14:paraId="40C9C1F8" w14:textId="77777777" w:rsidR="002E4CD4" w:rsidRPr="00E02588" w:rsidRDefault="002E4CD4" w:rsidP="00E02588">
      <w:pPr>
        <w:spacing w:line="276" w:lineRule="auto"/>
        <w:jc w:val="both"/>
        <w:rPr>
          <w:sz w:val="24"/>
          <w:szCs w:val="24"/>
        </w:rPr>
      </w:pPr>
      <w:r w:rsidRPr="00E02588">
        <w:rPr>
          <w:iCs/>
          <w:sz w:val="24"/>
          <w:szCs w:val="24"/>
        </w:rPr>
        <w:t xml:space="preserve">  </w:t>
      </w:r>
    </w:p>
    <w:p w14:paraId="144C0706" w14:textId="46E9B3B8" w:rsidR="002E4CD4" w:rsidRPr="00E02588" w:rsidRDefault="002E4CD4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iCs/>
          <w:sz w:val="24"/>
          <w:szCs w:val="24"/>
        </w:rPr>
        <w:t xml:space="preserve">Komisja zdecydowanie poparła potrzebę kontynuowania prac grupy roboczej </w:t>
      </w:r>
      <w:r w:rsidRPr="00E02588">
        <w:rPr>
          <w:iCs/>
          <w:sz w:val="24"/>
          <w:szCs w:val="24"/>
        </w:rPr>
        <w:br/>
        <w:t>w dotychcz</w:t>
      </w:r>
      <w:r w:rsidR="00EC011B">
        <w:rPr>
          <w:iCs/>
          <w:sz w:val="24"/>
          <w:szCs w:val="24"/>
        </w:rPr>
        <w:t>asowym trybie. Jednocześnie przy</w:t>
      </w:r>
      <w:r w:rsidRPr="00E02588">
        <w:rPr>
          <w:iCs/>
          <w:sz w:val="24"/>
          <w:szCs w:val="24"/>
        </w:rPr>
        <w:t>jęła informację o zaplanowanym na 2023 r. następnym posiedzeniu grupy roboczej, które odbędzie się na terytorium Rzeczpospolitej Polskiej.</w:t>
      </w:r>
    </w:p>
    <w:p w14:paraId="6A1D610A" w14:textId="77777777" w:rsidR="001F20AF" w:rsidRPr="00E02588" w:rsidRDefault="001F20AF" w:rsidP="00E0258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CA63FF" w14:textId="77777777" w:rsidR="001F20AF" w:rsidRPr="00E02588" w:rsidRDefault="001F20AF" w:rsidP="00E0258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2588">
        <w:rPr>
          <w:rFonts w:asciiTheme="minorHAnsi" w:hAnsiTheme="minorHAnsi" w:cstheme="minorHAnsi"/>
          <w:b/>
          <w:sz w:val="24"/>
          <w:szCs w:val="24"/>
        </w:rPr>
        <w:t xml:space="preserve">Grupa robocza ds. współpracy międzyregionalnej </w:t>
      </w:r>
    </w:p>
    <w:p w14:paraId="026B0382" w14:textId="77777777" w:rsidR="001F20AF" w:rsidRPr="00E02588" w:rsidRDefault="001F20AF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724BD8" w14:textId="38FE6CCA" w:rsidR="001F20AF" w:rsidRPr="00E02588" w:rsidRDefault="001F20AF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Komisja zapoznała się z informacją na temat współpracy podejmowanej przez instytucje </w:t>
      </w:r>
      <w:r w:rsidRPr="00E02588">
        <w:rPr>
          <w:rFonts w:asciiTheme="minorHAnsi" w:hAnsiTheme="minorHAnsi" w:cstheme="minorHAnsi"/>
          <w:sz w:val="24"/>
          <w:szCs w:val="24"/>
        </w:rPr>
        <w:br/>
        <w:t>i organizacje z regionów przygranicznych Polski i Litwy, wysoko oceniając dotychczasowe zaangażowanie stron w realizację wspólnych projektów. Zdaniem Komisji</w:t>
      </w:r>
      <w:r w:rsidR="00EC011B">
        <w:rPr>
          <w:rFonts w:asciiTheme="minorHAnsi" w:hAnsiTheme="minorHAnsi" w:cstheme="minorHAnsi"/>
          <w:sz w:val="24"/>
          <w:szCs w:val="24"/>
        </w:rPr>
        <w:t>,</w:t>
      </w:r>
      <w:r w:rsidRPr="00E02588">
        <w:rPr>
          <w:rFonts w:asciiTheme="minorHAnsi" w:hAnsiTheme="minorHAnsi" w:cstheme="minorHAnsi"/>
          <w:sz w:val="24"/>
          <w:szCs w:val="24"/>
        </w:rPr>
        <w:t xml:space="preserve"> inicjatywy te wzmacniają potencjał współpracy oraz poprawiają jakość życia lokalnej społeczności.</w:t>
      </w:r>
    </w:p>
    <w:p w14:paraId="61D49175" w14:textId="77777777" w:rsidR="001F20AF" w:rsidRPr="00E02588" w:rsidRDefault="001F20AF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2DD2D3E" w14:textId="669D3B72" w:rsidR="001F20AF" w:rsidRPr="00E02588" w:rsidRDefault="001F20AF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>Mając powyższe na uwadze</w:t>
      </w:r>
      <w:r w:rsidR="00EC011B">
        <w:rPr>
          <w:rFonts w:asciiTheme="minorHAnsi" w:hAnsiTheme="minorHAnsi" w:cstheme="minorHAnsi"/>
          <w:sz w:val="24"/>
          <w:szCs w:val="24"/>
        </w:rPr>
        <w:t>,</w:t>
      </w:r>
      <w:r w:rsidRPr="00E02588">
        <w:rPr>
          <w:rFonts w:asciiTheme="minorHAnsi" w:hAnsiTheme="minorHAnsi" w:cstheme="minorHAnsi"/>
          <w:sz w:val="24"/>
          <w:szCs w:val="24"/>
        </w:rPr>
        <w:t xml:space="preserve"> Komisja pozytywnie odnosi się do deklaracji Grupy roboczej co do dalszego rozwijania współpracy w zakresie </w:t>
      </w:r>
      <w:r w:rsidR="00523CD0">
        <w:rPr>
          <w:rFonts w:asciiTheme="minorHAnsi" w:hAnsiTheme="minorHAnsi" w:cstheme="minorHAnsi"/>
          <w:sz w:val="24"/>
          <w:szCs w:val="24"/>
        </w:rPr>
        <w:t xml:space="preserve">inicjowania wspólnych projektów oraz </w:t>
      </w:r>
      <w:r w:rsidRPr="00E02588">
        <w:rPr>
          <w:rFonts w:asciiTheme="minorHAnsi" w:hAnsiTheme="minorHAnsi" w:cstheme="minorHAnsi"/>
          <w:sz w:val="24"/>
          <w:szCs w:val="24"/>
        </w:rPr>
        <w:t xml:space="preserve">kontynuowania starań na rzecz </w:t>
      </w:r>
      <w:r w:rsidR="00523CD0">
        <w:rPr>
          <w:rFonts w:asciiTheme="minorHAnsi" w:hAnsiTheme="minorHAnsi" w:cstheme="minorHAnsi"/>
          <w:sz w:val="24"/>
          <w:szCs w:val="24"/>
        </w:rPr>
        <w:t>pozyskiwania środków unijnych i krajowych w celu realizacji wspólnych inicjatyw</w:t>
      </w:r>
      <w:r w:rsidRPr="00E02588">
        <w:rPr>
          <w:rFonts w:asciiTheme="minorHAnsi" w:hAnsiTheme="minorHAnsi" w:cstheme="minorHAnsi"/>
          <w:sz w:val="24"/>
          <w:szCs w:val="24"/>
        </w:rPr>
        <w:t>.</w:t>
      </w:r>
    </w:p>
    <w:p w14:paraId="0F6898B2" w14:textId="069C198B" w:rsidR="00B3591B" w:rsidRPr="00E02588" w:rsidRDefault="00B3591B" w:rsidP="00E0258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780CDA" w14:textId="77777777" w:rsidR="00F97CA8" w:rsidRDefault="00F97CA8" w:rsidP="00E0258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91B20F" w14:textId="77777777" w:rsidR="00F97CA8" w:rsidRDefault="00F97CA8" w:rsidP="00E0258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689907" w14:textId="77777777" w:rsidR="00F97CA8" w:rsidRDefault="00F97CA8" w:rsidP="00E0258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C3887F" w14:textId="77777777" w:rsidR="00F97CA8" w:rsidRDefault="00F97CA8" w:rsidP="00E0258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E153E2" w14:textId="77777777" w:rsidR="00A17EF0" w:rsidRPr="00E02588" w:rsidRDefault="001C57DF" w:rsidP="00E0258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2588">
        <w:rPr>
          <w:rFonts w:asciiTheme="minorHAnsi" w:hAnsiTheme="minorHAnsi" w:cstheme="minorHAnsi"/>
          <w:b/>
          <w:bCs/>
          <w:sz w:val="24"/>
          <w:szCs w:val="24"/>
        </w:rPr>
        <w:t>Grupa robocza ds. ratownictwa i ochrony ludności w warunkach sytuacji nadzwyczajnych</w:t>
      </w:r>
    </w:p>
    <w:p w14:paraId="395BDCB2" w14:textId="77777777" w:rsidR="00B818FA" w:rsidRPr="00E02588" w:rsidRDefault="00B818FA" w:rsidP="00E02588">
      <w:pPr>
        <w:pStyle w:val="Akapitzlist"/>
        <w:spacing w:after="0" w:line="276" w:lineRule="auto"/>
        <w:ind w:left="502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E4FA11E" w14:textId="72BDAA8E" w:rsidR="00F55EAF" w:rsidRPr="00F55EAF" w:rsidRDefault="00F55EAF" w:rsidP="00F55EAF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Komisja wysoko oceniła działania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służb pożarniczo-ratowniczych, </w:t>
      </w:r>
      <w:r w:rsidR="00EC011B">
        <w:rPr>
          <w:rFonts w:asciiTheme="minorHAnsi" w:eastAsia="Times New Roman" w:hAnsiTheme="minorHAnsi" w:cstheme="minorHAnsi"/>
          <w:sz w:val="24"/>
          <w:szCs w:val="24"/>
          <w:lang w:eastAsia="pl-PL"/>
        </w:rPr>
        <w:t>zwłaszcza w regio</w:t>
      </w: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t>nach przygranicznych, zmierzające do zaci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eśnienia współpracy </w:t>
      </w: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zapobiegania sytuacjom nadzwyczajnym i podniesienia poziomu gotowości do prowadzenia wspólnych działań podczas usuwania ich skutków. </w:t>
      </w:r>
    </w:p>
    <w:p w14:paraId="2E1C1434" w14:textId="77777777" w:rsidR="00F55EAF" w:rsidRDefault="00F55EAF" w:rsidP="00F55EAF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FE4EA1E" w14:textId="5CA2D5A6" w:rsidR="00F55EAF" w:rsidRPr="00F55EAF" w:rsidRDefault="00F55EAF" w:rsidP="00F55EAF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Komisja ze szczególnym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uznaniem</w:t>
      </w: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odniosła się do wspólnych działań stron, tak w zakresie dwustronnym, jak i wielostronnym, dotyczących pomocy stronie ukraińskiej w obliczu rosyjskiej agresji militarnej. </w:t>
      </w:r>
    </w:p>
    <w:p w14:paraId="063FEB6E" w14:textId="77777777" w:rsidR="00F55EAF" w:rsidRDefault="00F55EAF" w:rsidP="00F55EAF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BF66227" w14:textId="7F8A083A" w:rsidR="00F55EAF" w:rsidRPr="00F55EAF" w:rsidRDefault="00F55EAF" w:rsidP="00F55EAF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t>Biorąc pod uwagę sytuację geopolityczną, w tym między innymi potencjalne zagrożenia związane z bliskim sąsiedztwem elektrowni atomowych, Komisja popiera podjętą przez strony decyzję o współpracy w zakresie przygotowania i reagowania na zdarzenia o charakterze chemicznym, biologicznym, radiacyjnym i nuklearnym.</w:t>
      </w:r>
    </w:p>
    <w:p w14:paraId="5D379AF3" w14:textId="77777777" w:rsidR="00F55EAF" w:rsidRDefault="00F55EAF" w:rsidP="00F55EAF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B640748" w14:textId="43D29FE3" w:rsidR="00B3591B" w:rsidRDefault="00F55EAF" w:rsidP="00F55EAF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t>Komisja z zadowoleniem przyjęła także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o podjęciu działań </w:t>
      </w: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t>w obszarze prewencji społecznej, jak również realizacji wspólnych projektów na rzecz poprawy poziomu bezpieczeństwa w regionie</w:t>
      </w:r>
      <w:r w:rsidR="00730F68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F55E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finansowanych w ramach funduszy europejskich.</w:t>
      </w:r>
      <w:r w:rsidR="00EF6D9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Ponadto, przychyliła się do wniosku stron o wsparcie w dążeniu do przygotowania i realizacji projektów indywidualnych w trybie pozakonkursowym programu Interreg VI A Litwa-Polska.</w:t>
      </w:r>
    </w:p>
    <w:p w14:paraId="39403AC3" w14:textId="77777777" w:rsidR="00F55EAF" w:rsidRPr="00E02588" w:rsidRDefault="00F55EAF" w:rsidP="00F55EA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F927C" w14:textId="0F4FE3A8" w:rsidR="00D161C8" w:rsidRPr="00E02588" w:rsidRDefault="00A70147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b/>
          <w:sz w:val="24"/>
          <w:szCs w:val="24"/>
        </w:rPr>
        <w:t>Grupa</w:t>
      </w:r>
      <w:r w:rsidR="00B5724E" w:rsidRPr="00E02588">
        <w:rPr>
          <w:rFonts w:asciiTheme="minorHAnsi" w:hAnsiTheme="minorHAnsi" w:cstheme="minorHAnsi"/>
          <w:b/>
          <w:bCs/>
          <w:sz w:val="24"/>
          <w:szCs w:val="24"/>
        </w:rPr>
        <w:t xml:space="preserve"> robocza ds. gospodarki przestrzennej</w:t>
      </w:r>
    </w:p>
    <w:p w14:paraId="5AD3640E" w14:textId="77777777" w:rsidR="00B818FA" w:rsidRPr="00E02588" w:rsidRDefault="0068685B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05929A19" w14:textId="7B903ABF" w:rsidR="00201449" w:rsidRPr="00E02588" w:rsidRDefault="00201449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Komisja podtrzymała propozycje kontynuacji rozpoczętych dyskusji dotyczących rozwoju przestrzennego (terytorialnego) pogranicza polsko-litewskiego. Przyjęła do wiadomości, </w:t>
      </w:r>
      <w:r w:rsidR="00EC011B">
        <w:rPr>
          <w:rFonts w:asciiTheme="minorHAnsi" w:hAnsiTheme="minorHAnsi" w:cstheme="minorHAnsi"/>
          <w:sz w:val="24"/>
          <w:szCs w:val="24"/>
        </w:rPr>
        <w:br/>
      </w:r>
      <w:r w:rsidRPr="00E02588">
        <w:rPr>
          <w:rFonts w:asciiTheme="minorHAnsi" w:hAnsiTheme="minorHAnsi" w:cstheme="minorHAnsi"/>
          <w:sz w:val="24"/>
          <w:szCs w:val="24"/>
        </w:rPr>
        <w:t>że należy kontynuować dyskusje nad celowością przygotowania wizji rozwoju przestrzenno-terytorialnego pogranicza polsko-litewskiego. Komisja dostrzega wagę systematycznej współ</w:t>
      </w:r>
      <w:r w:rsidRPr="00E02588">
        <w:rPr>
          <w:rFonts w:asciiTheme="minorHAnsi" w:hAnsiTheme="minorHAnsi" w:cstheme="minorHAnsi"/>
          <w:sz w:val="24"/>
          <w:szCs w:val="24"/>
        </w:rPr>
        <w:lastRenderedPageBreak/>
        <w:t>pracy w zakresie planowania przestrzennego i rozwoju, która przyczynia się do skutecznej koordynacji działań w obszarze transgranicznym, w szczególności do wzmocnienia konkurencyjności, spójności i zmniejszenia różnic między regionami</w:t>
      </w:r>
      <w:r w:rsidR="00730F68">
        <w:rPr>
          <w:rFonts w:asciiTheme="minorHAnsi" w:hAnsiTheme="minorHAnsi" w:cstheme="minorHAnsi"/>
          <w:sz w:val="24"/>
          <w:szCs w:val="24"/>
        </w:rPr>
        <w:t>.</w:t>
      </w:r>
    </w:p>
    <w:p w14:paraId="3E1D9462" w14:textId="77777777" w:rsidR="00201449" w:rsidRPr="00E02588" w:rsidRDefault="00201449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E5F3C" w14:textId="7C610BFF" w:rsidR="00201449" w:rsidRPr="00E02588" w:rsidRDefault="00201449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Komisja odnotowała, że po stronie polskiej decyzje dotyczące celowości sporządzenia opracowań planistycznych dla przygranicznych obszarów funkcjonalnych podejmie właściwy </w:t>
      </w:r>
      <w:r w:rsidR="002D64A4">
        <w:rPr>
          <w:rFonts w:asciiTheme="minorHAnsi" w:hAnsiTheme="minorHAnsi" w:cstheme="minorHAnsi"/>
          <w:sz w:val="24"/>
          <w:szCs w:val="24"/>
        </w:rPr>
        <w:t xml:space="preserve">organ </w:t>
      </w:r>
      <w:r w:rsidRPr="00E02588">
        <w:rPr>
          <w:rFonts w:asciiTheme="minorHAnsi" w:hAnsiTheme="minorHAnsi" w:cstheme="minorHAnsi"/>
          <w:sz w:val="24"/>
          <w:szCs w:val="24"/>
        </w:rPr>
        <w:t>samorząd</w:t>
      </w:r>
      <w:r w:rsidR="002D64A4">
        <w:rPr>
          <w:rFonts w:asciiTheme="minorHAnsi" w:hAnsiTheme="minorHAnsi" w:cstheme="minorHAnsi"/>
          <w:sz w:val="24"/>
          <w:szCs w:val="24"/>
        </w:rPr>
        <w:t>u</w:t>
      </w:r>
      <w:r w:rsidRPr="00E02588">
        <w:rPr>
          <w:rFonts w:asciiTheme="minorHAnsi" w:hAnsiTheme="minorHAnsi" w:cstheme="minorHAnsi"/>
          <w:sz w:val="24"/>
          <w:szCs w:val="24"/>
        </w:rPr>
        <w:t xml:space="preserve"> województwa, który posiada wyłączne kompetencje do prowadzenia polityki rozwoju, w tym: w zakresie kształtowania i utrzymania ładu przestrzennego.</w:t>
      </w:r>
    </w:p>
    <w:p w14:paraId="540D8386" w14:textId="77777777" w:rsidR="00201449" w:rsidRPr="00E02588" w:rsidRDefault="00201449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4D5346" w14:textId="4DBD90C2" w:rsidR="007505C5" w:rsidRPr="001F5AA7" w:rsidRDefault="00201449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 xml:space="preserve">Komisja </w:t>
      </w:r>
      <w:r w:rsidR="00D350D4">
        <w:rPr>
          <w:rFonts w:asciiTheme="minorHAnsi" w:hAnsiTheme="minorHAnsi" w:cstheme="minorHAnsi"/>
          <w:sz w:val="24"/>
          <w:szCs w:val="24"/>
        </w:rPr>
        <w:t>wysłuchała</w:t>
      </w:r>
      <w:r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D350D4">
        <w:rPr>
          <w:rFonts w:asciiTheme="minorHAnsi" w:hAnsiTheme="minorHAnsi" w:cstheme="minorHAnsi"/>
          <w:sz w:val="24"/>
          <w:szCs w:val="24"/>
        </w:rPr>
        <w:t>informacji</w:t>
      </w:r>
      <w:r w:rsidRPr="00E02588">
        <w:rPr>
          <w:rFonts w:asciiTheme="minorHAnsi" w:hAnsiTheme="minorHAnsi" w:cstheme="minorHAnsi"/>
          <w:sz w:val="24"/>
          <w:szCs w:val="24"/>
        </w:rPr>
        <w:t xml:space="preserve"> przedstawicieli polskiego Ministerstwa Funduszy </w:t>
      </w:r>
      <w:r w:rsidRPr="00E02588">
        <w:rPr>
          <w:rFonts w:asciiTheme="minorHAnsi" w:hAnsiTheme="minorHAnsi" w:cstheme="minorHAnsi"/>
          <w:sz w:val="24"/>
          <w:szCs w:val="24"/>
        </w:rPr>
        <w:br/>
        <w:t xml:space="preserve">i Polityki Regionalnej </w:t>
      </w:r>
      <w:r w:rsidR="00D350D4">
        <w:rPr>
          <w:rFonts w:asciiTheme="minorHAnsi" w:hAnsiTheme="minorHAnsi" w:cstheme="minorHAnsi"/>
          <w:sz w:val="24"/>
          <w:szCs w:val="24"/>
        </w:rPr>
        <w:t xml:space="preserve">o </w:t>
      </w:r>
      <w:r w:rsidR="00D350D4" w:rsidRPr="00E02588">
        <w:rPr>
          <w:rFonts w:asciiTheme="minorHAnsi" w:hAnsiTheme="minorHAnsi" w:cstheme="minorHAnsi"/>
          <w:sz w:val="24"/>
          <w:szCs w:val="24"/>
        </w:rPr>
        <w:t xml:space="preserve">gotowości </w:t>
      </w:r>
      <w:r w:rsidRPr="00E02588">
        <w:rPr>
          <w:rFonts w:asciiTheme="minorHAnsi" w:hAnsiTheme="minorHAnsi" w:cstheme="minorHAnsi"/>
          <w:sz w:val="24"/>
          <w:szCs w:val="24"/>
        </w:rPr>
        <w:t xml:space="preserve">do czynnego udziału i wsparcia merytorycznego prac nad </w:t>
      </w:r>
      <w:r w:rsidR="00CF2F79">
        <w:rPr>
          <w:rFonts w:asciiTheme="minorHAnsi" w:hAnsiTheme="minorHAnsi" w:cstheme="minorHAnsi"/>
          <w:sz w:val="24"/>
          <w:szCs w:val="24"/>
        </w:rPr>
        <w:t>opracowaniem wspólnego</w:t>
      </w:r>
      <w:r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CF2F79">
        <w:rPr>
          <w:rFonts w:asciiTheme="minorHAnsi" w:hAnsiTheme="minorHAnsi" w:cstheme="minorHAnsi"/>
          <w:sz w:val="24"/>
          <w:szCs w:val="24"/>
        </w:rPr>
        <w:t>przyszłego</w:t>
      </w:r>
      <w:r w:rsidR="00D350D4">
        <w:rPr>
          <w:rFonts w:asciiTheme="minorHAnsi" w:hAnsiTheme="minorHAnsi" w:cstheme="minorHAnsi"/>
          <w:sz w:val="24"/>
          <w:szCs w:val="24"/>
        </w:rPr>
        <w:t xml:space="preserve"> </w:t>
      </w:r>
      <w:r w:rsidR="00CF2F79">
        <w:rPr>
          <w:rFonts w:asciiTheme="minorHAnsi" w:hAnsiTheme="minorHAnsi" w:cstheme="minorHAnsi"/>
          <w:sz w:val="24"/>
          <w:szCs w:val="24"/>
        </w:rPr>
        <w:t>dokumentu koncepcyjnego</w:t>
      </w:r>
      <w:r w:rsidR="00D350D4">
        <w:rPr>
          <w:rFonts w:asciiTheme="minorHAnsi" w:hAnsiTheme="minorHAnsi" w:cstheme="minorHAnsi"/>
          <w:sz w:val="24"/>
          <w:szCs w:val="24"/>
        </w:rPr>
        <w:t>,</w:t>
      </w:r>
      <w:r w:rsidRPr="00E02588">
        <w:rPr>
          <w:rFonts w:asciiTheme="minorHAnsi" w:hAnsiTheme="minorHAnsi" w:cstheme="minorHAnsi"/>
          <w:sz w:val="24"/>
          <w:szCs w:val="24"/>
        </w:rPr>
        <w:t xml:space="preserve"> w przypadku wyrażenia takiej potrzeby przez właściwy samorząd województwa po polskiej stronie. </w:t>
      </w:r>
      <w:r w:rsidR="00A17EF0" w:rsidRPr="00E02588"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14:paraId="5FB513A4" w14:textId="4AE02979" w:rsidR="00A17EF0" w:rsidRPr="00E02588" w:rsidRDefault="00421135" w:rsidP="00E0258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2588">
        <w:rPr>
          <w:rFonts w:asciiTheme="minorHAnsi" w:hAnsiTheme="minorHAnsi" w:cstheme="minorHAnsi"/>
          <w:b/>
          <w:sz w:val="24"/>
          <w:szCs w:val="24"/>
        </w:rPr>
        <w:t>Współpraca w dziedzinie</w:t>
      </w:r>
      <w:r w:rsidR="00A17EF0" w:rsidRPr="00E02588">
        <w:rPr>
          <w:rFonts w:asciiTheme="minorHAnsi" w:hAnsiTheme="minorHAnsi" w:cstheme="minorHAnsi"/>
          <w:b/>
          <w:sz w:val="24"/>
          <w:szCs w:val="24"/>
        </w:rPr>
        <w:t xml:space="preserve"> transport</w:t>
      </w:r>
      <w:r w:rsidRPr="00E02588">
        <w:rPr>
          <w:rFonts w:asciiTheme="minorHAnsi" w:hAnsiTheme="minorHAnsi" w:cstheme="minorHAnsi"/>
          <w:b/>
          <w:sz w:val="24"/>
          <w:szCs w:val="24"/>
        </w:rPr>
        <w:t>u</w:t>
      </w:r>
      <w:r w:rsidR="005A69FC" w:rsidRPr="00E0258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BF7430" w14:textId="77777777" w:rsidR="003B2E24" w:rsidRPr="00E02588" w:rsidRDefault="003B2E24" w:rsidP="00E0258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33D00CB7" w14:textId="704C88C0" w:rsidR="00985D14" w:rsidRDefault="00701559" w:rsidP="00E02588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2588">
        <w:rPr>
          <w:rFonts w:asciiTheme="minorHAnsi" w:hAnsiTheme="minorHAnsi" w:cstheme="minorHAnsi"/>
          <w:b/>
          <w:sz w:val="24"/>
          <w:szCs w:val="24"/>
        </w:rPr>
        <w:t>Zakres współpracy pomiędzy Ministerstwem Infrastruktury Rzeczypospolitej Polskiej</w:t>
      </w:r>
      <w:r w:rsidR="00730F68">
        <w:rPr>
          <w:rFonts w:asciiTheme="minorHAnsi" w:hAnsiTheme="minorHAnsi" w:cstheme="minorHAnsi"/>
          <w:b/>
          <w:sz w:val="24"/>
          <w:szCs w:val="24"/>
        </w:rPr>
        <w:br/>
      </w:r>
      <w:r w:rsidRPr="00E02588">
        <w:rPr>
          <w:rFonts w:asciiTheme="minorHAnsi" w:hAnsiTheme="minorHAnsi" w:cstheme="minorHAnsi"/>
          <w:b/>
          <w:sz w:val="24"/>
          <w:szCs w:val="24"/>
        </w:rPr>
        <w:t>a Ministerstwem Transportu i Komunikacji Republiki Litewskiej</w:t>
      </w:r>
    </w:p>
    <w:p w14:paraId="43271C32" w14:textId="77777777" w:rsidR="001F5AA7" w:rsidRPr="001F5AA7" w:rsidRDefault="001F5AA7" w:rsidP="00E02588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3F0615" w14:textId="715076B5" w:rsidR="006A2C4A" w:rsidRPr="006A2C4A" w:rsidRDefault="006A2C4A" w:rsidP="006A2C4A">
      <w:pPr>
        <w:pStyle w:val="NormalnyWeb"/>
        <w:spacing w:after="120" w:line="276" w:lineRule="auto"/>
        <w:jc w:val="both"/>
        <w:rPr>
          <w:rFonts w:asciiTheme="minorHAnsi" w:hAnsiTheme="minorHAnsi" w:cstheme="minorHAnsi"/>
        </w:rPr>
      </w:pPr>
      <w:r w:rsidRPr="006A2C4A">
        <w:rPr>
          <w:rFonts w:asciiTheme="minorHAnsi" w:hAnsiTheme="minorHAnsi" w:cstheme="minorHAnsi"/>
        </w:rPr>
        <w:t>Komisja została poinformowana o podpisaniu 16 września 2022 r. w Wilnie porozumienia między Ministerstwem Transportu i Łączności Republiki Litewskiej a Ministerstwem Infrastruktury RP w sprawie wzmocnienia połączeń między Morzem Bałtyckim a Morzem Czarnym poprzez rozwój Europejskich Korytarzy Transportowych Bałtyk – Morze Czarne/Egejskie i Morze Północne – Bałtyk. W sygnowanym przez ministrów dokumencie poruszono między innymi kwestie rozbudowy połączeń drogowych i kolejowych pomiędzy dwoma krajami. Wśród nich strony zadeklarowały podjęcie działań zmierzających do mode</w:t>
      </w:r>
      <w:r w:rsidR="00730F68">
        <w:rPr>
          <w:rFonts w:asciiTheme="minorHAnsi" w:hAnsiTheme="minorHAnsi" w:cstheme="minorHAnsi"/>
        </w:rPr>
        <w:t xml:space="preserve">rnizacji połączenia drogowego </w:t>
      </w:r>
      <w:r w:rsidRPr="006A2C4A">
        <w:rPr>
          <w:rFonts w:asciiTheme="minorHAnsi" w:hAnsiTheme="minorHAnsi" w:cstheme="minorHAnsi"/>
        </w:rPr>
        <w:t>Augustów-Lazdijai. Należy zaznaczyć, że w ramach procesu rewizji europejskiej sieci transportowej TEN-T strona litewska wystąpiła o włączenie do sieci, w ramach poprawy mobilności wojskowej (</w:t>
      </w:r>
      <w:r w:rsidRPr="006A2C4A">
        <w:rPr>
          <w:rFonts w:asciiTheme="minorHAnsi" w:hAnsiTheme="minorHAnsi" w:cstheme="minorHAnsi"/>
          <w:i/>
        </w:rPr>
        <w:t>military mobility</w:t>
      </w:r>
      <w:r w:rsidRPr="006A2C4A">
        <w:rPr>
          <w:rFonts w:asciiTheme="minorHAnsi" w:hAnsiTheme="minorHAnsi" w:cstheme="minorHAnsi"/>
        </w:rPr>
        <w:t xml:space="preserve">), odcinka Lazdijai </w:t>
      </w:r>
      <w:r>
        <w:rPr>
          <w:rFonts w:asciiTheme="minorHAnsi" w:hAnsiTheme="minorHAnsi" w:cstheme="minorHAnsi"/>
        </w:rPr>
        <w:br/>
      </w:r>
      <w:r w:rsidRPr="006A2C4A">
        <w:rPr>
          <w:rFonts w:asciiTheme="minorHAnsi" w:hAnsiTheme="minorHAnsi" w:cstheme="minorHAnsi"/>
        </w:rPr>
        <w:lastRenderedPageBreak/>
        <w:t>– Alytus – Wilno. Komisja Europejska przychyliła się do tego wniosku</w:t>
      </w:r>
      <w:r w:rsidR="00730F68">
        <w:rPr>
          <w:rFonts w:asciiTheme="minorHAnsi" w:hAnsiTheme="minorHAnsi" w:cstheme="minorHAnsi"/>
        </w:rPr>
        <w:t>,</w:t>
      </w:r>
      <w:r w:rsidRPr="006A2C4A">
        <w:rPr>
          <w:rFonts w:asciiTheme="minorHAnsi" w:hAnsiTheme="minorHAnsi" w:cstheme="minorHAnsi"/>
        </w:rPr>
        <w:t xml:space="preserve"> proponując włączenie po stronie polskiej odcinka Grajewo (DK 61) </w:t>
      </w:r>
      <w:r>
        <w:rPr>
          <w:rFonts w:asciiTheme="minorHAnsi" w:hAnsiTheme="minorHAnsi" w:cstheme="minorHAnsi"/>
        </w:rPr>
        <w:t>–</w:t>
      </w:r>
      <w:r w:rsidRPr="006A2C4A">
        <w:rPr>
          <w:rFonts w:asciiTheme="minorHAnsi" w:hAnsiTheme="minorHAnsi" w:cstheme="minorHAnsi"/>
        </w:rPr>
        <w:t xml:space="preserve"> Augustów (DK 16) – Ogrodniki. Ministerstwo Infrastruktury wyraziło wstępną zgodę na włączenie do sieci, jako odcinka ważnego ze względu na </w:t>
      </w:r>
      <w:r w:rsidR="00A10C5A" w:rsidRPr="00A10C5A">
        <w:rPr>
          <w:rFonts w:asciiTheme="minorHAnsi" w:hAnsiTheme="minorHAnsi" w:cstheme="minorHAnsi"/>
        </w:rPr>
        <w:t>mobilność wojskową</w:t>
      </w:r>
      <w:r w:rsidRPr="006A2C4A">
        <w:rPr>
          <w:rFonts w:asciiTheme="minorHAnsi" w:hAnsiTheme="minorHAnsi" w:cstheme="minorHAnsi"/>
        </w:rPr>
        <w:t>, połączenia Ełk –</w:t>
      </w:r>
      <w:r>
        <w:rPr>
          <w:rFonts w:asciiTheme="minorHAnsi" w:hAnsiTheme="minorHAnsi" w:cstheme="minorHAnsi"/>
        </w:rPr>
        <w:t xml:space="preserve"> </w:t>
      </w:r>
      <w:r w:rsidRPr="006A2C4A">
        <w:rPr>
          <w:rFonts w:asciiTheme="minorHAnsi" w:hAnsiTheme="minorHAnsi" w:cstheme="minorHAnsi"/>
        </w:rPr>
        <w:t xml:space="preserve">Augustów – Lazdijaj – Alytus – Wilno, </w:t>
      </w:r>
      <w:r>
        <w:rPr>
          <w:rFonts w:asciiTheme="minorHAnsi" w:hAnsiTheme="minorHAnsi" w:cstheme="minorHAnsi"/>
        </w:rPr>
        <w:br/>
      </w:r>
      <w:r w:rsidRPr="006A2C4A">
        <w:rPr>
          <w:rFonts w:asciiTheme="minorHAnsi" w:hAnsiTheme="minorHAnsi" w:cstheme="minorHAnsi"/>
        </w:rPr>
        <w:t xml:space="preserve">z wykorzystaniem drogi krajowej nr 16 Ełk </w:t>
      </w:r>
      <w:r>
        <w:rPr>
          <w:rFonts w:asciiTheme="minorHAnsi" w:hAnsiTheme="minorHAnsi" w:cstheme="minorHAnsi"/>
        </w:rPr>
        <w:t>–</w:t>
      </w:r>
      <w:r w:rsidRPr="006A2C4A">
        <w:rPr>
          <w:rFonts w:asciiTheme="minorHAnsi" w:hAnsiTheme="minorHAnsi" w:cstheme="minorHAnsi"/>
        </w:rPr>
        <w:t xml:space="preserve"> Augustów – Ogrodniki. Jednocześnie zastrzeżono, iż DK 16 nie powinna być rozbudowywana poza koniecznymi wzmocnieniami nawierzchni oraz obiektów mostowych.</w:t>
      </w:r>
    </w:p>
    <w:p w14:paraId="03D94DD7" w14:textId="40EB023A" w:rsidR="006A2C4A" w:rsidRPr="006A2C4A" w:rsidRDefault="006A2C4A" w:rsidP="006A2C4A">
      <w:pPr>
        <w:pStyle w:val="NormalnyWeb"/>
        <w:spacing w:after="120" w:line="276" w:lineRule="auto"/>
        <w:jc w:val="both"/>
        <w:rPr>
          <w:rFonts w:asciiTheme="minorHAnsi" w:hAnsiTheme="minorHAnsi" w:cstheme="minorHAnsi"/>
        </w:rPr>
      </w:pPr>
      <w:r w:rsidRPr="006A2C4A">
        <w:rPr>
          <w:rFonts w:asciiTheme="minorHAnsi" w:hAnsiTheme="minorHAnsi" w:cstheme="minorHAnsi"/>
        </w:rPr>
        <w:t xml:space="preserve">Komisja </w:t>
      </w:r>
      <w:r w:rsidR="00E211D3">
        <w:rPr>
          <w:rFonts w:asciiTheme="minorHAnsi" w:hAnsiTheme="minorHAnsi" w:cstheme="minorHAnsi"/>
        </w:rPr>
        <w:t>zapoznała się z informacją</w:t>
      </w:r>
      <w:r w:rsidRPr="006A2C4A">
        <w:rPr>
          <w:rFonts w:asciiTheme="minorHAnsi" w:hAnsiTheme="minorHAnsi" w:cstheme="minorHAnsi"/>
        </w:rPr>
        <w:t xml:space="preserve"> o uruchomieniu pasażerskiego połączenia kolejowego Warszawa-Kowno/Wilno (z przesiadką na stacji Mockava) wraz z rozpoczęciem obowiązywania rozkładu kolejowego 2022/2023. Powyższe połączenie </w:t>
      </w:r>
      <w:r w:rsidR="00E211D3">
        <w:rPr>
          <w:rFonts w:asciiTheme="minorHAnsi" w:hAnsiTheme="minorHAnsi" w:cstheme="minorHAnsi"/>
        </w:rPr>
        <w:t xml:space="preserve">jest rozwiązaniem tymczasowym. </w:t>
      </w:r>
      <w:r w:rsidRPr="006A2C4A">
        <w:rPr>
          <w:rFonts w:asciiTheme="minorHAnsi" w:hAnsiTheme="minorHAnsi" w:cstheme="minorHAnsi"/>
        </w:rPr>
        <w:t>Wraz z kolejnym rozkładem 2023/2024 pociąg z Warsz</w:t>
      </w:r>
      <w:r w:rsidR="00E211D3">
        <w:rPr>
          <w:rFonts w:asciiTheme="minorHAnsi" w:hAnsiTheme="minorHAnsi" w:cstheme="minorHAnsi"/>
        </w:rPr>
        <w:t xml:space="preserve">awy będzie dojeżdżał do Kowna, </w:t>
      </w:r>
      <w:r w:rsidRPr="006A2C4A">
        <w:rPr>
          <w:rFonts w:asciiTheme="minorHAnsi" w:hAnsiTheme="minorHAnsi" w:cstheme="minorHAnsi"/>
        </w:rPr>
        <w:t>gdzie pasażerowie będą się przesiadać na połączenie Kowno-Wilno. Parametry jakościowe pasażerskiego połączenia kolejowego między Wilnem a Warszawą będą stopniowo podnoszone poprzez poprawę istniejącej infrastruktury i zapewnienie niezbędnego taboru, tak aby w 2024 r. i później nie przekroczyć 8 godzin łącznego czasu po</w:t>
      </w:r>
      <w:r w:rsidR="00E211D3">
        <w:rPr>
          <w:rFonts w:asciiTheme="minorHAnsi" w:hAnsiTheme="minorHAnsi" w:cstheme="minorHAnsi"/>
        </w:rPr>
        <w:t xml:space="preserve">dróży między obiema stolicami, </w:t>
      </w:r>
      <w:r w:rsidRPr="006A2C4A">
        <w:rPr>
          <w:rFonts w:asciiTheme="minorHAnsi" w:hAnsiTheme="minorHAnsi" w:cstheme="minorHAnsi"/>
        </w:rPr>
        <w:t>o ile będzie to możliwe.</w:t>
      </w:r>
    </w:p>
    <w:p w14:paraId="428BEE66" w14:textId="77777777" w:rsidR="006A2C4A" w:rsidRPr="006A2C4A" w:rsidRDefault="006A2C4A" w:rsidP="006A2C4A">
      <w:pPr>
        <w:pStyle w:val="NormalnyWeb"/>
        <w:spacing w:after="120" w:line="276" w:lineRule="auto"/>
        <w:jc w:val="both"/>
        <w:rPr>
          <w:rFonts w:asciiTheme="minorHAnsi" w:hAnsiTheme="minorHAnsi" w:cstheme="minorHAnsi"/>
        </w:rPr>
      </w:pPr>
      <w:r w:rsidRPr="006A2C4A">
        <w:rPr>
          <w:rFonts w:asciiTheme="minorHAnsi" w:hAnsiTheme="minorHAnsi" w:cstheme="minorHAnsi"/>
        </w:rPr>
        <w:t xml:space="preserve">Docelowo, po uruchomieniu linii </w:t>
      </w:r>
      <w:r w:rsidRPr="00E211D3">
        <w:rPr>
          <w:rFonts w:asciiTheme="minorHAnsi" w:hAnsiTheme="minorHAnsi" w:cstheme="minorHAnsi"/>
          <w:i/>
        </w:rPr>
        <w:t>Rail Baltica</w:t>
      </w:r>
      <w:r w:rsidRPr="006A2C4A">
        <w:rPr>
          <w:rFonts w:asciiTheme="minorHAnsi" w:hAnsiTheme="minorHAnsi" w:cstheme="minorHAnsi"/>
        </w:rPr>
        <w:t xml:space="preserve">, zostanie uruchomiona bezpośrednia komunikacja pasażerska z wykorzystaniem elektrycznych składów dostosowanych do wymagań technicznych </w:t>
      </w:r>
      <w:r w:rsidRPr="00E211D3">
        <w:rPr>
          <w:rFonts w:asciiTheme="minorHAnsi" w:hAnsiTheme="minorHAnsi" w:cstheme="minorHAnsi"/>
          <w:i/>
        </w:rPr>
        <w:t>Rail Baltica</w:t>
      </w:r>
      <w:r w:rsidRPr="006A2C4A">
        <w:rPr>
          <w:rFonts w:asciiTheme="minorHAnsi" w:hAnsiTheme="minorHAnsi" w:cstheme="minorHAnsi"/>
        </w:rPr>
        <w:t>.</w:t>
      </w:r>
    </w:p>
    <w:p w14:paraId="00592514" w14:textId="58631293" w:rsidR="006A2C4A" w:rsidRPr="006A2C4A" w:rsidRDefault="00E211D3" w:rsidP="006A2C4A">
      <w:pPr>
        <w:pStyle w:val="NormalnyWeb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przyjęła do wiadomości, że s</w:t>
      </w:r>
      <w:r w:rsidR="006A2C4A" w:rsidRPr="006A2C4A">
        <w:rPr>
          <w:rFonts w:asciiTheme="minorHAnsi" w:hAnsiTheme="minorHAnsi" w:cstheme="minorHAnsi"/>
        </w:rPr>
        <w:t xml:space="preserve">trony wymieniły informacje na temat dalszych działań mających na celu realizację projektu </w:t>
      </w:r>
      <w:r w:rsidR="006A2C4A" w:rsidRPr="00E211D3">
        <w:rPr>
          <w:rFonts w:asciiTheme="minorHAnsi" w:hAnsiTheme="minorHAnsi" w:cstheme="minorHAnsi"/>
          <w:i/>
        </w:rPr>
        <w:t>Rail Baltica</w:t>
      </w:r>
      <w:r w:rsidR="006A2C4A" w:rsidRPr="006A2C4A">
        <w:rPr>
          <w:rFonts w:asciiTheme="minorHAnsi" w:hAnsiTheme="minorHAnsi" w:cstheme="minorHAnsi"/>
        </w:rPr>
        <w:t xml:space="preserve">. </w:t>
      </w:r>
      <w:r w:rsidR="00A10C5A">
        <w:rPr>
          <w:rFonts w:asciiTheme="minorHAnsi" w:hAnsiTheme="minorHAnsi" w:cstheme="minorHAnsi"/>
        </w:rPr>
        <w:t>Przede wszystkim</w:t>
      </w:r>
      <w:r w:rsidR="006A2C4A" w:rsidRPr="006A2C4A">
        <w:rPr>
          <w:rFonts w:asciiTheme="minorHAnsi" w:hAnsiTheme="minorHAnsi" w:cstheme="minorHAnsi"/>
        </w:rPr>
        <w:t xml:space="preserve"> omówiono przygotowanie wystąpień o dofinansowanie UE w związku z naborem wniosków w ra</w:t>
      </w:r>
      <w:r w:rsidR="009624E7">
        <w:rPr>
          <w:rFonts w:asciiTheme="minorHAnsi" w:hAnsiTheme="minorHAnsi" w:cstheme="minorHAnsi"/>
        </w:rPr>
        <w:t>mach instrumentu „Łącząc Europę”</w:t>
      </w:r>
      <w:r w:rsidR="006A2C4A" w:rsidRPr="006A2C4A">
        <w:rPr>
          <w:rFonts w:asciiTheme="minorHAnsi" w:hAnsiTheme="minorHAnsi" w:cstheme="minorHAnsi"/>
        </w:rPr>
        <w:t xml:space="preserve"> na lata 2022–2023. Strona litewska poinformowała o zamiarze włączenia do przygotowywanego wniosku działań związanych z nabywaniem gruntów na odcinkach granica polsko-litewska-Kowno-Wilno, a także robót budowlanych na północ od Kowna. Strona polska poinformowała, że do tej po</w:t>
      </w:r>
      <w:r w:rsidR="009624E7">
        <w:rPr>
          <w:rFonts w:asciiTheme="minorHAnsi" w:hAnsiTheme="minorHAnsi" w:cstheme="minorHAnsi"/>
        </w:rPr>
        <w:t xml:space="preserve">ry ukończono około 1/3 </w:t>
      </w:r>
      <w:r w:rsidR="006A2C4A" w:rsidRPr="006A2C4A">
        <w:rPr>
          <w:rFonts w:asciiTheme="minorHAnsi" w:hAnsiTheme="minorHAnsi" w:cstheme="minorHAnsi"/>
        </w:rPr>
        <w:t xml:space="preserve">projektu </w:t>
      </w:r>
      <w:r w:rsidR="006A2C4A" w:rsidRPr="00E211D3">
        <w:rPr>
          <w:rFonts w:asciiTheme="minorHAnsi" w:hAnsiTheme="minorHAnsi" w:cstheme="minorHAnsi"/>
          <w:i/>
        </w:rPr>
        <w:t>Rail Baltica</w:t>
      </w:r>
      <w:r w:rsidR="006A2C4A" w:rsidRPr="006A2C4A">
        <w:rPr>
          <w:rFonts w:asciiTheme="minorHAnsi" w:hAnsiTheme="minorHAnsi" w:cstheme="minorHAnsi"/>
        </w:rPr>
        <w:t xml:space="preserve">. Odcinek Warszawa – Sadowne został oddany do użytku w 2017 roku po modernizacji (prace związane </w:t>
      </w:r>
      <w:r w:rsidR="009624E7">
        <w:rPr>
          <w:rFonts w:asciiTheme="minorHAnsi" w:hAnsiTheme="minorHAnsi" w:cstheme="minorHAnsi"/>
        </w:rPr>
        <w:br/>
      </w:r>
      <w:r w:rsidR="006A2C4A" w:rsidRPr="006A2C4A">
        <w:rPr>
          <w:rFonts w:asciiTheme="minorHAnsi" w:hAnsiTheme="minorHAnsi" w:cstheme="minorHAnsi"/>
        </w:rPr>
        <w:lastRenderedPageBreak/>
        <w:t>z podstacjami trakcyjnymi i podniesieniem prędk</w:t>
      </w:r>
      <w:r>
        <w:rPr>
          <w:rFonts w:asciiTheme="minorHAnsi" w:hAnsiTheme="minorHAnsi" w:cstheme="minorHAnsi"/>
        </w:rPr>
        <w:t xml:space="preserve">ości maksymalnej nadal trwają). </w:t>
      </w:r>
      <w:r w:rsidR="006A2C4A" w:rsidRPr="006A2C4A">
        <w:rPr>
          <w:rFonts w:asciiTheme="minorHAnsi" w:hAnsiTheme="minorHAnsi" w:cstheme="minorHAnsi"/>
        </w:rPr>
        <w:t>W grudniu 2019 r. oddano do użytku 2-torowy odcinek Sadowne – Czyżew oraz oddano do użytku nowy most na rzece Bug, zwiększając tym samym znacznie przepustowość odcinka Warszawa – Białystok i</w:t>
      </w:r>
      <w:r w:rsidR="009624E7">
        <w:rPr>
          <w:rFonts w:asciiTheme="minorHAnsi" w:hAnsiTheme="minorHAnsi" w:cstheme="minorHAnsi"/>
        </w:rPr>
        <w:t xml:space="preserve"> eliminując „wąskie gardła”</w:t>
      </w:r>
      <w:r w:rsidR="006A2C4A" w:rsidRPr="006A2C4A">
        <w:rPr>
          <w:rFonts w:asciiTheme="minorHAnsi" w:hAnsiTheme="minorHAnsi" w:cstheme="minorHAnsi"/>
        </w:rPr>
        <w:t xml:space="preserve">. Trwają również prace na pozostałej części polskiej części </w:t>
      </w:r>
      <w:r w:rsidR="006A2C4A" w:rsidRPr="00E211D3">
        <w:rPr>
          <w:rFonts w:asciiTheme="minorHAnsi" w:hAnsiTheme="minorHAnsi" w:cstheme="minorHAnsi"/>
          <w:i/>
        </w:rPr>
        <w:t>Rail Baltica</w:t>
      </w:r>
      <w:r w:rsidR="006A2C4A" w:rsidRPr="006A2C4A">
        <w:rPr>
          <w:rFonts w:asciiTheme="minorHAnsi" w:hAnsiTheme="minorHAnsi" w:cstheme="minorHAnsi"/>
        </w:rPr>
        <w:t>: prace budowlane są realizowan</w:t>
      </w:r>
      <w:r>
        <w:rPr>
          <w:rFonts w:asciiTheme="minorHAnsi" w:hAnsiTheme="minorHAnsi" w:cstheme="minorHAnsi"/>
        </w:rPr>
        <w:t>e na odcinku Czyżew – Białystok (</w:t>
      </w:r>
      <w:r w:rsidR="006A2C4A" w:rsidRPr="006A2C4A">
        <w:rPr>
          <w:rFonts w:asciiTheme="minorHAnsi" w:hAnsiTheme="minorHAnsi" w:cstheme="minorHAnsi"/>
        </w:rPr>
        <w:t>umo</w:t>
      </w:r>
      <w:r>
        <w:rPr>
          <w:rFonts w:asciiTheme="minorHAnsi" w:hAnsiTheme="minorHAnsi" w:cstheme="minorHAnsi"/>
        </w:rPr>
        <w:t>wa została podpisana w 2020 r.).</w:t>
      </w:r>
      <w:r w:rsidR="006A2C4A" w:rsidRPr="006A2C4A">
        <w:rPr>
          <w:rFonts w:asciiTheme="minorHAnsi" w:hAnsiTheme="minorHAnsi" w:cstheme="minorHAnsi"/>
        </w:rPr>
        <w:t xml:space="preserve"> Prowadzone są również prace na dworcach kolejowych Ełk i Ełk Towarowy oraz przystanku Ełk Szyba Wschód. Przygotowywana jest dokumentacja projektowa na odcinku Białystok - Ełk - Trakiszki.</w:t>
      </w:r>
    </w:p>
    <w:p w14:paraId="76F014AE" w14:textId="46111653" w:rsidR="006A2C4A" w:rsidRPr="006A2C4A" w:rsidRDefault="006A2C4A" w:rsidP="006A2C4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2C4A">
        <w:rPr>
          <w:rFonts w:asciiTheme="minorHAnsi" w:hAnsiTheme="minorHAnsi" w:cstheme="minorHAnsi"/>
          <w:sz w:val="24"/>
          <w:szCs w:val="24"/>
        </w:rPr>
        <w:t>Komisja odnotowała zaangażowanie obydwu stron w kwestii poprawy jakości lokalnych po</w:t>
      </w:r>
      <w:r w:rsidR="00E211D3">
        <w:rPr>
          <w:rFonts w:asciiTheme="minorHAnsi" w:hAnsiTheme="minorHAnsi" w:cstheme="minorHAnsi"/>
          <w:sz w:val="24"/>
          <w:szCs w:val="24"/>
        </w:rPr>
        <w:t>łączeń drogowych. W roku 2020</w:t>
      </w:r>
      <w:r w:rsidRPr="006A2C4A">
        <w:rPr>
          <w:rFonts w:asciiTheme="minorHAnsi" w:hAnsiTheme="minorHAnsi" w:cstheme="minorHAnsi"/>
          <w:sz w:val="24"/>
          <w:szCs w:val="24"/>
        </w:rPr>
        <w:t xml:space="preserve"> została powołana grupa robocza z udziałem przedstawicieli ministerstw ds. transportu obu krajów oraz samorządów lokalnych. Ostatnie dwustronne posiedzenie Grupy roboczej ds. drogowych połączeń transgranicznych między Polską a Litwą odbyło się 14 stycznia 2022 r. i było poświęcone określeniu priorytetów inwestycyjnych. Omówiono również możliwości finansowania lokalnych połączeń drogowych oraz uzgodnienie parametrów technicznych dróg po obu stronach granicy. Polskie samorządy otrzymały już pierwsze środki na przebudowę dróg w ramach Rządowego Funduszu Polski Ład: Program Inwestycji Strategicznych.</w:t>
      </w:r>
    </w:p>
    <w:p w14:paraId="73563BB0" w14:textId="7ACC6519" w:rsidR="006A2C4A" w:rsidRPr="006A2C4A" w:rsidRDefault="006A2C4A" w:rsidP="006A2C4A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2C4A">
        <w:rPr>
          <w:rFonts w:asciiTheme="minorHAnsi" w:hAnsiTheme="minorHAnsi" w:cstheme="minorHAnsi"/>
          <w:sz w:val="24"/>
          <w:szCs w:val="24"/>
        </w:rPr>
        <w:t>Komisja po wysłuchaniu informacji przekazanych przez instytucje odpowiedzialne za rozwój infrastruktury transportowej z zadowoleniem odnotowała aktywną współpracę instytucjonalną, dzięki której infra</w:t>
      </w:r>
      <w:r w:rsidR="009624E7">
        <w:rPr>
          <w:rFonts w:asciiTheme="minorHAnsi" w:hAnsiTheme="minorHAnsi" w:cstheme="minorHAnsi"/>
          <w:sz w:val="24"/>
          <w:szCs w:val="24"/>
        </w:rPr>
        <w:t>struktura polsko-litewskich regio</w:t>
      </w:r>
      <w:r w:rsidRPr="006A2C4A">
        <w:rPr>
          <w:rFonts w:asciiTheme="minorHAnsi" w:hAnsiTheme="minorHAnsi" w:cstheme="minorHAnsi"/>
          <w:sz w:val="24"/>
          <w:szCs w:val="24"/>
        </w:rPr>
        <w:t xml:space="preserve">nów przygranicznych ulega polepszeniu i jest dostosowywana do potrzeb mobilności ludności lokalnej. </w:t>
      </w:r>
    </w:p>
    <w:p w14:paraId="502197F9" w14:textId="77777777" w:rsidR="00985D14" w:rsidRPr="00C50394" w:rsidRDefault="00985D14" w:rsidP="00E025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2E7C015" w14:textId="1837E796" w:rsidR="00A17EF0" w:rsidRPr="00C50394" w:rsidRDefault="00056D06" w:rsidP="00E02588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50394">
        <w:rPr>
          <w:rFonts w:asciiTheme="minorHAnsi" w:hAnsiTheme="minorHAnsi" w:cstheme="minorHAnsi"/>
          <w:b/>
          <w:sz w:val="24"/>
          <w:szCs w:val="24"/>
        </w:rPr>
        <w:t xml:space="preserve">Program Interreg </w:t>
      </w:r>
      <w:r w:rsidR="004E19A5">
        <w:rPr>
          <w:rFonts w:asciiTheme="minorHAnsi" w:hAnsiTheme="minorHAnsi" w:cstheme="minorHAnsi"/>
          <w:b/>
          <w:sz w:val="24"/>
          <w:szCs w:val="24"/>
        </w:rPr>
        <w:t xml:space="preserve">VI A </w:t>
      </w:r>
      <w:r w:rsidRPr="00C50394">
        <w:rPr>
          <w:rFonts w:asciiTheme="minorHAnsi" w:hAnsiTheme="minorHAnsi" w:cstheme="minorHAnsi"/>
          <w:b/>
          <w:sz w:val="24"/>
          <w:szCs w:val="24"/>
        </w:rPr>
        <w:t>Litwa-Polska 2021-2027</w:t>
      </w:r>
      <w:r w:rsidR="00A13249" w:rsidRPr="00C503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0B13A" w14:textId="77777777" w:rsidR="005832ED" w:rsidRPr="00E02588" w:rsidRDefault="005832ED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F13AEE1" w14:textId="357A9198" w:rsidR="00B77BEE" w:rsidRDefault="00C50394" w:rsidP="00C50394">
      <w:pPr>
        <w:pStyle w:val="NormalnyWeb"/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C50394">
        <w:rPr>
          <w:rFonts w:asciiTheme="minorHAnsi" w:hAnsiTheme="minorHAnsi" w:cstheme="minorHAnsi"/>
          <w:lang w:eastAsia="en-US"/>
        </w:rPr>
        <w:t>Komisja wysłuchała informacji</w:t>
      </w:r>
      <w:r>
        <w:rPr>
          <w:rFonts w:asciiTheme="minorHAnsi" w:hAnsiTheme="minorHAnsi" w:cstheme="minorHAnsi"/>
          <w:lang w:eastAsia="en-US"/>
        </w:rPr>
        <w:t xml:space="preserve"> o postępie realizacji polsko-</w:t>
      </w:r>
      <w:r w:rsidRPr="00C50394">
        <w:rPr>
          <w:rFonts w:asciiTheme="minorHAnsi" w:hAnsiTheme="minorHAnsi" w:cstheme="minorHAnsi"/>
          <w:lang w:eastAsia="en-US"/>
        </w:rPr>
        <w:t>litewskiego programu współpracy transgrani</w:t>
      </w:r>
      <w:r>
        <w:rPr>
          <w:rFonts w:asciiTheme="minorHAnsi" w:hAnsiTheme="minorHAnsi" w:cstheme="minorHAnsi"/>
          <w:lang w:eastAsia="en-US"/>
        </w:rPr>
        <w:t>cznej na lata 2014-2020, tj. statusie</w:t>
      </w:r>
      <w:r w:rsidRPr="00C50394">
        <w:rPr>
          <w:rFonts w:asciiTheme="minorHAnsi" w:hAnsiTheme="minorHAnsi" w:cstheme="minorHAnsi"/>
          <w:lang w:eastAsia="en-US"/>
        </w:rPr>
        <w:t xml:space="preserve"> realizowan</w:t>
      </w:r>
      <w:r>
        <w:rPr>
          <w:rFonts w:asciiTheme="minorHAnsi" w:hAnsiTheme="minorHAnsi" w:cstheme="minorHAnsi"/>
          <w:lang w:eastAsia="en-US"/>
        </w:rPr>
        <w:t>ych projektów oraz wykorzystaniu</w:t>
      </w:r>
      <w:r w:rsidRPr="00C50394">
        <w:rPr>
          <w:rFonts w:asciiTheme="minorHAnsi" w:hAnsiTheme="minorHAnsi" w:cstheme="minorHAnsi"/>
          <w:lang w:eastAsia="en-US"/>
        </w:rPr>
        <w:t xml:space="preserve"> środków. </w:t>
      </w:r>
      <w:r>
        <w:rPr>
          <w:rFonts w:asciiTheme="minorHAnsi" w:hAnsiTheme="minorHAnsi" w:cstheme="minorHAnsi"/>
          <w:lang w:eastAsia="en-US"/>
        </w:rPr>
        <w:t>P</w:t>
      </w:r>
      <w:r w:rsidRPr="00C50394">
        <w:rPr>
          <w:rFonts w:asciiTheme="minorHAnsi" w:hAnsiTheme="minorHAnsi" w:cstheme="minorHAnsi"/>
          <w:lang w:eastAsia="en-US"/>
        </w:rPr>
        <w:t>onadto</w:t>
      </w:r>
      <w:r>
        <w:rPr>
          <w:rFonts w:asciiTheme="minorHAnsi" w:hAnsiTheme="minorHAnsi" w:cstheme="minorHAnsi"/>
          <w:lang w:eastAsia="en-US"/>
        </w:rPr>
        <w:t>,</w:t>
      </w:r>
      <w:r w:rsidRPr="00C50394">
        <w:rPr>
          <w:rFonts w:asciiTheme="minorHAnsi" w:hAnsiTheme="minorHAnsi" w:cstheme="minorHAnsi"/>
          <w:lang w:eastAsia="en-US"/>
        </w:rPr>
        <w:t xml:space="preserve"> Komisja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C50394">
        <w:rPr>
          <w:rFonts w:asciiTheme="minorHAnsi" w:hAnsiTheme="minorHAnsi" w:cstheme="minorHAnsi"/>
          <w:lang w:eastAsia="en-US"/>
        </w:rPr>
        <w:t>zapoznała się z koncepcją programu Interreg</w:t>
      </w:r>
      <w:r w:rsidR="004E19A5">
        <w:rPr>
          <w:rFonts w:asciiTheme="minorHAnsi" w:hAnsiTheme="minorHAnsi" w:cstheme="minorHAnsi"/>
          <w:lang w:eastAsia="en-US"/>
        </w:rPr>
        <w:t xml:space="preserve"> VI A</w:t>
      </w:r>
      <w:r w:rsidRPr="00C50394">
        <w:rPr>
          <w:rFonts w:asciiTheme="minorHAnsi" w:hAnsiTheme="minorHAnsi" w:cstheme="minorHAnsi"/>
          <w:lang w:eastAsia="en-US"/>
        </w:rPr>
        <w:t xml:space="preserve"> Litwa-Polska </w:t>
      </w:r>
      <w:r w:rsidR="009624E7">
        <w:rPr>
          <w:rFonts w:asciiTheme="minorHAnsi" w:hAnsiTheme="minorHAnsi" w:cstheme="minorHAnsi"/>
          <w:lang w:eastAsia="en-US"/>
        </w:rPr>
        <w:br/>
      </w:r>
      <w:r w:rsidRPr="00C50394">
        <w:rPr>
          <w:rFonts w:asciiTheme="minorHAnsi" w:hAnsiTheme="minorHAnsi" w:cstheme="minorHAnsi"/>
          <w:lang w:eastAsia="en-US"/>
        </w:rPr>
        <w:lastRenderedPageBreak/>
        <w:t>2021-2027, który 26 września 2022 r. został zatwierdzony przez Komisje Europejską. Przedstawiono informację o założeniach programu: obszarze, przykładowych beneficjentach oraz możliwych do realizacji działaniach w ramach poszczególnych priorytetów. Poinformowano o planowanym posiedzeniu pierwszego Komitetu Monitorującego oraz trwających pracach nad dokumentami wdrożeniowymi niezbędnymi do uruchomienia naboru wniosków.</w:t>
      </w:r>
    </w:p>
    <w:p w14:paraId="1F172769" w14:textId="77777777" w:rsidR="00F97CA8" w:rsidRDefault="00F97CA8" w:rsidP="00E02588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</w:p>
    <w:p w14:paraId="5375A0BF" w14:textId="77777777" w:rsidR="00EF6D90" w:rsidRDefault="00EF6D90" w:rsidP="00E02588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2A49388" w14:textId="77777777" w:rsidR="00EF6D90" w:rsidRDefault="00EF6D90" w:rsidP="00E02588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</w:p>
    <w:p w14:paraId="5EBCB893" w14:textId="77777777" w:rsidR="00EF6D90" w:rsidRDefault="00EF6D90" w:rsidP="00E02588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901B606" w14:textId="77777777" w:rsidR="00EF6D90" w:rsidRDefault="00EF6D90" w:rsidP="00E02588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E3392DD" w14:textId="62460529" w:rsidR="003B2E24" w:rsidRPr="00E02588" w:rsidRDefault="00056D06" w:rsidP="00E02588">
      <w:pPr>
        <w:pStyle w:val="NormalnyWeb"/>
        <w:spacing w:line="276" w:lineRule="auto"/>
        <w:jc w:val="both"/>
        <w:rPr>
          <w:rFonts w:asciiTheme="minorHAnsi" w:hAnsiTheme="minorHAnsi" w:cstheme="minorHAnsi"/>
          <w:b/>
        </w:rPr>
      </w:pPr>
      <w:r w:rsidRPr="00E02588">
        <w:rPr>
          <w:rFonts w:asciiTheme="minorHAnsi" w:hAnsiTheme="minorHAnsi" w:cstheme="minorHAnsi"/>
          <w:b/>
        </w:rPr>
        <w:t>Współpraca służb na pograniczu polsko-litewskim</w:t>
      </w:r>
    </w:p>
    <w:p w14:paraId="31323415" w14:textId="77777777" w:rsidR="00056D06" w:rsidRPr="00E02588" w:rsidRDefault="00056D06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21E1A4" w14:textId="75EEE50C" w:rsidR="00BF4C83" w:rsidRDefault="00665640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sz w:val="24"/>
          <w:szCs w:val="24"/>
        </w:rPr>
        <w:t>Komisja z zadowoleniem odnotowała</w:t>
      </w:r>
      <w:r w:rsidRPr="00E02588">
        <w:rPr>
          <w:sz w:val="24"/>
          <w:szCs w:val="24"/>
        </w:rPr>
        <w:t>, że współpraca służb granicznych realizowana jest systematycznie i bezproblemowo, stwar</w:t>
      </w:r>
      <w:r w:rsidR="00FF7542">
        <w:rPr>
          <w:sz w:val="24"/>
          <w:szCs w:val="24"/>
        </w:rPr>
        <w:t xml:space="preserve">zając jednocześnie możliwość do </w:t>
      </w:r>
      <w:r w:rsidRPr="00E02588">
        <w:rPr>
          <w:sz w:val="24"/>
          <w:szCs w:val="24"/>
        </w:rPr>
        <w:t>wymiany doświadczeń i stałego rozwoju relacji.</w:t>
      </w:r>
      <w:r w:rsidR="00CF4DC1" w:rsidRPr="00E02588">
        <w:rPr>
          <w:rFonts w:asciiTheme="minorHAnsi" w:hAnsiTheme="minorHAnsi" w:cstheme="minorHAnsi"/>
          <w:sz w:val="24"/>
          <w:szCs w:val="24"/>
        </w:rPr>
        <w:t xml:space="preserve"> Ponadto </w:t>
      </w:r>
      <w:r w:rsidR="00BC6DD0" w:rsidRPr="00E02588">
        <w:rPr>
          <w:rFonts w:asciiTheme="minorHAnsi" w:hAnsiTheme="minorHAnsi" w:cstheme="minorHAnsi"/>
          <w:sz w:val="24"/>
          <w:szCs w:val="24"/>
        </w:rPr>
        <w:t xml:space="preserve">Komisja </w:t>
      </w:r>
      <w:r w:rsidR="00370263" w:rsidRPr="00E02588">
        <w:rPr>
          <w:rFonts w:asciiTheme="minorHAnsi" w:hAnsiTheme="minorHAnsi" w:cstheme="minorHAnsi"/>
          <w:sz w:val="24"/>
          <w:szCs w:val="24"/>
        </w:rPr>
        <w:t>zapoznała się</w:t>
      </w:r>
      <w:r w:rsidR="00BC6DD0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B77BEE" w:rsidRPr="00E02588">
        <w:rPr>
          <w:rFonts w:asciiTheme="minorHAnsi" w:hAnsiTheme="minorHAnsi" w:cstheme="minorHAnsi"/>
          <w:sz w:val="24"/>
          <w:szCs w:val="24"/>
        </w:rPr>
        <w:t xml:space="preserve">z </w:t>
      </w:r>
      <w:r w:rsidR="00BC6DD0" w:rsidRPr="00E02588">
        <w:rPr>
          <w:rFonts w:asciiTheme="minorHAnsi" w:hAnsiTheme="minorHAnsi" w:cstheme="minorHAnsi"/>
          <w:sz w:val="24"/>
          <w:szCs w:val="24"/>
        </w:rPr>
        <w:t>prezentacj</w:t>
      </w:r>
      <w:r w:rsidR="00B77BEE" w:rsidRPr="00E02588">
        <w:rPr>
          <w:rFonts w:asciiTheme="minorHAnsi" w:hAnsiTheme="minorHAnsi" w:cstheme="minorHAnsi"/>
          <w:sz w:val="24"/>
          <w:szCs w:val="24"/>
        </w:rPr>
        <w:t>ą</w:t>
      </w:r>
      <w:r w:rsidR="00BC6DD0" w:rsidRPr="00E02588">
        <w:rPr>
          <w:rFonts w:asciiTheme="minorHAnsi" w:hAnsiTheme="minorHAnsi" w:cstheme="minorHAnsi"/>
          <w:sz w:val="24"/>
          <w:szCs w:val="24"/>
        </w:rPr>
        <w:t xml:space="preserve"> </w:t>
      </w:r>
      <w:r w:rsidR="00370263" w:rsidRPr="00E02588">
        <w:rPr>
          <w:rFonts w:asciiTheme="minorHAnsi" w:hAnsiTheme="minorHAnsi" w:cstheme="minorHAnsi"/>
          <w:sz w:val="24"/>
          <w:szCs w:val="24"/>
        </w:rPr>
        <w:t>dotyczącą projektu realizowane</w:t>
      </w:r>
      <w:r w:rsidR="004E19A5">
        <w:rPr>
          <w:rFonts w:asciiTheme="minorHAnsi" w:hAnsiTheme="minorHAnsi" w:cstheme="minorHAnsi"/>
          <w:sz w:val="24"/>
          <w:szCs w:val="24"/>
        </w:rPr>
        <w:t xml:space="preserve">go w ramach programu Interreg V </w:t>
      </w:r>
      <w:r w:rsidR="00370263" w:rsidRPr="00E02588">
        <w:rPr>
          <w:rFonts w:asciiTheme="minorHAnsi" w:hAnsiTheme="minorHAnsi" w:cstheme="minorHAnsi"/>
          <w:sz w:val="24"/>
          <w:szCs w:val="24"/>
        </w:rPr>
        <w:t>A Litwa-Polska 2014-2020 nr LT-PL-5R-400 pt. „Rozwój współpracy służb ochrony granic Litwy i Polski”</w:t>
      </w:r>
      <w:r w:rsidR="00576F07" w:rsidRPr="00E02588">
        <w:rPr>
          <w:rFonts w:asciiTheme="minorHAnsi" w:hAnsiTheme="minorHAnsi" w:cstheme="minorHAnsi"/>
          <w:sz w:val="24"/>
          <w:szCs w:val="24"/>
        </w:rPr>
        <w:t xml:space="preserve">. </w:t>
      </w:r>
      <w:r w:rsidR="00BF4C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08FB35" w14:textId="749A22ED" w:rsidR="00BF4C83" w:rsidRDefault="00BF4C83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3AD5E8" w14:textId="021BED17" w:rsidR="00BF4C83" w:rsidRPr="00CF2F79" w:rsidRDefault="00BF4C83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2F79">
        <w:rPr>
          <w:rFonts w:asciiTheme="minorHAnsi" w:hAnsiTheme="minorHAnsi" w:cstheme="minorHAnsi"/>
          <w:sz w:val="24"/>
          <w:szCs w:val="24"/>
        </w:rPr>
        <w:t>Komisja popiera inicjatywy służb granicznych Polski i Litwy, które mają na celu sprawną wymianę informacji o sytuacji na granicach, aby optymalnie reagować na zmieniające się zagrożenia.</w:t>
      </w:r>
    </w:p>
    <w:p w14:paraId="141D49FB" w14:textId="0AC8C603" w:rsidR="00056D06" w:rsidRPr="00E02588" w:rsidRDefault="003B2E24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E02588">
        <w:rPr>
          <w:rFonts w:asciiTheme="minorHAnsi" w:hAnsiTheme="minorHAnsi" w:cstheme="minorHAnsi"/>
          <w:sz w:val="24"/>
          <w:szCs w:val="24"/>
          <w:highlight w:val="yellow"/>
        </w:rPr>
        <w:t xml:space="preserve">    </w:t>
      </w:r>
    </w:p>
    <w:p w14:paraId="42ABDB94" w14:textId="56139BD9" w:rsidR="00056D06" w:rsidRPr="00E02588" w:rsidRDefault="00056D06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2588">
        <w:rPr>
          <w:rFonts w:asciiTheme="minorHAnsi" w:hAnsiTheme="minorHAnsi" w:cstheme="minorHAnsi"/>
          <w:b/>
          <w:sz w:val="24"/>
          <w:szCs w:val="24"/>
        </w:rPr>
        <w:t>Doświadczenia polsko-litewskiej współpracy transgranicznej – realizacja projektów</w:t>
      </w:r>
    </w:p>
    <w:p w14:paraId="7FD4ABA6" w14:textId="77777777" w:rsidR="00281A41" w:rsidRPr="00E02588" w:rsidRDefault="00281A41" w:rsidP="00E02588">
      <w:p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</w:p>
    <w:p w14:paraId="2F9F7CF4" w14:textId="097EBC65" w:rsidR="007505C5" w:rsidRDefault="002207DA" w:rsidP="00E211D3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02588">
        <w:rPr>
          <w:rFonts w:asciiTheme="minorHAnsi" w:hAnsiTheme="minorHAnsi" w:cstheme="minorHAnsi"/>
          <w:color w:val="000000"/>
          <w:sz w:val="24"/>
          <w:szCs w:val="24"/>
        </w:rPr>
        <w:t>Komisja zapoznała się z prezentacją na temat doświadczeń St</w:t>
      </w:r>
      <w:r w:rsidR="005A69FC" w:rsidRPr="00E02588">
        <w:rPr>
          <w:rFonts w:asciiTheme="minorHAnsi" w:hAnsiTheme="minorHAnsi" w:cstheme="minorHAnsi"/>
          <w:color w:val="000000"/>
          <w:sz w:val="24"/>
          <w:szCs w:val="24"/>
        </w:rPr>
        <w:t>owarzyszenia „Euroregion Niemen”</w:t>
      </w:r>
      <w:r w:rsidRPr="00E02588">
        <w:rPr>
          <w:rFonts w:asciiTheme="minorHAnsi" w:hAnsiTheme="minorHAnsi" w:cstheme="minorHAnsi"/>
          <w:color w:val="000000"/>
          <w:sz w:val="24"/>
          <w:szCs w:val="24"/>
        </w:rPr>
        <w:t xml:space="preserve"> w zakresie polsko-litewskiej współpracy transgranicznej oraz zrealizowanych projektów. Jednocześnie z zadowoleniem przyjęła informację o stanie zaawansowania prac, dotyczących </w:t>
      </w:r>
      <w:r w:rsidRPr="00E0258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utworzenia pierwszego na polsko-litewskim pograniczu Europejskiego Ugrupowania Współpracy Terytorialnej (EUWT) </w:t>
      </w:r>
      <w:r w:rsidR="004E19A5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4E19A5" w:rsidRPr="00E02588">
        <w:rPr>
          <w:rFonts w:asciiTheme="minorHAnsi" w:hAnsiTheme="minorHAnsi" w:cstheme="minorHAnsi"/>
          <w:color w:val="000000"/>
          <w:sz w:val="24"/>
          <w:szCs w:val="24"/>
        </w:rPr>
        <w:t>Niemen</w:t>
      </w:r>
      <w:r w:rsidR="004E19A5">
        <w:rPr>
          <w:rFonts w:asciiTheme="minorHAnsi" w:hAnsiTheme="minorHAnsi" w:cstheme="minorHAnsi"/>
          <w:color w:val="000000"/>
          <w:sz w:val="24"/>
          <w:szCs w:val="24"/>
        </w:rPr>
        <w:t>-Nemunas”</w:t>
      </w:r>
      <w:r w:rsidRPr="00E02588">
        <w:rPr>
          <w:rFonts w:asciiTheme="minorHAnsi" w:hAnsiTheme="minorHAnsi" w:cstheme="minorHAnsi"/>
          <w:color w:val="000000"/>
          <w:sz w:val="24"/>
          <w:szCs w:val="24"/>
        </w:rPr>
        <w:t xml:space="preserve">. EUWT wprowadzi nową jakość współpracy transgranicznej i ma szansę stać się jedną z dróg rozwoju terenów </w:t>
      </w:r>
      <w:r w:rsidR="00E211D3">
        <w:rPr>
          <w:rFonts w:asciiTheme="minorHAnsi" w:hAnsiTheme="minorHAnsi" w:cstheme="minorHAnsi"/>
          <w:color w:val="000000"/>
          <w:sz w:val="24"/>
          <w:szCs w:val="24"/>
        </w:rPr>
        <w:t>przygranicznych Polski i Litwy.</w:t>
      </w:r>
    </w:p>
    <w:p w14:paraId="0F31EF67" w14:textId="77777777" w:rsidR="00E211D3" w:rsidRPr="00E211D3" w:rsidRDefault="00E211D3" w:rsidP="00E211D3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F32C1C7" w14:textId="77777777" w:rsidR="005832ED" w:rsidRPr="00E02588" w:rsidRDefault="005832ED" w:rsidP="00E02588">
      <w:pPr>
        <w:pStyle w:val="NormalnyWeb"/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E02588">
        <w:rPr>
          <w:rFonts w:asciiTheme="minorHAnsi" w:hAnsiTheme="minorHAnsi" w:cstheme="minorHAnsi"/>
          <w:b/>
        </w:rPr>
        <w:t>Postanowienia końcowe</w:t>
      </w:r>
    </w:p>
    <w:p w14:paraId="3940E6A8" w14:textId="7711C0FF" w:rsidR="00BC6DD0" w:rsidRPr="00E02588" w:rsidRDefault="00BC6DD0" w:rsidP="00E02588">
      <w:pPr>
        <w:pStyle w:val="NormalnyWeb"/>
        <w:spacing w:after="240" w:line="276" w:lineRule="auto"/>
        <w:jc w:val="both"/>
        <w:rPr>
          <w:rFonts w:asciiTheme="minorHAnsi" w:hAnsiTheme="minorHAnsi" w:cstheme="minorHAnsi"/>
        </w:rPr>
      </w:pPr>
      <w:r w:rsidRPr="00E02588">
        <w:rPr>
          <w:rFonts w:asciiTheme="minorHAnsi" w:hAnsiTheme="minorHAnsi" w:cstheme="minorHAnsi"/>
        </w:rPr>
        <w:t>Przewodniczący Komisji postanowili, że kolejne XXI</w:t>
      </w:r>
      <w:r w:rsidR="00B735BE" w:rsidRPr="00E02588">
        <w:rPr>
          <w:rFonts w:asciiTheme="minorHAnsi" w:hAnsiTheme="minorHAnsi" w:cstheme="minorHAnsi"/>
        </w:rPr>
        <w:t>I</w:t>
      </w:r>
      <w:r w:rsidRPr="00E02588">
        <w:rPr>
          <w:rFonts w:asciiTheme="minorHAnsi" w:hAnsiTheme="minorHAnsi" w:cstheme="minorHAnsi"/>
        </w:rPr>
        <w:t xml:space="preserve"> posiedzenie Komisji odbędzie się </w:t>
      </w:r>
      <w:r w:rsidR="00760D3E" w:rsidRPr="00E02588">
        <w:rPr>
          <w:rFonts w:asciiTheme="minorHAnsi" w:hAnsiTheme="minorHAnsi" w:cstheme="minorHAnsi"/>
        </w:rPr>
        <w:br/>
      </w:r>
      <w:r w:rsidR="00B735BE" w:rsidRPr="00E02588">
        <w:rPr>
          <w:rFonts w:asciiTheme="minorHAnsi" w:hAnsiTheme="minorHAnsi" w:cstheme="minorHAnsi"/>
        </w:rPr>
        <w:t>w 2023</w:t>
      </w:r>
      <w:r w:rsidRPr="00E02588">
        <w:rPr>
          <w:rFonts w:asciiTheme="minorHAnsi" w:hAnsiTheme="minorHAnsi" w:cstheme="minorHAnsi"/>
        </w:rPr>
        <w:t xml:space="preserve"> r. na terytorium </w:t>
      </w:r>
      <w:r w:rsidR="00B735BE" w:rsidRPr="00E02588">
        <w:rPr>
          <w:rFonts w:asciiTheme="minorHAnsi" w:hAnsiTheme="minorHAnsi" w:cstheme="minorHAnsi"/>
        </w:rPr>
        <w:t>Republiki Litewskiej</w:t>
      </w:r>
      <w:r w:rsidRPr="00E02588">
        <w:rPr>
          <w:rFonts w:asciiTheme="minorHAnsi" w:hAnsiTheme="minorHAnsi" w:cstheme="minorHAnsi"/>
        </w:rPr>
        <w:t>.</w:t>
      </w:r>
    </w:p>
    <w:p w14:paraId="09DD7C13" w14:textId="286D5955" w:rsidR="00A17EF0" w:rsidRPr="00E02588" w:rsidRDefault="00BC6DD0" w:rsidP="00E02588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E02588">
        <w:rPr>
          <w:rFonts w:asciiTheme="minorHAnsi" w:hAnsiTheme="minorHAnsi" w:cstheme="minorHAnsi"/>
        </w:rPr>
        <w:t>Niniejszy prot</w:t>
      </w:r>
      <w:r w:rsidR="00B735BE" w:rsidRPr="00E02588">
        <w:rPr>
          <w:rFonts w:asciiTheme="minorHAnsi" w:hAnsiTheme="minorHAnsi" w:cstheme="minorHAnsi"/>
        </w:rPr>
        <w:t>okół został sporządzony w Warszawie</w:t>
      </w:r>
      <w:r w:rsidRPr="00E02588">
        <w:rPr>
          <w:rFonts w:asciiTheme="minorHAnsi" w:hAnsiTheme="minorHAnsi" w:cstheme="minorHAnsi"/>
        </w:rPr>
        <w:t xml:space="preserve"> w dniu</w:t>
      </w:r>
      <w:r w:rsidR="00B735BE" w:rsidRPr="00E02588">
        <w:rPr>
          <w:rFonts w:asciiTheme="minorHAnsi" w:hAnsiTheme="minorHAnsi" w:cstheme="minorHAnsi"/>
        </w:rPr>
        <w:t xml:space="preserve"> 22</w:t>
      </w:r>
      <w:r w:rsidR="00952479" w:rsidRPr="00E02588">
        <w:rPr>
          <w:rFonts w:asciiTheme="minorHAnsi" w:hAnsiTheme="minorHAnsi" w:cstheme="minorHAnsi"/>
        </w:rPr>
        <w:t xml:space="preserve"> </w:t>
      </w:r>
      <w:r w:rsidR="00B735BE" w:rsidRPr="00E02588">
        <w:rPr>
          <w:rFonts w:asciiTheme="minorHAnsi" w:hAnsiTheme="minorHAnsi" w:cstheme="minorHAnsi"/>
        </w:rPr>
        <w:t>listopada 2022</w:t>
      </w:r>
      <w:r w:rsidR="00952479" w:rsidRPr="00E02588">
        <w:rPr>
          <w:rFonts w:asciiTheme="minorHAnsi" w:hAnsiTheme="minorHAnsi" w:cstheme="minorHAnsi"/>
        </w:rPr>
        <w:t xml:space="preserve"> r. </w:t>
      </w:r>
      <w:r w:rsidRPr="00E02588">
        <w:rPr>
          <w:rFonts w:asciiTheme="minorHAnsi" w:hAnsiTheme="minorHAnsi" w:cstheme="minorHAnsi"/>
        </w:rPr>
        <w:t>w dwóch jednobrzmiących egzemplarzach, każdy w języku polskim i litewskim, przy czym oba teksty mają j</w:t>
      </w:r>
      <w:r w:rsidR="00760D3E" w:rsidRPr="00E02588">
        <w:rPr>
          <w:rFonts w:asciiTheme="minorHAnsi" w:hAnsiTheme="minorHAnsi" w:cstheme="minorHAnsi"/>
        </w:rPr>
        <w:t>ednakową moc prawną.</w:t>
      </w:r>
    </w:p>
    <w:p w14:paraId="10ED8B7E" w14:textId="77777777" w:rsidR="00760D3E" w:rsidRPr="00E02588" w:rsidRDefault="00760D3E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040D2928" w14:textId="77777777" w:rsidR="009E094E" w:rsidRDefault="009E094E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18AE180B" w14:textId="77777777" w:rsidR="00FC4317" w:rsidRDefault="00FC4317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024CB2D7" w14:textId="77777777" w:rsidR="00EF6D90" w:rsidRDefault="00EF6D90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21B0B6C2" w14:textId="77777777" w:rsidR="00EF6D90" w:rsidRDefault="00EF6D90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69DD2E78" w14:textId="77777777" w:rsidR="00FC4317" w:rsidRDefault="00FC4317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07F0A8D8" w14:textId="77777777" w:rsidR="009D6AAB" w:rsidRPr="00E02588" w:rsidRDefault="009D6AAB" w:rsidP="00E0258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17EF0" w:rsidRPr="00E02588" w14:paraId="7FFBDF9C" w14:textId="77777777" w:rsidTr="00760D3E">
        <w:tc>
          <w:tcPr>
            <w:tcW w:w="4814" w:type="dxa"/>
          </w:tcPr>
          <w:p w14:paraId="368A1A9F" w14:textId="77777777" w:rsidR="00756928" w:rsidRPr="00E02588" w:rsidRDefault="004E15F4" w:rsidP="00E0258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2588">
              <w:rPr>
                <w:rFonts w:asciiTheme="minorHAnsi" w:hAnsiTheme="minorHAnsi" w:cstheme="minorHAnsi"/>
                <w:sz w:val="24"/>
                <w:szCs w:val="24"/>
              </w:rPr>
              <w:t>Bartosz Grodecki</w:t>
            </w:r>
          </w:p>
          <w:p w14:paraId="6B2C096B" w14:textId="77777777" w:rsidR="00A17EF0" w:rsidRPr="00E02588" w:rsidRDefault="004E15F4" w:rsidP="00E0258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2588">
              <w:rPr>
                <w:rFonts w:asciiTheme="minorHAnsi" w:hAnsiTheme="minorHAnsi" w:cstheme="minorHAnsi"/>
                <w:sz w:val="24"/>
                <w:szCs w:val="24"/>
              </w:rPr>
              <w:t xml:space="preserve">Przewodniczący polskiej części </w:t>
            </w:r>
          </w:p>
          <w:p w14:paraId="13724EE7" w14:textId="77777777" w:rsidR="00A17EF0" w:rsidRPr="00E02588" w:rsidRDefault="004E15F4" w:rsidP="00E0258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2588">
              <w:rPr>
                <w:rFonts w:asciiTheme="minorHAnsi" w:hAnsiTheme="minorHAnsi" w:cstheme="minorHAnsi"/>
                <w:sz w:val="24"/>
                <w:szCs w:val="24"/>
              </w:rPr>
              <w:t>Polsko-Litewskiej Komisji Międzyrządowej</w:t>
            </w:r>
          </w:p>
          <w:p w14:paraId="23499F4E" w14:textId="77777777" w:rsidR="00A17EF0" w:rsidRPr="00E02588" w:rsidRDefault="004E15F4" w:rsidP="00E0258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2588">
              <w:rPr>
                <w:rFonts w:asciiTheme="minorHAnsi" w:hAnsiTheme="minorHAnsi" w:cstheme="minorHAnsi"/>
                <w:sz w:val="24"/>
                <w:szCs w:val="24"/>
              </w:rPr>
              <w:t>ds. Współpracy Transgranicznej</w:t>
            </w:r>
          </w:p>
        </w:tc>
        <w:tc>
          <w:tcPr>
            <w:tcW w:w="4814" w:type="dxa"/>
            <w:hideMark/>
          </w:tcPr>
          <w:p w14:paraId="5A712D54" w14:textId="77777777" w:rsidR="00756928" w:rsidRPr="00E02588" w:rsidRDefault="004E15F4" w:rsidP="00E0258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2588">
              <w:rPr>
                <w:rFonts w:asciiTheme="minorHAnsi" w:hAnsiTheme="minorHAnsi" w:cstheme="minorHAnsi"/>
                <w:sz w:val="24"/>
                <w:szCs w:val="24"/>
              </w:rPr>
              <w:t>Arnoldas Abramavičius</w:t>
            </w:r>
          </w:p>
          <w:p w14:paraId="42E4DFFC" w14:textId="77777777" w:rsidR="00A17EF0" w:rsidRPr="00E02588" w:rsidRDefault="004E15F4" w:rsidP="00E0258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2588">
              <w:rPr>
                <w:rFonts w:asciiTheme="minorHAnsi" w:hAnsiTheme="minorHAnsi" w:cstheme="minorHAnsi"/>
                <w:sz w:val="24"/>
                <w:szCs w:val="24"/>
              </w:rPr>
              <w:t>Przewodniczący litewskiej części</w:t>
            </w:r>
          </w:p>
          <w:p w14:paraId="617192AC" w14:textId="77777777" w:rsidR="004E15F4" w:rsidRPr="00E02588" w:rsidRDefault="004E15F4" w:rsidP="00E0258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2588">
              <w:rPr>
                <w:rFonts w:asciiTheme="minorHAnsi" w:hAnsiTheme="minorHAnsi" w:cstheme="minorHAnsi"/>
                <w:sz w:val="24"/>
                <w:szCs w:val="24"/>
              </w:rPr>
              <w:t>Polsko-Litewskiej Komisji Międzyrządowej</w:t>
            </w:r>
          </w:p>
          <w:p w14:paraId="5D14BF4D" w14:textId="77777777" w:rsidR="00A17EF0" w:rsidRPr="00E02588" w:rsidRDefault="004E15F4" w:rsidP="00E0258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2588">
              <w:rPr>
                <w:rFonts w:asciiTheme="minorHAnsi" w:hAnsiTheme="minorHAnsi" w:cstheme="minorHAnsi"/>
                <w:sz w:val="24"/>
                <w:szCs w:val="24"/>
              </w:rPr>
              <w:t>ds. Współpracy Transgranicznej</w:t>
            </w:r>
          </w:p>
        </w:tc>
      </w:tr>
    </w:tbl>
    <w:p w14:paraId="7CBE606D" w14:textId="77777777" w:rsidR="00760D3E" w:rsidRPr="00E02588" w:rsidRDefault="00760D3E" w:rsidP="00E025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760D3E" w:rsidRPr="00E02588" w:rsidSect="00F97CA8">
      <w:footerReference w:type="default" r:id="rId8"/>
      <w:pgSz w:w="11906" w:h="16838"/>
      <w:pgMar w:top="1417" w:right="1417" w:bottom="1417" w:left="141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3D0A2" w14:textId="77777777" w:rsidR="008B3A49" w:rsidRDefault="008B3A49" w:rsidP="005904CF">
      <w:r>
        <w:separator/>
      </w:r>
    </w:p>
  </w:endnote>
  <w:endnote w:type="continuationSeparator" w:id="0">
    <w:p w14:paraId="57E71DC2" w14:textId="77777777" w:rsidR="008B3A49" w:rsidRDefault="008B3A49" w:rsidP="0059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24282"/>
      <w:docPartObj>
        <w:docPartGallery w:val="Page Numbers (Bottom of Page)"/>
        <w:docPartUnique/>
      </w:docPartObj>
    </w:sdtPr>
    <w:sdtEndPr/>
    <w:sdtContent>
      <w:p w14:paraId="41761634" w14:textId="7D2FB18C" w:rsidR="00F97CA8" w:rsidRDefault="00F97CA8" w:rsidP="00F97C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87">
          <w:rPr>
            <w:noProof/>
          </w:rPr>
          <w:t>3</w:t>
        </w:r>
        <w:r>
          <w:fldChar w:fldCharType="end"/>
        </w:r>
      </w:p>
    </w:sdtContent>
  </w:sdt>
  <w:p w14:paraId="44E08810" w14:textId="77777777" w:rsidR="00F97CA8" w:rsidRDefault="00F97C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6287F" w14:textId="77777777" w:rsidR="008B3A49" w:rsidRDefault="008B3A49" w:rsidP="005904CF">
      <w:r>
        <w:separator/>
      </w:r>
    </w:p>
  </w:footnote>
  <w:footnote w:type="continuationSeparator" w:id="0">
    <w:p w14:paraId="738F5FFC" w14:textId="77777777" w:rsidR="008B3A49" w:rsidRDefault="008B3A49" w:rsidP="0059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12F"/>
    <w:multiLevelType w:val="multilevel"/>
    <w:tmpl w:val="B22CBA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81827D0"/>
    <w:multiLevelType w:val="multilevel"/>
    <w:tmpl w:val="D312E57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0AA031C"/>
    <w:multiLevelType w:val="multilevel"/>
    <w:tmpl w:val="B282C5F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F0"/>
    <w:rsid w:val="000054C8"/>
    <w:rsid w:val="000075CA"/>
    <w:rsid w:val="000173DD"/>
    <w:rsid w:val="000261A1"/>
    <w:rsid w:val="00031238"/>
    <w:rsid w:val="00032F63"/>
    <w:rsid w:val="00035EAC"/>
    <w:rsid w:val="00037136"/>
    <w:rsid w:val="0004009D"/>
    <w:rsid w:val="000444F1"/>
    <w:rsid w:val="00047114"/>
    <w:rsid w:val="00056D06"/>
    <w:rsid w:val="00067F6E"/>
    <w:rsid w:val="0007031D"/>
    <w:rsid w:val="000C4CF7"/>
    <w:rsid w:val="000D0D18"/>
    <w:rsid w:val="001019BC"/>
    <w:rsid w:val="00112A46"/>
    <w:rsid w:val="0015574C"/>
    <w:rsid w:val="001640B7"/>
    <w:rsid w:val="00190FB2"/>
    <w:rsid w:val="001C0CE7"/>
    <w:rsid w:val="001C57DF"/>
    <w:rsid w:val="001C69EC"/>
    <w:rsid w:val="001E7508"/>
    <w:rsid w:val="001F20AF"/>
    <w:rsid w:val="001F5AA7"/>
    <w:rsid w:val="00201449"/>
    <w:rsid w:val="0021425E"/>
    <w:rsid w:val="002170DC"/>
    <w:rsid w:val="002207DA"/>
    <w:rsid w:val="002442C5"/>
    <w:rsid w:val="00246575"/>
    <w:rsid w:val="002543DD"/>
    <w:rsid w:val="00267116"/>
    <w:rsid w:val="00281A41"/>
    <w:rsid w:val="002C4DAF"/>
    <w:rsid w:val="002D64A4"/>
    <w:rsid w:val="002E4CD4"/>
    <w:rsid w:val="002F31C7"/>
    <w:rsid w:val="002F7713"/>
    <w:rsid w:val="00302D28"/>
    <w:rsid w:val="00312849"/>
    <w:rsid w:val="00331B72"/>
    <w:rsid w:val="003368B2"/>
    <w:rsid w:val="00343395"/>
    <w:rsid w:val="00346D46"/>
    <w:rsid w:val="0035669A"/>
    <w:rsid w:val="00356D5C"/>
    <w:rsid w:val="00370263"/>
    <w:rsid w:val="003B2E24"/>
    <w:rsid w:val="003F70C0"/>
    <w:rsid w:val="00404C99"/>
    <w:rsid w:val="00404F99"/>
    <w:rsid w:val="00421135"/>
    <w:rsid w:val="00421423"/>
    <w:rsid w:val="004315CF"/>
    <w:rsid w:val="00433A8E"/>
    <w:rsid w:val="00435BC6"/>
    <w:rsid w:val="00435E4D"/>
    <w:rsid w:val="00454E95"/>
    <w:rsid w:val="00455936"/>
    <w:rsid w:val="00456BD8"/>
    <w:rsid w:val="00457BD8"/>
    <w:rsid w:val="00464F3B"/>
    <w:rsid w:val="00465E11"/>
    <w:rsid w:val="00487965"/>
    <w:rsid w:val="004934E3"/>
    <w:rsid w:val="00493B28"/>
    <w:rsid w:val="004D370C"/>
    <w:rsid w:val="004E15F4"/>
    <w:rsid w:val="004E19A5"/>
    <w:rsid w:val="00516C4C"/>
    <w:rsid w:val="00523CD0"/>
    <w:rsid w:val="005248C6"/>
    <w:rsid w:val="00524FA3"/>
    <w:rsid w:val="00546A02"/>
    <w:rsid w:val="00553130"/>
    <w:rsid w:val="00576AB7"/>
    <w:rsid w:val="00576F07"/>
    <w:rsid w:val="005832ED"/>
    <w:rsid w:val="005904CF"/>
    <w:rsid w:val="005A04B8"/>
    <w:rsid w:val="005A33EE"/>
    <w:rsid w:val="005A69FC"/>
    <w:rsid w:val="005C2CFC"/>
    <w:rsid w:val="005C5F4F"/>
    <w:rsid w:val="005E56F4"/>
    <w:rsid w:val="005E6294"/>
    <w:rsid w:val="00602983"/>
    <w:rsid w:val="00605869"/>
    <w:rsid w:val="006430AD"/>
    <w:rsid w:val="00665640"/>
    <w:rsid w:val="0067258B"/>
    <w:rsid w:val="0068685B"/>
    <w:rsid w:val="006A2C4A"/>
    <w:rsid w:val="006A6972"/>
    <w:rsid w:val="006A759A"/>
    <w:rsid w:val="006B0082"/>
    <w:rsid w:val="006E781A"/>
    <w:rsid w:val="00701559"/>
    <w:rsid w:val="00706D36"/>
    <w:rsid w:val="007074E6"/>
    <w:rsid w:val="00730F68"/>
    <w:rsid w:val="0073746B"/>
    <w:rsid w:val="00740094"/>
    <w:rsid w:val="007505C5"/>
    <w:rsid w:val="00755BD1"/>
    <w:rsid w:val="00756928"/>
    <w:rsid w:val="00760D3E"/>
    <w:rsid w:val="00787169"/>
    <w:rsid w:val="007A4DD2"/>
    <w:rsid w:val="007B3D56"/>
    <w:rsid w:val="007C3144"/>
    <w:rsid w:val="007E3C3B"/>
    <w:rsid w:val="00802248"/>
    <w:rsid w:val="00806623"/>
    <w:rsid w:val="00826AE9"/>
    <w:rsid w:val="00832275"/>
    <w:rsid w:val="00841460"/>
    <w:rsid w:val="0085037B"/>
    <w:rsid w:val="00866330"/>
    <w:rsid w:val="00872DF2"/>
    <w:rsid w:val="008B3A49"/>
    <w:rsid w:val="008C33A1"/>
    <w:rsid w:val="008C63A5"/>
    <w:rsid w:val="008D201C"/>
    <w:rsid w:val="008D2F8C"/>
    <w:rsid w:val="008F2AD9"/>
    <w:rsid w:val="00900F50"/>
    <w:rsid w:val="0090432C"/>
    <w:rsid w:val="00910D2B"/>
    <w:rsid w:val="00916553"/>
    <w:rsid w:val="0093443C"/>
    <w:rsid w:val="00937D4F"/>
    <w:rsid w:val="009523B0"/>
    <w:rsid w:val="00952479"/>
    <w:rsid w:val="009624E7"/>
    <w:rsid w:val="00972A95"/>
    <w:rsid w:val="00974387"/>
    <w:rsid w:val="009743A4"/>
    <w:rsid w:val="00977426"/>
    <w:rsid w:val="00982B5A"/>
    <w:rsid w:val="00985D14"/>
    <w:rsid w:val="009C0C65"/>
    <w:rsid w:val="009C26C4"/>
    <w:rsid w:val="009D3DD1"/>
    <w:rsid w:val="009D6AAB"/>
    <w:rsid w:val="009E094E"/>
    <w:rsid w:val="009E36EB"/>
    <w:rsid w:val="00A10C5A"/>
    <w:rsid w:val="00A119B1"/>
    <w:rsid w:val="00A13249"/>
    <w:rsid w:val="00A17EF0"/>
    <w:rsid w:val="00A204C0"/>
    <w:rsid w:val="00A33B75"/>
    <w:rsid w:val="00A55F07"/>
    <w:rsid w:val="00A67C45"/>
    <w:rsid w:val="00A70147"/>
    <w:rsid w:val="00A93C0B"/>
    <w:rsid w:val="00A96F53"/>
    <w:rsid w:val="00AA39A3"/>
    <w:rsid w:val="00AB2FD8"/>
    <w:rsid w:val="00AC1D02"/>
    <w:rsid w:val="00B3591B"/>
    <w:rsid w:val="00B37368"/>
    <w:rsid w:val="00B5042A"/>
    <w:rsid w:val="00B5724E"/>
    <w:rsid w:val="00B735BE"/>
    <w:rsid w:val="00B77BEE"/>
    <w:rsid w:val="00B818FA"/>
    <w:rsid w:val="00BB5B6D"/>
    <w:rsid w:val="00BC6DD0"/>
    <w:rsid w:val="00BE23EC"/>
    <w:rsid w:val="00BE68D5"/>
    <w:rsid w:val="00BE723A"/>
    <w:rsid w:val="00BF4C83"/>
    <w:rsid w:val="00BF6726"/>
    <w:rsid w:val="00C50394"/>
    <w:rsid w:val="00C63385"/>
    <w:rsid w:val="00C84170"/>
    <w:rsid w:val="00C87F98"/>
    <w:rsid w:val="00CA7CBB"/>
    <w:rsid w:val="00CF2F79"/>
    <w:rsid w:val="00CF4DC1"/>
    <w:rsid w:val="00D0186A"/>
    <w:rsid w:val="00D07FC4"/>
    <w:rsid w:val="00D161C8"/>
    <w:rsid w:val="00D34630"/>
    <w:rsid w:val="00D350D4"/>
    <w:rsid w:val="00D5401D"/>
    <w:rsid w:val="00D54FFD"/>
    <w:rsid w:val="00DA1248"/>
    <w:rsid w:val="00DD1671"/>
    <w:rsid w:val="00E02588"/>
    <w:rsid w:val="00E04791"/>
    <w:rsid w:val="00E11242"/>
    <w:rsid w:val="00E12AEB"/>
    <w:rsid w:val="00E211D3"/>
    <w:rsid w:val="00E43B96"/>
    <w:rsid w:val="00E877CE"/>
    <w:rsid w:val="00E917FD"/>
    <w:rsid w:val="00EC011B"/>
    <w:rsid w:val="00EC6280"/>
    <w:rsid w:val="00EE0D44"/>
    <w:rsid w:val="00EF32D1"/>
    <w:rsid w:val="00EF6D90"/>
    <w:rsid w:val="00F00475"/>
    <w:rsid w:val="00F050C6"/>
    <w:rsid w:val="00F17002"/>
    <w:rsid w:val="00F52CF2"/>
    <w:rsid w:val="00F55EAF"/>
    <w:rsid w:val="00F626AF"/>
    <w:rsid w:val="00F90F44"/>
    <w:rsid w:val="00F97CA8"/>
    <w:rsid w:val="00FA5343"/>
    <w:rsid w:val="00FC354D"/>
    <w:rsid w:val="00FC4317"/>
    <w:rsid w:val="00FD5A7D"/>
    <w:rsid w:val="00FE2610"/>
    <w:rsid w:val="00FF6586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7225"/>
  <w15:docId w15:val="{1EFF05EF-65A6-4DF2-8CC7-F2F04CC2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EF0"/>
    <w:pPr>
      <w:spacing w:after="0" w:line="240" w:lineRule="auto"/>
    </w:pPr>
    <w:rPr>
      <w:rFonts w:ascii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7EF0"/>
    <w:rPr>
      <w:rFonts w:ascii="Times New Roman" w:hAnsi="Times New Roman" w:cs="Times New Roman"/>
      <w:sz w:val="24"/>
      <w:szCs w:val="24"/>
      <w:lang w:eastAsia="lt-LT"/>
    </w:rPr>
  </w:style>
  <w:style w:type="character" w:customStyle="1" w:styleId="AkapitzlistZnak">
    <w:name w:val="Akapit z listą Znak"/>
    <w:link w:val="Akapitzlist"/>
    <w:uiPriority w:val="34"/>
    <w:locked/>
    <w:rsid w:val="00A17EF0"/>
    <w:rPr>
      <w:rFonts w:ascii="Calibri" w:eastAsia="Times New Roman" w:hAnsi="Calibri" w:cs="Calibri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A17EF0"/>
    <w:pPr>
      <w:spacing w:after="160" w:line="252" w:lineRule="auto"/>
      <w:ind w:left="720"/>
      <w:contextualSpacing/>
    </w:pPr>
    <w:rPr>
      <w:rFonts w:eastAsia="Times New Roman"/>
      <w:lang w:val="en-US"/>
    </w:rPr>
  </w:style>
  <w:style w:type="character" w:customStyle="1" w:styleId="hps">
    <w:name w:val="hps"/>
    <w:basedOn w:val="Domylnaczcionkaakapitu"/>
    <w:rsid w:val="00A17EF0"/>
  </w:style>
  <w:style w:type="table" w:styleId="Tabela-Siatka">
    <w:name w:val="Table Grid"/>
    <w:basedOn w:val="Standardowy"/>
    <w:uiPriority w:val="59"/>
    <w:rsid w:val="00A17E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4CF"/>
    <w:rPr>
      <w:rFonts w:ascii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90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4CF"/>
    <w:rPr>
      <w:rFonts w:ascii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C6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4C8"/>
    <w:rPr>
      <w:rFonts w:ascii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4C8"/>
    <w:rPr>
      <w:rFonts w:ascii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F6586"/>
    <w:pPr>
      <w:spacing w:after="0" w:line="240" w:lineRule="auto"/>
    </w:pPr>
    <w:rPr>
      <w:rFonts w:ascii="Calibri" w:hAnsi="Calibri" w:cs="Calibri"/>
      <w:lang w:val="pl-PL"/>
    </w:rPr>
  </w:style>
  <w:style w:type="paragraph" w:styleId="Bezodstpw">
    <w:name w:val="No Spacing"/>
    <w:uiPriority w:val="1"/>
    <w:qFormat/>
    <w:rsid w:val="00665640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DE48-0E08-41AD-83C2-4E57E12E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2017</Words>
  <Characters>12107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Zakrzewska Alicja</cp:lastModifiedBy>
  <cp:revision>2</cp:revision>
  <cp:lastPrinted>2022-11-22T09:55:00Z</cp:lastPrinted>
  <dcterms:created xsi:type="dcterms:W3CDTF">2022-11-24T12:09:00Z</dcterms:created>
  <dcterms:modified xsi:type="dcterms:W3CDTF">2022-11-24T12:09:00Z</dcterms:modified>
</cp:coreProperties>
</file>