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626972" w:rsidRDefault="00257ED8" w:rsidP="002B5D7D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7777777" w:rsidR="00FF240B" w:rsidRPr="00626972" w:rsidRDefault="00FF240B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902DE64" w14:textId="77777777" w:rsidR="00FF240B" w:rsidRPr="00626972" w:rsidRDefault="00FF240B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747FC99F" w:rsidR="00FF240B" w:rsidRPr="00626972" w:rsidRDefault="00FF240B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 xml:space="preserve">Warszawa, </w:t>
      </w:r>
      <w:r w:rsidR="002B06D9">
        <w:rPr>
          <w:rFonts w:ascii="Arial" w:hAnsi="Arial" w:cs="Arial"/>
          <w:bCs/>
          <w:sz w:val="24"/>
          <w:szCs w:val="24"/>
        </w:rPr>
        <w:t xml:space="preserve">26 </w:t>
      </w:r>
      <w:r w:rsidR="00A43337">
        <w:rPr>
          <w:rFonts w:ascii="Arial" w:hAnsi="Arial" w:cs="Arial"/>
          <w:bCs/>
          <w:sz w:val="24"/>
          <w:szCs w:val="24"/>
        </w:rPr>
        <w:t>października</w:t>
      </w:r>
      <w:r w:rsidR="000177FF">
        <w:rPr>
          <w:rFonts w:ascii="Arial" w:hAnsi="Arial" w:cs="Arial"/>
          <w:bCs/>
          <w:sz w:val="24"/>
          <w:szCs w:val="24"/>
        </w:rPr>
        <w:t xml:space="preserve"> </w:t>
      </w:r>
      <w:r w:rsidRPr="00626972">
        <w:rPr>
          <w:rFonts w:ascii="Arial" w:hAnsi="Arial" w:cs="Arial"/>
          <w:bCs/>
          <w:sz w:val="24"/>
          <w:szCs w:val="24"/>
        </w:rPr>
        <w:t>202</w:t>
      </w:r>
      <w:r w:rsidR="004B5AF1">
        <w:rPr>
          <w:rFonts w:ascii="Arial" w:hAnsi="Arial" w:cs="Arial"/>
          <w:bCs/>
          <w:sz w:val="24"/>
          <w:szCs w:val="24"/>
        </w:rPr>
        <w:t>2</w:t>
      </w:r>
      <w:r w:rsidRPr="00626972">
        <w:rPr>
          <w:rFonts w:ascii="Arial" w:hAnsi="Arial" w:cs="Arial"/>
          <w:bCs/>
          <w:sz w:val="24"/>
          <w:szCs w:val="24"/>
        </w:rPr>
        <w:t xml:space="preserve"> r.       </w:t>
      </w:r>
    </w:p>
    <w:p w14:paraId="4973F4A3" w14:textId="4C30C961" w:rsidR="00306764" w:rsidRPr="00626972" w:rsidRDefault="00257ED8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Sygn. akt KR II</w:t>
      </w:r>
      <w:r w:rsidR="00C5584C" w:rsidRPr="00626972">
        <w:rPr>
          <w:rFonts w:ascii="Arial" w:hAnsi="Arial" w:cs="Arial"/>
          <w:sz w:val="24"/>
          <w:szCs w:val="24"/>
        </w:rPr>
        <w:t>I</w:t>
      </w:r>
      <w:r w:rsidRPr="00626972">
        <w:rPr>
          <w:rFonts w:ascii="Arial" w:hAnsi="Arial" w:cs="Arial"/>
          <w:sz w:val="24"/>
          <w:szCs w:val="24"/>
        </w:rPr>
        <w:t xml:space="preserve"> R </w:t>
      </w:r>
      <w:r w:rsidR="0056616F">
        <w:rPr>
          <w:rFonts w:ascii="Arial" w:hAnsi="Arial" w:cs="Arial"/>
          <w:sz w:val="24"/>
          <w:szCs w:val="24"/>
        </w:rPr>
        <w:t>75</w:t>
      </w:r>
      <w:r w:rsidR="00FF240B" w:rsidRPr="00626972">
        <w:rPr>
          <w:rFonts w:ascii="Arial" w:hAnsi="Arial" w:cs="Arial"/>
          <w:sz w:val="24"/>
          <w:szCs w:val="24"/>
        </w:rPr>
        <w:t xml:space="preserve"> ukośnik </w:t>
      </w:r>
      <w:r w:rsidR="0056616F">
        <w:rPr>
          <w:rFonts w:ascii="Arial" w:hAnsi="Arial" w:cs="Arial"/>
          <w:sz w:val="24"/>
          <w:szCs w:val="24"/>
        </w:rPr>
        <w:t>22</w:t>
      </w:r>
    </w:p>
    <w:p w14:paraId="70F6C8E9" w14:textId="7B4627AE" w:rsidR="00B869EB" w:rsidRPr="00B869EB" w:rsidRDefault="00CD31CD" w:rsidP="002B5D7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ZAWIADOMIENIE O WSZCZĘCIU POSTĘPOWANIA ROZPOZNA</w:t>
      </w:r>
      <w:r w:rsidR="00611305">
        <w:rPr>
          <w:rFonts w:ascii="Arial" w:hAnsi="Arial" w:cs="Arial"/>
          <w:b/>
          <w:bCs/>
          <w:sz w:val="24"/>
          <w:szCs w:val="24"/>
        </w:rPr>
        <w:t>W</w:t>
      </w:r>
      <w:r>
        <w:rPr>
          <w:rFonts w:ascii="Arial" w:hAnsi="Arial" w:cs="Arial"/>
          <w:b/>
          <w:bCs/>
          <w:sz w:val="24"/>
          <w:szCs w:val="24"/>
        </w:rPr>
        <w:t>CZEGO</w:t>
      </w:r>
    </w:p>
    <w:p w14:paraId="46867720" w14:textId="77777777" w:rsidR="00B869EB" w:rsidRPr="00B869EB" w:rsidRDefault="00B869EB" w:rsidP="002B5D7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55814F5" w14:textId="6CD31333" w:rsidR="00CD31CD" w:rsidRDefault="00CD31CD" w:rsidP="00D0675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Na podstawie artykułu 16 ustęp 2, ustęp 3 i ustęp 4 </w:t>
      </w:r>
      <w:r w:rsidRPr="002B5D7D">
        <w:rPr>
          <w:rFonts w:ascii="Arial" w:hAnsi="Arial" w:cs="Arial"/>
          <w:bCs/>
          <w:sz w:val="24"/>
          <w:szCs w:val="24"/>
        </w:rPr>
        <w:t>ustawy z dnia 9 marca 2017 r. o szczególnych zasadach usuwania skutków prawnych decyzji reprywatyzacyjnych dotyczących nieruchomości warszawskich, wydanych z naruszeniem prawa (Dz</w:t>
      </w:r>
      <w:r>
        <w:rPr>
          <w:rFonts w:ascii="Arial" w:hAnsi="Arial" w:cs="Arial"/>
          <w:bCs/>
          <w:sz w:val="24"/>
          <w:szCs w:val="24"/>
        </w:rPr>
        <w:t>iennik</w:t>
      </w:r>
      <w:r w:rsidRPr="002B5D7D">
        <w:rPr>
          <w:rFonts w:ascii="Arial" w:hAnsi="Arial" w:cs="Arial"/>
          <w:bCs/>
          <w:sz w:val="24"/>
          <w:szCs w:val="24"/>
        </w:rPr>
        <w:t xml:space="preserve"> U</w:t>
      </w:r>
      <w:r>
        <w:rPr>
          <w:rFonts w:ascii="Arial" w:hAnsi="Arial" w:cs="Arial"/>
          <w:bCs/>
          <w:sz w:val="24"/>
          <w:szCs w:val="24"/>
        </w:rPr>
        <w:t>staw</w:t>
      </w:r>
      <w:r w:rsidRPr="002B5D7D">
        <w:rPr>
          <w:rFonts w:ascii="Arial" w:hAnsi="Arial" w:cs="Arial"/>
          <w:bCs/>
          <w:sz w:val="24"/>
          <w:szCs w:val="24"/>
        </w:rPr>
        <w:t xml:space="preserve"> z 2021 r. poz. 795)</w:t>
      </w:r>
      <w:r>
        <w:rPr>
          <w:rFonts w:ascii="Arial" w:hAnsi="Arial" w:cs="Arial"/>
          <w:bCs/>
          <w:sz w:val="24"/>
          <w:szCs w:val="24"/>
        </w:rPr>
        <w:t xml:space="preserve"> w wykonaniu postanowienia Komisji do spraw reprywatyzacji nieruchomości warszawskich z dnia października 2022 r., sygnatura akt KR III </w:t>
      </w:r>
      <w:r w:rsidR="0056616F">
        <w:rPr>
          <w:rFonts w:ascii="Arial" w:hAnsi="Arial" w:cs="Arial"/>
          <w:bCs/>
          <w:sz w:val="24"/>
          <w:szCs w:val="24"/>
        </w:rPr>
        <w:t>75</w:t>
      </w:r>
      <w:r>
        <w:rPr>
          <w:rFonts w:ascii="Arial" w:hAnsi="Arial" w:cs="Arial"/>
          <w:bCs/>
          <w:sz w:val="24"/>
          <w:szCs w:val="24"/>
        </w:rPr>
        <w:t xml:space="preserve"> ukośnik</w:t>
      </w:r>
      <w:r w:rsidR="0056616F">
        <w:rPr>
          <w:rFonts w:ascii="Arial" w:hAnsi="Arial" w:cs="Arial"/>
          <w:bCs/>
          <w:sz w:val="24"/>
          <w:szCs w:val="24"/>
        </w:rPr>
        <w:t xml:space="preserve"> 22</w:t>
      </w:r>
    </w:p>
    <w:p w14:paraId="4B8468C0" w14:textId="57E5E9C9" w:rsidR="00CD31CD" w:rsidRDefault="00CD31CD" w:rsidP="00D0675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Zawiadamiam następujące strony</w:t>
      </w:r>
    </w:p>
    <w:p w14:paraId="39598138" w14:textId="720FA14D" w:rsidR="003963C2" w:rsidRDefault="003963C2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FE3A94">
        <w:rPr>
          <w:rFonts w:ascii="Arial" w:eastAsia="Calibri" w:hAnsi="Arial" w:cs="Arial"/>
          <w:bCs/>
          <w:sz w:val="24"/>
          <w:szCs w:val="24"/>
        </w:rPr>
        <w:t>Miasto Stołeczne Warszawa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>,</w:t>
      </w:r>
    </w:p>
    <w:p w14:paraId="5CABFB7C" w14:textId="4D639C81" w:rsidR="0056616F" w:rsidRDefault="0056616F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Skarb Państwa reprezentowany przez Naczelnika Urzędu Skarbowego Warszawa – Bielany,</w:t>
      </w:r>
    </w:p>
    <w:p w14:paraId="7433CF4C" w14:textId="77777777" w:rsidR="00C46610" w:rsidRPr="00C46610" w:rsidRDefault="00C46610" w:rsidP="00C4661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 w:rsidRPr="00C46610">
        <w:rPr>
          <w:rFonts w:ascii="Arial" w:eastAsia="Calibri" w:hAnsi="Arial" w:cs="Arial"/>
          <w:bCs/>
          <w:sz w:val="24"/>
          <w:szCs w:val="24"/>
        </w:rPr>
        <w:t>- Krystynę Bożenę Ziółkowską,</w:t>
      </w:r>
    </w:p>
    <w:p w14:paraId="02A48A14" w14:textId="77777777" w:rsidR="00C46610" w:rsidRPr="00C46610" w:rsidRDefault="00C46610" w:rsidP="00C4661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 w:rsidRPr="00C46610">
        <w:rPr>
          <w:rFonts w:ascii="Arial" w:eastAsia="Calibri" w:hAnsi="Arial" w:cs="Arial"/>
          <w:bCs/>
          <w:sz w:val="24"/>
          <w:szCs w:val="24"/>
        </w:rPr>
        <w:t>- Hannę Henrykę Tomilli – Szczepanowską,</w:t>
      </w:r>
    </w:p>
    <w:p w14:paraId="7D51D14B" w14:textId="77777777" w:rsidR="00C46610" w:rsidRPr="00C46610" w:rsidRDefault="00C46610" w:rsidP="00C4661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 w:rsidRPr="00C46610">
        <w:rPr>
          <w:rFonts w:ascii="Arial" w:eastAsia="Calibri" w:hAnsi="Arial" w:cs="Arial"/>
          <w:bCs/>
          <w:sz w:val="24"/>
          <w:szCs w:val="24"/>
        </w:rPr>
        <w:lastRenderedPageBreak/>
        <w:t>- następców prawnych Marii Barbary Teofilak,</w:t>
      </w:r>
    </w:p>
    <w:p w14:paraId="46D714A6" w14:textId="77777777" w:rsidR="00C46610" w:rsidRPr="00C46610" w:rsidRDefault="00C46610" w:rsidP="00C4661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 w:rsidRPr="00C46610">
        <w:rPr>
          <w:rFonts w:ascii="Arial" w:eastAsia="Calibri" w:hAnsi="Arial" w:cs="Arial"/>
          <w:bCs/>
          <w:sz w:val="24"/>
          <w:szCs w:val="24"/>
        </w:rPr>
        <w:t>- Andrzeja Jerzego Umiastowskiego,</w:t>
      </w:r>
    </w:p>
    <w:p w14:paraId="443FEC29" w14:textId="77777777" w:rsidR="00C46610" w:rsidRPr="00C46610" w:rsidRDefault="00C46610" w:rsidP="00C4661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 w:rsidRPr="00C46610">
        <w:rPr>
          <w:rFonts w:ascii="Arial" w:eastAsia="Calibri" w:hAnsi="Arial" w:cs="Arial"/>
          <w:bCs/>
          <w:sz w:val="24"/>
          <w:szCs w:val="24"/>
        </w:rPr>
        <w:t>- Witolda Jerzego Umiastowskiego,</w:t>
      </w:r>
    </w:p>
    <w:p w14:paraId="6353C226" w14:textId="77777777" w:rsidR="00C46610" w:rsidRPr="00C46610" w:rsidRDefault="00C46610" w:rsidP="00C4661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 w:rsidRPr="00C46610">
        <w:rPr>
          <w:rFonts w:ascii="Arial" w:eastAsia="Calibri" w:hAnsi="Arial" w:cs="Arial"/>
          <w:bCs/>
          <w:sz w:val="24"/>
          <w:szCs w:val="24"/>
        </w:rPr>
        <w:t>- Ewę Rozparzyńską – Kotańską,</w:t>
      </w:r>
    </w:p>
    <w:p w14:paraId="1F4C232B" w14:textId="77777777" w:rsidR="00C46610" w:rsidRPr="00C46610" w:rsidRDefault="00C46610" w:rsidP="00C4661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 w:rsidRPr="00C46610">
        <w:rPr>
          <w:rFonts w:ascii="Arial" w:eastAsia="Calibri" w:hAnsi="Arial" w:cs="Arial"/>
          <w:bCs/>
          <w:sz w:val="24"/>
          <w:szCs w:val="24"/>
        </w:rPr>
        <w:t>- Marka Mossakowskiego,</w:t>
      </w:r>
    </w:p>
    <w:p w14:paraId="31F4358A" w14:textId="77777777" w:rsidR="00C46610" w:rsidRPr="00C46610" w:rsidRDefault="00C46610" w:rsidP="00C4661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 w:rsidRPr="00C46610">
        <w:rPr>
          <w:rFonts w:ascii="Arial" w:eastAsia="Calibri" w:hAnsi="Arial" w:cs="Arial"/>
          <w:bCs/>
          <w:sz w:val="24"/>
          <w:szCs w:val="24"/>
        </w:rPr>
        <w:t>- Barbarę Marię Zdrenkę,</w:t>
      </w:r>
    </w:p>
    <w:p w14:paraId="2800D566" w14:textId="576CF926" w:rsidR="0056616F" w:rsidRDefault="0056616F" w:rsidP="002B5D7D">
      <w:pPr>
        <w:spacing w:after="480" w:line="360" w:lineRule="auto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</w:rPr>
        <w:t>o</w:t>
      </w:r>
      <w:r w:rsidR="00290648">
        <w:rPr>
          <w:rFonts w:ascii="Arial" w:hAnsi="Arial" w:cs="Arial"/>
          <w:bCs/>
          <w:sz w:val="24"/>
          <w:szCs w:val="24"/>
        </w:rPr>
        <w:t xml:space="preserve"> wszczęciu z urzędu postępowania rozpoznawczego w sprawie </w:t>
      </w:r>
      <w:r w:rsidR="00C46610">
        <w:rPr>
          <w:rFonts w:ascii="Arial" w:hAnsi="Arial" w:cs="Arial"/>
          <w:bCs/>
          <w:sz w:val="24"/>
          <w:szCs w:val="24"/>
        </w:rPr>
        <w:t xml:space="preserve">decyzji Prezydenta m.st. Warszawy nr 477 ukośnik GK ukośnik DW ukośnik 2011 z dnia 2 listopada 2012 r. </w:t>
      </w:r>
      <w:r>
        <w:rPr>
          <w:rFonts w:ascii="Arial" w:hAnsi="Arial" w:cs="Arial"/>
          <w:bCs/>
          <w:sz w:val="24"/>
          <w:szCs w:val="24"/>
        </w:rPr>
        <w:t xml:space="preserve">ustanawiającej prawo użytkowania wieczystego do niezabudowanego gruntu o powierzchni </w:t>
      </w:r>
      <w:r w:rsidR="00487445">
        <w:rPr>
          <w:rFonts w:ascii="Arial" w:hAnsi="Arial" w:cs="Arial"/>
          <w:bCs/>
          <w:sz w:val="24"/>
          <w:szCs w:val="24"/>
        </w:rPr>
        <w:t xml:space="preserve">341 </w:t>
      </w:r>
      <w:r>
        <w:rPr>
          <w:rFonts w:ascii="Arial" w:hAnsi="Arial" w:cs="Arial"/>
          <w:bCs/>
          <w:sz w:val="24"/>
          <w:szCs w:val="24"/>
        </w:rPr>
        <w:t>metrów kwadratowych</w:t>
      </w:r>
      <w:r>
        <w:rPr>
          <w:rFonts w:ascii="Arial" w:hAnsi="Arial" w:cs="Arial"/>
          <w:bCs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położonego w Warszawie przy ulicy Saskiej, oznaczonego w ewidencji gruntów i budynków jako działka nr</w:t>
      </w:r>
      <w:r w:rsidR="00487445">
        <w:rPr>
          <w:rFonts w:ascii="Arial" w:hAnsi="Arial" w:cs="Arial"/>
          <w:bCs/>
          <w:sz w:val="24"/>
          <w:szCs w:val="24"/>
        </w:rPr>
        <w:t xml:space="preserve"> 92/2</w:t>
      </w:r>
      <w:r>
        <w:rPr>
          <w:rFonts w:ascii="Arial" w:hAnsi="Arial" w:cs="Arial"/>
          <w:bCs/>
          <w:sz w:val="24"/>
          <w:szCs w:val="24"/>
        </w:rPr>
        <w:t xml:space="preserve"> z obrębu</w:t>
      </w:r>
      <w:r w:rsidR="00487445">
        <w:rPr>
          <w:rFonts w:ascii="Arial" w:hAnsi="Arial" w:cs="Arial"/>
          <w:bCs/>
          <w:sz w:val="24"/>
          <w:szCs w:val="24"/>
        </w:rPr>
        <w:t xml:space="preserve"> 3-01-10</w:t>
      </w:r>
      <w:r>
        <w:rPr>
          <w:rFonts w:ascii="Arial" w:hAnsi="Arial" w:cs="Arial"/>
          <w:bCs/>
          <w:sz w:val="24"/>
          <w:szCs w:val="24"/>
        </w:rPr>
        <w:t>, uregulowanego w księdze wieczystej</w:t>
      </w:r>
      <w:r w:rsidR="00487445">
        <w:rPr>
          <w:rFonts w:ascii="Arial" w:hAnsi="Arial" w:cs="Arial"/>
          <w:bCs/>
          <w:sz w:val="24"/>
          <w:szCs w:val="24"/>
        </w:rPr>
        <w:t xml:space="preserve"> WA4M/00460456/2</w:t>
      </w:r>
      <w:r>
        <w:rPr>
          <w:rFonts w:ascii="Arial" w:hAnsi="Arial" w:cs="Arial"/>
          <w:bCs/>
          <w:sz w:val="24"/>
          <w:szCs w:val="24"/>
        </w:rPr>
        <w:t xml:space="preserve">, odmawiającej ustanowienia prawa użytkowania wieczystego gruntu oznaczonego w ewidencji gruntów i budynków jako działki: nr </w:t>
      </w:r>
      <w:r w:rsidR="00487445">
        <w:rPr>
          <w:rFonts w:ascii="Arial" w:hAnsi="Arial" w:cs="Arial"/>
          <w:bCs/>
          <w:sz w:val="24"/>
          <w:szCs w:val="24"/>
        </w:rPr>
        <w:t xml:space="preserve">75-cz z obrębu 3-01-10 </w:t>
      </w:r>
      <w:r>
        <w:rPr>
          <w:rFonts w:ascii="Arial" w:hAnsi="Arial" w:cs="Arial"/>
          <w:bCs/>
          <w:sz w:val="24"/>
          <w:szCs w:val="24"/>
        </w:rPr>
        <w:t xml:space="preserve">o powierzchni </w:t>
      </w:r>
      <w:r w:rsidR="00487445">
        <w:rPr>
          <w:rFonts w:ascii="Arial" w:hAnsi="Arial" w:cs="Arial"/>
          <w:bCs/>
          <w:sz w:val="24"/>
          <w:szCs w:val="24"/>
        </w:rPr>
        <w:t xml:space="preserve">55 </w:t>
      </w:r>
      <w:r>
        <w:rPr>
          <w:rFonts w:ascii="Arial" w:hAnsi="Arial" w:cs="Arial"/>
          <w:bCs/>
          <w:sz w:val="24"/>
          <w:szCs w:val="24"/>
        </w:rPr>
        <w:t>metrów kwadratowych</w:t>
      </w:r>
      <w:r>
        <w:rPr>
          <w:rFonts w:ascii="Arial" w:hAnsi="Arial" w:cs="Arial"/>
          <w:bCs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uregulowanego w księdze wieczystej</w:t>
      </w:r>
      <w:r w:rsidR="00487445">
        <w:rPr>
          <w:rFonts w:ascii="Arial" w:hAnsi="Arial" w:cs="Arial"/>
          <w:bCs/>
          <w:sz w:val="24"/>
          <w:szCs w:val="24"/>
        </w:rPr>
        <w:t xml:space="preserve"> WA6M/00040921/3</w:t>
      </w:r>
      <w:r>
        <w:rPr>
          <w:rFonts w:ascii="Arial" w:hAnsi="Arial" w:cs="Arial"/>
          <w:bCs/>
          <w:sz w:val="24"/>
          <w:szCs w:val="24"/>
        </w:rPr>
        <w:t>, nr</w:t>
      </w:r>
      <w:r w:rsidR="00487445">
        <w:rPr>
          <w:rFonts w:ascii="Arial" w:hAnsi="Arial" w:cs="Arial"/>
          <w:bCs/>
          <w:sz w:val="24"/>
          <w:szCs w:val="24"/>
        </w:rPr>
        <w:t xml:space="preserve"> 67-cz</w:t>
      </w:r>
      <w:r>
        <w:rPr>
          <w:rFonts w:ascii="Arial" w:hAnsi="Arial" w:cs="Arial"/>
          <w:bCs/>
          <w:sz w:val="24"/>
          <w:szCs w:val="24"/>
        </w:rPr>
        <w:t>, nr</w:t>
      </w:r>
      <w:r w:rsidR="00487445">
        <w:rPr>
          <w:rFonts w:ascii="Arial" w:hAnsi="Arial" w:cs="Arial"/>
          <w:bCs/>
          <w:sz w:val="24"/>
          <w:szCs w:val="24"/>
        </w:rPr>
        <w:t xml:space="preserve"> 68-cz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487445">
        <w:rPr>
          <w:rFonts w:ascii="Arial" w:hAnsi="Arial" w:cs="Arial"/>
          <w:bCs/>
          <w:sz w:val="24"/>
          <w:szCs w:val="24"/>
        </w:rPr>
        <w:t xml:space="preserve">nr </w:t>
      </w:r>
      <w:r w:rsidR="00487445">
        <w:rPr>
          <w:rFonts w:ascii="Arial" w:hAnsi="Arial" w:cs="Arial"/>
          <w:bCs/>
          <w:sz w:val="24"/>
          <w:szCs w:val="24"/>
        </w:rPr>
        <w:t>69-cz</w:t>
      </w:r>
      <w:r w:rsidR="00487445">
        <w:rPr>
          <w:rFonts w:ascii="Arial" w:hAnsi="Arial" w:cs="Arial"/>
          <w:bCs/>
          <w:sz w:val="24"/>
          <w:szCs w:val="24"/>
        </w:rPr>
        <w:t>, nr 70-cz, nr 71-cz, nr 72-cz, nr 73-cz</w:t>
      </w:r>
      <w:r w:rsidR="0048744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z obrębu </w:t>
      </w:r>
      <w:r w:rsidR="00487445">
        <w:rPr>
          <w:rFonts w:ascii="Arial" w:hAnsi="Arial" w:cs="Arial"/>
          <w:bCs/>
          <w:sz w:val="24"/>
          <w:szCs w:val="24"/>
        </w:rPr>
        <w:t xml:space="preserve">3-01-10 </w:t>
      </w:r>
      <w:r>
        <w:rPr>
          <w:rFonts w:ascii="Arial" w:hAnsi="Arial" w:cs="Arial"/>
          <w:bCs/>
          <w:sz w:val="24"/>
          <w:szCs w:val="24"/>
        </w:rPr>
        <w:t xml:space="preserve">łącznie o powierzchni </w:t>
      </w:r>
      <w:r w:rsidR="00487445">
        <w:rPr>
          <w:rFonts w:ascii="Arial" w:hAnsi="Arial" w:cs="Arial"/>
          <w:bCs/>
          <w:sz w:val="24"/>
          <w:szCs w:val="24"/>
        </w:rPr>
        <w:t xml:space="preserve">52 </w:t>
      </w:r>
      <w:r>
        <w:rPr>
          <w:rFonts w:ascii="Arial" w:hAnsi="Arial" w:cs="Arial"/>
          <w:bCs/>
          <w:sz w:val="24"/>
          <w:szCs w:val="24"/>
        </w:rPr>
        <w:t>metr</w:t>
      </w:r>
      <w:r w:rsidR="00487445">
        <w:rPr>
          <w:rFonts w:ascii="Arial" w:hAnsi="Arial" w:cs="Arial"/>
          <w:bCs/>
          <w:sz w:val="24"/>
          <w:szCs w:val="24"/>
        </w:rPr>
        <w:t>y</w:t>
      </w:r>
      <w:r>
        <w:rPr>
          <w:rFonts w:ascii="Arial" w:hAnsi="Arial" w:cs="Arial"/>
          <w:bCs/>
          <w:sz w:val="24"/>
          <w:szCs w:val="24"/>
        </w:rPr>
        <w:t xml:space="preserve"> kwadratowych</w:t>
      </w:r>
      <w:r>
        <w:rPr>
          <w:rFonts w:ascii="Arial" w:hAnsi="Arial" w:cs="Arial"/>
          <w:bCs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uregulowanego w księdze wieczystej</w:t>
      </w:r>
      <w:r w:rsidR="00487445">
        <w:rPr>
          <w:rFonts w:ascii="Arial" w:hAnsi="Arial" w:cs="Arial"/>
          <w:bCs/>
          <w:sz w:val="24"/>
          <w:szCs w:val="24"/>
        </w:rPr>
        <w:t xml:space="preserve"> WA6M/00169111/2</w:t>
      </w:r>
      <w:r>
        <w:rPr>
          <w:rFonts w:ascii="Arial" w:hAnsi="Arial" w:cs="Arial"/>
          <w:bCs/>
          <w:sz w:val="24"/>
          <w:szCs w:val="24"/>
        </w:rPr>
        <w:t xml:space="preserve">, nr </w:t>
      </w:r>
      <w:r w:rsidR="00487445">
        <w:rPr>
          <w:rFonts w:ascii="Arial" w:hAnsi="Arial" w:cs="Arial"/>
          <w:bCs/>
          <w:sz w:val="24"/>
          <w:szCs w:val="24"/>
        </w:rPr>
        <w:t xml:space="preserve">92/3 </w:t>
      </w:r>
      <w:r>
        <w:rPr>
          <w:rFonts w:ascii="Arial" w:hAnsi="Arial" w:cs="Arial"/>
          <w:bCs/>
          <w:sz w:val="24"/>
          <w:szCs w:val="24"/>
        </w:rPr>
        <w:t>z obrębu</w:t>
      </w:r>
      <w:r w:rsidR="00487445">
        <w:rPr>
          <w:rFonts w:ascii="Arial" w:hAnsi="Arial" w:cs="Arial"/>
          <w:bCs/>
          <w:sz w:val="24"/>
          <w:szCs w:val="24"/>
        </w:rPr>
        <w:t xml:space="preserve"> 3-01-10</w:t>
      </w:r>
      <w:r>
        <w:rPr>
          <w:rFonts w:ascii="Arial" w:hAnsi="Arial" w:cs="Arial"/>
          <w:bCs/>
          <w:sz w:val="24"/>
          <w:szCs w:val="24"/>
        </w:rPr>
        <w:t xml:space="preserve"> o powierzchni </w:t>
      </w:r>
      <w:r w:rsidR="00487445">
        <w:rPr>
          <w:rFonts w:ascii="Arial" w:hAnsi="Arial" w:cs="Arial"/>
          <w:bCs/>
          <w:sz w:val="24"/>
          <w:szCs w:val="24"/>
        </w:rPr>
        <w:t xml:space="preserve">102 </w:t>
      </w:r>
      <w:r>
        <w:rPr>
          <w:rFonts w:ascii="Arial" w:hAnsi="Arial" w:cs="Arial"/>
          <w:bCs/>
          <w:sz w:val="24"/>
          <w:szCs w:val="24"/>
        </w:rPr>
        <w:t>metrów kwadratowych</w:t>
      </w:r>
      <w:r>
        <w:rPr>
          <w:rFonts w:ascii="Arial" w:hAnsi="Arial" w:cs="Arial"/>
          <w:bCs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uregulowanego w księdze wieczystej</w:t>
      </w:r>
      <w:r w:rsidR="00487445">
        <w:rPr>
          <w:rFonts w:ascii="Arial" w:hAnsi="Arial" w:cs="Arial"/>
          <w:bCs/>
          <w:sz w:val="24"/>
          <w:szCs w:val="24"/>
        </w:rPr>
        <w:t xml:space="preserve"> WA6M/00409382/7.</w:t>
      </w:r>
    </w:p>
    <w:p w14:paraId="22FEE7A7" w14:textId="2578D7F0" w:rsidR="00ED550F" w:rsidRPr="00626972" w:rsidRDefault="00ED550F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Przewodnicząc</w:t>
      </w:r>
      <w:r w:rsidR="00C5584C" w:rsidRPr="00626972">
        <w:rPr>
          <w:rFonts w:ascii="Arial" w:hAnsi="Arial" w:cs="Arial"/>
          <w:sz w:val="24"/>
          <w:szCs w:val="24"/>
        </w:rPr>
        <w:t>y</w:t>
      </w:r>
      <w:r w:rsidRPr="00626972">
        <w:rPr>
          <w:rFonts w:ascii="Arial" w:hAnsi="Arial" w:cs="Arial"/>
          <w:sz w:val="24"/>
          <w:szCs w:val="24"/>
        </w:rPr>
        <w:t xml:space="preserve"> Komisji</w:t>
      </w:r>
    </w:p>
    <w:p w14:paraId="2809B841" w14:textId="03901E02" w:rsidR="00ED550F" w:rsidRPr="00626972" w:rsidRDefault="00C5584C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Sebastian Kaleta</w:t>
      </w:r>
    </w:p>
    <w:p w14:paraId="44F01A5A" w14:textId="77777777" w:rsidR="00611305" w:rsidRPr="005F5916" w:rsidRDefault="00611305" w:rsidP="00611305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5F5916">
        <w:rPr>
          <w:rFonts w:ascii="Arial" w:hAnsi="Arial" w:cs="Arial"/>
          <w:b/>
          <w:bCs/>
          <w:sz w:val="24"/>
          <w:szCs w:val="24"/>
        </w:rPr>
        <w:t>Pouczenie:</w:t>
      </w:r>
    </w:p>
    <w:p w14:paraId="4A2FD2F4" w14:textId="77777777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5F5916">
        <w:rPr>
          <w:rFonts w:ascii="Arial" w:eastAsia="Calibri" w:hAnsi="Arial" w:cs="Arial"/>
          <w:sz w:val="24"/>
          <w:szCs w:val="24"/>
        </w:rPr>
        <w:lastRenderedPageBreak/>
        <w:t xml:space="preserve">1. Zgodnie z art. 16 ust. 2 ustawy z dnia 9 marca 2017 r. o szczególnych zasadach usuwania skutków prawnych decyzji reprywatyzacyjnych dotyczących nieruchomości warszawskich, wydanych z naruszeniem prawa (Dz.U. z 2021 r. poz. 795)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27BCA678" w14:textId="77777777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5F5916">
        <w:rPr>
          <w:rFonts w:ascii="Arial" w:eastAsia="Calibri" w:hAnsi="Arial" w:cs="Arial"/>
          <w:sz w:val="24"/>
          <w:szCs w:val="24"/>
        </w:rPr>
        <w:t>2. Zgodnie z art. 33 ustawy z dnia 14 czerwca 1960 r. – Kodeks postępowania administracyjnego (Dz. U. z 2021 r. poz. 735):</w:t>
      </w:r>
    </w:p>
    <w:p w14:paraId="0B4B1C8B" w14:textId="77777777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paragraf </w:t>
      </w:r>
      <w:r w:rsidRPr="005F5916">
        <w:rPr>
          <w:rFonts w:ascii="Arial" w:eastAsia="Calibri" w:hAnsi="Arial" w:cs="Arial"/>
          <w:sz w:val="24"/>
          <w:szCs w:val="24"/>
        </w:rPr>
        <w:t xml:space="preserve"> 1. Pełnomocnikiem strony może być osoba fizyczna posiadająca zdolność do czynności prawnych.</w:t>
      </w:r>
    </w:p>
    <w:p w14:paraId="5B92B6E5" w14:textId="77777777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paragraf </w:t>
      </w:r>
      <w:r w:rsidRPr="005F5916">
        <w:rPr>
          <w:rFonts w:ascii="Arial" w:eastAsia="Calibri" w:hAnsi="Arial" w:cs="Arial"/>
          <w:sz w:val="24"/>
          <w:szCs w:val="24"/>
        </w:rPr>
        <w:t xml:space="preserve"> 2. Pełnomocnictwo powinno być udzielone na piśmie, w formie dokumentu elektronicznego lub zgłoszone do protokołu.</w:t>
      </w:r>
    </w:p>
    <w:p w14:paraId="267F4416" w14:textId="77777777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paragraf </w:t>
      </w:r>
      <w:r w:rsidRPr="005F5916">
        <w:rPr>
          <w:rFonts w:ascii="Arial" w:eastAsia="Calibri" w:hAnsi="Arial" w:cs="Arial"/>
          <w:sz w:val="24"/>
          <w:szCs w:val="24"/>
        </w:rPr>
        <w:t xml:space="preserve"> 2a. Pełnomocnictwo w formie dokumentu elektronicznego powinno być opatrzone kwalifikowanym podpisem elektronicznym, podpisem zaufanym albo podpisem osobistym.</w:t>
      </w:r>
    </w:p>
    <w:p w14:paraId="7B63D21C" w14:textId="77777777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paragraf </w:t>
      </w:r>
      <w:r w:rsidRPr="005F5916">
        <w:rPr>
          <w:rFonts w:ascii="Arial" w:eastAsia="Calibri" w:hAnsi="Arial" w:cs="Arial"/>
          <w:sz w:val="24"/>
          <w:szCs w:val="24"/>
        </w:rPr>
        <w:t xml:space="preserve">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3F807F5F" w14:textId="77777777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paragraf </w:t>
      </w:r>
      <w:r w:rsidRPr="005F5916">
        <w:rPr>
          <w:rFonts w:ascii="Arial" w:eastAsia="Calibri" w:hAnsi="Arial" w:cs="Arial"/>
          <w:sz w:val="24"/>
          <w:szCs w:val="24"/>
        </w:rPr>
        <w:t xml:space="preserve"> 3a. Jeżeli odpis pełnomocnictwa lub odpisy innych dokumentów wykazujących umocowanie zostały sporządzone w formie dokumentu </w:t>
      </w:r>
      <w:r w:rsidRPr="005F5916">
        <w:rPr>
          <w:rFonts w:ascii="Arial" w:eastAsia="Calibri" w:hAnsi="Arial" w:cs="Arial"/>
          <w:sz w:val="24"/>
          <w:szCs w:val="24"/>
        </w:rPr>
        <w:lastRenderedPageBreak/>
        <w:t xml:space="preserve">elektronicznego, ich uwierzytelnienia, o którym mowa w </w:t>
      </w:r>
      <w:r>
        <w:rPr>
          <w:rFonts w:ascii="Arial" w:eastAsia="Calibri" w:hAnsi="Arial" w:cs="Arial"/>
          <w:sz w:val="24"/>
          <w:szCs w:val="24"/>
        </w:rPr>
        <w:t xml:space="preserve"> paragraf </w:t>
      </w:r>
      <w:r w:rsidRPr="005F5916">
        <w:rPr>
          <w:rFonts w:ascii="Arial" w:eastAsia="Calibri" w:hAnsi="Arial" w:cs="Arial"/>
          <w:sz w:val="24"/>
          <w:szCs w:val="24"/>
        </w:rPr>
        <w:t xml:space="preserve">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3FA33B73" w14:textId="77777777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paragraf </w:t>
      </w:r>
      <w:r w:rsidRPr="005F5916">
        <w:rPr>
          <w:rFonts w:ascii="Arial" w:eastAsia="Calibri" w:hAnsi="Arial" w:cs="Arial"/>
          <w:sz w:val="24"/>
          <w:szCs w:val="24"/>
        </w:rPr>
        <w:t xml:space="preserve">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742C7FBE" w14:textId="77777777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5F5916">
        <w:rPr>
          <w:rFonts w:ascii="Arial" w:eastAsia="Calibri" w:hAnsi="Arial" w:cs="Arial"/>
          <w:sz w:val="24"/>
          <w:szCs w:val="24"/>
        </w:rPr>
        <w:t>3. Zgodnie z art.  21 ust. 1 ustawy z dnia 6 lipca 1982 r. ustawy o radach prawnych (Dz. U. z 2020 r. poz. 75)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6A2D9B79" w14:textId="77777777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5F5916">
        <w:rPr>
          <w:rFonts w:ascii="Arial" w:eastAsia="Calibri" w:hAnsi="Arial" w:cs="Arial"/>
          <w:sz w:val="24"/>
          <w:szCs w:val="24"/>
        </w:rPr>
        <w:t>4. Zgodnie z art.  35</w:t>
      </w:r>
      <w:r w:rsidRPr="005F5916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5F5916">
        <w:rPr>
          <w:rFonts w:ascii="Arial" w:eastAsia="Calibri" w:hAnsi="Arial" w:cs="Arial"/>
          <w:sz w:val="24"/>
          <w:szCs w:val="24"/>
        </w:rPr>
        <w:t xml:space="preserve"> ust. 4 ustawy z dnia 6 lipca 1982 r. ustawy o radach prawnych (Dz. U. z 2020 r. poz. 75)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72B2701C" w14:textId="77777777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5F5916">
        <w:rPr>
          <w:rFonts w:ascii="Arial" w:eastAsia="Calibri" w:hAnsi="Arial" w:cs="Arial"/>
          <w:sz w:val="24"/>
          <w:szCs w:val="24"/>
        </w:rPr>
        <w:t>5. Zgodnie z art. 25 ust. 3 ustawy z dnia 26 maja 1982 r. – Prawo o adwokaturze (Dz. U. z 2020 r. poz. 1651) w wypadku gdy adwokat prowadzący sprawę nie może wziąć osobiście udziału w rozprawie lub wykonać osobiście poszczególnych czynności w sprawie, może on udzielić substytucji.</w:t>
      </w:r>
    </w:p>
    <w:p w14:paraId="4283C561" w14:textId="77777777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5F5916">
        <w:rPr>
          <w:rFonts w:ascii="Arial" w:eastAsia="Calibri" w:hAnsi="Arial" w:cs="Arial"/>
          <w:sz w:val="24"/>
          <w:szCs w:val="24"/>
        </w:rPr>
        <w:t xml:space="preserve">6. Zgodnie z art. 77 ust. 5 ustawy z dnia 26 maja 1982 r. – Prawo o adwokaturze (Dz. U. z 2020 r. poz. 1651) aplikant adwokacki może sporządzać i podpisywać pisma </w:t>
      </w:r>
      <w:r w:rsidRPr="005F5916">
        <w:rPr>
          <w:rFonts w:ascii="Arial" w:eastAsia="Calibri" w:hAnsi="Arial" w:cs="Arial"/>
          <w:sz w:val="24"/>
          <w:szCs w:val="24"/>
        </w:rPr>
        <w:lastRenderedPageBreak/>
        <w:t>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p w14:paraId="04FA4317" w14:textId="01F23BE3" w:rsidR="00061F69" w:rsidRPr="004C291D" w:rsidRDefault="00061F69" w:rsidP="00611305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sectPr w:rsidR="00061F69" w:rsidRPr="004C291D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EC1F6" w14:textId="77777777" w:rsidR="004A3C8C" w:rsidRDefault="004A3C8C" w:rsidP="00257ED8">
      <w:pPr>
        <w:spacing w:after="0" w:line="240" w:lineRule="auto"/>
      </w:pPr>
      <w:r>
        <w:separator/>
      </w:r>
    </w:p>
  </w:endnote>
  <w:endnote w:type="continuationSeparator" w:id="0">
    <w:p w14:paraId="113B51E8" w14:textId="77777777" w:rsidR="004A3C8C" w:rsidRDefault="004A3C8C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E1C04" w14:textId="77777777" w:rsidR="004A3C8C" w:rsidRDefault="004A3C8C" w:rsidP="00257ED8">
      <w:pPr>
        <w:spacing w:after="0" w:line="240" w:lineRule="auto"/>
      </w:pPr>
      <w:r>
        <w:separator/>
      </w:r>
    </w:p>
  </w:footnote>
  <w:footnote w:type="continuationSeparator" w:id="0">
    <w:p w14:paraId="644307E3" w14:textId="77777777" w:rsidR="004A3C8C" w:rsidRDefault="004A3C8C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9B778A"/>
    <w:multiLevelType w:val="hybridMultilevel"/>
    <w:tmpl w:val="442466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F15A9"/>
    <w:multiLevelType w:val="hybridMultilevel"/>
    <w:tmpl w:val="2D28B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19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3654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1288352">
    <w:abstractNumId w:val="3"/>
  </w:num>
  <w:num w:numId="4" w16cid:durableId="1694303810">
    <w:abstractNumId w:val="5"/>
  </w:num>
  <w:num w:numId="5" w16cid:durableId="1523783107">
    <w:abstractNumId w:val="1"/>
  </w:num>
  <w:num w:numId="6" w16cid:durableId="963737048">
    <w:abstractNumId w:val="4"/>
  </w:num>
  <w:num w:numId="7" w16cid:durableId="32267738">
    <w:abstractNumId w:val="0"/>
  </w:num>
  <w:num w:numId="8" w16cid:durableId="339235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177FF"/>
    <w:rsid w:val="00061F69"/>
    <w:rsid w:val="000C1DBC"/>
    <w:rsid w:val="001027AF"/>
    <w:rsid w:val="001175B5"/>
    <w:rsid w:val="00143CE7"/>
    <w:rsid w:val="00180CE1"/>
    <w:rsid w:val="001C71EA"/>
    <w:rsid w:val="001E1709"/>
    <w:rsid w:val="00255A1A"/>
    <w:rsid w:val="00257ED8"/>
    <w:rsid w:val="0028761B"/>
    <w:rsid w:val="00290648"/>
    <w:rsid w:val="002B06D9"/>
    <w:rsid w:val="002B5D7D"/>
    <w:rsid w:val="002D6532"/>
    <w:rsid w:val="002E2434"/>
    <w:rsid w:val="002E5ED6"/>
    <w:rsid w:val="002F2B1E"/>
    <w:rsid w:val="00306764"/>
    <w:rsid w:val="0030770A"/>
    <w:rsid w:val="00362964"/>
    <w:rsid w:val="003963C2"/>
    <w:rsid w:val="00402F9A"/>
    <w:rsid w:val="00444487"/>
    <w:rsid w:val="00477959"/>
    <w:rsid w:val="00487445"/>
    <w:rsid w:val="004A3C8C"/>
    <w:rsid w:val="004B5AF1"/>
    <w:rsid w:val="004C291D"/>
    <w:rsid w:val="004D5A29"/>
    <w:rsid w:val="004E604E"/>
    <w:rsid w:val="005246D5"/>
    <w:rsid w:val="00542983"/>
    <w:rsid w:val="0056616F"/>
    <w:rsid w:val="005F6374"/>
    <w:rsid w:val="00611305"/>
    <w:rsid w:val="00626972"/>
    <w:rsid w:val="0065701F"/>
    <w:rsid w:val="00665679"/>
    <w:rsid w:val="00673146"/>
    <w:rsid w:val="006803F5"/>
    <w:rsid w:val="006912F4"/>
    <w:rsid w:val="006A2E5C"/>
    <w:rsid w:val="006C4AF8"/>
    <w:rsid w:val="00724702"/>
    <w:rsid w:val="00750E14"/>
    <w:rsid w:val="007812D1"/>
    <w:rsid w:val="007B20CB"/>
    <w:rsid w:val="007B2105"/>
    <w:rsid w:val="007C5C30"/>
    <w:rsid w:val="007E4D31"/>
    <w:rsid w:val="007F3E57"/>
    <w:rsid w:val="008274D6"/>
    <w:rsid w:val="00855F81"/>
    <w:rsid w:val="008721B3"/>
    <w:rsid w:val="00884D3A"/>
    <w:rsid w:val="008A5AC8"/>
    <w:rsid w:val="008B0542"/>
    <w:rsid w:val="008B6606"/>
    <w:rsid w:val="00923C2B"/>
    <w:rsid w:val="00930557"/>
    <w:rsid w:val="0093738E"/>
    <w:rsid w:val="009559E4"/>
    <w:rsid w:val="00960FA9"/>
    <w:rsid w:val="00980BA1"/>
    <w:rsid w:val="00984858"/>
    <w:rsid w:val="00987988"/>
    <w:rsid w:val="009A188C"/>
    <w:rsid w:val="009A4242"/>
    <w:rsid w:val="009C0A89"/>
    <w:rsid w:val="009F2AD8"/>
    <w:rsid w:val="00A43337"/>
    <w:rsid w:val="00A4480F"/>
    <w:rsid w:val="00A5629B"/>
    <w:rsid w:val="00A64AB6"/>
    <w:rsid w:val="00AA33B8"/>
    <w:rsid w:val="00AB1F7B"/>
    <w:rsid w:val="00AB60C1"/>
    <w:rsid w:val="00AD3D92"/>
    <w:rsid w:val="00B15553"/>
    <w:rsid w:val="00B231A9"/>
    <w:rsid w:val="00B426D6"/>
    <w:rsid w:val="00B85B6E"/>
    <w:rsid w:val="00B869EB"/>
    <w:rsid w:val="00B95838"/>
    <w:rsid w:val="00B963AD"/>
    <w:rsid w:val="00BA1700"/>
    <w:rsid w:val="00C17CD6"/>
    <w:rsid w:val="00C2209E"/>
    <w:rsid w:val="00C256C2"/>
    <w:rsid w:val="00C34F49"/>
    <w:rsid w:val="00C46610"/>
    <w:rsid w:val="00C5584C"/>
    <w:rsid w:val="00C66C68"/>
    <w:rsid w:val="00C70B1F"/>
    <w:rsid w:val="00C70F4B"/>
    <w:rsid w:val="00C769C2"/>
    <w:rsid w:val="00C93E80"/>
    <w:rsid w:val="00CD31CD"/>
    <w:rsid w:val="00CE64EC"/>
    <w:rsid w:val="00D00236"/>
    <w:rsid w:val="00D06750"/>
    <w:rsid w:val="00D15A46"/>
    <w:rsid w:val="00D17CFB"/>
    <w:rsid w:val="00D37F92"/>
    <w:rsid w:val="00D72583"/>
    <w:rsid w:val="00D72C8B"/>
    <w:rsid w:val="00DB6684"/>
    <w:rsid w:val="00DE46E8"/>
    <w:rsid w:val="00E07DEB"/>
    <w:rsid w:val="00E60562"/>
    <w:rsid w:val="00E80DDA"/>
    <w:rsid w:val="00E85793"/>
    <w:rsid w:val="00ED550F"/>
    <w:rsid w:val="00F115D0"/>
    <w:rsid w:val="00F25EAB"/>
    <w:rsid w:val="00F32AB7"/>
    <w:rsid w:val="00F37569"/>
    <w:rsid w:val="00F77646"/>
    <w:rsid w:val="00FC69C5"/>
    <w:rsid w:val="00FD3FBF"/>
    <w:rsid w:val="00FD67E0"/>
    <w:rsid w:val="00FE3A94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889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22/17 - zawiadomienie o nowym terminie załatwienia sprawy - 31.10.2022 r. - wersja cyfrowa [BIP 29.08.2021]</vt:lpstr>
    </vt:vector>
  </TitlesOfParts>
  <Company>MS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22/17 - zawiadomienie o nowym terminie załatwienia sprawy - 31.10.2022 r. - wersja cyfrowa [BIP 29.08.2021]</dc:title>
  <dc:creator>Damian.Nowak@ms.gov.pl</dc:creator>
  <cp:lastModifiedBy>Tubis Justyna  (DPA)</cp:lastModifiedBy>
  <cp:revision>12</cp:revision>
  <cp:lastPrinted>2019-06-13T12:29:00Z</cp:lastPrinted>
  <dcterms:created xsi:type="dcterms:W3CDTF">2022-10-14T12:24:00Z</dcterms:created>
  <dcterms:modified xsi:type="dcterms:W3CDTF">2022-11-09T09:36:00Z</dcterms:modified>
</cp:coreProperties>
</file>