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504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41AE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52CC4">
        <w:rPr>
          <w:rFonts w:asciiTheme="minorHAnsi" w:hAnsiTheme="minorHAnsi" w:cstheme="minorHAnsi"/>
          <w:bCs/>
          <w:sz w:val="24"/>
          <w:szCs w:val="24"/>
        </w:rPr>
        <w:t>6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41AE4" w:rsidRDefault="00A41AE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41AE4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DOOŚ-WDŚ/ZOO.420.41.2020.AB.48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41AE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-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 oraz, na podstawie art. 85 ust. 3 ustawy ooś, zawiadamiam społeczeństwo, że Generalny Dyrektor Ochrony Środowiska decyzją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dnia 30 września 2022 r., znak: DOOŚ WDŚ/ZOO</w:t>
      </w: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.420.41.2020.AB.46, uchylił w części i w tym zakresie orzekł a w pozostałej części utrzymał w mocy decyzję Regionalnego Dyrektora Ochrony Środowiska we Wrocławiu z dnia 21 stycznia 2020 r., znak: WOOŚ.4235.1.2015.53, określającą środowiskowe uwarunkowania realizacji przedsięwzięci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a: Kontynuacja eksploatacji złoż</w:t>
      </w: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a węgla brunatnego "Turów”, realizowanego w gminie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Bogatynia.</w:t>
      </w:r>
    </w:p>
    <w:p w:rsidR="00A41AE4" w:rsidRPr="00A41AE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A41AE4" w:rsidRPr="00A41AE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F52CC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9D286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A41AE4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A41AE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A41AE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A41AE4" w:rsidRPr="00A41AE4" w:rsidRDefault="00A41AE4" w:rsidP="00A41AE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41AE4" w:rsidRPr="00A41AE4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lastRenderedPageBreak/>
        <w:t>Art. 49 Kpa Strony</w:t>
      </w:r>
      <w:r>
        <w:rPr>
          <w:rFonts w:asciiTheme="minorHAnsi" w:hAnsiTheme="minorHAnsi" w:cstheme="minorHAnsi"/>
          <w:bCs/>
        </w:rPr>
        <w:t xml:space="preserve"> mogą być zawiadamiane o decyzjach i innych </w:t>
      </w:r>
      <w:r w:rsidRPr="00A41AE4">
        <w:rPr>
          <w:rFonts w:asciiTheme="minorHAnsi" w:hAnsiTheme="minorHAnsi" w:cstheme="minorHAnsi"/>
          <w:bCs/>
        </w:rPr>
        <w:t>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41AE4" w:rsidRPr="00A41AE4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</w:t>
      </w:r>
      <w:r w:rsidR="006A2001">
        <w:rPr>
          <w:rFonts w:asciiTheme="minorHAnsi" w:hAnsiTheme="minorHAnsi" w:cstheme="minorHAnsi"/>
          <w:bCs/>
        </w:rPr>
        <w:t>inistracyjnych wszczętych i niez</w:t>
      </w:r>
      <w:r w:rsidRPr="00A41AE4">
        <w:rPr>
          <w:rFonts w:asciiTheme="minorHAnsi" w:hAnsiTheme="minorHAnsi" w:cstheme="minorHAnsi"/>
          <w:bCs/>
        </w:rPr>
        <w:t>akończonych przed dniem wejścia niniejszej ustawy ostateczną decyzją lub postanowieniem stosuje się przepisy ustawy zmienianej w art. 1, w brzmieniu dotychczasowym, z tym</w:t>
      </w:r>
      <w:r w:rsidR="006A2001">
        <w:rPr>
          <w:rFonts w:asciiTheme="minorHAnsi" w:hAnsiTheme="minorHAnsi" w:cstheme="minorHAnsi"/>
          <w:bCs/>
        </w:rPr>
        <w:t>,</w:t>
      </w:r>
      <w:r w:rsidRPr="00A41AE4">
        <w:rPr>
          <w:rFonts w:asciiTheme="minorHAnsi" w:hAnsiTheme="minorHAnsi" w:cstheme="minorHAnsi"/>
          <w:bCs/>
        </w:rPr>
        <w:t xml:space="preserve"> że do tych postępowań stosuje się przepisy art. 96a-96n ustawy zmienianej w art. 1.</w:t>
      </w:r>
    </w:p>
    <w:p w:rsidR="00A41AE4" w:rsidRPr="00A41AE4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41AE4" w:rsidRPr="00A41AE4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 w:rsidR="006A2001">
        <w:rPr>
          <w:rFonts w:asciiTheme="minorHAnsi" w:hAnsiTheme="minorHAnsi" w:cstheme="minorHAnsi"/>
          <w:bCs/>
        </w:rPr>
        <w:t>zwłocznie po jej wydaniu, podaje</w:t>
      </w:r>
      <w:r w:rsidRPr="00A41AE4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</w:t>
      </w:r>
      <w:r w:rsidR="006A2001">
        <w:rPr>
          <w:rFonts w:asciiTheme="minorHAnsi" w:hAnsiTheme="minorHAnsi" w:cstheme="minorHAnsi"/>
          <w:bCs/>
        </w:rPr>
        <w:t xml:space="preserve"> </w:t>
      </w:r>
      <w:r w:rsidRPr="00A41AE4">
        <w:rPr>
          <w:rFonts w:asciiTheme="minorHAnsi" w:hAnsiTheme="minorHAnsi" w:cstheme="minorHAnsi"/>
          <w:bCs/>
        </w:rPr>
        <w:t>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A41AE4" w:rsidRPr="00A41AE4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t>Art. 6 ust. 2 ustawy z dnia 9 października 2015 r. u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 w:rsidR="006A2001">
        <w:rPr>
          <w:rFonts w:asciiTheme="minorHAnsi" w:hAnsiTheme="minorHAnsi" w:cstheme="minorHAnsi"/>
          <w:bCs/>
        </w:rPr>
        <w:t>rych przed dniem wejścia w życie</w:t>
      </w:r>
      <w:r w:rsidRPr="00A41AE4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41AE4" w:rsidP="00A41AE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1AE4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 w:rsidR="006A2001">
        <w:rPr>
          <w:rFonts w:asciiTheme="minorHAnsi" w:hAnsiTheme="minorHAnsi" w:cstheme="minorHAnsi"/>
          <w:bCs/>
        </w:rPr>
        <w:t>ych w art. 1 oraz w art. 3 i nie</w:t>
      </w:r>
      <w:r w:rsidRPr="00A41AE4">
        <w:rPr>
          <w:rFonts w:asciiTheme="minorHAnsi" w:hAnsiTheme="minorHAnsi" w:cstheme="minorHAnsi"/>
          <w:bCs/>
        </w:rPr>
        <w:t>zakończo</w:t>
      </w:r>
      <w:r w:rsidR="006A2001">
        <w:rPr>
          <w:rFonts w:asciiTheme="minorHAnsi" w:hAnsiTheme="minorHAnsi" w:cstheme="minorHAnsi"/>
          <w:bCs/>
        </w:rPr>
        <w:t>nych przed dniem wejścia w życie</w:t>
      </w:r>
      <w:r w:rsidRPr="00A41AE4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EF" w:rsidRDefault="008C4DEF">
      <w:pPr>
        <w:spacing w:after="0" w:line="240" w:lineRule="auto"/>
      </w:pPr>
      <w:r>
        <w:separator/>
      </w:r>
    </w:p>
  </w:endnote>
  <w:endnote w:type="continuationSeparator" w:id="0">
    <w:p w:rsidR="008C4DEF" w:rsidRDefault="008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A200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C4DE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EF" w:rsidRDefault="008C4DEF">
      <w:pPr>
        <w:spacing w:after="0" w:line="240" w:lineRule="auto"/>
      </w:pPr>
      <w:r>
        <w:separator/>
      </w:r>
    </w:p>
  </w:footnote>
  <w:footnote w:type="continuationSeparator" w:id="0">
    <w:p w:rsidR="008C4DEF" w:rsidRDefault="008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C4DE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C4DE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C4DE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A2001"/>
    <w:rsid w:val="007122C2"/>
    <w:rsid w:val="00726E38"/>
    <w:rsid w:val="007704E4"/>
    <w:rsid w:val="007710E5"/>
    <w:rsid w:val="0084152D"/>
    <w:rsid w:val="0085442F"/>
    <w:rsid w:val="00862E83"/>
    <w:rsid w:val="008C4DEF"/>
    <w:rsid w:val="009501E3"/>
    <w:rsid w:val="00A40900"/>
    <w:rsid w:val="00A41AE4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6CF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B3AA-E3D6-4F2E-B10D-904FF95C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2023-07-07T06:51:00Z</dcterms:created>
  <dcterms:modified xsi:type="dcterms:W3CDTF">2023-07-07T06:51:00Z</dcterms:modified>
</cp:coreProperties>
</file>