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40" w:rsidRDefault="00475940" w:rsidP="00475940">
      <w:pPr>
        <w:pStyle w:val="Tekstpodstawowy"/>
        <w:spacing w:line="276" w:lineRule="auto"/>
        <w:rPr>
          <w:b/>
          <w:bCs/>
          <w:sz w:val="24"/>
        </w:rPr>
      </w:pPr>
      <w:r>
        <w:rPr>
          <w:b/>
          <w:bCs/>
          <w:sz w:val="24"/>
        </w:rPr>
        <w:t xml:space="preserve">Fabryka Obrabiarek do Drewna Sp. z o.o. </w:t>
      </w:r>
      <w:r>
        <w:rPr>
          <w:b/>
          <w:sz w:val="24"/>
        </w:rPr>
        <w:t>z siedzibą w Bydgoszczy</w:t>
      </w:r>
    </w:p>
    <w:p w:rsidR="00475940" w:rsidRDefault="00475940" w:rsidP="00475940">
      <w:pPr>
        <w:spacing w:line="276" w:lineRule="auto"/>
        <w:jc w:val="center"/>
        <w:rPr>
          <w:b/>
        </w:rPr>
      </w:pPr>
      <w:r>
        <w:rPr>
          <w:b/>
        </w:rPr>
        <w:t>ogłasza PRZETARG USTNY nieograniczony</w:t>
      </w:r>
    </w:p>
    <w:p w:rsidR="00475940" w:rsidRDefault="00475940" w:rsidP="00475940">
      <w:pPr>
        <w:spacing w:line="276" w:lineRule="auto"/>
        <w:jc w:val="center"/>
        <w:rPr>
          <w:b/>
        </w:rPr>
      </w:pPr>
      <w:r>
        <w:rPr>
          <w:b/>
        </w:rPr>
        <w:t xml:space="preserve">na sprzedaż prawa wieczystego użytkowania nieruchomości </w:t>
      </w:r>
    </w:p>
    <w:p w:rsidR="00475940" w:rsidRDefault="00475940" w:rsidP="00475940">
      <w:pPr>
        <w:spacing w:line="276" w:lineRule="auto"/>
        <w:jc w:val="center"/>
        <w:rPr>
          <w:b/>
        </w:rPr>
      </w:pPr>
      <w:r>
        <w:rPr>
          <w:b/>
        </w:rPr>
        <w:t xml:space="preserve">położonych w </w:t>
      </w:r>
      <w:r>
        <w:rPr>
          <w:b/>
          <w:smallCaps/>
        </w:rPr>
        <w:t>Bydgoszczy przy ul. Nakielskiej 53,</w:t>
      </w:r>
      <w:r>
        <w:rPr>
          <w:b/>
        </w:rPr>
        <w:t xml:space="preserve"> </w:t>
      </w:r>
    </w:p>
    <w:p w:rsidR="00475940" w:rsidRDefault="00475940" w:rsidP="00475940">
      <w:pPr>
        <w:spacing w:line="276" w:lineRule="auto"/>
        <w:jc w:val="center"/>
        <w:rPr>
          <w:b/>
        </w:rPr>
      </w:pPr>
      <w:r>
        <w:rPr>
          <w:b/>
        </w:rPr>
        <w:t>obejmujących niżej zestawione działki gruntu:</w:t>
      </w:r>
    </w:p>
    <w:p w:rsidR="00475940" w:rsidRDefault="00475940" w:rsidP="00475940">
      <w:pPr>
        <w:rPr>
          <w:b/>
        </w:rPr>
      </w:pPr>
    </w:p>
    <w:tbl>
      <w:tblPr>
        <w:tblStyle w:val="Tabela-Siatka"/>
        <w:tblW w:w="0" w:type="dxa"/>
        <w:tblInd w:w="0" w:type="dxa"/>
        <w:tblLayout w:type="fixed"/>
        <w:tblLook w:val="01E0" w:firstRow="1" w:lastRow="1" w:firstColumn="1" w:lastColumn="1" w:noHBand="0" w:noVBand="0"/>
      </w:tblPr>
      <w:tblGrid>
        <w:gridCol w:w="562"/>
        <w:gridCol w:w="1134"/>
        <w:gridCol w:w="1985"/>
        <w:gridCol w:w="1134"/>
        <w:gridCol w:w="2126"/>
        <w:gridCol w:w="2126"/>
      </w:tblGrid>
      <w:tr w:rsidR="00475940" w:rsidTr="00475940">
        <w:tc>
          <w:tcPr>
            <w:tcW w:w="562" w:type="dxa"/>
            <w:tcBorders>
              <w:top w:val="single" w:sz="4" w:space="0" w:color="auto"/>
              <w:left w:val="single" w:sz="4" w:space="0" w:color="auto"/>
              <w:bottom w:val="single" w:sz="4" w:space="0" w:color="auto"/>
              <w:right w:val="single" w:sz="4" w:space="0" w:color="auto"/>
            </w:tcBorders>
            <w:vAlign w:val="center"/>
            <w:hideMark/>
          </w:tcPr>
          <w:p w:rsidR="00475940" w:rsidRDefault="00475940">
            <w:pPr>
              <w:rPr>
                <w:b/>
                <w:sz w:val="20"/>
                <w:szCs w:val="20"/>
                <w:lang w:eastAsia="en-US"/>
              </w:rPr>
            </w:pPr>
            <w:r>
              <w:rPr>
                <w:b/>
                <w:sz w:val="20"/>
                <w:szCs w:val="20"/>
                <w:lang w:eastAsia="en-US"/>
              </w:rPr>
              <w:t>L.p.</w:t>
            </w: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b/>
                <w:sz w:val="20"/>
                <w:szCs w:val="20"/>
                <w:lang w:eastAsia="en-US"/>
              </w:rPr>
            </w:pPr>
            <w:r>
              <w:rPr>
                <w:b/>
                <w:sz w:val="20"/>
                <w:szCs w:val="20"/>
                <w:lang w:eastAsia="en-US"/>
              </w:rPr>
              <w:t>Nr działki</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b/>
                <w:sz w:val="20"/>
                <w:szCs w:val="20"/>
                <w:lang w:eastAsia="en-US"/>
              </w:rPr>
            </w:pPr>
            <w:r>
              <w:rPr>
                <w:b/>
                <w:sz w:val="20"/>
                <w:szCs w:val="20"/>
                <w:lang w:eastAsia="en-US"/>
              </w:rPr>
              <w:t>rodzaj</w:t>
            </w: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b/>
                <w:sz w:val="20"/>
                <w:szCs w:val="20"/>
                <w:lang w:eastAsia="en-US"/>
              </w:rPr>
            </w:pPr>
            <w:r>
              <w:rPr>
                <w:b/>
                <w:sz w:val="20"/>
                <w:szCs w:val="20"/>
                <w:lang w:eastAsia="en-US"/>
              </w:rPr>
              <w:t>Nr obrębu</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b/>
                <w:sz w:val="20"/>
                <w:szCs w:val="20"/>
                <w:lang w:eastAsia="en-US"/>
              </w:rPr>
            </w:pPr>
            <w:r>
              <w:rPr>
                <w:b/>
                <w:sz w:val="20"/>
                <w:szCs w:val="20"/>
                <w:lang w:eastAsia="en-US"/>
              </w:rPr>
              <w:t>Nr księgi wieczystej</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b/>
                <w:sz w:val="20"/>
                <w:szCs w:val="20"/>
                <w:lang w:eastAsia="en-US"/>
              </w:rPr>
            </w:pPr>
            <w:r>
              <w:rPr>
                <w:b/>
                <w:sz w:val="20"/>
                <w:szCs w:val="20"/>
                <w:lang w:eastAsia="en-US"/>
              </w:rPr>
              <w:t>Powierzchnia w ha</w:t>
            </w:r>
          </w:p>
        </w:tc>
      </w:tr>
      <w:tr w:rsidR="00475940" w:rsidTr="00475940">
        <w:trPr>
          <w:trHeight w:val="13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25/8</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0066</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BY1B/00019781/1</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75940" w:rsidRDefault="00475940">
            <w:pPr>
              <w:rPr>
                <w:lang w:eastAsia="en-US"/>
              </w:rPr>
            </w:pPr>
          </w:p>
          <w:p w:rsidR="00475940" w:rsidRDefault="00475940">
            <w:pPr>
              <w:jc w:val="center"/>
              <w:rPr>
                <w:b/>
                <w:lang w:eastAsia="en-US"/>
              </w:rPr>
            </w:pPr>
            <w:r>
              <w:rPr>
                <w:b/>
                <w:lang w:eastAsia="en-US"/>
              </w:rPr>
              <w:t>3,1783</w:t>
            </w:r>
          </w:p>
        </w:tc>
      </w:tr>
      <w:tr w:rsidR="00475940" w:rsidTr="00475940">
        <w:trPr>
          <w:trHeight w:val="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25/11</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26/1</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26/2</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27/4</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28/4</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95"/>
        </w:trPr>
        <w:tc>
          <w:tcPr>
            <w:tcW w:w="562" w:type="dxa"/>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29/2</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0066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BY1B/00019782/8</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9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30/1</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0066</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75940" w:rsidRDefault="00475940">
            <w:pPr>
              <w:jc w:val="center"/>
              <w:rPr>
                <w:lang w:eastAsia="en-US"/>
              </w:rPr>
            </w:pPr>
            <w:r>
              <w:rPr>
                <w:lang w:eastAsia="en-US"/>
              </w:rPr>
              <w:t>BY1B/00013829/8</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30/2</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1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31/3</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31/4</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31/5</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r w:rsidR="00475940" w:rsidTr="00475940">
        <w:trPr>
          <w:trHeight w:val="6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75940" w:rsidRDefault="00475940">
            <w:pPr>
              <w:rPr>
                <w:lang w:eastAsia="en-US"/>
              </w:rPr>
            </w:pPr>
            <w:r>
              <w:rPr>
                <w:lang w:eastAsia="en-US"/>
              </w:rPr>
              <w:t>57/4</w:t>
            </w:r>
          </w:p>
        </w:tc>
        <w:tc>
          <w:tcPr>
            <w:tcW w:w="1985" w:type="dxa"/>
            <w:tcBorders>
              <w:top w:val="single" w:sz="4" w:space="0" w:color="auto"/>
              <w:left w:val="single" w:sz="4" w:space="0" w:color="auto"/>
              <w:bottom w:val="single" w:sz="4" w:space="0" w:color="auto"/>
              <w:right w:val="single" w:sz="4" w:space="0" w:color="auto"/>
            </w:tcBorders>
            <w:hideMark/>
          </w:tcPr>
          <w:p w:rsidR="00475940" w:rsidRDefault="00475940">
            <w:pPr>
              <w:jc w:val="center"/>
              <w:rPr>
                <w:lang w:eastAsia="en-US"/>
              </w:rPr>
            </w:pPr>
            <w:r>
              <w:rPr>
                <w:lang w:eastAsia="en-US"/>
              </w:rPr>
              <w:t>Niezabudowana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75940" w:rsidRDefault="00475940">
            <w:pPr>
              <w:rPr>
                <w:b/>
                <w:lang w:eastAsia="en-US"/>
              </w:rPr>
            </w:pPr>
          </w:p>
        </w:tc>
      </w:tr>
    </w:tbl>
    <w:p w:rsidR="00475940" w:rsidRDefault="00475940" w:rsidP="00475940">
      <w:pPr>
        <w:spacing w:line="276" w:lineRule="auto"/>
        <w:jc w:val="center"/>
        <w:rPr>
          <w:b/>
        </w:rPr>
      </w:pPr>
    </w:p>
    <w:p w:rsidR="00475940" w:rsidRDefault="00475940" w:rsidP="00475940">
      <w:pPr>
        <w:spacing w:line="276" w:lineRule="auto"/>
        <w:ind w:right="-284"/>
      </w:pPr>
      <w:r>
        <w:t xml:space="preserve">wraz z prawem własności posadowionych na tych nieruchomościach budynków i urządzeń. </w:t>
      </w:r>
    </w:p>
    <w:p w:rsidR="00475940" w:rsidRDefault="00475940" w:rsidP="00475940"/>
    <w:p w:rsidR="00475940" w:rsidRDefault="00475940" w:rsidP="00475940">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Bydgoszczy przy ul. Nakielskiej 53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475940" w:rsidRDefault="00475940" w:rsidP="00475940">
      <w:pPr>
        <w:pStyle w:val="Akapitzlist"/>
        <w:numPr>
          <w:ilvl w:val="0"/>
          <w:numId w:val="1"/>
        </w:numPr>
        <w:spacing w:after="120"/>
        <w:ind w:left="284"/>
        <w:jc w:val="both"/>
        <w:rPr>
          <w:sz w:val="22"/>
          <w:szCs w:val="22"/>
        </w:rPr>
      </w:pPr>
      <w:r>
        <w:rPr>
          <w:sz w:val="22"/>
          <w:szCs w:val="22"/>
        </w:rPr>
        <w:t xml:space="preserve">Wszystkie ww. nieruchomości (ściślej - prawa) tworzą jeden, łączny przedmiot przetargu i sprzedaży, zwany dalej także zbiorczo </w:t>
      </w:r>
      <w:r>
        <w:rPr>
          <w:b/>
          <w:sz w:val="22"/>
          <w:szCs w:val="22"/>
        </w:rPr>
        <w:t>Nieruchomością</w:t>
      </w:r>
      <w:r>
        <w:rPr>
          <w:sz w:val="22"/>
          <w:szCs w:val="22"/>
        </w:rPr>
        <w:t xml:space="preserve">. Nie dopuszcza się składania ofert dotyczących jedynie niektórych z wyżej wyspecyfikowanych nieruchomości/działek. </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Przetarg odbędzie się w drodze publicznej licytacji </w:t>
      </w:r>
      <w:r>
        <w:rPr>
          <w:rFonts w:eastAsia="SimSun"/>
          <w:b/>
          <w:bCs/>
          <w:kern w:val="2"/>
          <w:sz w:val="22"/>
          <w:szCs w:val="22"/>
          <w:lang w:eastAsia="zh-CN" w:bidi="hi-IN"/>
        </w:rPr>
        <w:t>w dniu 21 listopada 2019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w siedzibie Organizatora przetargu w Bydgoszczy przy ulicy Nakielskiej 53, I piętro, pokój nr 17.</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Minimalne postąpienie w ramach licytacji wynosić będzie </w:t>
      </w:r>
      <w:r>
        <w:rPr>
          <w:rFonts w:eastAsia="SimSun"/>
          <w:b/>
          <w:kern w:val="2"/>
          <w:sz w:val="22"/>
          <w:szCs w:val="22"/>
          <w:lang w:eastAsia="zh-CN" w:bidi="hi-IN"/>
        </w:rPr>
        <w:t>200.000,00 zł</w:t>
      </w:r>
      <w:r>
        <w:rPr>
          <w:rFonts w:eastAsia="SimSun"/>
          <w:kern w:val="2"/>
          <w:sz w:val="22"/>
          <w:szCs w:val="22"/>
          <w:lang w:eastAsia="zh-CN" w:bidi="hi-IN"/>
        </w:rPr>
        <w:t xml:space="preserve">.  </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 gotówce wadium w wysokości </w:t>
      </w:r>
      <w:r>
        <w:rPr>
          <w:rFonts w:eastAsia="SimSun"/>
          <w:b/>
          <w:bCs/>
          <w:kern w:val="2"/>
          <w:sz w:val="22"/>
          <w:szCs w:val="22"/>
          <w:lang w:eastAsia="zh-CN" w:bidi="hi-IN"/>
        </w:rPr>
        <w:t>825.000,00 zł</w:t>
      </w:r>
      <w:r>
        <w:rPr>
          <w:rFonts w:eastAsia="SimSun"/>
          <w:kern w:val="2"/>
          <w:sz w:val="22"/>
          <w:szCs w:val="22"/>
          <w:lang w:eastAsia="zh-CN" w:bidi="hi-IN"/>
        </w:rPr>
        <w:t>. Wadium należy wpłacić na rachunek Organizatora nr 33105011391000009031063937 (ING Bank Śląski S.A.) do dnia 20 listopada 2019r.  przy czym za datę wpłaty wadium uważać się będzie datę wpływu środków pieniężnych na ww. rachunek. W tytule wpłaty należy podać: „</w:t>
      </w:r>
      <w:r>
        <w:rPr>
          <w:rFonts w:eastAsia="SimSun"/>
          <w:i/>
          <w:kern w:val="2"/>
          <w:sz w:val="22"/>
          <w:szCs w:val="22"/>
          <w:lang w:eastAsia="zh-CN" w:bidi="hi-IN"/>
        </w:rPr>
        <w:t>Wadium w przetargu – Nakielska 53</w:t>
      </w:r>
      <w:r>
        <w:rPr>
          <w:rFonts w:eastAsia="SimSun"/>
          <w:kern w:val="2"/>
          <w:sz w:val="22"/>
          <w:szCs w:val="22"/>
          <w:lang w:eastAsia="zh-CN" w:bidi="hi-IN"/>
        </w:rPr>
        <w:t xml:space="preserve">”. Dokument potwierdzający wniesienie wadium należy dodatkowo przedłożyć komisji przetargowej przed otwarciem licytacji. Prowadzący przetarg bezpośrednio przed wywołaniem licytacji sprawdza, czy uczestnicy wnieśli wadium w należytej wysokości. </w:t>
      </w:r>
    </w:p>
    <w:p w:rsidR="00475940" w:rsidRDefault="00475940" w:rsidP="00475940">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Cena wywoławcza Nieruchomości wynosi </w:t>
      </w:r>
      <w:r>
        <w:rPr>
          <w:rFonts w:eastAsia="SimSun"/>
          <w:b/>
          <w:bCs/>
          <w:kern w:val="2"/>
          <w:sz w:val="22"/>
          <w:szCs w:val="22"/>
          <w:lang w:eastAsia="zh-CN" w:bidi="hi-IN"/>
        </w:rPr>
        <w:t>16.500.000,00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Wedle aktualnego stanu rzeczy sprzedaż Nieruchomości korzysta ze zwolnienia z opodatkowania podatkiem VAT w części dotyczącej działek zabudowanych. </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 przypadku, gdy na dzień dokonywania sprzedaży (dostawy) Nieruchomości będzie ona w całości lub części objęta opodatkowaniem podatkiem VAT, cena zostanie odpowiednio powiększona o ten podatek w obowiązującej wysokości. </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475940" w:rsidRDefault="00475940" w:rsidP="0047594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21 dni od zamknięcia licytacji Organizator zawiadamia zwycięzcę przetargu o terminie i miejscu zawarcia umowy sprzedaży Nieruchomości (w wymaganej formie aktu notarialnego) z zachowaniem 7 dniowego wyprzedzenia. </w:t>
      </w:r>
    </w:p>
    <w:p w:rsidR="00475940" w:rsidRDefault="00475940" w:rsidP="0047594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lastRenderedPageBreak/>
        <w:t xml:space="preserve">Na wniosek nabywcy w tak wyznaczonym terminie może zostać zawarta </w:t>
      </w:r>
      <w:r>
        <w:rPr>
          <w:rFonts w:eastAsia="SimSun"/>
          <w:b/>
          <w:color w:val="000000"/>
          <w:kern w:val="2"/>
          <w:sz w:val="22"/>
          <w:szCs w:val="22"/>
          <w:lang w:eastAsia="zh-CN" w:bidi="hi-IN"/>
        </w:rPr>
        <w:t>przedwstępna</w:t>
      </w:r>
      <w:r>
        <w:rPr>
          <w:rFonts w:eastAsia="SimSun"/>
          <w:color w:val="000000"/>
          <w:kern w:val="2"/>
          <w:sz w:val="22"/>
          <w:szCs w:val="22"/>
          <w:lang w:eastAsia="zh-CN" w:bidi="hi-IN"/>
        </w:rPr>
        <w:t xml:space="preserve"> umowa sprzedaży Nieruchomości (z zachowaniem formy aktu notarialnego), o ile przy i w związku z jej zawarciem nabywca uiści na rachunek Organizatora </w:t>
      </w:r>
      <w:r>
        <w:rPr>
          <w:rFonts w:eastAsia="SimSun"/>
          <w:b/>
          <w:color w:val="000000"/>
          <w:kern w:val="2"/>
          <w:sz w:val="22"/>
          <w:szCs w:val="22"/>
          <w:lang w:eastAsia="zh-CN" w:bidi="hi-IN"/>
        </w:rPr>
        <w:t>zadatek</w:t>
      </w:r>
      <w:r>
        <w:rPr>
          <w:rFonts w:eastAsia="SimSun"/>
          <w:color w:val="000000"/>
          <w:kern w:val="2"/>
          <w:sz w:val="22"/>
          <w:szCs w:val="22"/>
          <w:lang w:eastAsia="zh-CN" w:bidi="hi-IN"/>
        </w:rPr>
        <w:t xml:space="preserve"> w wysokości </w:t>
      </w:r>
      <w:r>
        <w:rPr>
          <w:rFonts w:eastAsia="SimSun"/>
          <w:b/>
          <w:color w:val="000000"/>
          <w:kern w:val="2"/>
          <w:sz w:val="22"/>
          <w:szCs w:val="22"/>
          <w:lang w:eastAsia="zh-CN" w:bidi="hi-IN"/>
        </w:rPr>
        <w:t>20% ceny sprzedaży</w:t>
      </w:r>
      <w:r>
        <w:rPr>
          <w:rFonts w:eastAsia="SimSun"/>
          <w:color w:val="000000"/>
          <w:kern w:val="2"/>
          <w:sz w:val="22"/>
          <w:szCs w:val="22"/>
          <w:lang w:eastAsia="zh-CN" w:bidi="hi-IN"/>
        </w:rPr>
        <w:t>. Ustalony w umowie przedwstępnej termin zawarcia przyrzeczonej umowy sprzedaży nie może być dłuższy niż 6 miesięcy, licząc od zawarcia umowy przedwstępnej.</w:t>
      </w:r>
    </w:p>
    <w:p w:rsidR="00475940" w:rsidRDefault="00475940" w:rsidP="00475940">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t>
      </w:r>
      <w:r>
        <w:rPr>
          <w:iCs/>
          <w:sz w:val="22"/>
          <w:szCs w:val="22"/>
        </w:rPr>
        <w:t xml:space="preserve">Nieruchomości objęta jest (nieostateczną na dzień ogłoszenia) </w:t>
      </w:r>
      <w:r>
        <w:rPr>
          <w:b/>
          <w:bCs/>
          <w:iCs/>
          <w:sz w:val="22"/>
          <w:szCs w:val="22"/>
        </w:rPr>
        <w:t>decyzją ustalającą warunki zabudowy</w:t>
      </w:r>
      <w:r>
        <w:rPr>
          <w:iCs/>
          <w:sz w:val="22"/>
          <w:szCs w:val="22"/>
        </w:rPr>
        <w:t xml:space="preserve"> wydaną 22 sierpnia 2019 r. przez Prezydenta Miasta Bydgoszczy dla inwestycji polegającej na budowie do 13-u budynków mieszkalnych wielorodzinnych na terenie obejmującym Nieruchomość oraz działki wymienione w punkcie 14 poniżej. Decyzja ta ustala:</w:t>
      </w:r>
    </w:p>
    <w:p w:rsidR="00475940" w:rsidRDefault="00475940" w:rsidP="00475940">
      <w:pPr>
        <w:pStyle w:val="Akapitzlist"/>
        <w:numPr>
          <w:ilvl w:val="0"/>
          <w:numId w:val="2"/>
        </w:numPr>
        <w:spacing w:after="120"/>
        <w:jc w:val="both"/>
        <w:rPr>
          <w:rFonts w:eastAsia="SimSun"/>
          <w:color w:val="000000"/>
          <w:kern w:val="2"/>
          <w:sz w:val="22"/>
          <w:szCs w:val="22"/>
          <w:lang w:eastAsia="zh-CN" w:bidi="hi-IN"/>
        </w:rPr>
      </w:pPr>
      <w:r>
        <w:rPr>
          <w:iCs/>
          <w:sz w:val="22"/>
          <w:szCs w:val="22"/>
        </w:rPr>
        <w:t>wielkość powierzchni zabudowy w stosunku do powierzchni terenu: min. 24%, max. 36%,</w:t>
      </w:r>
    </w:p>
    <w:p w:rsidR="00475940" w:rsidRDefault="00475940" w:rsidP="00475940">
      <w:pPr>
        <w:pStyle w:val="Akapitzlist"/>
        <w:numPr>
          <w:ilvl w:val="0"/>
          <w:numId w:val="2"/>
        </w:numPr>
        <w:spacing w:after="120"/>
        <w:jc w:val="both"/>
        <w:rPr>
          <w:rFonts w:eastAsia="SimSun"/>
          <w:color w:val="000000"/>
          <w:kern w:val="2"/>
          <w:sz w:val="22"/>
          <w:szCs w:val="22"/>
          <w:lang w:eastAsia="zh-CN" w:bidi="hi-IN"/>
        </w:rPr>
      </w:pPr>
      <w:r>
        <w:rPr>
          <w:iCs/>
          <w:sz w:val="22"/>
          <w:szCs w:val="22"/>
        </w:rPr>
        <w:t>wielkość powierzchni biologicznie czynnej w stosunku do powierzchni terenu: min. 40%,</w:t>
      </w:r>
    </w:p>
    <w:p w:rsidR="00475940" w:rsidRDefault="00475940" w:rsidP="00475940">
      <w:pPr>
        <w:pStyle w:val="Akapitzlist"/>
        <w:numPr>
          <w:ilvl w:val="0"/>
          <w:numId w:val="2"/>
        </w:numPr>
        <w:spacing w:after="120"/>
        <w:jc w:val="both"/>
        <w:rPr>
          <w:rFonts w:eastAsia="SimSun"/>
          <w:color w:val="000000"/>
          <w:kern w:val="2"/>
          <w:sz w:val="22"/>
          <w:szCs w:val="22"/>
          <w:lang w:eastAsia="zh-CN" w:bidi="hi-IN"/>
        </w:rPr>
      </w:pPr>
      <w:r>
        <w:rPr>
          <w:iCs/>
          <w:sz w:val="22"/>
          <w:szCs w:val="22"/>
        </w:rPr>
        <w:t>szerokość elewacji frontowej: min. 11,0m max 55,0m</w:t>
      </w:r>
    </w:p>
    <w:p w:rsidR="00475940" w:rsidRDefault="00475940" w:rsidP="00475940">
      <w:pPr>
        <w:pStyle w:val="Akapitzlist"/>
        <w:numPr>
          <w:ilvl w:val="0"/>
          <w:numId w:val="2"/>
        </w:numPr>
        <w:spacing w:after="120"/>
        <w:jc w:val="both"/>
        <w:rPr>
          <w:rFonts w:eastAsia="SimSun"/>
          <w:color w:val="000000"/>
          <w:kern w:val="2"/>
          <w:sz w:val="22"/>
          <w:szCs w:val="22"/>
          <w:lang w:eastAsia="zh-CN" w:bidi="hi-IN"/>
        </w:rPr>
      </w:pPr>
      <w:r>
        <w:rPr>
          <w:iCs/>
          <w:sz w:val="22"/>
          <w:szCs w:val="22"/>
        </w:rPr>
        <w:t xml:space="preserve">wysokość górnej krawędzi elewacji frontowej do okapu, gzymsu lub attyki z wymogiem kształtowania wysokości poprzez jej gradację: min. 11,0m </w:t>
      </w:r>
    </w:p>
    <w:p w:rsidR="00475940" w:rsidRDefault="00475940" w:rsidP="00475940">
      <w:pPr>
        <w:pStyle w:val="Akapitzlist"/>
        <w:spacing w:after="120"/>
        <w:ind w:left="644"/>
        <w:jc w:val="both"/>
        <w:rPr>
          <w:iCs/>
          <w:sz w:val="22"/>
          <w:szCs w:val="22"/>
        </w:rPr>
      </w:pPr>
      <w:r>
        <w:rPr>
          <w:iCs/>
          <w:sz w:val="22"/>
          <w:szCs w:val="22"/>
        </w:rPr>
        <w:t>- wzdłuż ul. Nakielskiej max 16,0 m,</w:t>
      </w:r>
    </w:p>
    <w:p w:rsidR="00475940" w:rsidRDefault="00475940" w:rsidP="00475940">
      <w:pPr>
        <w:pStyle w:val="Akapitzlist"/>
        <w:ind w:left="644"/>
        <w:jc w:val="both"/>
        <w:rPr>
          <w:iCs/>
          <w:sz w:val="22"/>
          <w:szCs w:val="22"/>
        </w:rPr>
      </w:pPr>
      <w:r>
        <w:rPr>
          <w:iCs/>
          <w:sz w:val="22"/>
          <w:szCs w:val="22"/>
        </w:rPr>
        <w:t>- wzdłuż ul. Stawowej max 15,0 m,</w:t>
      </w:r>
    </w:p>
    <w:p w:rsidR="00475940" w:rsidRDefault="00475940" w:rsidP="00475940">
      <w:pPr>
        <w:pStyle w:val="Akapitzlist"/>
        <w:ind w:left="644"/>
        <w:jc w:val="both"/>
        <w:rPr>
          <w:iCs/>
          <w:sz w:val="22"/>
          <w:szCs w:val="22"/>
        </w:rPr>
      </w:pPr>
      <w:r>
        <w:rPr>
          <w:iCs/>
          <w:sz w:val="22"/>
          <w:szCs w:val="22"/>
        </w:rPr>
        <w:t>- w głębi terenu max 35,0 m,</w:t>
      </w:r>
    </w:p>
    <w:p w:rsidR="00475940" w:rsidRDefault="00475940" w:rsidP="00475940">
      <w:pPr>
        <w:ind w:firstLine="284"/>
        <w:jc w:val="both"/>
        <w:rPr>
          <w:rFonts w:eastAsia="SimSun"/>
          <w:color w:val="000000"/>
          <w:kern w:val="2"/>
          <w:sz w:val="22"/>
          <w:szCs w:val="22"/>
          <w:lang w:eastAsia="zh-CN" w:bidi="hi-IN"/>
        </w:rPr>
      </w:pPr>
      <w:r>
        <w:rPr>
          <w:rFonts w:eastAsia="SimSun"/>
          <w:color w:val="000000"/>
          <w:kern w:val="2"/>
          <w:sz w:val="22"/>
          <w:szCs w:val="22"/>
          <w:lang w:eastAsia="zh-CN" w:bidi="hi-IN"/>
        </w:rPr>
        <w:t>e) dach o kącie nachylenia połaci do 10°,</w:t>
      </w:r>
    </w:p>
    <w:p w:rsidR="00475940" w:rsidRDefault="00475940" w:rsidP="00475940">
      <w:pPr>
        <w:ind w:firstLine="284"/>
        <w:jc w:val="both"/>
        <w:rPr>
          <w:rFonts w:eastAsia="SimSun"/>
          <w:color w:val="000000"/>
          <w:kern w:val="2"/>
          <w:sz w:val="22"/>
          <w:szCs w:val="22"/>
          <w:lang w:eastAsia="zh-CN" w:bidi="hi-IN"/>
        </w:rPr>
      </w:pPr>
      <w:r>
        <w:rPr>
          <w:rFonts w:eastAsia="SimSun"/>
          <w:color w:val="000000"/>
          <w:kern w:val="2"/>
          <w:sz w:val="22"/>
          <w:szCs w:val="22"/>
          <w:lang w:eastAsia="zh-CN" w:bidi="hi-IN"/>
        </w:rPr>
        <w:t>które to warunki pozwalają planować budowę ok. 35 000 m</w:t>
      </w:r>
      <w:r>
        <w:rPr>
          <w:rFonts w:eastAsia="SimSun"/>
          <w:color w:val="000000"/>
          <w:kern w:val="2"/>
          <w:sz w:val="22"/>
          <w:szCs w:val="22"/>
          <w:vertAlign w:val="superscript"/>
          <w:lang w:eastAsia="zh-CN" w:bidi="hi-IN"/>
        </w:rPr>
        <w:t>2</w:t>
      </w:r>
      <w:r>
        <w:rPr>
          <w:rFonts w:eastAsia="SimSun"/>
          <w:color w:val="000000"/>
          <w:kern w:val="2"/>
          <w:sz w:val="22"/>
          <w:szCs w:val="22"/>
          <w:lang w:eastAsia="zh-CN" w:bidi="hi-IN"/>
        </w:rPr>
        <w:t xml:space="preserve"> powierzchni użytkowej mieszkalnej. </w:t>
      </w:r>
    </w:p>
    <w:p w:rsidR="00475940" w:rsidRDefault="00475940" w:rsidP="00475940">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475940" w:rsidRDefault="00475940" w:rsidP="00475940">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może nastąpić w terminie uzgodnionym z Organizatorem przetargu, najpóźniej 3 dni przez terminem licytacji. W tej sprawie, jak i innych kwestiach związanych z przetargiem i Nieruchomością, zainteresowani mogą także kontaktować się z pracownikami Organizatora:</w:t>
      </w:r>
    </w:p>
    <w:p w:rsidR="00475940" w:rsidRDefault="00475940" w:rsidP="00475940">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475940" w:rsidRDefault="00475940" w:rsidP="00475940">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3258750 lub 052 3258700.</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475940" w:rsidRDefault="00475940" w:rsidP="00475940">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Nakielskiej 53 w Bydgoszczy</w:t>
      </w:r>
      <w:r>
        <w:rPr>
          <w:rFonts w:eastAsia="Bookman Old Style"/>
          <w:bCs/>
          <w:kern w:val="2"/>
          <w:sz w:val="22"/>
          <w:szCs w:val="22"/>
          <w:lang w:eastAsia="zh-CN" w:bidi="hi-IN"/>
        </w:rPr>
        <w:t xml:space="preserve">” publikowane na stronie internetowej Organizatora. </w:t>
      </w:r>
    </w:p>
    <w:p w:rsidR="00475940" w:rsidRDefault="00475940" w:rsidP="00475940">
      <w:pPr>
        <w:pStyle w:val="Akapitzlist"/>
        <w:suppressAutoHyphens/>
        <w:spacing w:after="120"/>
        <w:ind w:left="284"/>
        <w:jc w:val="both"/>
        <w:rPr>
          <w:rFonts w:eastAsia="SimSun"/>
          <w:kern w:val="2"/>
          <w:sz w:val="22"/>
          <w:szCs w:val="22"/>
          <w:lang w:eastAsia="zh-CN" w:bidi="hi-IN"/>
        </w:rPr>
      </w:pPr>
    </w:p>
    <w:p w:rsidR="00475940" w:rsidRDefault="00475940" w:rsidP="00475940">
      <w:pPr>
        <w:pStyle w:val="Akapitzlist"/>
        <w:suppressAutoHyphens/>
        <w:spacing w:after="120"/>
        <w:ind w:left="284"/>
        <w:jc w:val="both"/>
        <w:rPr>
          <w:rFonts w:eastAsia="SimSun"/>
          <w:kern w:val="2"/>
          <w:sz w:val="22"/>
          <w:szCs w:val="22"/>
          <w:lang w:eastAsia="zh-CN" w:bidi="hi-IN"/>
        </w:rPr>
      </w:pPr>
    </w:p>
    <w:p w:rsidR="00CD29C7" w:rsidRDefault="00CD29C7" w:rsidP="00475940">
      <w:pPr>
        <w:pStyle w:val="Akapitzlist"/>
        <w:suppressAutoHyphens/>
        <w:spacing w:after="120"/>
        <w:ind w:left="284"/>
        <w:jc w:val="both"/>
        <w:rPr>
          <w:rFonts w:eastAsia="SimSun"/>
          <w:kern w:val="2"/>
          <w:sz w:val="22"/>
          <w:szCs w:val="22"/>
          <w:lang w:eastAsia="zh-CN" w:bidi="hi-IN"/>
        </w:rPr>
      </w:pPr>
    </w:p>
    <w:p w:rsidR="00475940" w:rsidRDefault="00475940" w:rsidP="00475940">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Ogłoszono dnia 1</w:t>
      </w:r>
      <w:r w:rsidR="00CD29C7">
        <w:rPr>
          <w:rFonts w:eastAsia="SimSun"/>
          <w:kern w:val="2"/>
          <w:sz w:val="22"/>
          <w:szCs w:val="22"/>
          <w:lang w:eastAsia="zh-CN" w:bidi="hi-IN"/>
        </w:rPr>
        <w:t>8</w:t>
      </w:r>
      <w:bookmarkStart w:id="0" w:name="_GoBack"/>
      <w:bookmarkEnd w:id="0"/>
      <w:r>
        <w:rPr>
          <w:rFonts w:eastAsia="SimSun"/>
          <w:kern w:val="2"/>
          <w:sz w:val="22"/>
          <w:szCs w:val="22"/>
          <w:lang w:eastAsia="zh-CN" w:bidi="hi-IN"/>
        </w:rPr>
        <w:t xml:space="preserve"> października 2019r. </w:t>
      </w:r>
    </w:p>
    <w:p w:rsidR="00475940" w:rsidRDefault="00475940" w:rsidP="00475940"/>
    <w:p w:rsidR="00475940" w:rsidRDefault="00475940" w:rsidP="00475940"/>
    <w:p w:rsidR="00475940" w:rsidRDefault="00475940" w:rsidP="00475940"/>
    <w:p w:rsidR="00475940" w:rsidRDefault="00475940" w:rsidP="00475940"/>
    <w:p w:rsidR="00475940" w:rsidRDefault="00475940" w:rsidP="00475940"/>
    <w:p w:rsidR="00475940" w:rsidRDefault="00475940" w:rsidP="00475940"/>
    <w:p w:rsidR="00CD29C7" w:rsidRDefault="00CD29C7" w:rsidP="00475940"/>
    <w:p w:rsidR="00CD29C7" w:rsidRDefault="00CD29C7" w:rsidP="00475940"/>
    <w:p w:rsidR="00475940" w:rsidRDefault="00475940" w:rsidP="00475940"/>
    <w:p w:rsidR="00475940" w:rsidRDefault="00475940" w:rsidP="00475940"/>
    <w:p w:rsidR="00475940" w:rsidRDefault="00475940" w:rsidP="00475940"/>
    <w:p w:rsidR="00475940" w:rsidRDefault="00475940" w:rsidP="00475940"/>
    <w:p w:rsidR="00475940" w:rsidRDefault="00475940" w:rsidP="00475940">
      <w:pPr>
        <w:suppressAutoHyphens/>
        <w:jc w:val="center"/>
        <w:rPr>
          <w:rFonts w:eastAsia="SimSun"/>
          <w:b/>
          <w:kern w:val="2"/>
          <w:lang w:eastAsia="zh-CN" w:bidi="hi-IN"/>
        </w:rPr>
      </w:pPr>
      <w:r>
        <w:rPr>
          <w:rFonts w:eastAsia="SimSun"/>
          <w:b/>
          <w:kern w:val="2"/>
          <w:lang w:eastAsia="zh-CN" w:bidi="hi-IN"/>
        </w:rPr>
        <w:lastRenderedPageBreak/>
        <w:t xml:space="preserve">Warunki przetargu ustnego nieograniczonego </w:t>
      </w:r>
    </w:p>
    <w:p w:rsidR="00475940" w:rsidRDefault="00475940" w:rsidP="00475940">
      <w:pPr>
        <w:suppressAutoHyphens/>
        <w:jc w:val="center"/>
        <w:rPr>
          <w:rFonts w:eastAsia="SimSun"/>
          <w:b/>
          <w:kern w:val="2"/>
          <w:lang w:eastAsia="zh-CN" w:bidi="hi-IN"/>
        </w:rPr>
      </w:pPr>
      <w:r>
        <w:rPr>
          <w:rFonts w:eastAsia="SimSun"/>
          <w:b/>
          <w:kern w:val="2"/>
          <w:lang w:eastAsia="zh-CN" w:bidi="hi-IN"/>
        </w:rPr>
        <w:t>na sprzedaż nieruchomości przy ul. Nakielskiej 53 w Bydgoszczy</w:t>
      </w:r>
    </w:p>
    <w:p w:rsidR="00475940" w:rsidRDefault="00475940" w:rsidP="00475940">
      <w:pPr>
        <w:suppressAutoHyphens/>
        <w:jc w:val="center"/>
        <w:rPr>
          <w:rFonts w:eastAsia="SimSun"/>
          <w:b/>
          <w:kern w:val="2"/>
          <w:lang w:eastAsia="zh-CN" w:bidi="hi-IN"/>
        </w:rPr>
      </w:pPr>
    </w:p>
    <w:p w:rsidR="00475940" w:rsidRDefault="00475940" w:rsidP="00475940">
      <w:pPr>
        <w:jc w:val="both"/>
        <w:rPr>
          <w:rFonts w:eastAsia="SimSun"/>
          <w:b/>
          <w:kern w:val="2"/>
          <w:sz w:val="22"/>
          <w:szCs w:val="22"/>
          <w:lang w:eastAsia="zh-CN" w:bidi="hi-IN"/>
        </w:rPr>
      </w:pPr>
    </w:p>
    <w:p w:rsidR="00475940" w:rsidRDefault="00475940" w:rsidP="00475940">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w Bydgoszczy (Organizator), którego dotyczy Ogłoszenie przetargowe ogłoszone i opublikowane na stronie internetowej Organizatora dnia 18 października 2019r. Rozumienie i definicje pojęć wynikające z ww. Ogłoszenia, zachowują swą aktualność dla wykładni niniejszych Warunków. </w:t>
      </w:r>
    </w:p>
    <w:p w:rsidR="00475940" w:rsidRDefault="00475940" w:rsidP="00475940">
      <w:pPr>
        <w:pStyle w:val="Akapitzlist"/>
        <w:numPr>
          <w:ilvl w:val="0"/>
          <w:numId w:val="3"/>
        </w:numPr>
        <w:ind w:left="284"/>
        <w:jc w:val="both"/>
        <w:rPr>
          <w:sz w:val="22"/>
          <w:szCs w:val="22"/>
        </w:rPr>
      </w:pPr>
      <w:r>
        <w:rPr>
          <w:sz w:val="22"/>
          <w:szCs w:val="22"/>
        </w:rPr>
        <w:t>W przetargu (licytacji) mogą wziąć udział osoby, które wpłacą wadium w wyznaczonym terminie oraz przedłożą komisji przetargowej przed wywołaniem licytacji:</w:t>
      </w:r>
    </w:p>
    <w:p w:rsidR="00475940" w:rsidRDefault="00475940" w:rsidP="00475940">
      <w:pPr>
        <w:pStyle w:val="Akapitzlist"/>
        <w:numPr>
          <w:ilvl w:val="1"/>
          <w:numId w:val="4"/>
        </w:numPr>
        <w:ind w:left="709"/>
        <w:jc w:val="both"/>
        <w:rPr>
          <w:sz w:val="22"/>
          <w:szCs w:val="22"/>
        </w:rPr>
      </w:pPr>
      <w:r>
        <w:rPr>
          <w:sz w:val="22"/>
          <w:szCs w:val="22"/>
        </w:rPr>
        <w:t xml:space="preserve">dowód wniesienia wadium oraz dowód tożsamości, </w:t>
      </w:r>
    </w:p>
    <w:p w:rsidR="00475940" w:rsidRDefault="00475940" w:rsidP="00475940">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475940" w:rsidRDefault="00475940" w:rsidP="00475940">
      <w:pPr>
        <w:pStyle w:val="Akapitzlist"/>
        <w:numPr>
          <w:ilvl w:val="1"/>
          <w:numId w:val="4"/>
        </w:numPr>
        <w:ind w:left="709"/>
        <w:jc w:val="both"/>
        <w:rPr>
          <w:sz w:val="22"/>
          <w:szCs w:val="22"/>
        </w:rPr>
      </w:pPr>
      <w:r>
        <w:rPr>
          <w:sz w:val="22"/>
          <w:szCs w:val="22"/>
        </w:rPr>
        <w:t>egzemplarz Ogłoszenia przetargowego oraz niniejszych Warunków przetargu opatrzonych parafami uczestnika i pisemnym oświadczeniem o ich akceptacji przez uczestnika przetargu, w brzmieniu typu: „</w:t>
      </w:r>
      <w:r>
        <w:rPr>
          <w:i/>
          <w:sz w:val="22"/>
          <w:szCs w:val="22"/>
        </w:rPr>
        <w:t>Zapoznałem się i akceptuję powyższe warunki</w:t>
      </w:r>
      <w:r>
        <w:rPr>
          <w:sz w:val="22"/>
          <w:szCs w:val="22"/>
        </w:rPr>
        <w:t>”;</w:t>
      </w:r>
    </w:p>
    <w:p w:rsidR="00475940" w:rsidRDefault="00475940" w:rsidP="00475940">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475940" w:rsidRDefault="00475940" w:rsidP="00475940">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475940" w:rsidRDefault="00475940" w:rsidP="00475940">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475940" w:rsidRDefault="00475940" w:rsidP="00475940">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475940" w:rsidRDefault="00475940" w:rsidP="00475940">
      <w:pPr>
        <w:pStyle w:val="Akapitzlist"/>
        <w:numPr>
          <w:ilvl w:val="1"/>
          <w:numId w:val="4"/>
        </w:numPr>
        <w:ind w:left="709"/>
        <w:jc w:val="both"/>
        <w:rPr>
          <w:sz w:val="22"/>
          <w:szCs w:val="22"/>
        </w:rPr>
      </w:pPr>
      <w:r>
        <w:rPr>
          <w:sz w:val="22"/>
          <w:szCs w:val="22"/>
        </w:rPr>
        <w:t xml:space="preserve">oświadczenie o wyrażeniu zgody na przetwarzanie danych osobowych, zgodnie ze wzorem stanowiącym </w:t>
      </w:r>
      <w:r>
        <w:rPr>
          <w:b/>
          <w:sz w:val="22"/>
          <w:szCs w:val="22"/>
        </w:rPr>
        <w:t>załącznik nr 2</w:t>
      </w:r>
      <w:r>
        <w:rPr>
          <w:sz w:val="22"/>
          <w:szCs w:val="22"/>
        </w:rPr>
        <w:t xml:space="preserve"> do niniejszych Warunków.</w:t>
      </w:r>
    </w:p>
    <w:p w:rsidR="00475940" w:rsidRDefault="00475940" w:rsidP="00475940">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475940" w:rsidRDefault="00475940" w:rsidP="00475940">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licytacji. W przypadku bezskutecznego upływu tego terminu uznaje się, że zwycięzca przetargu uchyla się od nabycia nieruchomości, a wpłacone przez niego wadium nie podlega zwrotowi.</w:t>
      </w:r>
    </w:p>
    <w:p w:rsidR="00475940" w:rsidRDefault="00475940" w:rsidP="00475940">
      <w:pPr>
        <w:pStyle w:val="Akapitzlist"/>
        <w:numPr>
          <w:ilvl w:val="0"/>
          <w:numId w:val="3"/>
        </w:numPr>
        <w:ind w:left="284"/>
        <w:jc w:val="both"/>
        <w:rPr>
          <w:sz w:val="22"/>
          <w:szCs w:val="22"/>
        </w:rPr>
      </w:pPr>
      <w:r>
        <w:rPr>
          <w:sz w:val="22"/>
          <w:szCs w:val="22"/>
        </w:rPr>
        <w:t>Wniesione wadium przepada na rzecz Spółki, jeżeli żaden z uczestników przetargu nie zaoferuje ceny wywoławczej. Wadium złożone przez oferentów, których oferty nie zostaną przyjęte, zostanie zwrócone (bez oprocentowania) w terminie 3 dni od zakończenia licytacji, na rachunek bankowy wskazany przez oferenta. Wadium złożone przez nabywcę zostanie zarachowane na poczet ceny, a w przypadku zawierania umowy przedwstępnej – na poczet zadatku. Zarachowanie to następować będzie w chwili zawarcia w formie aktu notarialnego umowy przenoszącej prawa do Nieruchomości lub odpowiednio umowy przedwstępnej sprzedaży praw do Nieruchomości. Wadium przepada na rzecz Organizatora, jeżeli oferent, którego oferta zostanie przyjęta, uchyli się od zawarcia umowy.</w:t>
      </w:r>
    </w:p>
    <w:p w:rsidR="00475940" w:rsidRDefault="00475940" w:rsidP="00475940">
      <w:pPr>
        <w:pStyle w:val="Akapitzlist"/>
        <w:numPr>
          <w:ilvl w:val="0"/>
          <w:numId w:val="3"/>
        </w:numPr>
        <w:ind w:left="284"/>
        <w:jc w:val="both"/>
        <w:rPr>
          <w:sz w:val="22"/>
          <w:szCs w:val="22"/>
        </w:rPr>
      </w:pPr>
      <w:r>
        <w:rPr>
          <w:sz w:val="22"/>
          <w:szCs w:val="22"/>
        </w:rPr>
        <w:lastRenderedPageBreak/>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475940" w:rsidRDefault="00475940" w:rsidP="00475940">
      <w:pPr>
        <w:pStyle w:val="Akapitzlist"/>
        <w:numPr>
          <w:ilvl w:val="0"/>
          <w:numId w:val="3"/>
        </w:numPr>
        <w:ind w:left="284"/>
        <w:jc w:val="both"/>
        <w:rPr>
          <w:sz w:val="22"/>
          <w:szCs w:val="22"/>
        </w:rPr>
      </w:pPr>
      <w:r>
        <w:rPr>
          <w:sz w:val="22"/>
          <w:szCs w:val="22"/>
        </w:rPr>
        <w:t>Przed otwarciem licytacji komisja przetargowa sprawdzi:</w:t>
      </w:r>
    </w:p>
    <w:p w:rsidR="00475940" w:rsidRDefault="00475940" w:rsidP="00475940">
      <w:pPr>
        <w:pStyle w:val="Akapitzlist"/>
        <w:numPr>
          <w:ilvl w:val="1"/>
          <w:numId w:val="5"/>
        </w:numPr>
        <w:ind w:left="567"/>
        <w:jc w:val="both"/>
        <w:rPr>
          <w:sz w:val="22"/>
          <w:szCs w:val="22"/>
        </w:rPr>
      </w:pPr>
      <w:r>
        <w:rPr>
          <w:sz w:val="22"/>
          <w:szCs w:val="22"/>
        </w:rPr>
        <w:t>dowód wniesienia wadium,</w:t>
      </w:r>
    </w:p>
    <w:p w:rsidR="00475940" w:rsidRDefault="00475940" w:rsidP="00475940">
      <w:pPr>
        <w:pStyle w:val="Akapitzlist"/>
        <w:numPr>
          <w:ilvl w:val="1"/>
          <w:numId w:val="5"/>
        </w:numPr>
        <w:ind w:left="567"/>
        <w:jc w:val="both"/>
        <w:rPr>
          <w:sz w:val="22"/>
          <w:szCs w:val="22"/>
        </w:rPr>
      </w:pPr>
      <w:r>
        <w:rPr>
          <w:sz w:val="22"/>
          <w:szCs w:val="22"/>
        </w:rPr>
        <w:t>dowód potwierdzający tożsamość osób uczestniczących w przetargu (dowód osobisty lub paszport),</w:t>
      </w:r>
    </w:p>
    <w:p w:rsidR="00475940" w:rsidRDefault="00475940" w:rsidP="00475940">
      <w:pPr>
        <w:pStyle w:val="Akapitzlist"/>
        <w:numPr>
          <w:ilvl w:val="1"/>
          <w:numId w:val="5"/>
        </w:numPr>
        <w:ind w:left="567"/>
        <w:jc w:val="both"/>
        <w:rPr>
          <w:sz w:val="22"/>
          <w:szCs w:val="22"/>
        </w:rPr>
      </w:pPr>
      <w:r>
        <w:rPr>
          <w:sz w:val="22"/>
          <w:szCs w:val="22"/>
        </w:rPr>
        <w:t>pozostałe dokumenty i oświadczenia, o których mowa w ust. 2.</w:t>
      </w:r>
    </w:p>
    <w:p w:rsidR="00475940" w:rsidRDefault="00475940" w:rsidP="00475940">
      <w:pPr>
        <w:pStyle w:val="Akapitzlist"/>
        <w:numPr>
          <w:ilvl w:val="0"/>
          <w:numId w:val="3"/>
        </w:numPr>
        <w:ind w:left="284"/>
        <w:jc w:val="both"/>
        <w:rPr>
          <w:sz w:val="22"/>
          <w:szCs w:val="22"/>
        </w:rPr>
      </w:pPr>
      <w:r>
        <w:rPr>
          <w:sz w:val="22"/>
          <w:szCs w:val="22"/>
        </w:rPr>
        <w:t>Nieprzedłożenie wymaganych dokumentów wyżej uprawnia Organizatora do niedopuszczenia uczestnika do udziału w licytacji.</w:t>
      </w:r>
    </w:p>
    <w:p w:rsidR="00475940" w:rsidRDefault="00475940" w:rsidP="00475940">
      <w:pPr>
        <w:pStyle w:val="Akapitzlist"/>
        <w:numPr>
          <w:ilvl w:val="0"/>
          <w:numId w:val="3"/>
        </w:numPr>
        <w:ind w:left="284"/>
        <w:jc w:val="both"/>
        <w:rPr>
          <w:sz w:val="22"/>
          <w:szCs w:val="22"/>
        </w:rPr>
      </w:pPr>
      <w:r>
        <w:rPr>
          <w:sz w:val="22"/>
          <w:szCs w:val="22"/>
        </w:rPr>
        <w:t>Przewodniczący Komisji przetargowej może usunąć z sali, po uprzednim przywołaniu do porządku, osoby zachowujące się w sposób naruszający porządek.</w:t>
      </w:r>
    </w:p>
    <w:p w:rsidR="00475940" w:rsidRDefault="00475940" w:rsidP="00475940">
      <w:pPr>
        <w:pStyle w:val="Akapitzlist"/>
        <w:numPr>
          <w:ilvl w:val="0"/>
          <w:numId w:val="3"/>
        </w:numPr>
        <w:ind w:left="284"/>
        <w:jc w:val="both"/>
        <w:rPr>
          <w:sz w:val="22"/>
          <w:szCs w:val="22"/>
        </w:rPr>
      </w:pPr>
      <w:r>
        <w:rPr>
          <w:sz w:val="22"/>
          <w:szCs w:val="22"/>
        </w:rPr>
        <w:t>Przewodniczący komisji otwiera przetarg, przekazując uczestnikom informacje zawarte w ogłoszeniu o przetargu oraz podaje do wiadomości imiona i nazwiska albo nazwy lub firmy osób, które wpłaciły wadium i zostały dopuszczone do przetargu.</w:t>
      </w:r>
    </w:p>
    <w:p w:rsidR="00475940" w:rsidRDefault="00475940" w:rsidP="00475940">
      <w:pPr>
        <w:pStyle w:val="Akapitzlist"/>
        <w:numPr>
          <w:ilvl w:val="0"/>
          <w:numId w:val="3"/>
        </w:numPr>
        <w:ind w:left="284"/>
        <w:jc w:val="both"/>
        <w:rPr>
          <w:sz w:val="22"/>
          <w:szCs w:val="22"/>
        </w:rPr>
      </w:pPr>
      <w:r>
        <w:rPr>
          <w:sz w:val="22"/>
          <w:szCs w:val="22"/>
        </w:rPr>
        <w:t>Licytację przeprowadza licytator wyłoniony spośród członków komisji przetargowej. Otwierając licytację licytator informuje uczestników o przedmiocie przetargu i cenie wywoławczej, a także o głównych zasadach licytacji, w szczególności o sposobie oferowania ceny, postąpieniach i o tym, że po trzecim wywołaniu najwyżej zaoferowanej ceny dalsze postąpienia nie zostaną przyjęte.</w:t>
      </w:r>
    </w:p>
    <w:p w:rsidR="00475940" w:rsidRDefault="00475940" w:rsidP="00475940">
      <w:pPr>
        <w:pStyle w:val="Akapitzlist"/>
        <w:numPr>
          <w:ilvl w:val="0"/>
          <w:numId w:val="3"/>
        </w:numPr>
        <w:ind w:left="284"/>
        <w:jc w:val="both"/>
        <w:rPr>
          <w:sz w:val="22"/>
          <w:szCs w:val="22"/>
        </w:rPr>
      </w:pPr>
      <w:r>
        <w:rPr>
          <w:sz w:val="22"/>
          <w:szCs w:val="22"/>
        </w:rPr>
        <w:t>Licytacja odbywa się przez podniesienie ręki osoby biorącej udział w przetargu oraz głośne podanie oferowanej ceny (bez uwzględniania podatku VAT), będącej powiększeniem ceny wywoławczej o kolejne postąpienia.</w:t>
      </w:r>
    </w:p>
    <w:p w:rsidR="00475940" w:rsidRDefault="00475940" w:rsidP="00475940">
      <w:pPr>
        <w:pStyle w:val="Akapitzlist"/>
        <w:numPr>
          <w:ilvl w:val="0"/>
          <w:numId w:val="3"/>
        </w:numPr>
        <w:ind w:left="284"/>
        <w:jc w:val="both"/>
        <w:rPr>
          <w:sz w:val="22"/>
          <w:szCs w:val="22"/>
        </w:rPr>
      </w:pPr>
      <w:r>
        <w:rPr>
          <w:sz w:val="22"/>
          <w:szCs w:val="22"/>
        </w:rPr>
        <w:t>Przetarg jest ważny bez względu na liczbę uczestników, jeżeli chociaż jeden uczestnik zaoferował przynajmniej cenę wywoławczą.</w:t>
      </w:r>
    </w:p>
    <w:p w:rsidR="00475940" w:rsidRDefault="00475940" w:rsidP="00475940">
      <w:pPr>
        <w:pStyle w:val="Akapitzlist"/>
        <w:numPr>
          <w:ilvl w:val="0"/>
          <w:numId w:val="3"/>
        </w:numPr>
        <w:ind w:left="284"/>
        <w:jc w:val="both"/>
        <w:rPr>
          <w:sz w:val="22"/>
          <w:szCs w:val="22"/>
        </w:rPr>
      </w:pPr>
      <w:r>
        <w:rPr>
          <w:sz w:val="22"/>
          <w:szCs w:val="22"/>
        </w:rPr>
        <w:t>Przetarg wygrywa oferent (uczestnik), który zaoferował najwyższą cenę (ostatnie postąpienie).</w:t>
      </w:r>
    </w:p>
    <w:p w:rsidR="00475940" w:rsidRDefault="00475940" w:rsidP="00475940">
      <w:pPr>
        <w:pStyle w:val="Akapitzlist"/>
        <w:numPr>
          <w:ilvl w:val="0"/>
          <w:numId w:val="3"/>
        </w:numPr>
        <w:ind w:left="284"/>
        <w:jc w:val="both"/>
        <w:rPr>
          <w:sz w:val="22"/>
          <w:szCs w:val="22"/>
        </w:rPr>
      </w:pPr>
      <w:r>
        <w:rPr>
          <w:sz w:val="22"/>
          <w:szCs w:val="22"/>
        </w:rPr>
        <w:t>Po ustaniu zgłaszania postąpień licytator wywołuje trzykrotnie ostatnią, najwyższą zaoferowaną cenę Nieruchomości i zamyka licytację, udziela przybicia oferentowi, który zaoferował najwyższą cenę (zgłosił ostatnie postąpienie), a następnie ogłasza imię i nazwisko osoby albo firmę osoby, która przetarg wygrała.</w:t>
      </w:r>
    </w:p>
    <w:p w:rsidR="00475940" w:rsidRDefault="00475940" w:rsidP="00475940">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oraz w sytuacji, gdy nikt do przetargu nie przystąpił.</w:t>
      </w:r>
    </w:p>
    <w:p w:rsidR="00475940" w:rsidRDefault="00475940" w:rsidP="00475940">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475940" w:rsidRDefault="00475940" w:rsidP="00475940">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475940" w:rsidRDefault="00475940" w:rsidP="00475940">
      <w:pPr>
        <w:pStyle w:val="Akapitzlist"/>
        <w:numPr>
          <w:ilvl w:val="0"/>
          <w:numId w:val="3"/>
        </w:numPr>
        <w:ind w:left="284"/>
        <w:jc w:val="both"/>
        <w:rPr>
          <w:sz w:val="22"/>
          <w:szCs w:val="22"/>
        </w:rPr>
      </w:pPr>
      <w:r>
        <w:rPr>
          <w:sz w:val="22"/>
          <w:szCs w:val="22"/>
        </w:rPr>
        <w:t>Przeprowadzenie licytacji i jej wynik wymaga każdorazowo udokumentowania stosownym protokołem. W protokole należy w szczególności zamieścić następujące informacje:</w:t>
      </w:r>
    </w:p>
    <w:p w:rsidR="00475940" w:rsidRDefault="00475940" w:rsidP="00475940">
      <w:pPr>
        <w:pStyle w:val="Akapitzlist"/>
        <w:numPr>
          <w:ilvl w:val="1"/>
          <w:numId w:val="6"/>
        </w:numPr>
        <w:ind w:left="709"/>
        <w:jc w:val="both"/>
        <w:rPr>
          <w:sz w:val="22"/>
          <w:szCs w:val="22"/>
        </w:rPr>
      </w:pPr>
      <w:r>
        <w:rPr>
          <w:sz w:val="22"/>
          <w:szCs w:val="22"/>
        </w:rPr>
        <w:t>oznaczenie miejsca i czasu licytacji,</w:t>
      </w:r>
    </w:p>
    <w:p w:rsidR="00475940" w:rsidRDefault="00475940" w:rsidP="00475940">
      <w:pPr>
        <w:pStyle w:val="Akapitzlist"/>
        <w:numPr>
          <w:ilvl w:val="1"/>
          <w:numId w:val="6"/>
        </w:numPr>
        <w:ind w:left="709"/>
        <w:jc w:val="both"/>
        <w:rPr>
          <w:sz w:val="22"/>
          <w:szCs w:val="22"/>
        </w:rPr>
      </w:pPr>
      <w:r>
        <w:rPr>
          <w:sz w:val="22"/>
          <w:szCs w:val="22"/>
        </w:rPr>
        <w:t>imię i nazwisko licytatora,</w:t>
      </w:r>
    </w:p>
    <w:p w:rsidR="00475940" w:rsidRDefault="00475940" w:rsidP="00475940">
      <w:pPr>
        <w:pStyle w:val="Akapitzlist"/>
        <w:numPr>
          <w:ilvl w:val="1"/>
          <w:numId w:val="6"/>
        </w:numPr>
        <w:ind w:left="709"/>
        <w:jc w:val="both"/>
        <w:rPr>
          <w:sz w:val="22"/>
          <w:szCs w:val="22"/>
        </w:rPr>
      </w:pPr>
      <w:r>
        <w:rPr>
          <w:sz w:val="22"/>
          <w:szCs w:val="22"/>
        </w:rPr>
        <w:t>przedmiot przetargu i cenę wywoławczą,</w:t>
      </w:r>
    </w:p>
    <w:p w:rsidR="00475940" w:rsidRDefault="00475940" w:rsidP="00475940">
      <w:pPr>
        <w:pStyle w:val="Akapitzlist"/>
        <w:numPr>
          <w:ilvl w:val="1"/>
          <w:numId w:val="6"/>
        </w:numPr>
        <w:ind w:left="709"/>
        <w:jc w:val="both"/>
        <w:rPr>
          <w:sz w:val="22"/>
          <w:szCs w:val="22"/>
        </w:rPr>
      </w:pPr>
      <w:r>
        <w:rPr>
          <w:sz w:val="22"/>
          <w:szCs w:val="22"/>
        </w:rPr>
        <w:t>listę uczestników licytacji z informacją o wniesionych wadiach,</w:t>
      </w:r>
    </w:p>
    <w:p w:rsidR="00475940" w:rsidRDefault="00475940" w:rsidP="00475940">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475940" w:rsidRDefault="00475940" w:rsidP="00475940">
      <w:pPr>
        <w:pStyle w:val="Akapitzlist"/>
        <w:numPr>
          <w:ilvl w:val="1"/>
          <w:numId w:val="6"/>
        </w:numPr>
        <w:ind w:left="709"/>
        <w:jc w:val="both"/>
        <w:rPr>
          <w:sz w:val="22"/>
          <w:szCs w:val="22"/>
        </w:rPr>
      </w:pPr>
      <w:r>
        <w:rPr>
          <w:sz w:val="22"/>
          <w:szCs w:val="22"/>
        </w:rPr>
        <w:t>najwyższą uzyskaną cenę (zaoferowaną przez zwycięzcę),</w:t>
      </w:r>
    </w:p>
    <w:p w:rsidR="00475940" w:rsidRDefault="00475940" w:rsidP="00475940">
      <w:pPr>
        <w:pStyle w:val="Akapitzlist"/>
        <w:numPr>
          <w:ilvl w:val="1"/>
          <w:numId w:val="6"/>
        </w:numPr>
        <w:ind w:left="709"/>
        <w:jc w:val="both"/>
        <w:rPr>
          <w:sz w:val="22"/>
          <w:szCs w:val="22"/>
        </w:rPr>
      </w:pPr>
      <w:r>
        <w:rPr>
          <w:sz w:val="22"/>
          <w:szCs w:val="22"/>
        </w:rPr>
        <w:t>oznaczenie sumy, jaką nabywca uiścił na poczet ceny,</w:t>
      </w:r>
    </w:p>
    <w:p w:rsidR="00475940" w:rsidRDefault="00475940" w:rsidP="00475940">
      <w:pPr>
        <w:pStyle w:val="Akapitzlist"/>
        <w:numPr>
          <w:ilvl w:val="1"/>
          <w:numId w:val="6"/>
        </w:numPr>
        <w:ind w:left="709"/>
        <w:jc w:val="both"/>
        <w:rPr>
          <w:sz w:val="22"/>
          <w:szCs w:val="22"/>
        </w:rPr>
      </w:pPr>
      <w:r>
        <w:rPr>
          <w:sz w:val="22"/>
          <w:szCs w:val="22"/>
        </w:rPr>
        <w:t>wnioski i oświadczenia osób uczestniczących w licytacji,</w:t>
      </w:r>
    </w:p>
    <w:p w:rsidR="00475940" w:rsidRDefault="00475940" w:rsidP="00475940">
      <w:pPr>
        <w:pStyle w:val="Akapitzlist"/>
        <w:numPr>
          <w:ilvl w:val="1"/>
          <w:numId w:val="6"/>
        </w:numPr>
        <w:ind w:left="709"/>
        <w:jc w:val="both"/>
        <w:rPr>
          <w:sz w:val="22"/>
          <w:szCs w:val="22"/>
        </w:rPr>
      </w:pPr>
      <w:r>
        <w:rPr>
          <w:sz w:val="22"/>
          <w:szCs w:val="22"/>
        </w:rPr>
        <w:t>wzmiankę o odczytaniu protokołu w obecności uczestników licytacji,</w:t>
      </w:r>
    </w:p>
    <w:p w:rsidR="00475940" w:rsidRDefault="00475940" w:rsidP="00475940">
      <w:pPr>
        <w:pStyle w:val="Akapitzlist"/>
        <w:numPr>
          <w:ilvl w:val="1"/>
          <w:numId w:val="6"/>
        </w:numPr>
        <w:ind w:left="709"/>
        <w:jc w:val="both"/>
        <w:rPr>
          <w:sz w:val="22"/>
          <w:szCs w:val="22"/>
        </w:rPr>
      </w:pPr>
      <w:r>
        <w:rPr>
          <w:sz w:val="22"/>
          <w:szCs w:val="22"/>
        </w:rPr>
        <w:t>podpis licytatora, członków komisji oraz nabywcy (zwycięzcy przetargu) lub wzmiankę o przyczynie braku jego podpisu.</w:t>
      </w:r>
    </w:p>
    <w:p w:rsidR="00475940" w:rsidRDefault="00475940" w:rsidP="00475940">
      <w:pPr>
        <w:pStyle w:val="Akapitzlist"/>
        <w:numPr>
          <w:ilvl w:val="0"/>
          <w:numId w:val="3"/>
        </w:numPr>
        <w:ind w:left="284"/>
        <w:jc w:val="both"/>
        <w:rPr>
          <w:sz w:val="22"/>
          <w:szCs w:val="22"/>
        </w:rPr>
      </w:pPr>
      <w:r>
        <w:rPr>
          <w:sz w:val="22"/>
          <w:szCs w:val="22"/>
        </w:rPr>
        <w:t xml:space="preserve">Zwycięzca przetargu zostanie zawiadomiony o miejscu i terminie zawarcia umowy sprzedaży najpóźniej w ciągu 21 dni od dnia rozstrzygnięcia przetargu (dnia zakończenia licytacji). Brak zapłaty ceny (odpowiednio zadatku) lub niestawienie się zwycięzcy przetargu w czasie i miejscu wyznaczonym przez Organizatora (z przynajmniej 7 dniowym wyprzedzeniem) na podpisanie aktu notarialnego (umowy sprzedaży lub odpowiednio przedwstępnej umowy sprzedaży) będzie </w:t>
      </w:r>
      <w:r>
        <w:rPr>
          <w:sz w:val="22"/>
          <w:szCs w:val="22"/>
        </w:rPr>
        <w:lastRenderedPageBreak/>
        <w:t>równoznaczne z uchyleniem się od zawarcia umowy i przepadkiem wadium na rzecz Organizatora. W takim przypadku wygasa także zobowiązanie Organizatora do dokonania sprzedaży na rzecz zwycięzcy przetargu.</w:t>
      </w:r>
    </w:p>
    <w:p w:rsidR="00475940" w:rsidRDefault="00475940" w:rsidP="00475940">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475940" w:rsidRDefault="00475940" w:rsidP="00475940">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475940" w:rsidRDefault="00475940" w:rsidP="00475940">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Jeśli na dzień dokonania sprzedaży (dostawa) będzie ona opodatkowana podatkiem VAT w części (w zakresie niektórych działek), wówczas część ceny sprzedaży przypisana do części Nieruchomości, której dostawa opodatkowana jest podatkiem VAT, odpowiadać będzie udziałowi powierzchni tej części Nieruchomości (działek gruntu) do całkowitej powierzchni Nieruchomości (wszystkich działek gruntu), chyba że strony uzgodnią inaczej. </w:t>
      </w:r>
    </w:p>
    <w:p w:rsidR="00475940" w:rsidRDefault="00475940" w:rsidP="00475940">
      <w:pPr>
        <w:pStyle w:val="Akapitzlist"/>
        <w:numPr>
          <w:ilvl w:val="0"/>
          <w:numId w:val="3"/>
        </w:numPr>
        <w:ind w:left="284"/>
        <w:jc w:val="both"/>
        <w:rPr>
          <w:sz w:val="22"/>
          <w:szCs w:val="22"/>
        </w:rPr>
      </w:pPr>
      <w:r>
        <w:rPr>
          <w:sz w:val="22"/>
          <w:szCs w:val="22"/>
        </w:rPr>
        <w:t xml:space="preserve">Wedle aktualnego stanu rzeczy sprzedaż Nieruchomości w całości korzysta ze zwolnienia z opodatkowania podatkiem VAT: </w:t>
      </w:r>
    </w:p>
    <w:p w:rsidR="00475940" w:rsidRDefault="00475940" w:rsidP="00475940">
      <w:pPr>
        <w:pStyle w:val="Akapitzlist"/>
        <w:jc w:val="both"/>
        <w:rPr>
          <w:sz w:val="22"/>
          <w:szCs w:val="22"/>
        </w:rPr>
      </w:pPr>
      <w:r>
        <w:rPr>
          <w:sz w:val="22"/>
          <w:szCs w:val="22"/>
        </w:rPr>
        <w:t>a)</w:t>
      </w:r>
      <w:r>
        <w:rPr>
          <w:sz w:val="22"/>
          <w:szCs w:val="22"/>
        </w:rPr>
        <w:tab/>
        <w:t>w zakresie działek niezabudowanych - na podstawie art. 43 ust. 1 pkt. 9 ustawy o VAT,</w:t>
      </w:r>
    </w:p>
    <w:p w:rsidR="00475940" w:rsidRDefault="00475940" w:rsidP="00475940">
      <w:pPr>
        <w:pStyle w:val="Akapitzlist"/>
        <w:jc w:val="both"/>
        <w:rPr>
          <w:sz w:val="22"/>
          <w:szCs w:val="22"/>
        </w:rPr>
      </w:pPr>
      <w:r>
        <w:rPr>
          <w:sz w:val="22"/>
          <w:szCs w:val="22"/>
        </w:rPr>
        <w:t>b)</w:t>
      </w:r>
      <w:r>
        <w:rPr>
          <w:sz w:val="22"/>
          <w:szCs w:val="22"/>
        </w:rPr>
        <w:tab/>
        <w:t>w zakresie działek zabudowanych - na podstawie art. 43 ust. 1 pkt 10 ustawy o VAT.</w:t>
      </w:r>
    </w:p>
    <w:p w:rsidR="00475940" w:rsidRDefault="00475940" w:rsidP="00475940">
      <w:pPr>
        <w:ind w:left="284"/>
        <w:jc w:val="both"/>
        <w:rPr>
          <w:sz w:val="22"/>
          <w:szCs w:val="22"/>
        </w:rPr>
      </w:pPr>
      <w:r>
        <w:rPr>
          <w:sz w:val="22"/>
          <w:szCs w:val="22"/>
        </w:rPr>
        <w:t xml:space="preserve">Niemniej na dzień sprzedaży przewiduje się objęcie opodatkowaniem VAT działek niezabudowanych, a to w związku z ich objęciem decyzją ustalającą warunki zabudowy. </w:t>
      </w:r>
    </w:p>
    <w:p w:rsidR="00475940" w:rsidRDefault="00475940" w:rsidP="00475940">
      <w:pPr>
        <w:pStyle w:val="Akapitzlist"/>
        <w:numPr>
          <w:ilvl w:val="0"/>
          <w:numId w:val="3"/>
        </w:numPr>
        <w:ind w:left="284"/>
        <w:jc w:val="both"/>
        <w:rPr>
          <w:sz w:val="22"/>
          <w:szCs w:val="22"/>
        </w:rPr>
      </w:pPr>
      <w:r>
        <w:rPr>
          <w:sz w:val="22"/>
          <w:szCs w:val="22"/>
        </w:rPr>
        <w:t xml:space="preserve">W przypadku, gdy na wniosek Nabywcy w terminie wyznaczonym przez Organizatora zawierana będzie jedynie przedwstępna umowa sprzedaży Nieruchomości, zaoferowana i przyjęta w przetargu cena sprzedaży Nieruchomości powiększona będzie o oprocentowanie naliczone za okres od dnia zawarcia umowy przedwstępnej do dnia zawarcia umowy przyrzeczonej. Wysokość oprocentowania wynosić będzie 7 % w stosunku rocznym. </w:t>
      </w:r>
    </w:p>
    <w:p w:rsidR="00475940" w:rsidRDefault="00475940" w:rsidP="00475940">
      <w:pPr>
        <w:pStyle w:val="Akapitzlist"/>
        <w:numPr>
          <w:ilvl w:val="0"/>
          <w:numId w:val="3"/>
        </w:numPr>
        <w:ind w:left="284"/>
        <w:jc w:val="both"/>
        <w:rPr>
          <w:sz w:val="22"/>
          <w:szCs w:val="22"/>
        </w:rPr>
      </w:pPr>
      <w:r>
        <w:rPr>
          <w:sz w:val="22"/>
          <w:szCs w:val="22"/>
        </w:rPr>
        <w:t xml:space="preserve">W umowie przenoszącej prawa do Nieruchomości zastrzeżone zostanie nieodpłatnie na rzecz Organizatora (sprzedawcy) uprawnienie do swobodnego przechodu i przejazdu przez działkę nr 30/2      i 31/5 (najmniej uciążliwą drogą wzdłuż granicy tych działek od strony drogi publicznej - ul. Czerwonego Krzyża) do sąsiadującej z Nieruchomością działki 32/2 (obręb 0066) przez okres do 5 lat, wraz ze zobowiązaniem do ustanowienia w tym okresie stosownej służebności na rzecz każdoczesnego właściciela tejże działki. Nadto w umowie przenoszącej prawa do Nieruchomości zastrzeżone zostanie obciążenie Nieruchomości służebnością ustanowioną nieodpłatnie na rzecz każdoczesnego właściciela (użytkownika wieczystego) działek 25/10, 27/3 i 28/3  (obręb 0066) polegającą na znoszeniu utrzymywania instalacji doprowadzającej energię elektryczną i cieplną, przy czym właściciel (użytkownik wieczysty) Nieruchomości uprawniony będzie do zmiany przebiegu i umiejscowienia (w uzgodnieniu z dostawcą energii) instalacji lub jej części, na swój koszt, przy zapewnieniu ciągłości </w:t>
      </w:r>
      <w:proofErr w:type="spellStart"/>
      <w:r>
        <w:rPr>
          <w:sz w:val="22"/>
          <w:szCs w:val="22"/>
        </w:rPr>
        <w:t>przesyłu</w:t>
      </w:r>
      <w:proofErr w:type="spellEnd"/>
      <w:r>
        <w:rPr>
          <w:sz w:val="22"/>
          <w:szCs w:val="22"/>
        </w:rPr>
        <w:t xml:space="preserve"> energii elektrycznej do nieruchomości władnącej.</w:t>
      </w:r>
    </w:p>
    <w:p w:rsidR="00475940" w:rsidRDefault="00475940" w:rsidP="00475940">
      <w:pPr>
        <w:pStyle w:val="Akapitzlist"/>
        <w:numPr>
          <w:ilvl w:val="0"/>
          <w:numId w:val="3"/>
        </w:numPr>
        <w:ind w:left="284"/>
        <w:jc w:val="both"/>
        <w:rPr>
          <w:sz w:val="22"/>
          <w:szCs w:val="22"/>
        </w:rPr>
      </w:pPr>
      <w:r>
        <w:rPr>
          <w:sz w:val="22"/>
          <w:szCs w:val="22"/>
        </w:rPr>
        <w:t xml:space="preserve">Cześć Nieruchomości, to jest: </w:t>
      </w:r>
    </w:p>
    <w:p w:rsidR="00475940" w:rsidRDefault="00475940" w:rsidP="00475940">
      <w:pPr>
        <w:pStyle w:val="Akapitzlist"/>
        <w:numPr>
          <w:ilvl w:val="1"/>
          <w:numId w:val="3"/>
        </w:numPr>
        <w:jc w:val="both"/>
        <w:rPr>
          <w:sz w:val="22"/>
          <w:szCs w:val="22"/>
        </w:rPr>
      </w:pPr>
      <w:r>
        <w:rPr>
          <w:sz w:val="22"/>
          <w:szCs w:val="22"/>
        </w:rPr>
        <w:t xml:space="preserve">budynek znajdujący się na działce nr 25/11 (KW nr BY1B/00019781/1); </w:t>
      </w:r>
    </w:p>
    <w:p w:rsidR="00475940" w:rsidRDefault="00475940" w:rsidP="00475940">
      <w:pPr>
        <w:pStyle w:val="Akapitzlist"/>
        <w:numPr>
          <w:ilvl w:val="1"/>
          <w:numId w:val="3"/>
        </w:numPr>
        <w:jc w:val="both"/>
        <w:rPr>
          <w:sz w:val="22"/>
          <w:szCs w:val="22"/>
        </w:rPr>
      </w:pPr>
      <w:r>
        <w:rPr>
          <w:sz w:val="22"/>
          <w:szCs w:val="22"/>
        </w:rPr>
        <w:t>budynek znajdujący się na działce nr 30/2 (KW nr BY1B/00013829/8)</w:t>
      </w:r>
    </w:p>
    <w:p w:rsidR="00475940" w:rsidRDefault="00475940" w:rsidP="00475940">
      <w:pPr>
        <w:ind w:left="284"/>
        <w:jc w:val="both"/>
        <w:rPr>
          <w:sz w:val="22"/>
          <w:szCs w:val="22"/>
        </w:rPr>
      </w:pPr>
      <w:r>
        <w:rPr>
          <w:sz w:val="22"/>
          <w:szCs w:val="22"/>
        </w:rPr>
        <w:t xml:space="preserve">znajduje się w posiadaniu dzierżawców/najemców, na podstawie umów zawartych na czas nieoznaczony, które mogą zostać wypowiedziane w każdym czasie z zachowaniem od 3 do 6 miesięcznego okresu wypowiedzenia.  Na żądanie zwycięzcy przetargu Organizator może wypowiedzieć ww. umowy jeszcze przed zawarciem umowy sprzedaży lub przedwstępnej umowy sprzedaży Nieruchomości. </w:t>
      </w:r>
    </w:p>
    <w:p w:rsidR="00475940" w:rsidRDefault="00475940" w:rsidP="00475940">
      <w:pPr>
        <w:jc w:val="both"/>
        <w:rPr>
          <w:sz w:val="22"/>
          <w:szCs w:val="22"/>
        </w:rPr>
      </w:pPr>
    </w:p>
    <w:p w:rsidR="00475940" w:rsidRDefault="00475940" w:rsidP="00475940">
      <w:pPr>
        <w:jc w:val="both"/>
        <w:rPr>
          <w:sz w:val="22"/>
          <w:szCs w:val="22"/>
        </w:rPr>
      </w:pPr>
      <w:r>
        <w:rPr>
          <w:sz w:val="22"/>
          <w:szCs w:val="22"/>
        </w:rPr>
        <w:t xml:space="preserve">Ogłoszono dnia 18 października 2019r. </w:t>
      </w:r>
    </w:p>
    <w:p w:rsidR="00475940" w:rsidRDefault="00475940" w:rsidP="00475940"/>
    <w:p w:rsidR="00475940" w:rsidRDefault="00475940" w:rsidP="00475940"/>
    <w:p w:rsidR="00E565DD" w:rsidRDefault="00E565DD"/>
    <w:sectPr w:rsidR="00E5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C8B6F15"/>
    <w:multiLevelType w:val="hybridMultilevel"/>
    <w:tmpl w:val="5D52AD1A"/>
    <w:lvl w:ilvl="0" w:tplc="5F522686">
      <w:start w:val="1"/>
      <w:numFmt w:val="lowerLetter"/>
      <w:lvlText w:val="%1)"/>
      <w:lvlJc w:val="left"/>
      <w:pPr>
        <w:ind w:left="644" w:hanging="360"/>
      </w:pPr>
      <w:rPr>
        <w:rFonts w:eastAsia="Times New Roman"/>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40"/>
    <w:rsid w:val="00475940"/>
    <w:rsid w:val="00CD29C7"/>
    <w:rsid w:val="00E56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5726-398A-403B-9F90-4C1C8CE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475940"/>
    <w:pPr>
      <w:jc w:val="center"/>
    </w:pPr>
    <w:rPr>
      <w:sz w:val="20"/>
    </w:rPr>
  </w:style>
  <w:style w:type="character" w:customStyle="1" w:styleId="TekstpodstawowyZnak">
    <w:name w:val="Tekst podstawowy Znak"/>
    <w:basedOn w:val="Domylnaczcionkaakapitu"/>
    <w:link w:val="Tekstpodstawowy"/>
    <w:semiHidden/>
    <w:rsid w:val="00475940"/>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475940"/>
    <w:pPr>
      <w:ind w:left="720"/>
      <w:contextualSpacing/>
    </w:pPr>
  </w:style>
  <w:style w:type="table" w:styleId="Tabela-Siatka">
    <w:name w:val="Table Grid"/>
    <w:basedOn w:val="Standardowy"/>
    <w:rsid w:val="0047594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9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2579</Words>
  <Characters>15476</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 Sekretartiat</dc:creator>
  <cp:keywords/>
  <dc:description/>
  <cp:lastModifiedBy>FOD Sekretartiat</cp:lastModifiedBy>
  <cp:revision>2</cp:revision>
  <dcterms:created xsi:type="dcterms:W3CDTF">2019-10-16T09:34:00Z</dcterms:created>
  <dcterms:modified xsi:type="dcterms:W3CDTF">2019-10-16T09:40:00Z</dcterms:modified>
</cp:coreProperties>
</file>