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01246" w14:textId="77777777" w:rsidR="00F840F2" w:rsidRPr="000F0627" w:rsidRDefault="00F840F2" w:rsidP="00F840F2">
      <w:pPr>
        <w:rPr>
          <w:b/>
          <w:bCs/>
          <w:sz w:val="28"/>
          <w:szCs w:val="28"/>
        </w:rPr>
      </w:pPr>
      <w:r w:rsidRPr="000F0627">
        <w:rPr>
          <w:b/>
          <w:bCs/>
          <w:sz w:val="28"/>
          <w:szCs w:val="28"/>
        </w:rPr>
        <w:t>Zestawienie pytań zadanych przez uczestników Konferencji 31.05.2022 r.:</w:t>
      </w:r>
    </w:p>
    <w:p w14:paraId="5F329C8D" w14:textId="77777777" w:rsidR="003B0C30" w:rsidRPr="000F0627" w:rsidRDefault="003B0C30" w:rsidP="00F840F2">
      <w:pPr>
        <w:rPr>
          <w:rFonts w:ascii="Arial" w:hAnsi="Arial" w:cs="Arial"/>
          <w:sz w:val="20"/>
          <w:szCs w:val="20"/>
        </w:rPr>
      </w:pPr>
    </w:p>
    <w:p w14:paraId="7D05F1A4" w14:textId="77777777" w:rsidR="00DF7CA2" w:rsidRPr="000F0627" w:rsidRDefault="003B0C30" w:rsidP="00F840F2">
      <w:pPr>
        <w:rPr>
          <w:rFonts w:ascii="Arial" w:hAnsi="Arial" w:cs="Arial"/>
          <w:b/>
          <w:color w:val="4472C4" w:themeColor="accent1"/>
          <w:sz w:val="20"/>
          <w:szCs w:val="20"/>
        </w:rPr>
      </w:pPr>
      <w:r w:rsidRPr="000F0627">
        <w:rPr>
          <w:rFonts w:ascii="Arial" w:hAnsi="Arial" w:cs="Arial"/>
          <w:b/>
          <w:color w:val="4472C4" w:themeColor="accent1"/>
          <w:sz w:val="20"/>
          <w:szCs w:val="20"/>
        </w:rPr>
        <w:t xml:space="preserve">"Niebieski Przewodnik" dotyczący wdrażania unijnych przepisów dotyczących produktów </w:t>
      </w:r>
      <w:r w:rsidR="00F46996" w:rsidRPr="000F0627">
        <w:rPr>
          <w:rFonts w:ascii="Arial" w:hAnsi="Arial" w:cs="Arial"/>
          <w:b/>
          <w:color w:val="4472C4" w:themeColor="accent1"/>
          <w:sz w:val="20"/>
          <w:szCs w:val="20"/>
        </w:rPr>
        <w:t>wydany w</w:t>
      </w:r>
      <w:r w:rsidR="00D1075B" w:rsidRPr="000F0627">
        <w:rPr>
          <w:rFonts w:ascii="Arial" w:hAnsi="Arial" w:cs="Arial"/>
          <w:b/>
          <w:color w:val="4472C4" w:themeColor="accent1"/>
          <w:sz w:val="20"/>
          <w:szCs w:val="20"/>
        </w:rPr>
        <w:t xml:space="preserve"> kwietni</w:t>
      </w:r>
      <w:r w:rsidR="00F46996" w:rsidRPr="000F0627">
        <w:rPr>
          <w:rFonts w:ascii="Arial" w:hAnsi="Arial" w:cs="Arial"/>
          <w:b/>
          <w:color w:val="4472C4" w:themeColor="accent1"/>
          <w:sz w:val="20"/>
          <w:szCs w:val="20"/>
        </w:rPr>
        <w:t>u</w:t>
      </w:r>
      <w:r w:rsidR="00D1075B" w:rsidRPr="000F0627">
        <w:rPr>
          <w:rFonts w:ascii="Arial" w:hAnsi="Arial" w:cs="Arial"/>
          <w:b/>
          <w:color w:val="4472C4" w:themeColor="accent1"/>
          <w:sz w:val="20"/>
          <w:szCs w:val="20"/>
        </w:rPr>
        <w:t xml:space="preserve"> </w:t>
      </w:r>
      <w:r w:rsidRPr="000F0627">
        <w:rPr>
          <w:rFonts w:ascii="Arial" w:hAnsi="Arial" w:cs="Arial"/>
          <w:b/>
          <w:color w:val="4472C4" w:themeColor="accent1"/>
          <w:sz w:val="20"/>
          <w:szCs w:val="20"/>
        </w:rPr>
        <w:t>2022</w:t>
      </w:r>
      <w:r w:rsidR="00F46996" w:rsidRPr="000F0627">
        <w:rPr>
          <w:rFonts w:ascii="Arial" w:hAnsi="Arial" w:cs="Arial"/>
          <w:b/>
          <w:color w:val="4472C4" w:themeColor="accent1"/>
          <w:sz w:val="20"/>
          <w:szCs w:val="20"/>
        </w:rPr>
        <w:t xml:space="preserve"> roku - zawiera </w:t>
      </w:r>
      <w:r w:rsidR="00AF44FB" w:rsidRPr="000F0627">
        <w:rPr>
          <w:rFonts w:ascii="Arial" w:hAnsi="Arial" w:cs="Arial"/>
          <w:b/>
          <w:color w:val="4472C4" w:themeColor="accent1"/>
          <w:sz w:val="20"/>
          <w:szCs w:val="20"/>
        </w:rPr>
        <w:t xml:space="preserve">informacje </w:t>
      </w:r>
      <w:r w:rsidR="00F46996" w:rsidRPr="000F0627">
        <w:rPr>
          <w:rFonts w:ascii="Arial" w:hAnsi="Arial" w:cs="Arial"/>
          <w:b/>
          <w:color w:val="4472C4" w:themeColor="accent1"/>
          <w:sz w:val="20"/>
          <w:szCs w:val="20"/>
        </w:rPr>
        <w:t xml:space="preserve">dla:  producentów, importerów, dystrybutorów, jednostek notyfikowanych , </w:t>
      </w:r>
      <w:r w:rsidR="00AF44FB" w:rsidRPr="000F0627">
        <w:rPr>
          <w:rFonts w:ascii="Arial" w:hAnsi="Arial" w:cs="Arial"/>
          <w:b/>
          <w:color w:val="4472C4" w:themeColor="accent1"/>
          <w:sz w:val="20"/>
          <w:szCs w:val="20"/>
        </w:rPr>
        <w:t xml:space="preserve">przeprowadzania oceny zgodności produktów, </w:t>
      </w:r>
      <w:r w:rsidR="00F46996" w:rsidRPr="000F0627">
        <w:rPr>
          <w:rFonts w:ascii="Arial" w:hAnsi="Arial" w:cs="Arial"/>
          <w:b/>
          <w:color w:val="4472C4" w:themeColor="accent1"/>
          <w:sz w:val="20"/>
          <w:szCs w:val="20"/>
        </w:rPr>
        <w:t>etc.</w:t>
      </w:r>
    </w:p>
    <w:p w14:paraId="2376E0A1" w14:textId="2C4F07AF" w:rsidR="006F3E42" w:rsidRPr="000F0627" w:rsidRDefault="00DF7CA2" w:rsidP="00F840F2">
      <w:pPr>
        <w:rPr>
          <w:rFonts w:ascii="Arial" w:hAnsi="Arial" w:cs="Arial"/>
          <w:b/>
          <w:color w:val="4472C4" w:themeColor="accent1"/>
          <w:sz w:val="20"/>
          <w:szCs w:val="20"/>
        </w:rPr>
      </w:pPr>
      <w:r w:rsidRPr="000F0627">
        <w:rPr>
          <w:rFonts w:ascii="Arial" w:hAnsi="Arial" w:cs="Arial"/>
          <w:b/>
          <w:color w:val="4472C4" w:themeColor="accent1"/>
          <w:sz w:val="20"/>
          <w:szCs w:val="20"/>
        </w:rPr>
        <w:t>Niebieski przewodnik znajduje się na stronie Ministerstwa Rozwoju i Technologii, pod linkiem:</w:t>
      </w:r>
    </w:p>
    <w:p w14:paraId="7DAF5DC7" w14:textId="6C557219" w:rsidR="00445AE8" w:rsidRPr="000F0627" w:rsidRDefault="00000000" w:rsidP="00F840F2">
      <w:pPr>
        <w:rPr>
          <w:rFonts w:ascii="Arial" w:hAnsi="Arial" w:cs="Arial"/>
          <w:b/>
          <w:color w:val="4472C4" w:themeColor="accent1"/>
          <w:sz w:val="20"/>
          <w:szCs w:val="20"/>
        </w:rPr>
      </w:pPr>
      <w:hyperlink r:id="rId8" w:history="1">
        <w:r w:rsidR="00445AE8" w:rsidRPr="000F0627">
          <w:rPr>
            <w:rStyle w:val="Hipercze"/>
            <w:rFonts w:ascii="Arial" w:hAnsi="Arial" w:cs="Arial"/>
            <w:b/>
            <w:color w:val="4472C4" w:themeColor="accent1"/>
            <w:sz w:val="20"/>
            <w:szCs w:val="20"/>
          </w:rPr>
          <w:t>https://www.gov.pl/web/rozwoj-technologia/nawozy</w:t>
        </w:r>
      </w:hyperlink>
    </w:p>
    <w:p w14:paraId="0239DB47" w14:textId="737E2FF1" w:rsidR="00F840F2" w:rsidRPr="000F0627" w:rsidRDefault="00F840F2" w:rsidP="00F840F2">
      <w:pPr>
        <w:rPr>
          <w:b/>
          <w:bCs/>
        </w:rPr>
      </w:pPr>
      <w:r w:rsidRPr="000F0627">
        <w:rPr>
          <w:b/>
          <w:bCs/>
        </w:rPr>
        <w:t>Część 1.</w:t>
      </w:r>
    </w:p>
    <w:p w14:paraId="009DF017" w14:textId="4341DD0C" w:rsidR="00F840F2" w:rsidRPr="000F0627" w:rsidRDefault="004411AD" w:rsidP="004411AD">
      <w:pPr>
        <w:rPr>
          <w:b/>
          <w:bCs/>
        </w:rPr>
      </w:pPr>
      <w:r w:rsidRPr="000F0627">
        <w:rPr>
          <w:b/>
          <w:bCs/>
        </w:rPr>
        <w:t xml:space="preserve">1. </w:t>
      </w:r>
      <w:r w:rsidR="00F840F2" w:rsidRPr="000F0627">
        <w:rPr>
          <w:b/>
          <w:bCs/>
        </w:rPr>
        <w:t>Do kogo można kierować pytania w sprawie interpretacji nowego</w:t>
      </w:r>
      <w:bookmarkStart w:id="0" w:name="_Hlk108519637"/>
      <w:r w:rsidR="00F840F2" w:rsidRPr="000F0627">
        <w:rPr>
          <w:b/>
          <w:bCs/>
        </w:rPr>
        <w:t xml:space="preserve"> Rozporządzenia 2019/1009</w:t>
      </w:r>
      <w:bookmarkEnd w:id="0"/>
      <w:r w:rsidR="00F840F2" w:rsidRPr="000F0627">
        <w:rPr>
          <w:b/>
          <w:bCs/>
        </w:rPr>
        <w:t>?</w:t>
      </w:r>
    </w:p>
    <w:p w14:paraId="134A3DFC" w14:textId="50A83A79" w:rsidR="00E65591" w:rsidRPr="000F0627" w:rsidRDefault="002B1C0D" w:rsidP="00E65591">
      <w:pPr>
        <w:jc w:val="both"/>
      </w:pPr>
      <w:r w:rsidRPr="000F0627">
        <w:t xml:space="preserve">Wiążącą interpretację prawną Rozporządzenia 2019/1009 może wydać jedynie TSUE. Wszelkie zapytania dotyczące opinii można kierować do Ministerstwa Rozwoju i Technologii oraz Ministerstwa Rolnictwa i Rozwoju Wsi. </w:t>
      </w:r>
    </w:p>
    <w:p w14:paraId="50C9DC04" w14:textId="64426D9B" w:rsidR="00B320E8" w:rsidRPr="000F0627" w:rsidRDefault="00E65591" w:rsidP="00E65591">
      <w:pPr>
        <w:jc w:val="both"/>
      </w:pPr>
      <w:r w:rsidRPr="000F0627">
        <w:t>dane kontaktowe Ministerstwa Rozwoju i Technologii, Departament Innowacji i Polityki Przemysłowej.</w:t>
      </w:r>
    </w:p>
    <w:p w14:paraId="6373B829" w14:textId="60D8143D" w:rsidR="00E65591" w:rsidRPr="000F0627" w:rsidRDefault="00E65591" w:rsidP="00E65591">
      <w:pPr>
        <w:jc w:val="both"/>
        <w:rPr>
          <w:rStyle w:val="Hipercze"/>
          <w:color w:val="auto"/>
        </w:rPr>
      </w:pPr>
      <w:r w:rsidRPr="000F0627">
        <w:t xml:space="preserve">Email: </w:t>
      </w:r>
      <w:hyperlink r:id="rId9" w:history="1">
        <w:r w:rsidRPr="000F0627">
          <w:rPr>
            <w:rStyle w:val="Hipercze"/>
            <w:color w:val="auto"/>
          </w:rPr>
          <w:t>sekretariatdip@mrit.gov.pl</w:t>
        </w:r>
      </w:hyperlink>
    </w:p>
    <w:p w14:paraId="16149C53" w14:textId="60B6C7DE" w:rsidR="002B1C0D" w:rsidRPr="000F0627" w:rsidRDefault="002B1C0D" w:rsidP="002B1C0D">
      <w:pPr>
        <w:jc w:val="both"/>
      </w:pPr>
      <w:r w:rsidRPr="000F0627">
        <w:t>dane kontaktowe Ministerstwo Rolnictwa i Rozwoju Wsi, Departament Hodowli i Ochrony Roślin</w:t>
      </w:r>
    </w:p>
    <w:p w14:paraId="1B42036F" w14:textId="0498ECDF" w:rsidR="002B1C0D" w:rsidRPr="000F0627" w:rsidRDefault="002B1C0D" w:rsidP="002B1C0D">
      <w:pPr>
        <w:jc w:val="both"/>
        <w:rPr>
          <w:lang w:val="en-US"/>
        </w:rPr>
      </w:pPr>
      <w:r w:rsidRPr="000F0627">
        <w:rPr>
          <w:lang w:val="en-US"/>
        </w:rPr>
        <w:t xml:space="preserve">e-mail: </w:t>
      </w:r>
      <w:hyperlink r:id="rId10" w:history="1">
        <w:r w:rsidRPr="000F0627">
          <w:rPr>
            <w:rStyle w:val="Hipercze"/>
            <w:color w:val="auto"/>
            <w:lang w:val="en-US"/>
          </w:rPr>
          <w:t>sekretariat.dhr@minrol.gov.pl</w:t>
        </w:r>
      </w:hyperlink>
      <w:r w:rsidRPr="000F0627">
        <w:rPr>
          <w:lang w:val="en-US"/>
        </w:rPr>
        <w:t xml:space="preserve"> </w:t>
      </w:r>
    </w:p>
    <w:p w14:paraId="5C8D51A8" w14:textId="55192969" w:rsidR="002B1C0D" w:rsidRPr="000F0627" w:rsidRDefault="002B1C0D" w:rsidP="00E65591">
      <w:pPr>
        <w:jc w:val="both"/>
        <w:rPr>
          <w:lang w:val="en-US"/>
        </w:rPr>
      </w:pPr>
    </w:p>
    <w:p w14:paraId="461045CD" w14:textId="10C25D1D" w:rsidR="00F840F2" w:rsidRPr="000F0627" w:rsidRDefault="00F840F2" w:rsidP="00F840F2">
      <w:pPr>
        <w:rPr>
          <w:b/>
          <w:bCs/>
        </w:rPr>
      </w:pPr>
      <w:r w:rsidRPr="000F0627">
        <w:rPr>
          <w:b/>
          <w:bCs/>
        </w:rPr>
        <w:t>2. Czy komunikat dotyczący etykietowania dotyczy Nawozów WE?</w:t>
      </w:r>
    </w:p>
    <w:p w14:paraId="13B71B66" w14:textId="617A87A7" w:rsidR="00040849" w:rsidRPr="000F0627" w:rsidRDefault="00CC506B" w:rsidP="00040849">
      <w:pPr>
        <w:jc w:val="both"/>
      </w:pPr>
      <w:r w:rsidRPr="000F0627">
        <w:t>Komunikat wydany przez Komisję Europejską,  z</w:t>
      </w:r>
      <w:r w:rsidR="00040849" w:rsidRPr="000F0627">
        <w:t xml:space="preserve">godnie z art. 4 ust. 3 rozporządzenia (UE) 2019/1009 </w:t>
      </w:r>
      <w:r w:rsidRPr="000F0627">
        <w:t xml:space="preserve"> dotyczy wyłącznie produktów nawozowych UE. Komunikat ten stanowi</w:t>
      </w:r>
      <w:r w:rsidR="00040849" w:rsidRPr="000F0627">
        <w:t xml:space="preserve"> wytyczne dla producentów i organów nadzoru rynku, zawierające jasne informacje i przykłady dotyczące wyglądu etykiety, o której mowa w załączniku III do tego rozporządzenia. </w:t>
      </w:r>
      <w:r w:rsidR="00B363A7" w:rsidRPr="000F0627">
        <w:t xml:space="preserve">W niniejszym załączniku ustanowiono wymogi dotyczące etykietowania </w:t>
      </w:r>
      <w:r w:rsidR="00B363A7" w:rsidRPr="000F0627">
        <w:rPr>
          <w:b/>
          <w:bCs/>
        </w:rPr>
        <w:t>produktów nawozowych UE</w:t>
      </w:r>
      <w:r w:rsidR="00B363A7" w:rsidRPr="000F0627">
        <w:t xml:space="preserve">. Wymogi ustanowione w częściach II i III niniejszego załącznika dla danej PFC, jak określono w załączniku I, stosuje się do wszystkich podkategorii produktów nawozowych UE tej kategorii. </w:t>
      </w:r>
      <w:r w:rsidR="00040849" w:rsidRPr="000F0627">
        <w:t xml:space="preserve">W związku z powyższym nawozy oznaczone </w:t>
      </w:r>
      <w:r w:rsidR="00040849" w:rsidRPr="000F0627">
        <w:rPr>
          <w:b/>
          <w:bCs/>
        </w:rPr>
        <w:t>„NAWÓZ WE” w sprawie etykietowania podlegają przepisom rozporządzenia WE 2003/2003.</w:t>
      </w:r>
      <w:r w:rsidR="00040849" w:rsidRPr="000F0627">
        <w:t xml:space="preserve"> </w:t>
      </w:r>
    </w:p>
    <w:p w14:paraId="795290B8" w14:textId="16C0445F" w:rsidR="00F840F2" w:rsidRPr="000F0627" w:rsidRDefault="00F840F2" w:rsidP="00F840F2">
      <w:pPr>
        <w:rPr>
          <w:b/>
          <w:bCs/>
        </w:rPr>
      </w:pPr>
      <w:r w:rsidRPr="000F0627">
        <w:rPr>
          <w:b/>
          <w:bCs/>
        </w:rPr>
        <w:t xml:space="preserve">3. Co Producenci mają zrobić z opakowaniami, które były dostosowane do </w:t>
      </w:r>
      <w:proofErr w:type="spellStart"/>
      <w:r w:rsidRPr="000F0627">
        <w:rPr>
          <w:b/>
          <w:bCs/>
        </w:rPr>
        <w:t>Rozp</w:t>
      </w:r>
      <w:proofErr w:type="spellEnd"/>
      <w:r w:rsidRPr="000F0627">
        <w:rPr>
          <w:b/>
          <w:bCs/>
        </w:rPr>
        <w:t>. (WE) 2003/2003?</w:t>
      </w:r>
    </w:p>
    <w:p w14:paraId="4B3FA60F" w14:textId="75BAD755" w:rsidR="00561C39" w:rsidRPr="000F0627" w:rsidRDefault="00B363A7" w:rsidP="00561C39">
      <w:pPr>
        <w:jc w:val="both"/>
      </w:pPr>
      <w:r w:rsidRPr="000F0627">
        <w:t>Rozporządzenie Parlamentu Europejskiego i</w:t>
      </w:r>
      <w:r w:rsidR="00E237DB" w:rsidRPr="000F0627">
        <w:t xml:space="preserve"> </w:t>
      </w:r>
      <w:r w:rsidRPr="000F0627">
        <w:t>Rady (UE) 2019/1009</w:t>
      </w:r>
      <w:r w:rsidR="00E237DB" w:rsidRPr="000F0627">
        <w:t xml:space="preserve"> </w:t>
      </w:r>
      <w:r w:rsidRPr="000F0627">
        <w:t>z dnia 5</w:t>
      </w:r>
      <w:r w:rsidR="00E237DB" w:rsidRPr="000F0627">
        <w:t xml:space="preserve"> </w:t>
      </w:r>
      <w:r w:rsidRPr="000F0627">
        <w:t>czerwca</w:t>
      </w:r>
      <w:r w:rsidR="00E237DB" w:rsidRPr="000F0627">
        <w:t xml:space="preserve"> </w:t>
      </w:r>
      <w:r w:rsidRPr="000F0627">
        <w:t>2019 r.</w:t>
      </w:r>
      <w:r w:rsidR="00E237DB" w:rsidRPr="000F0627">
        <w:t xml:space="preserve"> </w:t>
      </w:r>
      <w:r w:rsidRPr="000F0627">
        <w:t xml:space="preserve">ustanawiające przepisy dotyczące udostępniania na rynku produktów nawozowych UE weszło w życie w lipcu 2019 r. </w:t>
      </w:r>
      <w:r w:rsidR="004D0189" w:rsidRPr="000F0627">
        <w:t xml:space="preserve"> </w:t>
      </w:r>
      <w:r w:rsidRPr="000F0627">
        <w:t>Zgodnie z art. 53 tego rozporządzenia określono datę stosowania większości przepisów, w tym dot. etykietowania  - 16 lipca 2022 r., przyznając tym samym podmiotom działającym na rynku nawozów, 3 - letni okres na dostosowanie się do nowych regulacji. Przepisy w tym zakresie nie przewidują dodatkowych okresów przejściowych.</w:t>
      </w:r>
      <w:r w:rsidR="00561C39" w:rsidRPr="000F0627">
        <w:t xml:space="preserve"> </w:t>
      </w:r>
    </w:p>
    <w:p w14:paraId="46778B8C" w14:textId="6C1928D0" w:rsidR="00561C39" w:rsidRPr="000F0627" w:rsidRDefault="00561C39" w:rsidP="00561C39">
      <w:pPr>
        <w:jc w:val="both"/>
      </w:pPr>
      <w:r w:rsidRPr="000F0627">
        <w:t>Załącznik III rozporządzenia (UE) 2019/1009 określa wymagania dot. etykietowania produktów nawozowych UE, w tym zakres wymaganych informacji na oraz sposób ich podawania. Zgodnie z regulacjami w nim zawarty</w:t>
      </w:r>
      <w:r w:rsidR="00534D71" w:rsidRPr="000F0627">
        <w:t xml:space="preserve">mi, </w:t>
      </w:r>
      <w:r w:rsidRPr="000F0627">
        <w:t xml:space="preserve">wymagane informacje umieszcza się na opakowaniu/etykiecie przymocowanej do opakowania, a w przypadku gdy opakowanie jest zbyt małe, aby mogło zawierać wszystkie informacje, informacje, których nie można umieścić na etykiecie, podaje się w oddzielnej </w:t>
      </w:r>
      <w:r w:rsidRPr="000F0627">
        <w:lastRenderedPageBreak/>
        <w:t>ulotce dołączonej do tego opakowania. Gdy produkty nawozowe UE są dostarczane bez opakowania - wymagane informacje zamieszcza się w dokumencie dołączonym do każdego produktu nawozowego.</w:t>
      </w:r>
    </w:p>
    <w:p w14:paraId="44B87EF8" w14:textId="1CDABAB2" w:rsidR="00561C39" w:rsidRPr="000F0627" w:rsidRDefault="00561C39" w:rsidP="00561C39">
      <w:pPr>
        <w:jc w:val="both"/>
      </w:pPr>
      <w:r w:rsidRPr="000F0627">
        <w:t xml:space="preserve">Można założyć, że w pewnych przypadkach wykorzystanie nieużytych opakowań przygotowanych dla nawozów WE do pakowania produktów nawozowych UE będzie możliwe, aczkolwiek sposób takiego pakowania musi spełnić wymogi rozporządzenia (UE) 2019/1009. W szczególności należy zapewnić, aby naniesione na opakowania informacje były jasne, czytelne, zrozumiałe.  Informacje nieaktualne powinny zostać w sposób nieusuwalny całkowicie zasłonięte, tak aby nie były widoczne treści odnoszących się do wcześniejszego produktu. </w:t>
      </w:r>
    </w:p>
    <w:p w14:paraId="14A8E7C2" w14:textId="05362A46" w:rsidR="00561C39" w:rsidRPr="000F0627" w:rsidRDefault="00561C39" w:rsidP="00561C39">
      <w:pPr>
        <w:jc w:val="both"/>
      </w:pPr>
      <w:r w:rsidRPr="000F0627">
        <w:t xml:space="preserve">Należy w tym względzie zapewnić, aby etykieta produktu nawozowego nie wprowadzała w błąd konsumenta i nie budziła wątpliwości co do legalności produktu i czy jest to produkt pełnowartościowy,  tym samym potwierdzała możliwość pełnoprawnego udostępnienia produktu na rynku oraz jego stosowania. Sposób etykietowania nie może też stwarzać wrażenia, że ma charakter tymczasowy czy uproszczony, co jest charakterystyczne dla tzw. „etykiet zastępczych”. Pełną odpowiedzialność za etykietowanie produktu nawozowego UE ponosi jego producent. </w:t>
      </w:r>
    </w:p>
    <w:p w14:paraId="086ED7B0" w14:textId="55610C10" w:rsidR="00F840F2" w:rsidRPr="000F0627" w:rsidRDefault="00F840F2" w:rsidP="00561C39">
      <w:pPr>
        <w:spacing w:line="240" w:lineRule="auto"/>
        <w:rPr>
          <w:b/>
          <w:bCs/>
        </w:rPr>
      </w:pPr>
      <w:r w:rsidRPr="000F0627">
        <w:rPr>
          <w:b/>
          <w:bCs/>
        </w:rPr>
        <w:t xml:space="preserve">4. Jak będzie wyglądała ochrona danych? W szczególności chodzi o dokumenty, które złoży Producent w danych modułach. Jak wygląda poufność pomiędzy Producentem, a Importerem? Dodatkowo proszę o rozróżnienie ochrony danych oraz poufności. </w:t>
      </w:r>
    </w:p>
    <w:p w14:paraId="3269B1E6" w14:textId="021D2312" w:rsidR="00592576" w:rsidRPr="000F0627" w:rsidRDefault="00F46996" w:rsidP="00127908">
      <w:pPr>
        <w:spacing w:line="240" w:lineRule="auto"/>
        <w:jc w:val="both"/>
        <w:rPr>
          <w:bCs/>
        </w:rPr>
      </w:pPr>
      <w:r w:rsidRPr="000F0627">
        <w:rPr>
          <w:bCs/>
        </w:rPr>
        <w:t>Producent podpisuje u</w:t>
      </w:r>
      <w:r w:rsidR="00D63D1B" w:rsidRPr="000F0627">
        <w:rPr>
          <w:bCs/>
        </w:rPr>
        <w:t>mow</w:t>
      </w:r>
      <w:r w:rsidRPr="000F0627">
        <w:rPr>
          <w:bCs/>
        </w:rPr>
        <w:t>ę</w:t>
      </w:r>
      <w:r w:rsidR="00D63D1B" w:rsidRPr="000F0627">
        <w:rPr>
          <w:bCs/>
        </w:rPr>
        <w:t xml:space="preserve"> z jednostką notyfikowaną</w:t>
      </w:r>
      <w:r w:rsidR="00B21288" w:rsidRPr="000F0627">
        <w:rPr>
          <w:bCs/>
        </w:rPr>
        <w:t>. Dokument zawiera zapisy</w:t>
      </w:r>
      <w:r w:rsidR="00592576" w:rsidRPr="000F0627">
        <w:rPr>
          <w:bCs/>
        </w:rPr>
        <w:t xml:space="preserve"> o zachowaniu poufności (informacji zastrzeżonych)</w:t>
      </w:r>
      <w:r w:rsidR="00435909" w:rsidRPr="000F0627">
        <w:rPr>
          <w:bCs/>
        </w:rPr>
        <w:t>,</w:t>
      </w:r>
      <w:r w:rsidR="00B21288" w:rsidRPr="000F0627">
        <w:rPr>
          <w:bCs/>
        </w:rPr>
        <w:t xml:space="preserve"> informacji dostarczonych do jednostki związanych z klientem oraz ocenianym produktem i systemem</w:t>
      </w:r>
      <w:r w:rsidR="00127908" w:rsidRPr="000F0627">
        <w:rPr>
          <w:bCs/>
        </w:rPr>
        <w:t>.</w:t>
      </w:r>
      <w:r w:rsidR="00863EC3" w:rsidRPr="000F0627">
        <w:rPr>
          <w:bCs/>
        </w:rPr>
        <w:t>.</w:t>
      </w:r>
    </w:p>
    <w:p w14:paraId="0718B26F" w14:textId="098BC061" w:rsidR="00D63D1B" w:rsidRPr="000F0627" w:rsidRDefault="00592576" w:rsidP="00127908">
      <w:pPr>
        <w:spacing w:line="240" w:lineRule="auto"/>
        <w:jc w:val="both"/>
        <w:rPr>
          <w:bCs/>
        </w:rPr>
      </w:pPr>
      <w:r w:rsidRPr="000F0627">
        <w:rPr>
          <w:bCs/>
        </w:rPr>
        <w:t xml:space="preserve">Jest to podstawowy wymóg restrykcyjnie przestrzegany przez </w:t>
      </w:r>
      <w:r w:rsidR="0014161D" w:rsidRPr="000F0627">
        <w:rPr>
          <w:bCs/>
        </w:rPr>
        <w:t xml:space="preserve">organy </w:t>
      </w:r>
      <w:r w:rsidRPr="000F0627">
        <w:rPr>
          <w:bCs/>
        </w:rPr>
        <w:t>przyznające notyfikację</w:t>
      </w:r>
      <w:r w:rsidR="0014161D" w:rsidRPr="000F0627">
        <w:rPr>
          <w:bCs/>
        </w:rPr>
        <w:t xml:space="preserve"> jednostkom</w:t>
      </w:r>
      <w:r w:rsidRPr="000F0627">
        <w:rPr>
          <w:bCs/>
        </w:rPr>
        <w:t>.</w:t>
      </w:r>
    </w:p>
    <w:p w14:paraId="73A7C959" w14:textId="77777777" w:rsidR="00435909" w:rsidRPr="000F0627" w:rsidRDefault="00435909" w:rsidP="00127908">
      <w:pPr>
        <w:pStyle w:val="Akapitzlist"/>
        <w:ind w:left="0"/>
        <w:jc w:val="both"/>
        <w:rPr>
          <w:i/>
          <w:iCs/>
        </w:rPr>
      </w:pPr>
      <w:r w:rsidRPr="000F0627">
        <w:t>Poufność pomiędzy Producentem, a Importerem regulowana jest w umowach podpisanych pomiędzy tymi stronami</w:t>
      </w:r>
      <w:r w:rsidRPr="000F0627">
        <w:rPr>
          <w:i/>
          <w:iCs/>
        </w:rPr>
        <w:t>.</w:t>
      </w:r>
    </w:p>
    <w:p w14:paraId="78C260BC" w14:textId="2BE85719" w:rsidR="00AF44FB" w:rsidRPr="000F0627" w:rsidRDefault="00AF44FB" w:rsidP="00561C39">
      <w:pPr>
        <w:spacing w:line="240" w:lineRule="auto"/>
        <w:rPr>
          <w:bCs/>
        </w:rPr>
      </w:pPr>
      <w:r w:rsidRPr="000F0627">
        <w:rPr>
          <w:bCs/>
        </w:rPr>
        <w:t>Ochrona danych wg. przepisów RODO.</w:t>
      </w:r>
    </w:p>
    <w:p w14:paraId="21C88B59" w14:textId="58CBD3C8" w:rsidR="00F840F2" w:rsidRPr="000F0627" w:rsidRDefault="00F840F2" w:rsidP="00F840F2">
      <w:pPr>
        <w:rPr>
          <w:b/>
          <w:bCs/>
        </w:rPr>
      </w:pPr>
      <w:r w:rsidRPr="000F0627">
        <w:rPr>
          <w:b/>
          <w:bCs/>
        </w:rPr>
        <w:t>5. Jakie są wytyczne do przygotowania dokumentacji systemu zapewnienia jakości produkcji w module D1, czy można bazować na normie 9001?</w:t>
      </w:r>
    </w:p>
    <w:p w14:paraId="06F590C3" w14:textId="011B6A6F" w:rsidR="001C6126" w:rsidRPr="000F0627" w:rsidRDefault="001C6126" w:rsidP="00435909">
      <w:pPr>
        <w:pStyle w:val="Default"/>
        <w:jc w:val="both"/>
        <w:rPr>
          <w:rFonts w:ascii="Calibri" w:hAnsi="Calibri" w:cs="Calibri"/>
          <w:color w:val="auto"/>
          <w:sz w:val="23"/>
          <w:szCs w:val="23"/>
        </w:rPr>
      </w:pPr>
      <w:r w:rsidRPr="000F0627">
        <w:rPr>
          <w:rFonts w:ascii="Calibri" w:hAnsi="Calibri" w:cs="Calibri"/>
          <w:color w:val="auto"/>
          <w:sz w:val="23"/>
          <w:szCs w:val="23"/>
        </w:rPr>
        <w:t>Moduł D1 (zapewnienie jakości procesu produkcji</w:t>
      </w:r>
      <w:r w:rsidR="00592576" w:rsidRPr="000F0627">
        <w:rPr>
          <w:rFonts w:ascii="Calibri" w:hAnsi="Calibri" w:cs="Calibri"/>
          <w:color w:val="auto"/>
          <w:sz w:val="23"/>
          <w:szCs w:val="23"/>
        </w:rPr>
        <w:t xml:space="preserve"> (</w:t>
      </w:r>
      <w:r w:rsidR="00592576" w:rsidRPr="000F0627">
        <w:rPr>
          <w:rFonts w:ascii="Calibri" w:hAnsi="Calibri" w:cs="Calibri"/>
          <w:b/>
          <w:color w:val="auto"/>
          <w:sz w:val="23"/>
          <w:szCs w:val="23"/>
        </w:rPr>
        <w:t>załącznik IV FPR</w:t>
      </w:r>
      <w:r w:rsidRPr="000F0627">
        <w:rPr>
          <w:rFonts w:ascii="Calibri" w:hAnsi="Calibri" w:cs="Calibri"/>
          <w:color w:val="auto"/>
          <w:sz w:val="23"/>
          <w:szCs w:val="23"/>
        </w:rPr>
        <w:t xml:space="preserve">) zakłada ustanowienie systemu jakości dla procesu produkcji w celu zapewnienia zgodności produktów nawozowych UE z FPR. </w:t>
      </w:r>
    </w:p>
    <w:p w14:paraId="09CC4D01" w14:textId="77777777" w:rsidR="004A33C4" w:rsidRPr="000F0627" w:rsidRDefault="001C6126" w:rsidP="00435909">
      <w:pPr>
        <w:pStyle w:val="Default"/>
        <w:jc w:val="both"/>
        <w:rPr>
          <w:rFonts w:ascii="Calibri" w:hAnsi="Calibri" w:cs="Calibri"/>
          <w:color w:val="auto"/>
          <w:sz w:val="23"/>
          <w:szCs w:val="23"/>
        </w:rPr>
      </w:pPr>
      <w:r w:rsidRPr="000F0627">
        <w:rPr>
          <w:rFonts w:ascii="Calibri" w:hAnsi="Calibri" w:cs="Calibri"/>
          <w:color w:val="auto"/>
          <w:sz w:val="23"/>
          <w:szCs w:val="23"/>
        </w:rPr>
        <w:t xml:space="preserve">W </w:t>
      </w:r>
      <w:r w:rsidRPr="000F0627">
        <w:rPr>
          <w:rFonts w:ascii="Calibri" w:hAnsi="Calibri" w:cs="Calibri"/>
          <w:b/>
          <w:color w:val="auto"/>
          <w:sz w:val="23"/>
          <w:szCs w:val="23"/>
        </w:rPr>
        <w:t xml:space="preserve">załączniku IV znajdują się </w:t>
      </w:r>
      <w:bookmarkStart w:id="1" w:name="_Hlk109199300"/>
      <w:r w:rsidRPr="000F0627">
        <w:rPr>
          <w:rFonts w:ascii="Calibri" w:hAnsi="Calibri" w:cs="Calibri"/>
          <w:b/>
          <w:color w:val="auto"/>
          <w:sz w:val="23"/>
          <w:szCs w:val="23"/>
        </w:rPr>
        <w:t>szczegółowe wymagania</w:t>
      </w:r>
      <w:r w:rsidRPr="000F0627">
        <w:rPr>
          <w:rFonts w:ascii="Calibri" w:hAnsi="Calibri" w:cs="Calibri"/>
          <w:color w:val="auto"/>
          <w:sz w:val="23"/>
          <w:szCs w:val="23"/>
        </w:rPr>
        <w:t xml:space="preserve"> dotyczące celu systemu jakości </w:t>
      </w:r>
      <w:bookmarkEnd w:id="1"/>
      <w:r w:rsidRPr="000F0627">
        <w:rPr>
          <w:rFonts w:ascii="Calibri" w:hAnsi="Calibri" w:cs="Calibri"/>
          <w:color w:val="auto"/>
          <w:sz w:val="23"/>
          <w:szCs w:val="23"/>
        </w:rPr>
        <w:t xml:space="preserve">oraz struktury organizacyjnej, którą należy wprowadzić. </w:t>
      </w:r>
    </w:p>
    <w:p w14:paraId="15BF4C21" w14:textId="2ECD01D6" w:rsidR="001C6126" w:rsidRPr="000F0627" w:rsidRDefault="001C6126" w:rsidP="00435909">
      <w:pPr>
        <w:pStyle w:val="Default"/>
        <w:jc w:val="both"/>
        <w:rPr>
          <w:rFonts w:ascii="Calibri" w:hAnsi="Calibri" w:cs="Calibri"/>
          <w:color w:val="auto"/>
          <w:sz w:val="23"/>
          <w:szCs w:val="23"/>
        </w:rPr>
      </w:pPr>
      <w:r w:rsidRPr="000F0627">
        <w:rPr>
          <w:rFonts w:ascii="Calibri" w:hAnsi="Calibri" w:cs="Calibri"/>
          <w:color w:val="auto"/>
          <w:sz w:val="23"/>
          <w:szCs w:val="23"/>
        </w:rPr>
        <w:t xml:space="preserve">System jakości musi zostać oceniony przez jednostkę notyfikowaną. Jednostka notyfikowana prowadzi również nadzór nad funkcjonowaniem zatwierdzonych systemów jakości, aby upewnić się, że producenci spełniają swoje zobowiązania. </w:t>
      </w:r>
    </w:p>
    <w:p w14:paraId="1E888470" w14:textId="1A4157E7" w:rsidR="001C6126" w:rsidRPr="000F0627" w:rsidRDefault="001C6126" w:rsidP="00435909">
      <w:pPr>
        <w:jc w:val="both"/>
        <w:rPr>
          <w:rFonts w:ascii="Calibri" w:hAnsi="Calibri" w:cs="Calibri"/>
          <w:sz w:val="23"/>
          <w:szCs w:val="23"/>
        </w:rPr>
      </w:pPr>
      <w:r w:rsidRPr="000F0627">
        <w:rPr>
          <w:rFonts w:ascii="Calibri" w:hAnsi="Calibri" w:cs="Calibri"/>
          <w:sz w:val="23"/>
          <w:szCs w:val="23"/>
        </w:rPr>
        <w:t>Załącznik IV zawiera specjalne wymagania dla produktów zawierających CMC, w przypadku których różne obiegi odpadów mogą być wykorzystywane jako materiały wejściowe.</w:t>
      </w:r>
    </w:p>
    <w:p w14:paraId="57D5FA54" w14:textId="0C0D8770" w:rsidR="00AF44FB" w:rsidRPr="000F0627" w:rsidRDefault="00AF44FB" w:rsidP="00435909">
      <w:pPr>
        <w:jc w:val="both"/>
        <w:rPr>
          <w:rFonts w:ascii="Calibri" w:hAnsi="Calibri" w:cs="Calibri"/>
          <w:bCs/>
        </w:rPr>
      </w:pPr>
      <w:r w:rsidRPr="000F0627">
        <w:rPr>
          <w:rFonts w:ascii="Calibri" w:hAnsi="Calibri" w:cs="Calibri"/>
          <w:bCs/>
        </w:rPr>
        <w:t xml:space="preserve">Norma ISO 9001 jest do wykorzystania, ale trzeba spełnić </w:t>
      </w:r>
      <w:r w:rsidRPr="000F0627">
        <w:rPr>
          <w:rFonts w:ascii="Calibri" w:hAnsi="Calibri" w:cs="Calibri"/>
        </w:rPr>
        <w:t>szczegółowe wymagania dotyczące systemu</w:t>
      </w:r>
      <w:r w:rsidR="00303D08" w:rsidRPr="000F0627">
        <w:rPr>
          <w:rFonts w:ascii="Calibri" w:hAnsi="Calibri" w:cs="Calibri"/>
        </w:rPr>
        <w:t xml:space="preserve"> zapewnienia </w:t>
      </w:r>
      <w:r w:rsidRPr="000F0627">
        <w:rPr>
          <w:rFonts w:ascii="Calibri" w:hAnsi="Calibri" w:cs="Calibri"/>
        </w:rPr>
        <w:t xml:space="preserve"> jakości</w:t>
      </w:r>
      <w:r w:rsidR="00303D08" w:rsidRPr="000F0627">
        <w:rPr>
          <w:rFonts w:ascii="Calibri" w:hAnsi="Calibri" w:cs="Calibri"/>
        </w:rPr>
        <w:t xml:space="preserve"> procesu produkcji</w:t>
      </w:r>
      <w:r w:rsidRPr="000F0627">
        <w:rPr>
          <w:rFonts w:ascii="Calibri" w:hAnsi="Calibri" w:cs="Calibri"/>
        </w:rPr>
        <w:t xml:space="preserve"> w module D1.</w:t>
      </w:r>
    </w:p>
    <w:p w14:paraId="1AC921D9" w14:textId="7E7C310C" w:rsidR="00F840F2" w:rsidRPr="000F0627" w:rsidRDefault="00F840F2" w:rsidP="00F840F2">
      <w:pPr>
        <w:rPr>
          <w:b/>
          <w:bCs/>
        </w:rPr>
      </w:pPr>
      <w:r w:rsidRPr="000F0627">
        <w:rPr>
          <w:b/>
          <w:bCs/>
        </w:rPr>
        <w:t>6. Jak będzie wyglądała sytuacja środków wspomagających uprawę roślin i nawozów po 16 lipca, które były wprowadzone na podstawie pozwolenia Ministra Rozwoju Rolnictwa i Wsi?</w:t>
      </w:r>
    </w:p>
    <w:p w14:paraId="6A35D391" w14:textId="52717280" w:rsidR="007E0FCE" w:rsidRPr="000F0627" w:rsidRDefault="007E0FCE" w:rsidP="007E0FCE">
      <w:pPr>
        <w:jc w:val="both"/>
        <w:rPr>
          <w:rFonts w:cstheme="minorHAnsi"/>
        </w:rPr>
      </w:pPr>
      <w:r w:rsidRPr="000F0627">
        <w:rPr>
          <w:rFonts w:cstheme="minorHAnsi"/>
        </w:rPr>
        <w:lastRenderedPageBreak/>
        <w:t xml:space="preserve">Środki wspomagające uprawę roślin do których zalicza się środki poprawiające właściwości gleby, podłoża do upraw i stymulatory wzrostu, dla których wydane zostało pozwolenie Ministra Rolnictwa i Rozwoju Wsi na podstawie prawa krajowego czyli ustawy o nawozach i nawożeniu  będą nadal mogły być wprowadzane do obrotu na terytorium RP. Należy jednak mieć na względzie, że w przypadku produktów zawierających w swoim składzie nawozy mineralne oznaczone znakiem WE będzie niezbędny przegląd pozwoleń dla tych produktów w celu możliwości pozostawienia ich w obrocie prawnym. </w:t>
      </w:r>
    </w:p>
    <w:p w14:paraId="2E02415C" w14:textId="77777777" w:rsidR="007E0FCE" w:rsidRPr="000F0627" w:rsidRDefault="007E0FCE" w:rsidP="007E0FCE">
      <w:pPr>
        <w:jc w:val="both"/>
        <w:rPr>
          <w:rFonts w:cstheme="minorHAnsi"/>
        </w:rPr>
      </w:pPr>
      <w:r w:rsidRPr="000F0627">
        <w:rPr>
          <w:rFonts w:cstheme="minorHAnsi"/>
        </w:rPr>
        <w:t xml:space="preserve">Środki wspomagające uprawę roślin wprowadzone do obrotu na podstawie prawa krajowego  dla których wydane zostało pozwolenie Ministra Rolnictwa i Rozwoju Wsi co do zasady mogą być wprowadzane do obrotu na terytorium innych państw członkowskich na zasadzie  wzajemnego uznawania towarów.  Dla produktów nawozowych wprowadzonych do obrotu w innym państwie członkowskim UE  stosuje się przepisy Rozporządzenia Parlamentu Europejskiego i Rady (UE) 2019/515 z dnia 19 marca 2019 r.  w sprawie wzajemnego uznawania towarów zgodnie z prawem wprowadzonych do obrotu w innym państwie członkowskim.  Na terytorium Polski właściwą w zakresie nadzoru nad wprowadzaniem do obrotu  nawozów i środków wspomagających uprawę roślin, a tym samym także właściwą  odnośnie  interpretacji przepisów i oświadczeń w tym zakresie  jest Państwowa Inspekcja Ochrony Roślin i Nasiennictwa. </w:t>
      </w:r>
    </w:p>
    <w:p w14:paraId="312446EB" w14:textId="77777777" w:rsidR="00F840F2" w:rsidRPr="000F0627" w:rsidRDefault="00F840F2" w:rsidP="00F840F2">
      <w:pPr>
        <w:rPr>
          <w:b/>
          <w:bCs/>
        </w:rPr>
      </w:pPr>
      <w:r w:rsidRPr="000F0627">
        <w:rPr>
          <w:b/>
          <w:bCs/>
        </w:rPr>
        <w:t>Część 2.</w:t>
      </w:r>
    </w:p>
    <w:p w14:paraId="3231EF35" w14:textId="2B8E1A68" w:rsidR="00F840F2" w:rsidRPr="000F0627" w:rsidRDefault="00287937" w:rsidP="00F840F2">
      <w:pPr>
        <w:rPr>
          <w:b/>
          <w:bCs/>
        </w:rPr>
      </w:pPr>
      <w:r w:rsidRPr="000F0627">
        <w:rPr>
          <w:b/>
          <w:bCs/>
        </w:rPr>
        <w:t>1</w:t>
      </w:r>
      <w:r w:rsidR="00F840F2" w:rsidRPr="000F0627">
        <w:rPr>
          <w:b/>
          <w:bCs/>
        </w:rPr>
        <w:t>. Czy jest możliwość zawrzeć pewne elementy w postaci piktogramów – typu stosy, parasolki, domki, zamiast w formie pisemnej?</w:t>
      </w:r>
    </w:p>
    <w:p w14:paraId="68BAB376" w14:textId="64155FD7" w:rsidR="00BF0DE3" w:rsidRPr="000F0627" w:rsidRDefault="00CC506B" w:rsidP="008F7913">
      <w:pPr>
        <w:jc w:val="both"/>
      </w:pPr>
      <w:r w:rsidRPr="000F0627">
        <w:t>Należy wyróżnić dwa rodzaje piktogramów</w:t>
      </w:r>
      <w:r w:rsidR="00BF0DE3" w:rsidRPr="000F0627">
        <w:t>:</w:t>
      </w:r>
      <w:r w:rsidRPr="000F0627">
        <w:t xml:space="preserve"> </w:t>
      </w:r>
      <w:r w:rsidR="00BF0DE3" w:rsidRPr="000F0627">
        <w:t>o</w:t>
      </w:r>
      <w:r w:rsidRPr="000F0627">
        <w:t>bowiązkowe, wynikające z rozporządzenia Parlamentu Europejskiego i Rady (WE) nr 1272/2008 i stosowane wówczas gdy produkt nawozowy UE jest klasyfikowany na podstawie tego rozporządzenia oraz dobrowolne </w:t>
      </w:r>
      <w:r w:rsidR="00BF0DE3" w:rsidRPr="000F0627">
        <w:t>odnoszące się do informowania użytkownika </w:t>
      </w:r>
      <w:r w:rsidR="00BF0DE3" w:rsidRPr="000F0627">
        <w:rPr>
          <w:b/>
          <w:bCs/>
        </w:rPr>
        <w:t>o</w:t>
      </w:r>
      <w:r w:rsidR="00BF0DE3" w:rsidRPr="000F0627">
        <w:t> </w:t>
      </w:r>
      <w:r w:rsidR="00BF0DE3" w:rsidRPr="000F0627">
        <w:rPr>
          <w:b/>
          <w:bCs/>
        </w:rPr>
        <w:t>warunkach przechowywania lub o zarządzaniu skutkami dla zdrowia i środowiska</w:t>
      </w:r>
      <w:r w:rsidR="00BF0DE3" w:rsidRPr="000F0627">
        <w:t xml:space="preserve"> które jest oparte na dobrych praktykach. </w:t>
      </w:r>
    </w:p>
    <w:p w14:paraId="76BFEEB1" w14:textId="23B2317F" w:rsidR="004D5133" w:rsidRPr="000F0627" w:rsidRDefault="00CC506B" w:rsidP="00BF0DE3">
      <w:pPr>
        <w:jc w:val="both"/>
      </w:pPr>
      <w:r w:rsidRPr="000F0627">
        <w:t xml:space="preserve">Wskazane w pytaniu piktogramy typu </w:t>
      </w:r>
      <w:r w:rsidRPr="000F0627">
        <w:rPr>
          <w:b/>
          <w:bCs/>
        </w:rPr>
        <w:t xml:space="preserve">stosy, parasolki, domki </w:t>
      </w:r>
      <w:r w:rsidRPr="000F0627">
        <w:rPr>
          <w:bCs/>
        </w:rPr>
        <w:t>należą do piktogramów dobrowolnych</w:t>
      </w:r>
      <w:r w:rsidR="00BF0DE3" w:rsidRPr="000F0627">
        <w:rPr>
          <w:bCs/>
        </w:rPr>
        <w:t xml:space="preserve">. Piktogramy te można stosować, ale nie mogą one jednak zastępować formy pisemnej informacji wymaganych </w:t>
      </w:r>
      <w:r w:rsidR="00BF0DE3" w:rsidRPr="000F0627">
        <w:t>zgodnie z załącznikiem III część I rozporządzenia Parlamentu Europejskiego i Rady (UE) 2019/1009 .</w:t>
      </w:r>
    </w:p>
    <w:p w14:paraId="40B29DCB" w14:textId="22A8621E" w:rsidR="00F840F2" w:rsidRPr="000F0627" w:rsidRDefault="0016106F" w:rsidP="00F840F2">
      <w:pPr>
        <w:rPr>
          <w:b/>
          <w:bCs/>
        </w:rPr>
      </w:pPr>
      <w:r w:rsidRPr="000F0627">
        <w:rPr>
          <w:b/>
          <w:bCs/>
        </w:rPr>
        <w:t>2</w:t>
      </w:r>
      <w:r w:rsidR="00F840F2" w:rsidRPr="000F0627">
        <w:rPr>
          <w:b/>
          <w:bCs/>
        </w:rPr>
        <w:t>. Co z tolerancjami na etykietach, czy Producent jest zobowiązany podawać widełki/przedział?</w:t>
      </w:r>
    </w:p>
    <w:p w14:paraId="381A5736" w14:textId="535618DE" w:rsidR="005959CE" w:rsidRPr="000F0627" w:rsidRDefault="0016106F" w:rsidP="00610C63">
      <w:pPr>
        <w:jc w:val="both"/>
      </w:pPr>
      <w:r w:rsidRPr="000F0627">
        <w:t>Zgodnie z rozporządzeniem Parlamentu Europejskiego i Rady (UE) 2019/1009 n</w:t>
      </w:r>
      <w:r w:rsidR="00675253" w:rsidRPr="000F0627">
        <w:t xml:space="preserve">ie ma obowiązku podawania </w:t>
      </w:r>
      <w:r w:rsidR="00BF0DE3" w:rsidRPr="000F0627">
        <w:t xml:space="preserve">na etykiecie produktu nawozowego </w:t>
      </w:r>
      <w:r w:rsidR="00675253" w:rsidRPr="000F0627">
        <w:t>tolerancji</w:t>
      </w:r>
      <w:r w:rsidRPr="000F0627">
        <w:t>, natomiast p</w:t>
      </w:r>
      <w:r w:rsidR="00675253" w:rsidRPr="000F0627">
        <w:t>odaje się deklarowaną zawartość</w:t>
      </w:r>
      <w:r w:rsidRPr="000F0627">
        <w:t xml:space="preserve">. </w:t>
      </w:r>
      <w:r w:rsidR="00610C63" w:rsidRPr="000F0627">
        <w:t xml:space="preserve">W części III </w:t>
      </w:r>
      <w:r w:rsidR="00115D8F" w:rsidRPr="000F0627">
        <w:t>z</w:t>
      </w:r>
      <w:r w:rsidR="00610C63" w:rsidRPr="000F0627">
        <w:t xml:space="preserve">ałącznika III rozporządzenia (UE) 2019/1009 </w:t>
      </w:r>
      <w:r w:rsidR="005959CE" w:rsidRPr="000F0627">
        <w:t>przedstawiono wymagania odnośnie deklarowanych zawartości składników pokarmowych lub właściwości produktu nawozowego UE dla odpowiedniej PFC, w tym dopuszczalnych zakresów tolerancji. Przy czym istotne jest</w:t>
      </w:r>
      <w:r w:rsidR="00D71009" w:rsidRPr="000F0627">
        <w:t>,</w:t>
      </w:r>
      <w:r w:rsidR="005959CE" w:rsidRPr="000F0627">
        <w:t xml:space="preserve"> aby rzeczywista zawartość składnika w produkcie nawozowych UE, dla którego </w:t>
      </w:r>
      <w:r w:rsidR="00D71009" w:rsidRPr="000F0627">
        <w:t>w załącznikach I lub II ustalono zawartość minimalną lub maksymalną, nigdy nie była niższa od zawartości minimalnej ani nie przekraczała zawartości maksymalnej.</w:t>
      </w:r>
    </w:p>
    <w:p w14:paraId="1F5C50E9" w14:textId="24D653B6" w:rsidR="00F840F2" w:rsidRPr="000F0627" w:rsidRDefault="0016106F" w:rsidP="00F840F2">
      <w:pPr>
        <w:rPr>
          <w:b/>
          <w:bCs/>
        </w:rPr>
      </w:pPr>
      <w:r w:rsidRPr="000F0627">
        <w:rPr>
          <w:b/>
          <w:bCs/>
        </w:rPr>
        <w:t>3</w:t>
      </w:r>
      <w:r w:rsidR="00F840F2" w:rsidRPr="000F0627">
        <w:rPr>
          <w:b/>
          <w:bCs/>
        </w:rPr>
        <w:t>. Czy można przed wartością stosować słowo „minimum”?</w:t>
      </w:r>
    </w:p>
    <w:p w14:paraId="7F08EDE6" w14:textId="4DE4390D" w:rsidR="001A154D" w:rsidRPr="000F0627" w:rsidRDefault="0016106F" w:rsidP="00F42D70">
      <w:pPr>
        <w:jc w:val="both"/>
      </w:pPr>
      <w:r w:rsidRPr="000F0627">
        <w:t>Zgodnie z rozporządzeniem Parlamentu Europejskiego i Rady (UE) 2019/1009 n</w:t>
      </w:r>
      <w:r w:rsidR="00B75E0D" w:rsidRPr="000F0627">
        <w:t xml:space="preserve">a opakowaniu podaje się deklarowaną zawartość </w:t>
      </w:r>
      <w:r w:rsidR="00AC25F2" w:rsidRPr="000F0627">
        <w:t xml:space="preserve">składnika </w:t>
      </w:r>
      <w:r w:rsidR="00B75E0D" w:rsidRPr="000F0627">
        <w:t>w jednostkach</w:t>
      </w:r>
      <w:r w:rsidRPr="000F0627">
        <w:t xml:space="preserve"> ustalonych w Międzynarodowym Układzie Jednostek Miar</w:t>
      </w:r>
      <w:r w:rsidR="00E07D44" w:rsidRPr="000F0627">
        <w:t xml:space="preserve"> (</w:t>
      </w:r>
      <w:r w:rsidRPr="000F0627">
        <w:t>masa wyrażona w t, kg</w:t>
      </w:r>
      <w:r w:rsidR="00AC25F2" w:rsidRPr="000F0627">
        <w:t>, g lub objętość wyrażona w m</w:t>
      </w:r>
      <w:r w:rsidR="00AC25F2" w:rsidRPr="000F0627">
        <w:rPr>
          <w:vertAlign w:val="superscript"/>
        </w:rPr>
        <w:t>3</w:t>
      </w:r>
      <w:r w:rsidR="00AC25F2" w:rsidRPr="000F0627">
        <w:t xml:space="preserve"> , l lub ml). </w:t>
      </w:r>
      <w:r w:rsidR="00CC0B2E" w:rsidRPr="000F0627">
        <w:t xml:space="preserve">Deklarowane </w:t>
      </w:r>
      <w:r w:rsidR="001A154D" w:rsidRPr="000F0627">
        <w:t xml:space="preserve">zawartości składników pokarmowych </w:t>
      </w:r>
      <w:r w:rsidR="00CC0B2E" w:rsidRPr="000F0627">
        <w:t>mogą różnic się</w:t>
      </w:r>
      <w:r w:rsidR="001A154D" w:rsidRPr="000F0627">
        <w:t xml:space="preserve"> </w:t>
      </w:r>
      <w:r w:rsidR="00CC0B2E" w:rsidRPr="000F0627">
        <w:t xml:space="preserve">od rzeczywistych </w:t>
      </w:r>
      <w:r w:rsidR="001A154D" w:rsidRPr="000F0627">
        <w:t>w dopuszczalnych zakres</w:t>
      </w:r>
      <w:r w:rsidR="00AC25F2" w:rsidRPr="000F0627">
        <w:t>ach</w:t>
      </w:r>
      <w:r w:rsidR="001A154D" w:rsidRPr="000F0627">
        <w:t xml:space="preserve"> </w:t>
      </w:r>
      <w:r w:rsidR="001A154D" w:rsidRPr="000F0627">
        <w:lastRenderedPageBreak/>
        <w:t>tolerancji</w:t>
      </w:r>
      <w:r w:rsidR="00AC25F2" w:rsidRPr="000F0627">
        <w:t xml:space="preserve"> zgodnie z załącznikiem III część I rozporządzenia. Zatem nie można stosować słowa „minimum” przez zawartością.</w:t>
      </w:r>
    </w:p>
    <w:p w14:paraId="05C3D143" w14:textId="2240A3AA" w:rsidR="00F840F2" w:rsidRPr="000F0627" w:rsidRDefault="00AC25F2" w:rsidP="00F840F2">
      <w:pPr>
        <w:rPr>
          <w:b/>
          <w:bCs/>
        </w:rPr>
      </w:pPr>
      <w:r w:rsidRPr="000F0627">
        <w:rPr>
          <w:b/>
          <w:bCs/>
        </w:rPr>
        <w:t>4</w:t>
      </w:r>
      <w:r w:rsidR="00F840F2" w:rsidRPr="000F0627">
        <w:rPr>
          <w:b/>
          <w:bCs/>
        </w:rPr>
        <w:t>. Czy organ nadzoru będzie się odnosił zarówno do załącznika III Rozporządzenia 2019/1009 i KOMUNIKATU KOMISJI w sprawie wyglądu etykiety produktów nawozowych UE?</w:t>
      </w:r>
    </w:p>
    <w:p w14:paraId="4BE09C1D" w14:textId="24D3873A" w:rsidR="00FF1841" w:rsidRPr="000F0627" w:rsidRDefault="00FD1018" w:rsidP="00FD1018">
      <w:pPr>
        <w:jc w:val="both"/>
      </w:pPr>
      <w:r w:rsidRPr="000F0627">
        <w:t>Zgodnie z art. 4 ust. 3 rozporządzenia Parlamentu Europejskiego i Rady (UE) 2019/1009</w:t>
      </w:r>
      <w:r w:rsidR="00E10AB9" w:rsidRPr="000F0627">
        <w:t xml:space="preserve"> </w:t>
      </w:r>
      <w:r w:rsidRPr="000F0627">
        <w:t xml:space="preserve">Komisja opublikowała wytyczne dla producentów i organów nadzoru rynku, zawierające jasne informacje i przykłady dotyczące wyglądu etykiety, o której mowa w załączniku III do tego rozporządzenia. Niniejszy dokument nie jest prawnie wiążący i ma na celu jedynie dostarczenie przydatnych wytycznych zainteresowanym stronom, w tym producentom i organom nadzoru rynku. Niniejsze wytyczne zawierają wyjaśnienia dotyczące praktycznego wdrożenia wymogów dotyczących etykietowania określonych w załączniku III do rozporządzenia w sprawie produktów nawozowych. Zawierają przykłady etykiet przeznaczonych dla poszczególnych kategorii funkcji produktów nawozowych UE. Przykłady te mają charakter wyłącznie orientacyjny. </w:t>
      </w:r>
    </w:p>
    <w:p w14:paraId="5988E599" w14:textId="7005B6EC" w:rsidR="00F840F2" w:rsidRPr="000F0627" w:rsidRDefault="00AC25F2" w:rsidP="00F840F2">
      <w:pPr>
        <w:rPr>
          <w:b/>
          <w:bCs/>
        </w:rPr>
      </w:pPr>
      <w:r w:rsidRPr="000F0627">
        <w:rPr>
          <w:b/>
          <w:bCs/>
        </w:rPr>
        <w:t>5</w:t>
      </w:r>
      <w:r w:rsidR="00F840F2" w:rsidRPr="000F0627">
        <w:rPr>
          <w:b/>
          <w:bCs/>
        </w:rPr>
        <w:t>. Czy można deklarować składniki pokarmowe, które nie znajdują się w Rozporządzeniu, np. aminokwasy?</w:t>
      </w:r>
    </w:p>
    <w:p w14:paraId="7502E8D9" w14:textId="03F8043D" w:rsidR="009176BB" w:rsidRPr="000F0627" w:rsidRDefault="00863958" w:rsidP="00835461">
      <w:pPr>
        <w:jc w:val="both"/>
      </w:pPr>
      <w:r w:rsidRPr="000F0627">
        <w:t>Rozporządzenie (UE) 2019/1009 rozróżnia</w:t>
      </w:r>
      <w:r w:rsidR="004A2F1F" w:rsidRPr="000F0627">
        <w:t xml:space="preserve"> </w:t>
      </w:r>
      <w:r w:rsidRPr="000F0627">
        <w:t>pojęcia</w:t>
      </w:r>
      <w:r w:rsidR="00835461" w:rsidRPr="000F0627">
        <w:t xml:space="preserve"> </w:t>
      </w:r>
      <w:r w:rsidRPr="000F0627">
        <w:t>składnik</w:t>
      </w:r>
      <w:r w:rsidR="00835461" w:rsidRPr="000F0627">
        <w:t>a</w:t>
      </w:r>
      <w:r w:rsidRPr="000F0627">
        <w:t xml:space="preserve"> pokarmowe</w:t>
      </w:r>
      <w:r w:rsidR="00835461" w:rsidRPr="000F0627">
        <w:t>go</w:t>
      </w:r>
      <w:r w:rsidRPr="000F0627">
        <w:t xml:space="preserve"> </w:t>
      </w:r>
      <w:r w:rsidR="00835461" w:rsidRPr="000F0627">
        <w:t>i</w:t>
      </w:r>
      <w:r w:rsidRPr="000F0627">
        <w:t xml:space="preserve"> skład</w:t>
      </w:r>
      <w:r w:rsidR="00835461" w:rsidRPr="000F0627">
        <w:t>u</w:t>
      </w:r>
      <w:r w:rsidR="004A2F1F" w:rsidRPr="000F0627">
        <w:t xml:space="preserve">. </w:t>
      </w:r>
      <w:r w:rsidR="00835461" w:rsidRPr="000F0627">
        <w:t>Deklarowanie składników pokarmowych jest dobrowolne i to producent decyduje, które składniki pokarmowe chce zadeklarować – pod warunkiem, że spełnione są wymogi dotyczące minimalnej ilości określone w załączniku I z wyjątkami. W odniesieniu do składu, zgodnie</w:t>
      </w:r>
      <w:r w:rsidR="00FF1841" w:rsidRPr="000F0627">
        <w:t xml:space="preserve"> z rozporządzeniem </w:t>
      </w:r>
      <w:r w:rsidR="00BF36CA" w:rsidRPr="000F0627">
        <w:t xml:space="preserve">dla produktów nawozowych UE </w:t>
      </w:r>
      <w:r w:rsidR="00FF1841" w:rsidRPr="000F0627">
        <w:t xml:space="preserve">należy przedstawić wykaz wszystkich składników powyżej 5 % w masie produktu w porządku malejącym w przeliczeniu na suchą masę. Oprócz obowiązku zadeklarowania wszystkich składników, których zawartość w masie produktu jest większa niż 5 %, podmioty gospodarcze mogą zdecydować się na umieszczanie na etykiecie informacji o składnikach, których zawartość w masie produktu jest mniejsza niż 5 %. </w:t>
      </w:r>
      <w:r w:rsidR="009176BB" w:rsidRPr="000F0627">
        <w:t>Nie mniej jednak wszystkie składniki obecne w produktach nawozowych UE, niezależnie od ich stężenia, muszą należeć do kategorii materiałów składowych. Na przykład dodatki, które stanowią 2% masy produktu, muszą pasować do kategorii materiałów składowych, nawet jeśli nie są deklarowane na etykiecie. Natomiast w sporządzonej przez producenta dokumentacji technicznej zawiera się szczegółowe informacje dotyczące wszystkich materiałów składowych.</w:t>
      </w:r>
      <w:r w:rsidR="001C097F" w:rsidRPr="000F0627">
        <w:t xml:space="preserve"> Aminokwasów nie należy rozpatrywać jako składniki pokarmowe a jako materiał składowy CMC.</w:t>
      </w:r>
    </w:p>
    <w:p w14:paraId="50A8DA53" w14:textId="53726A50" w:rsidR="00F840F2" w:rsidRPr="000F0627" w:rsidRDefault="00A5202E" w:rsidP="00F840F2">
      <w:pPr>
        <w:rPr>
          <w:b/>
          <w:bCs/>
        </w:rPr>
      </w:pPr>
      <w:r w:rsidRPr="000F0627">
        <w:rPr>
          <w:b/>
          <w:bCs/>
        </w:rPr>
        <w:t>6</w:t>
      </w:r>
      <w:r w:rsidR="00F840F2" w:rsidRPr="000F0627">
        <w:t xml:space="preserve">. </w:t>
      </w:r>
      <w:r w:rsidR="00F840F2" w:rsidRPr="000F0627">
        <w:rPr>
          <w:b/>
          <w:bCs/>
        </w:rPr>
        <w:t>Procedura celna, w przypadku przekazanych zastrzeżeń do organu nadzoru, ma [on] 4 dni na informację czy podejmuje kroki sprawdzające. Ile czasu ma organ nadzoru po przekazaniu</w:t>
      </w:r>
      <w:r w:rsidR="00E10AB9" w:rsidRPr="000F0627">
        <w:rPr>
          <w:b/>
          <w:bCs/>
        </w:rPr>
        <w:t xml:space="preserve"> </w:t>
      </w:r>
      <w:r w:rsidR="00F840F2" w:rsidRPr="000F0627">
        <w:rPr>
          <w:b/>
          <w:bCs/>
        </w:rPr>
        <w:t>zastrzeżeń na podjęcie dalszych działań?</w:t>
      </w:r>
    </w:p>
    <w:p w14:paraId="4E14A039" w14:textId="6E8E0BC3" w:rsidR="00BF36CA" w:rsidRPr="000F0627" w:rsidRDefault="005013DE" w:rsidP="00AB1AD0">
      <w:pPr>
        <w:jc w:val="both"/>
      </w:pPr>
      <w:r w:rsidRPr="000F0627">
        <w:t>Przepisy nie określają ile</w:t>
      </w:r>
      <w:r w:rsidR="00A5202E" w:rsidRPr="000F0627">
        <w:t xml:space="preserve"> dokładnie czasu ma organ nadzoru rynku nadzoru po przekazaniu zastrzeżeń na podjęcie dalszych działań</w:t>
      </w:r>
      <w:r w:rsidRPr="000F0627">
        <w:t xml:space="preserve">, ale </w:t>
      </w:r>
      <w:r w:rsidR="00AB1AD0" w:rsidRPr="000F0627">
        <w:t>zasadą jest, że organy podejmują działania niezwłocznie celem oceny danego produktu nawozowego UE pod kątem spełnienia wszystkich odpowiednich wymogów określonych w rozporządzeniu (UE) 2019/1009. Tym samym w przypadku stwierdzenia nieprawidłowości bezzwłocznie wzywają odpowiedni podmiot gospodarczy do podjęcia, w wyznaczonym przez organ nadzoru rynku rozsądnym terminie proporcjonalnym do charakteru zagrożenia, wszelkich odpowiednich działań naprawczych w celu doprowadzenia do zgodności produktu nawozowego UE z tymi wymogami, do wycofania produktu nawozowego UE z obrotu lub odzyskania go.</w:t>
      </w:r>
    </w:p>
    <w:p w14:paraId="5A6634E5" w14:textId="7E119A0B" w:rsidR="00AB1AD0" w:rsidRDefault="00AB1AD0" w:rsidP="00AB1AD0">
      <w:pPr>
        <w:jc w:val="both"/>
      </w:pPr>
    </w:p>
    <w:p w14:paraId="044F8758" w14:textId="77777777" w:rsidR="00B62C3E" w:rsidRPr="000F0627" w:rsidRDefault="00B62C3E" w:rsidP="00AB1AD0">
      <w:pPr>
        <w:jc w:val="both"/>
      </w:pPr>
    </w:p>
    <w:p w14:paraId="3B640FD8" w14:textId="7F77C206" w:rsidR="00140C25" w:rsidRPr="000F0627" w:rsidRDefault="00F840F2" w:rsidP="00E10AB9">
      <w:pPr>
        <w:jc w:val="both"/>
        <w:rPr>
          <w:b/>
          <w:bCs/>
          <w:i/>
          <w:iCs/>
        </w:rPr>
      </w:pPr>
      <w:r w:rsidRPr="000F0627">
        <w:rPr>
          <w:b/>
          <w:bCs/>
        </w:rPr>
        <w:lastRenderedPageBreak/>
        <w:t>Część 3.</w:t>
      </w:r>
      <w:r w:rsidR="00140C25" w:rsidRPr="000F0627">
        <w:rPr>
          <w:b/>
          <w:bCs/>
        </w:rPr>
        <w:t xml:space="preserve"> </w:t>
      </w:r>
    </w:p>
    <w:p w14:paraId="5B6C6686" w14:textId="13CED974" w:rsidR="00F840F2" w:rsidRPr="000F0627" w:rsidRDefault="00F840F2" w:rsidP="004A33C4">
      <w:pPr>
        <w:pStyle w:val="Akapitzlist"/>
        <w:numPr>
          <w:ilvl w:val="0"/>
          <w:numId w:val="5"/>
        </w:numPr>
        <w:jc w:val="both"/>
        <w:rPr>
          <w:b/>
          <w:bCs/>
        </w:rPr>
      </w:pPr>
      <w:r w:rsidRPr="000F0627">
        <w:rPr>
          <w:b/>
          <w:bCs/>
        </w:rPr>
        <w:t xml:space="preserve">Czy jest jeden </w:t>
      </w:r>
      <w:proofErr w:type="spellStart"/>
      <w:r w:rsidRPr="000F0627">
        <w:rPr>
          <w:b/>
          <w:bCs/>
        </w:rPr>
        <w:t>audit</w:t>
      </w:r>
      <w:proofErr w:type="spellEnd"/>
      <w:r w:rsidRPr="000F0627">
        <w:rPr>
          <w:b/>
          <w:bCs/>
        </w:rPr>
        <w:t xml:space="preserve"> w module D1?</w:t>
      </w:r>
    </w:p>
    <w:p w14:paraId="0178E24E" w14:textId="03634DC7" w:rsidR="00592576" w:rsidRPr="000F0627" w:rsidRDefault="00863EC3" w:rsidP="00592576">
      <w:pPr>
        <w:jc w:val="both"/>
        <w:rPr>
          <w:bCs/>
        </w:rPr>
      </w:pPr>
      <w:r w:rsidRPr="000F0627">
        <w:rPr>
          <w:bCs/>
        </w:rPr>
        <w:t xml:space="preserve">Szczegółowe rozwiązania </w:t>
      </w:r>
      <w:r w:rsidR="00592576" w:rsidRPr="000F0627">
        <w:rPr>
          <w:bCs/>
        </w:rPr>
        <w:t xml:space="preserve"> ustal</w:t>
      </w:r>
      <w:r w:rsidRPr="000F0627">
        <w:rPr>
          <w:bCs/>
        </w:rPr>
        <w:t>a</w:t>
      </w:r>
      <w:r w:rsidR="00AF44FB" w:rsidRPr="000F0627">
        <w:rPr>
          <w:bCs/>
        </w:rPr>
        <w:t xml:space="preserve"> z Klientem</w:t>
      </w:r>
      <w:r w:rsidR="00592576" w:rsidRPr="000F0627">
        <w:rPr>
          <w:bCs/>
        </w:rPr>
        <w:t xml:space="preserve">  jednostk</w:t>
      </w:r>
      <w:r w:rsidRPr="000F0627">
        <w:rPr>
          <w:bCs/>
        </w:rPr>
        <w:t>a</w:t>
      </w:r>
      <w:r w:rsidR="00592576" w:rsidRPr="000F0627">
        <w:rPr>
          <w:bCs/>
        </w:rPr>
        <w:t xml:space="preserve"> notyfikowan</w:t>
      </w:r>
      <w:r w:rsidRPr="000F0627">
        <w:rPr>
          <w:bCs/>
        </w:rPr>
        <w:t xml:space="preserve">a na podstawie </w:t>
      </w:r>
      <w:r w:rsidR="00AF44FB" w:rsidRPr="000F0627">
        <w:rPr>
          <w:bCs/>
        </w:rPr>
        <w:t xml:space="preserve">złożonego </w:t>
      </w:r>
      <w:r w:rsidRPr="000F0627">
        <w:rPr>
          <w:bCs/>
        </w:rPr>
        <w:t xml:space="preserve">wniosku </w:t>
      </w:r>
      <w:r w:rsidR="00AF44FB" w:rsidRPr="000F0627">
        <w:rPr>
          <w:bCs/>
        </w:rPr>
        <w:t xml:space="preserve">przez </w:t>
      </w:r>
      <w:r w:rsidRPr="000F0627">
        <w:rPr>
          <w:bCs/>
        </w:rPr>
        <w:t>Klienta/Producenta.</w:t>
      </w:r>
    </w:p>
    <w:p w14:paraId="2BEBD2AD" w14:textId="3DD5811D" w:rsidR="00592576" w:rsidRPr="000F0627" w:rsidRDefault="00863EC3" w:rsidP="00592576">
      <w:pPr>
        <w:jc w:val="both"/>
        <w:rPr>
          <w:bCs/>
        </w:rPr>
      </w:pPr>
      <w:r w:rsidRPr="000F0627">
        <w:rPr>
          <w:rFonts w:cs="EU Albertina"/>
          <w:b/>
        </w:rPr>
        <w:t>Załącznik IV FPR,  p</w:t>
      </w:r>
      <w:r w:rsidR="005D7E79" w:rsidRPr="000F0627">
        <w:rPr>
          <w:rFonts w:cs="EU Albertina"/>
          <w:b/>
        </w:rPr>
        <w:t xml:space="preserve">unkt </w:t>
      </w:r>
      <w:r w:rsidR="00592576" w:rsidRPr="000F0627">
        <w:rPr>
          <w:rFonts w:cs="EU Albertina"/>
          <w:b/>
        </w:rPr>
        <w:t>6.3.1</w:t>
      </w:r>
      <w:r w:rsidR="00592576" w:rsidRPr="000F0627">
        <w:rPr>
          <w:rFonts w:cs="EU Albertina"/>
        </w:rPr>
        <w:t xml:space="preserve">.  </w:t>
      </w:r>
      <w:r w:rsidR="005D7E79" w:rsidRPr="000F0627">
        <w:rPr>
          <w:rFonts w:cs="EU Albertina"/>
        </w:rPr>
        <w:t xml:space="preserve">- </w:t>
      </w:r>
      <w:r w:rsidR="00592576" w:rsidRPr="000F0627">
        <w:rPr>
          <w:rFonts w:cs="EU Albertina"/>
        </w:rPr>
        <w:t>Jednostka notyfikowana przeprowadza okresowe audyty, mające na celu sprawdzenie, czy producent utrzymuje i stosuje system jakości, oraz przekazuje producentowi sprawozdanie z audytu.</w:t>
      </w:r>
    </w:p>
    <w:p w14:paraId="68A61997" w14:textId="470EC5FC" w:rsidR="00F840F2" w:rsidRPr="000F0627" w:rsidRDefault="000C7EE0" w:rsidP="00E10AB9">
      <w:pPr>
        <w:jc w:val="both"/>
        <w:rPr>
          <w:b/>
          <w:bCs/>
        </w:rPr>
      </w:pPr>
      <w:r w:rsidRPr="000F0627">
        <w:rPr>
          <w:b/>
          <w:bCs/>
        </w:rPr>
        <w:t>2</w:t>
      </w:r>
      <w:r w:rsidR="00F840F2" w:rsidRPr="000F0627">
        <w:rPr>
          <w:b/>
          <w:bCs/>
        </w:rPr>
        <w:t>. Jaka powinna być wielkość numeru jednostki notyfikowanej obok oznakowania CE?</w:t>
      </w:r>
    </w:p>
    <w:p w14:paraId="3E3032E3" w14:textId="79BE6043" w:rsidR="00B77D03" w:rsidRPr="000F0627" w:rsidRDefault="00326135" w:rsidP="00B77D03">
      <w:pPr>
        <w:jc w:val="both"/>
      </w:pPr>
      <w:r w:rsidRPr="000F0627">
        <w:t>Zgodnie z załącznikiem IV</w:t>
      </w:r>
      <w:r w:rsidR="004C509E" w:rsidRPr="000F0627">
        <w:t xml:space="preserve"> </w:t>
      </w:r>
      <w:r w:rsidRPr="000F0627">
        <w:t>część II producent umieszcza oznakowanie CE na każdym opakowaniu produktu nawozowego UE spełniającego mające zastosowanie wymogi niniejszego rozporządzenia lub, w przypadku gdy produkt jest dostarczany bez opakowania, w dokumencie dołączonym do produktu nawozowego UE.</w:t>
      </w:r>
      <w:r w:rsidR="004C509E" w:rsidRPr="000F0627">
        <w:t xml:space="preserve"> Za oznakowaniem CE podaje się numer identyfikacyjny jednostki notyfikowanej, w przypadku gdy jest to wymagane na podstawie załącznika IV.</w:t>
      </w:r>
      <w:r w:rsidR="00345993" w:rsidRPr="000F0627">
        <w:t xml:space="preserve"> </w:t>
      </w:r>
      <w:r w:rsidR="004C509E" w:rsidRPr="000F0627">
        <w:t xml:space="preserve">W rozporządzeniu nie określono żadnych przepisów dotyczących rozmiaru czcionki/wielkości jednostki notyfikowanej. </w:t>
      </w:r>
      <w:r w:rsidR="00B77D03" w:rsidRPr="000F0627">
        <w:t>Przykłady</w:t>
      </w:r>
      <w:r w:rsidR="00B21288" w:rsidRPr="000F0627">
        <w:t xml:space="preserve"> </w:t>
      </w:r>
      <w:r w:rsidR="00B77D03" w:rsidRPr="000F0627">
        <w:t>zastosowania znaku CE i nr jednostki</w:t>
      </w:r>
      <w:r w:rsidR="00B21288" w:rsidRPr="000F0627">
        <w:t xml:space="preserve"> znajdują się </w:t>
      </w:r>
      <w:r w:rsidR="00B77D03" w:rsidRPr="000F0627">
        <w:t>w KOMUNIKACIE KOMISJI w sprawie wyglądu etykiety produktów nawozowych UE</w:t>
      </w:r>
      <w:r w:rsidR="00B21288" w:rsidRPr="000F0627">
        <w:t xml:space="preserve">. </w:t>
      </w:r>
    </w:p>
    <w:p w14:paraId="1A865514" w14:textId="750439F4" w:rsidR="00B21288" w:rsidRPr="000F0627" w:rsidRDefault="00B21288" w:rsidP="004C509E">
      <w:pPr>
        <w:jc w:val="both"/>
      </w:pPr>
      <w:r w:rsidRPr="000F0627">
        <w:t xml:space="preserve">Również jednostki notyfikowane prowadzące procesy oceny mogą </w:t>
      </w:r>
      <w:r w:rsidR="00121A52" w:rsidRPr="000F0627">
        <w:t>udostępniać dokumenty doprecyzowujące wytyczne w tym zakresie.</w:t>
      </w:r>
    </w:p>
    <w:p w14:paraId="0B4C707D" w14:textId="007B700D" w:rsidR="004C509E" w:rsidRPr="000F0627" w:rsidRDefault="004C509E" w:rsidP="004C509E">
      <w:pPr>
        <w:jc w:val="both"/>
      </w:pPr>
      <w:r w:rsidRPr="000F0627">
        <w:t>Do producenta należy decyzja co do rozmiaru etykiety</w:t>
      </w:r>
      <w:r w:rsidR="00345993" w:rsidRPr="000F0627">
        <w:t xml:space="preserve"> i jej składowych </w:t>
      </w:r>
      <w:r w:rsidRPr="000F0627">
        <w:t xml:space="preserve"> oraz zapewnienie, aby informacje były jasne, zrozumiałe i czytelne.</w:t>
      </w:r>
    </w:p>
    <w:p w14:paraId="2E897FE1" w14:textId="726960E0" w:rsidR="00F840F2" w:rsidRPr="000F0627" w:rsidRDefault="000C7EE0" w:rsidP="00E10AB9">
      <w:pPr>
        <w:jc w:val="both"/>
        <w:rPr>
          <w:b/>
          <w:bCs/>
        </w:rPr>
      </w:pPr>
      <w:r w:rsidRPr="000F0627">
        <w:rPr>
          <w:b/>
          <w:bCs/>
        </w:rPr>
        <w:t>3</w:t>
      </w:r>
      <w:r w:rsidR="00F840F2" w:rsidRPr="000F0627">
        <w:rPr>
          <w:b/>
          <w:bCs/>
        </w:rPr>
        <w:t>. Czy jest możliwość, dopóki nie ukaże się Przewodnik odnośnie dokumentacji technicznej,</w:t>
      </w:r>
      <w:r w:rsidR="00672EA8" w:rsidRPr="000F0627">
        <w:rPr>
          <w:b/>
          <w:bCs/>
        </w:rPr>
        <w:t xml:space="preserve"> </w:t>
      </w:r>
      <w:r w:rsidR="00F840F2" w:rsidRPr="000F0627">
        <w:rPr>
          <w:b/>
          <w:bCs/>
        </w:rPr>
        <w:t>zorganizować spotkanie w tym temacie z jednostką notyfikowaną?</w:t>
      </w:r>
    </w:p>
    <w:p w14:paraId="4FB6765F" w14:textId="2ECF1FA3" w:rsidR="00501A23" w:rsidRPr="000F0627" w:rsidRDefault="00263CA7" w:rsidP="00E10AB9">
      <w:pPr>
        <w:jc w:val="both"/>
        <w:rPr>
          <w:bCs/>
        </w:rPr>
      </w:pPr>
      <w:r w:rsidRPr="000F0627">
        <w:rPr>
          <w:bCs/>
        </w:rPr>
        <w:t>Nie. Takie spotkanie mogłoby zostać potraktowane jako konsultacje, które nie są dozwolone dla jednostki notyfikowanej</w:t>
      </w:r>
      <w:r w:rsidR="005D3697" w:rsidRPr="000F0627">
        <w:rPr>
          <w:bCs/>
        </w:rPr>
        <w:t>, ponieważ kłócą się z wymogiem niezależności jednostki od producentów.</w:t>
      </w:r>
    </w:p>
    <w:p w14:paraId="6BFBA0DE" w14:textId="2A8776AC" w:rsidR="00F840F2" w:rsidRPr="000F0627" w:rsidRDefault="000C7EE0" w:rsidP="00E10AB9">
      <w:pPr>
        <w:jc w:val="both"/>
        <w:rPr>
          <w:b/>
          <w:bCs/>
        </w:rPr>
      </w:pPr>
      <w:r w:rsidRPr="000F0627">
        <w:rPr>
          <w:b/>
          <w:bCs/>
        </w:rPr>
        <w:t>4</w:t>
      </w:r>
      <w:r w:rsidR="00F840F2" w:rsidRPr="000F0627">
        <w:rPr>
          <w:b/>
          <w:bCs/>
        </w:rPr>
        <w:t>. Czego dotyczy dokument opisujący analizę ryzyka?</w:t>
      </w:r>
    </w:p>
    <w:p w14:paraId="29E074E2" w14:textId="0C9FE4D2" w:rsidR="00173A27" w:rsidRPr="000F0627" w:rsidRDefault="00173A27" w:rsidP="00E10AB9">
      <w:pPr>
        <w:jc w:val="both"/>
        <w:rPr>
          <w:b/>
          <w:bCs/>
        </w:rPr>
      </w:pPr>
      <w:r w:rsidRPr="000F0627">
        <w:t xml:space="preserve">Ogólnie rzecz biorąc, ryzyko związane z produktami nawozowymi jest objęte FPR, w szczególności w załącznikach I </w:t>
      </w:r>
      <w:proofErr w:type="spellStart"/>
      <w:r w:rsidRPr="000F0627">
        <w:t>i</w:t>
      </w:r>
      <w:proofErr w:type="spellEnd"/>
      <w:r w:rsidRPr="000F0627">
        <w:t xml:space="preserve"> II. Dlatego też, co do zasady, należy udokumentować wymogi FPR mające zastosowanie do produktu, jak również zgodność produktu z odpowiednimi wymogami rozporządzenia. W art. 4 ust. 2 uznano jednak również, że mogą istnieć kwestie nieobjęte załącznikami I </w:t>
      </w:r>
      <w:proofErr w:type="spellStart"/>
      <w:r w:rsidRPr="000F0627">
        <w:t>i</w:t>
      </w:r>
      <w:proofErr w:type="spellEnd"/>
      <w:r w:rsidRPr="000F0627">
        <w:t xml:space="preserve"> II. Producentom działającym w tej dziedzinie, wykazującym należytą staranność, są zazwyczaj znane zagrożenia w konkretnej dziedzinie, a dokumentacja techniczna powinna je identyfikować i dokumentować, w jaki sposób się do nich odniesiono.</w:t>
      </w:r>
    </w:p>
    <w:p w14:paraId="46DBCFE8" w14:textId="73007EAB" w:rsidR="00F840F2" w:rsidRPr="000F0627" w:rsidRDefault="000C7EE0" w:rsidP="00E10AB9">
      <w:pPr>
        <w:jc w:val="both"/>
        <w:rPr>
          <w:b/>
          <w:bCs/>
        </w:rPr>
      </w:pPr>
      <w:r w:rsidRPr="000F0627">
        <w:rPr>
          <w:b/>
          <w:bCs/>
        </w:rPr>
        <w:t>5</w:t>
      </w:r>
      <w:r w:rsidR="00F840F2" w:rsidRPr="000F0627">
        <w:rPr>
          <w:b/>
          <w:bCs/>
        </w:rPr>
        <w:t>. Jeżeli dokumentacja nie będzie spełniała wymagań, czy Producent dostanie informację od jednostki notyfikowanej, że coś jest niepoprawnie?</w:t>
      </w:r>
    </w:p>
    <w:p w14:paraId="75086383" w14:textId="589781CF" w:rsidR="00173A27" w:rsidRPr="000F0627" w:rsidRDefault="006F6247" w:rsidP="00E10AB9">
      <w:pPr>
        <w:jc w:val="both"/>
        <w:rPr>
          <w:bCs/>
        </w:rPr>
      </w:pPr>
      <w:r w:rsidRPr="000F0627">
        <w:rPr>
          <w:bCs/>
        </w:rPr>
        <w:t xml:space="preserve">Tak. Każda jednostka notyfikowana zawiera umowę o przeprowadzenie oceny zgodności </w:t>
      </w:r>
      <w:r w:rsidR="00D63D1B" w:rsidRPr="000F0627">
        <w:rPr>
          <w:bCs/>
        </w:rPr>
        <w:t xml:space="preserve">produktu nawozowego UE </w:t>
      </w:r>
      <w:r w:rsidRPr="000F0627">
        <w:rPr>
          <w:bCs/>
        </w:rPr>
        <w:t>według</w:t>
      </w:r>
      <w:r w:rsidR="00D63D1B" w:rsidRPr="000F0627">
        <w:rPr>
          <w:bCs/>
        </w:rPr>
        <w:t xml:space="preserve"> ustalonego </w:t>
      </w:r>
      <w:r w:rsidRPr="000F0627">
        <w:rPr>
          <w:bCs/>
        </w:rPr>
        <w:t xml:space="preserve"> modułu A1, </w:t>
      </w:r>
      <w:r w:rsidR="00D63D1B" w:rsidRPr="000F0627">
        <w:rPr>
          <w:bCs/>
        </w:rPr>
        <w:t xml:space="preserve">lub </w:t>
      </w:r>
      <w:r w:rsidRPr="000F0627">
        <w:rPr>
          <w:bCs/>
        </w:rPr>
        <w:t xml:space="preserve">B (C), lub </w:t>
      </w:r>
      <w:r w:rsidR="00121A52" w:rsidRPr="000F0627">
        <w:rPr>
          <w:bCs/>
        </w:rPr>
        <w:t>systemu zapewni</w:t>
      </w:r>
      <w:r w:rsidR="000A0073" w:rsidRPr="000F0627">
        <w:rPr>
          <w:bCs/>
        </w:rPr>
        <w:t>e</w:t>
      </w:r>
      <w:r w:rsidR="00B77D03" w:rsidRPr="000F0627">
        <w:rPr>
          <w:bCs/>
        </w:rPr>
        <w:t>nia</w:t>
      </w:r>
      <w:r w:rsidR="00121A52" w:rsidRPr="000F0627">
        <w:rPr>
          <w:bCs/>
        </w:rPr>
        <w:t xml:space="preserve"> jakości procesu produkcji wg modułu </w:t>
      </w:r>
      <w:r w:rsidRPr="000F0627">
        <w:rPr>
          <w:bCs/>
        </w:rPr>
        <w:t xml:space="preserve">D1 </w:t>
      </w:r>
      <w:r w:rsidR="00D63D1B" w:rsidRPr="000F0627">
        <w:rPr>
          <w:bCs/>
        </w:rPr>
        <w:t xml:space="preserve">i w </w:t>
      </w:r>
      <w:r w:rsidR="004A33C4" w:rsidRPr="000F0627">
        <w:rPr>
          <w:bCs/>
        </w:rPr>
        <w:t>umowie</w:t>
      </w:r>
      <w:r w:rsidR="00D63D1B" w:rsidRPr="000F0627">
        <w:rPr>
          <w:bCs/>
        </w:rPr>
        <w:t xml:space="preserve"> określa sposób i warunki postępowania </w:t>
      </w:r>
      <w:r w:rsidR="006C06F5" w:rsidRPr="000F0627">
        <w:rPr>
          <w:bCs/>
        </w:rPr>
        <w:t xml:space="preserve">w zakresie </w:t>
      </w:r>
      <w:r w:rsidR="000A0073" w:rsidRPr="000F0627">
        <w:rPr>
          <w:bCs/>
        </w:rPr>
        <w:t xml:space="preserve"> realizacji </w:t>
      </w:r>
      <w:r w:rsidR="00D63D1B" w:rsidRPr="000F0627">
        <w:rPr>
          <w:bCs/>
        </w:rPr>
        <w:t>oceny</w:t>
      </w:r>
      <w:r w:rsidR="004A33C4" w:rsidRPr="000F0627">
        <w:rPr>
          <w:bCs/>
        </w:rPr>
        <w:t xml:space="preserve"> zgodności</w:t>
      </w:r>
      <w:r w:rsidR="00AF44FB" w:rsidRPr="000F0627">
        <w:rPr>
          <w:bCs/>
        </w:rPr>
        <w:t xml:space="preserve">, a więc </w:t>
      </w:r>
      <w:r w:rsidR="004C4402" w:rsidRPr="000F0627">
        <w:rPr>
          <w:bCs/>
        </w:rPr>
        <w:t xml:space="preserve">Klient otrzymuje </w:t>
      </w:r>
      <w:r w:rsidR="00AF44FB" w:rsidRPr="000F0627">
        <w:rPr>
          <w:bCs/>
        </w:rPr>
        <w:t>informacj</w:t>
      </w:r>
      <w:r w:rsidR="004C4402" w:rsidRPr="000F0627">
        <w:rPr>
          <w:bCs/>
        </w:rPr>
        <w:t xml:space="preserve">e </w:t>
      </w:r>
      <w:r w:rsidR="00AF44FB" w:rsidRPr="000F0627">
        <w:rPr>
          <w:bCs/>
        </w:rPr>
        <w:t>zwrotn</w:t>
      </w:r>
      <w:r w:rsidR="004C4402" w:rsidRPr="000F0627">
        <w:rPr>
          <w:bCs/>
        </w:rPr>
        <w:t>ą</w:t>
      </w:r>
      <w:r w:rsidR="00AF44FB" w:rsidRPr="000F0627">
        <w:rPr>
          <w:bCs/>
        </w:rPr>
        <w:t xml:space="preserve"> </w:t>
      </w:r>
      <w:r w:rsidR="004C4402" w:rsidRPr="000F0627">
        <w:rPr>
          <w:bCs/>
        </w:rPr>
        <w:t xml:space="preserve">jeśli </w:t>
      </w:r>
      <w:r w:rsidR="006C06F5" w:rsidRPr="000F0627">
        <w:rPr>
          <w:bCs/>
        </w:rPr>
        <w:t xml:space="preserve"> </w:t>
      </w:r>
      <w:r w:rsidR="00121A52" w:rsidRPr="000F0627">
        <w:rPr>
          <w:bCs/>
        </w:rPr>
        <w:t>dokumentacja wymaga uzupełnienia</w:t>
      </w:r>
      <w:r w:rsidR="004C4402" w:rsidRPr="000F0627">
        <w:rPr>
          <w:bCs/>
        </w:rPr>
        <w:t>. Jednostka notyfikowana nie poprawia dokumentacji Producenta.</w:t>
      </w:r>
    </w:p>
    <w:p w14:paraId="6A036F5E" w14:textId="559FF991" w:rsidR="00F840F2" w:rsidRPr="000F0627" w:rsidRDefault="000C7EE0" w:rsidP="00E10AB9">
      <w:pPr>
        <w:jc w:val="both"/>
        <w:rPr>
          <w:b/>
          <w:bCs/>
        </w:rPr>
      </w:pPr>
      <w:r w:rsidRPr="000F0627">
        <w:rPr>
          <w:b/>
          <w:bCs/>
        </w:rPr>
        <w:lastRenderedPageBreak/>
        <w:t>6</w:t>
      </w:r>
      <w:r w:rsidR="00F840F2" w:rsidRPr="000F0627">
        <w:rPr>
          <w:b/>
          <w:bCs/>
        </w:rPr>
        <w:t>. Gdy laboratorium ma wdrożone wymagania normy ISO 17025, ale nie jest to potwierdzone, czy wówczas takie badania będą uznawane w module A?</w:t>
      </w:r>
    </w:p>
    <w:p w14:paraId="75361606" w14:textId="0E001793" w:rsidR="00A26EE4" w:rsidRPr="000F0627" w:rsidRDefault="001E1F27" w:rsidP="00E10AB9">
      <w:pPr>
        <w:jc w:val="both"/>
        <w:rPr>
          <w:bCs/>
        </w:rPr>
      </w:pPr>
      <w:r w:rsidRPr="000F0627">
        <w:rPr>
          <w:bCs/>
        </w:rPr>
        <w:t xml:space="preserve">Producent </w:t>
      </w:r>
      <w:r w:rsidR="00DF61F5" w:rsidRPr="000F0627">
        <w:rPr>
          <w:bCs/>
        </w:rPr>
        <w:t>na swoją wyłączną odpowiedzialność zapewnia i oświadcza, że dany produkt nawozowy UE spełnia wymagania FPR.</w:t>
      </w:r>
    </w:p>
    <w:p w14:paraId="20D465E8" w14:textId="2012C8C2" w:rsidR="00F840F2" w:rsidRPr="000F0627" w:rsidRDefault="000C7EE0" w:rsidP="00E10AB9">
      <w:pPr>
        <w:jc w:val="both"/>
        <w:rPr>
          <w:b/>
          <w:bCs/>
        </w:rPr>
      </w:pPr>
      <w:r w:rsidRPr="000F0627">
        <w:rPr>
          <w:b/>
          <w:bCs/>
        </w:rPr>
        <w:t>7</w:t>
      </w:r>
      <w:r w:rsidR="00F840F2" w:rsidRPr="000F0627">
        <w:rPr>
          <w:b/>
          <w:bCs/>
        </w:rPr>
        <w:t>. Czy można przeprowadzić jedną ocenę zgodności dla podobnych produktów nawozowych?</w:t>
      </w:r>
    </w:p>
    <w:p w14:paraId="0BAC84A9" w14:textId="6A9409FD" w:rsidR="00925F16" w:rsidRPr="000F0627" w:rsidRDefault="00925F16" w:rsidP="00E10AB9">
      <w:pPr>
        <w:jc w:val="both"/>
        <w:rPr>
          <w:rFonts w:cstheme="minorHAnsi"/>
          <w:b/>
          <w:bCs/>
        </w:rPr>
      </w:pPr>
      <w:r w:rsidRPr="000F0627">
        <w:rPr>
          <w:rStyle w:val="docdata"/>
          <w:rFonts w:cstheme="minorHAnsi"/>
        </w:rPr>
        <w:t>Dla każdego produktu nawozowego różniącego się składem bądź stężeniem procentowym tych składników, należy przeprowadzić oddzielna ocenę zgodności.</w:t>
      </w:r>
    </w:p>
    <w:p w14:paraId="79E1AF90" w14:textId="39484B78" w:rsidR="00F840F2" w:rsidRPr="000F0627" w:rsidRDefault="000C7EE0" w:rsidP="00E10AB9">
      <w:pPr>
        <w:jc w:val="both"/>
        <w:rPr>
          <w:b/>
          <w:bCs/>
        </w:rPr>
      </w:pPr>
      <w:r w:rsidRPr="000F0627">
        <w:rPr>
          <w:b/>
          <w:bCs/>
        </w:rPr>
        <w:t>8</w:t>
      </w:r>
      <w:r w:rsidR="00F840F2" w:rsidRPr="000F0627">
        <w:rPr>
          <w:b/>
          <w:bCs/>
        </w:rPr>
        <w:t>. W jaki sposób będą naliczane opłaty za proces i badania - każda jednostka ma oddzielny cennik, czy regulowane to będzie odgórnie, np. przez Rozporządzenie?</w:t>
      </w:r>
    </w:p>
    <w:p w14:paraId="44C40563" w14:textId="60758F11" w:rsidR="00121A52" w:rsidRPr="000F0627" w:rsidRDefault="00121A52" w:rsidP="00127908">
      <w:pPr>
        <w:pStyle w:val="3403"/>
        <w:spacing w:before="0" w:beforeAutospacing="0" w:after="39" w:afterAutospacing="0"/>
        <w:jc w:val="both"/>
        <w:rPr>
          <w:rFonts w:asciiTheme="minorHAnsi" w:hAnsiTheme="minorHAnsi" w:cstheme="minorHAnsi"/>
          <w:sz w:val="22"/>
          <w:szCs w:val="22"/>
        </w:rPr>
      </w:pPr>
      <w:r w:rsidRPr="000F0627">
        <w:rPr>
          <w:rFonts w:asciiTheme="minorHAnsi" w:hAnsiTheme="minorHAnsi" w:cstheme="minorHAnsi"/>
          <w:sz w:val="22"/>
          <w:szCs w:val="22"/>
        </w:rPr>
        <w:t>Na podstawie wniosku o ocenę zgodności dostarczonego do jednostki notyfikowanej, jednostka przygotowuje wycenę kosztów realizacji procesu oraz określa zakres badań</w:t>
      </w:r>
      <w:r w:rsidR="000A0073" w:rsidRPr="000F0627">
        <w:rPr>
          <w:rFonts w:asciiTheme="minorHAnsi" w:hAnsiTheme="minorHAnsi" w:cstheme="minorHAnsi"/>
          <w:sz w:val="22"/>
          <w:szCs w:val="22"/>
        </w:rPr>
        <w:t xml:space="preserve"> </w:t>
      </w:r>
      <w:r w:rsidRPr="000F0627">
        <w:rPr>
          <w:rFonts w:asciiTheme="minorHAnsi" w:hAnsiTheme="minorHAnsi" w:cstheme="minorHAnsi"/>
          <w:sz w:val="22"/>
          <w:szCs w:val="22"/>
        </w:rPr>
        <w:t xml:space="preserve">wykonywanych w trakcie oceny </w:t>
      </w:r>
      <w:r w:rsidR="000A0073" w:rsidRPr="000F0627">
        <w:rPr>
          <w:rFonts w:asciiTheme="minorHAnsi" w:hAnsiTheme="minorHAnsi" w:cstheme="minorHAnsi"/>
          <w:sz w:val="22"/>
          <w:szCs w:val="22"/>
        </w:rPr>
        <w:t xml:space="preserve">i ich wycenę </w:t>
      </w:r>
      <w:r w:rsidRPr="000F0627">
        <w:rPr>
          <w:rFonts w:asciiTheme="minorHAnsi" w:hAnsiTheme="minorHAnsi" w:cstheme="minorHAnsi"/>
          <w:sz w:val="22"/>
          <w:szCs w:val="22"/>
        </w:rPr>
        <w:t>– jeśli wymaga tego dany moduł.</w:t>
      </w:r>
    </w:p>
    <w:p w14:paraId="25840812" w14:textId="475BC315" w:rsidR="00925F16" w:rsidRPr="000F0627" w:rsidRDefault="00925F16" w:rsidP="00127908">
      <w:pPr>
        <w:pStyle w:val="3403"/>
        <w:spacing w:before="0" w:beforeAutospacing="0" w:after="39" w:afterAutospacing="0"/>
        <w:jc w:val="both"/>
        <w:rPr>
          <w:rFonts w:asciiTheme="minorHAnsi" w:hAnsiTheme="minorHAnsi" w:cstheme="minorHAnsi"/>
          <w:sz w:val="22"/>
          <w:szCs w:val="22"/>
        </w:rPr>
      </w:pPr>
      <w:r w:rsidRPr="000F0627">
        <w:rPr>
          <w:rFonts w:asciiTheme="minorHAnsi" w:hAnsiTheme="minorHAnsi" w:cstheme="minorHAnsi"/>
          <w:sz w:val="22"/>
          <w:szCs w:val="22"/>
        </w:rPr>
        <w:t>Po dokonaniu przeglądu informacji i wyników oceny podejmowana jest decyzja w sprawie udzielenia lub nieudzielenia certyfikacji</w:t>
      </w:r>
      <w:r w:rsidR="00127908" w:rsidRPr="000F0627">
        <w:rPr>
          <w:rFonts w:asciiTheme="minorHAnsi" w:hAnsiTheme="minorHAnsi" w:cstheme="minorHAnsi"/>
          <w:sz w:val="22"/>
          <w:szCs w:val="22"/>
        </w:rPr>
        <w:t>.</w:t>
      </w:r>
      <w:r w:rsidRPr="000F0627">
        <w:rPr>
          <w:rFonts w:asciiTheme="minorHAnsi" w:hAnsiTheme="minorHAnsi" w:cstheme="minorHAnsi"/>
          <w:sz w:val="22"/>
          <w:szCs w:val="22"/>
        </w:rPr>
        <w:t>,. Decyzja w sprawie nieudzielenia certyfikacji przekazywana jest Producentowi na piśmie wraz z uzasadnieniem.</w:t>
      </w:r>
      <w:r w:rsidR="00121A52" w:rsidRPr="000F0627">
        <w:rPr>
          <w:rFonts w:asciiTheme="minorHAnsi" w:hAnsiTheme="minorHAnsi" w:cstheme="minorHAnsi"/>
          <w:sz w:val="22"/>
          <w:szCs w:val="22"/>
        </w:rPr>
        <w:t xml:space="preserve"> Niezależnie od wyniku oceny, producent zobligowany jest do uregulowani kosztó</w:t>
      </w:r>
      <w:r w:rsidR="00EA7DE6" w:rsidRPr="000F0627">
        <w:rPr>
          <w:rFonts w:asciiTheme="minorHAnsi" w:hAnsiTheme="minorHAnsi" w:cstheme="minorHAnsi"/>
          <w:sz w:val="22"/>
          <w:szCs w:val="22"/>
        </w:rPr>
        <w:t>w</w:t>
      </w:r>
      <w:r w:rsidR="00121A52" w:rsidRPr="000F0627">
        <w:rPr>
          <w:rFonts w:asciiTheme="minorHAnsi" w:hAnsiTheme="minorHAnsi" w:cstheme="minorHAnsi"/>
          <w:sz w:val="22"/>
          <w:szCs w:val="22"/>
        </w:rPr>
        <w:t xml:space="preserve"> za przeprowadzony proces.</w:t>
      </w:r>
    </w:p>
    <w:p w14:paraId="6BD066BA" w14:textId="77777777" w:rsidR="00371F64" w:rsidRPr="000F0627" w:rsidRDefault="00371F64" w:rsidP="00925F16">
      <w:pPr>
        <w:pStyle w:val="3403"/>
        <w:spacing w:before="0" w:beforeAutospacing="0" w:after="39" w:afterAutospacing="0"/>
        <w:rPr>
          <w:rFonts w:asciiTheme="minorHAnsi" w:hAnsiTheme="minorHAnsi" w:cstheme="minorHAnsi"/>
        </w:rPr>
      </w:pPr>
    </w:p>
    <w:p w14:paraId="7B7AD459" w14:textId="1FB2676D" w:rsidR="00F840F2" w:rsidRPr="000F0627" w:rsidRDefault="000C7EE0" w:rsidP="00E10AB9">
      <w:pPr>
        <w:jc w:val="both"/>
        <w:rPr>
          <w:b/>
          <w:bCs/>
        </w:rPr>
      </w:pPr>
      <w:r w:rsidRPr="000F0627">
        <w:rPr>
          <w:b/>
          <w:bCs/>
        </w:rPr>
        <w:t>9</w:t>
      </w:r>
      <w:r w:rsidR="00F840F2" w:rsidRPr="000F0627">
        <w:rPr>
          <w:b/>
          <w:bCs/>
        </w:rPr>
        <w:t>. Kiedy ocena została przeprowadzona w module A, czy jest możliwość przenieść odpowiedzialność na jednostkę notyfikowaną?</w:t>
      </w:r>
    </w:p>
    <w:p w14:paraId="6743AE61" w14:textId="77777777" w:rsidR="00925F16" w:rsidRPr="000F0627" w:rsidRDefault="00925F16" w:rsidP="00925F16">
      <w:pPr>
        <w:jc w:val="both"/>
      </w:pPr>
      <w:r w:rsidRPr="000F0627">
        <w:t xml:space="preserve">Jednostka notyfikowana jest to jednostka oceniająca zgodność, zgłoszona do Komisji Europejskiej i umieszczona w wykazie jednostek notyfikowanych do konkretnych dyrektyw. Jednostka notyfikowana z definicji nie konsultuje ani nie pełni doradztwa z przedsiębiorcami, stąd nie ma możliwości przeniesienia odpowiedzialności na jednostkę notyfikowana. </w:t>
      </w:r>
    </w:p>
    <w:p w14:paraId="32314F5F" w14:textId="399C5E90" w:rsidR="00F840F2" w:rsidRPr="000F0627" w:rsidRDefault="000C7EE0" w:rsidP="00E10AB9">
      <w:pPr>
        <w:jc w:val="both"/>
        <w:rPr>
          <w:b/>
          <w:bCs/>
        </w:rPr>
      </w:pPr>
      <w:r w:rsidRPr="000F0627">
        <w:rPr>
          <w:b/>
          <w:bCs/>
        </w:rPr>
        <w:t>10</w:t>
      </w:r>
      <w:r w:rsidR="00F840F2" w:rsidRPr="000F0627">
        <w:rPr>
          <w:b/>
          <w:bCs/>
        </w:rPr>
        <w:t>. Czy laboratorium PCBC może wykonywać oznaczenie zawartości talu?</w:t>
      </w:r>
    </w:p>
    <w:p w14:paraId="3EE480BF" w14:textId="2657D126" w:rsidR="00D63D1B" w:rsidRPr="000F0627" w:rsidRDefault="006E609A" w:rsidP="00E10AB9">
      <w:pPr>
        <w:jc w:val="both"/>
        <w:rPr>
          <w:bCs/>
        </w:rPr>
      </w:pPr>
      <w:r w:rsidRPr="000F0627">
        <w:rPr>
          <w:bCs/>
        </w:rPr>
        <w:t>Tak</w:t>
      </w:r>
      <w:r w:rsidR="006C06F5" w:rsidRPr="000F0627">
        <w:rPr>
          <w:bCs/>
        </w:rPr>
        <w:t>,</w:t>
      </w:r>
      <w:r w:rsidR="00D63D1B" w:rsidRPr="000F0627">
        <w:rPr>
          <w:bCs/>
        </w:rPr>
        <w:t xml:space="preserve"> laboratorium PCBC</w:t>
      </w:r>
      <w:r w:rsidRPr="000F0627">
        <w:rPr>
          <w:bCs/>
        </w:rPr>
        <w:t xml:space="preserve"> S.A. Oddział w Pile może wykonywać badanie </w:t>
      </w:r>
      <w:r w:rsidR="006C06F5" w:rsidRPr="000F0627">
        <w:rPr>
          <w:bCs/>
        </w:rPr>
        <w:t>zawartości t</w:t>
      </w:r>
      <w:r w:rsidRPr="000F0627">
        <w:rPr>
          <w:bCs/>
        </w:rPr>
        <w:t>alu.</w:t>
      </w:r>
    </w:p>
    <w:p w14:paraId="28BEBEDD" w14:textId="5CEA8DB8" w:rsidR="00F840F2" w:rsidRPr="000F0627" w:rsidRDefault="000C7EE0" w:rsidP="00E10AB9">
      <w:pPr>
        <w:jc w:val="both"/>
        <w:rPr>
          <w:b/>
          <w:bCs/>
        </w:rPr>
      </w:pPr>
      <w:r w:rsidRPr="000F0627">
        <w:rPr>
          <w:b/>
          <w:bCs/>
        </w:rPr>
        <w:t>11</w:t>
      </w:r>
      <w:r w:rsidR="00F840F2" w:rsidRPr="000F0627">
        <w:rPr>
          <w:b/>
          <w:bCs/>
        </w:rPr>
        <w:t>. Czy próbka ma świadczyć o całej partii produktu czy całej produkcji (pytanie w przypadku Importera)?</w:t>
      </w:r>
    </w:p>
    <w:p w14:paraId="76A24DD1" w14:textId="011F6091" w:rsidR="0067235D" w:rsidRPr="000F0627" w:rsidRDefault="00E2599B" w:rsidP="00520A58">
      <w:pPr>
        <w:jc w:val="both"/>
      </w:pPr>
      <w:r w:rsidRPr="000F0627">
        <w:t>O</w:t>
      </w:r>
      <w:r w:rsidR="0067235D" w:rsidRPr="000F0627">
        <w:t>bowiązki importera określone w art.8</w:t>
      </w:r>
      <w:r w:rsidRPr="000F0627">
        <w:t xml:space="preserve"> rozporządzenia (UE) 2019/1009</w:t>
      </w:r>
      <w:r w:rsidR="0067235D" w:rsidRPr="000F0627">
        <w:t xml:space="preserve"> mówią o tym, że importerzy mogą wprowadzać do obrotu wyłącznie produkty nawozowe zgodne z wymogami UE. Dlatego importer musi zapewnić, że producent: </w:t>
      </w:r>
    </w:p>
    <w:p w14:paraId="79CFE075" w14:textId="3AF4CED8" w:rsidR="0067235D" w:rsidRPr="000F0627" w:rsidRDefault="0067235D" w:rsidP="00520A58">
      <w:pPr>
        <w:jc w:val="both"/>
      </w:pPr>
      <w:r w:rsidRPr="000F0627">
        <w:t xml:space="preserve">• przeprowadzi z powodzeniem odpowiednią procedurę oceny zgodności (nawet jeśli oznacza to zaangażowanie jednostki notyfikowanej) </w:t>
      </w:r>
    </w:p>
    <w:p w14:paraId="65E303BF" w14:textId="77777777" w:rsidR="0067235D" w:rsidRPr="000F0627" w:rsidRDefault="0067235D" w:rsidP="00520A58">
      <w:pPr>
        <w:jc w:val="both"/>
      </w:pPr>
      <w:r w:rsidRPr="000F0627">
        <w:t xml:space="preserve"> • sporządzi dokumentację techniczną, umieści oznakowanie CE, </w:t>
      </w:r>
    </w:p>
    <w:p w14:paraId="76C1B08A" w14:textId="77777777" w:rsidR="0067235D" w:rsidRPr="000F0627" w:rsidRDefault="0067235D" w:rsidP="00520A58">
      <w:pPr>
        <w:jc w:val="both"/>
      </w:pPr>
      <w:r w:rsidRPr="000F0627">
        <w:t xml:space="preserve">• wypełni swoje obowiązki w zakresie identyfikowalności, oraz </w:t>
      </w:r>
    </w:p>
    <w:p w14:paraId="041BB055" w14:textId="77777777" w:rsidR="0067235D" w:rsidRPr="000F0627" w:rsidRDefault="0067235D" w:rsidP="00520A58">
      <w:pPr>
        <w:jc w:val="both"/>
      </w:pPr>
      <w:r w:rsidRPr="000F0627">
        <w:t>• dołączy do produktu, w stosownych przypadkach, instrukcje i informacje dotyczące bezpieczeństwa w języku łatwo zrozumiałym dla użytkowników końcowych, określonym przez kraj UE, w którym produkt jest wprowadzany do obrotu.</w:t>
      </w:r>
    </w:p>
    <w:p w14:paraId="42A85F86" w14:textId="5065660E" w:rsidR="006D141D" w:rsidRPr="000F0627" w:rsidRDefault="0084198B" w:rsidP="00520A58">
      <w:pPr>
        <w:jc w:val="both"/>
      </w:pPr>
      <w:r w:rsidRPr="000F0627">
        <w:t xml:space="preserve">W związku z powyższym producent musi zapewnić, że proces produkcji i jego monitorowanie zapewniają zgodność wytworzonych produktów nawozowych UE z dokumentacja techniczną, o której </w:t>
      </w:r>
      <w:r w:rsidRPr="000F0627">
        <w:lastRenderedPageBreak/>
        <w:t xml:space="preserve">mowa w załączniku IV, część II rozporządzenia oraz z mającymi do nich zastosowanie wymogami niniejszego rozporządzenia. </w:t>
      </w:r>
    </w:p>
    <w:p w14:paraId="2F49CA2B" w14:textId="449EFE85" w:rsidR="00AB1AD0" w:rsidRPr="000F0627" w:rsidRDefault="00E2599B" w:rsidP="00520A58">
      <w:pPr>
        <w:jc w:val="both"/>
      </w:pPr>
      <w:r w:rsidRPr="000F0627">
        <w:t>W</w:t>
      </w:r>
      <w:r w:rsidR="006D141D" w:rsidRPr="000F0627">
        <w:t xml:space="preserve"> przypadku gdy zostanie to uznane za właściwe z uwagi na działanie produktu nawozowego UE lub stwarzane przez niego zagrożenia, importerzy przeprowadzają badania próby takich produktów nawozowych UE udostępnionych na rynku, a także wyjaśniają – i w razie potrzeby ewidencjonują – skargi dotyczące niezgodnych produktów nawozowych UE i przypadki odzyskania takich produktów nawozowych UE, a ponadto informują dystrybutorów o wszelkich tego rodzaju działaniach w zakresie monitorowania.</w:t>
      </w:r>
      <w:r w:rsidRPr="000F0627">
        <w:t xml:space="preserve"> </w:t>
      </w:r>
      <w:r w:rsidR="00AB1AD0" w:rsidRPr="000F0627">
        <w:t xml:space="preserve">Przepisy nie określają liczby próbek niezbędnych do wykazania zgodności produktu, niemniej jednak  przebadanie tyko jednej próbki jest niewystarczające. </w:t>
      </w:r>
    </w:p>
    <w:p w14:paraId="38ACE579" w14:textId="18FEC0E9" w:rsidR="00F840F2" w:rsidRPr="000F0627" w:rsidRDefault="000C7EE0" w:rsidP="00E10AB9">
      <w:pPr>
        <w:jc w:val="both"/>
        <w:rPr>
          <w:b/>
          <w:bCs/>
        </w:rPr>
      </w:pPr>
      <w:r w:rsidRPr="000F0627">
        <w:rPr>
          <w:b/>
          <w:bCs/>
        </w:rPr>
        <w:t>12</w:t>
      </w:r>
      <w:r w:rsidR="00F840F2" w:rsidRPr="000F0627">
        <w:rPr>
          <w:b/>
          <w:bCs/>
        </w:rPr>
        <w:t>. Czy laboratorium bądź inne jednostki przeprowadzają badania skuteczności, np. biostymulatorów?</w:t>
      </w:r>
    </w:p>
    <w:p w14:paraId="10581DCA" w14:textId="2AC51DE8" w:rsidR="004C4402" w:rsidRPr="000F0627" w:rsidRDefault="0020492E" w:rsidP="00476A87">
      <w:pPr>
        <w:jc w:val="both"/>
        <w:rPr>
          <w:bCs/>
        </w:rPr>
      </w:pPr>
      <w:bookmarkStart w:id="2" w:name="_Hlk109395851"/>
      <w:r w:rsidRPr="000F0627">
        <w:rPr>
          <w:bCs/>
        </w:rPr>
        <w:t>Tak.</w:t>
      </w:r>
      <w:r w:rsidR="001039AF" w:rsidRPr="000F0627">
        <w:rPr>
          <w:bCs/>
        </w:rPr>
        <w:t xml:space="preserve"> </w:t>
      </w:r>
      <w:r w:rsidR="004C4402" w:rsidRPr="000F0627">
        <w:rPr>
          <w:bCs/>
        </w:rPr>
        <w:t>Dla biostymulatorów opublikowano w kwietniu poniższe specyfikacje techniczne.</w:t>
      </w:r>
    </w:p>
    <w:tbl>
      <w:tblPr>
        <w:tblW w:w="0" w:type="auto"/>
        <w:tblCellMar>
          <w:left w:w="0" w:type="dxa"/>
          <w:right w:w="0" w:type="dxa"/>
        </w:tblCellMar>
        <w:tblLook w:val="04A0" w:firstRow="1" w:lastRow="0" w:firstColumn="1" w:lastColumn="0" w:noHBand="0" w:noVBand="1"/>
      </w:tblPr>
      <w:tblGrid>
        <w:gridCol w:w="1980"/>
        <w:gridCol w:w="4961"/>
      </w:tblGrid>
      <w:tr w:rsidR="000F0627" w:rsidRPr="000F0627" w14:paraId="6ACEC62B" w14:textId="77777777" w:rsidTr="004C4402">
        <w:trPr>
          <w:trHeight w:val="814"/>
        </w:trPr>
        <w:tc>
          <w:tcPr>
            <w:tcW w:w="1980" w:type="dxa"/>
            <w:tcBorders>
              <w:top w:val="single" w:sz="8" w:space="0" w:color="auto"/>
              <w:left w:val="single" w:sz="8" w:space="0" w:color="auto"/>
              <w:bottom w:val="single" w:sz="8" w:space="0" w:color="auto"/>
              <w:right w:val="single" w:sz="8" w:space="0" w:color="auto"/>
            </w:tcBorders>
            <w:shd w:val="clear" w:color="auto" w:fill="C5E0B3"/>
            <w:tcMar>
              <w:top w:w="0" w:type="dxa"/>
              <w:left w:w="108" w:type="dxa"/>
              <w:bottom w:w="0" w:type="dxa"/>
              <w:right w:w="108" w:type="dxa"/>
            </w:tcMar>
          </w:tcPr>
          <w:p w14:paraId="62EC272A" w14:textId="77777777" w:rsidR="004C4402" w:rsidRPr="000F0627" w:rsidRDefault="004C4402">
            <w:pPr>
              <w:rPr>
                <w:lang w:eastAsia="pl-PL"/>
              </w:rPr>
            </w:pPr>
            <w:r w:rsidRPr="000F0627">
              <w:rPr>
                <w:lang w:val="en-US" w:eastAsia="pl-PL"/>
              </w:rPr>
              <w:t>CEN/TS 17700-1:2022 </w:t>
            </w:r>
          </w:p>
        </w:tc>
        <w:tc>
          <w:tcPr>
            <w:tcW w:w="4961" w:type="dxa"/>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hideMark/>
          </w:tcPr>
          <w:p w14:paraId="18A7720B" w14:textId="77777777" w:rsidR="004C4402" w:rsidRPr="000F0627" w:rsidRDefault="004C4402">
            <w:pPr>
              <w:rPr>
                <w:lang w:val="en-US" w:eastAsia="pl-PL"/>
              </w:rPr>
            </w:pPr>
            <w:r w:rsidRPr="000F0627">
              <w:rPr>
                <w:lang w:val="en-US" w:eastAsia="pl-PL"/>
              </w:rPr>
              <w:t xml:space="preserve">Plant </w:t>
            </w:r>
            <w:proofErr w:type="spellStart"/>
            <w:r w:rsidRPr="000F0627">
              <w:rPr>
                <w:lang w:val="en-US" w:eastAsia="pl-PL"/>
              </w:rPr>
              <w:t>biostimulants</w:t>
            </w:r>
            <w:proofErr w:type="spellEnd"/>
            <w:r w:rsidRPr="000F0627">
              <w:rPr>
                <w:lang w:val="en-US" w:eastAsia="pl-PL"/>
              </w:rPr>
              <w:t xml:space="preserve"> - Claims - Part 1: General principles </w:t>
            </w:r>
          </w:p>
        </w:tc>
      </w:tr>
      <w:tr w:rsidR="000F0627" w:rsidRPr="000F0627" w14:paraId="6EE0235C" w14:textId="77777777" w:rsidTr="004C4402">
        <w:trPr>
          <w:trHeight w:val="814"/>
        </w:trPr>
        <w:tc>
          <w:tcPr>
            <w:tcW w:w="1980" w:type="dxa"/>
            <w:tcBorders>
              <w:top w:val="single" w:sz="8" w:space="0" w:color="auto"/>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14:paraId="34699C01" w14:textId="77777777" w:rsidR="004C4402" w:rsidRPr="000F0627" w:rsidRDefault="004C4402">
            <w:pPr>
              <w:rPr>
                <w:lang w:eastAsia="pl-PL"/>
              </w:rPr>
            </w:pPr>
            <w:r w:rsidRPr="000F0627">
              <w:rPr>
                <w:lang w:val="en-US" w:eastAsia="pl-PL"/>
              </w:rPr>
              <w:t>CEN/TS 17700-2:2022 </w:t>
            </w:r>
          </w:p>
          <w:p w14:paraId="5292B08C" w14:textId="77777777" w:rsidR="004C4402" w:rsidRPr="000F0627" w:rsidRDefault="004C4402">
            <w:pPr>
              <w:rPr>
                <w:lang w:eastAsia="pl-PL"/>
              </w:rPr>
            </w:pPr>
            <w:r w:rsidRPr="000F0627">
              <w:rPr>
                <w:lang w:val="en-US" w:eastAsia="pl-PL"/>
              </w:rPr>
              <w:t> </w:t>
            </w:r>
          </w:p>
        </w:tc>
        <w:tc>
          <w:tcPr>
            <w:tcW w:w="4961" w:type="dxa"/>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hideMark/>
          </w:tcPr>
          <w:p w14:paraId="608BD10F" w14:textId="77777777" w:rsidR="004C4402" w:rsidRPr="000F0627" w:rsidRDefault="004C4402">
            <w:pPr>
              <w:rPr>
                <w:lang w:val="en-US" w:eastAsia="pl-PL"/>
              </w:rPr>
            </w:pPr>
            <w:r w:rsidRPr="000F0627">
              <w:rPr>
                <w:lang w:val="en-US" w:eastAsia="pl-PL"/>
              </w:rPr>
              <w:t xml:space="preserve">Plant </w:t>
            </w:r>
            <w:proofErr w:type="spellStart"/>
            <w:r w:rsidRPr="000F0627">
              <w:rPr>
                <w:lang w:val="en-US" w:eastAsia="pl-PL"/>
              </w:rPr>
              <w:t>biostimulants</w:t>
            </w:r>
            <w:proofErr w:type="spellEnd"/>
            <w:r w:rsidRPr="000F0627">
              <w:rPr>
                <w:lang w:val="en-US" w:eastAsia="pl-PL"/>
              </w:rPr>
              <w:t xml:space="preserve"> - Claims - Part 2: Nutrient use efficiency resulting from the use of a plant </w:t>
            </w:r>
            <w:proofErr w:type="spellStart"/>
            <w:r w:rsidRPr="000F0627">
              <w:rPr>
                <w:lang w:val="en-US" w:eastAsia="pl-PL"/>
              </w:rPr>
              <w:t>biostimulant</w:t>
            </w:r>
            <w:proofErr w:type="spellEnd"/>
            <w:r w:rsidRPr="000F0627">
              <w:rPr>
                <w:lang w:val="en-US" w:eastAsia="pl-PL"/>
              </w:rPr>
              <w:t> </w:t>
            </w:r>
          </w:p>
        </w:tc>
      </w:tr>
      <w:tr w:rsidR="000F0627" w:rsidRPr="000F0627" w14:paraId="0E547611" w14:textId="77777777" w:rsidTr="004C4402">
        <w:trPr>
          <w:trHeight w:val="192"/>
        </w:trPr>
        <w:tc>
          <w:tcPr>
            <w:tcW w:w="1980" w:type="dxa"/>
            <w:tcBorders>
              <w:top w:val="nil"/>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14:paraId="27B96461" w14:textId="77777777" w:rsidR="004C4402" w:rsidRPr="000F0627" w:rsidRDefault="004C4402">
            <w:pPr>
              <w:rPr>
                <w:lang w:eastAsia="pl-PL"/>
              </w:rPr>
            </w:pPr>
            <w:r w:rsidRPr="000F0627">
              <w:rPr>
                <w:lang w:val="en-US" w:eastAsia="pl-PL"/>
              </w:rPr>
              <w:t>CEN/TS 17700-3:2022 </w:t>
            </w:r>
          </w:p>
          <w:p w14:paraId="0E4C9CB5" w14:textId="77777777" w:rsidR="004C4402" w:rsidRPr="000F0627" w:rsidRDefault="004C4402">
            <w:pPr>
              <w:rPr>
                <w:lang w:eastAsia="pl-PL"/>
              </w:rPr>
            </w:pPr>
            <w:r w:rsidRPr="000F0627">
              <w:rPr>
                <w:lang w:val="en-US" w:eastAsia="pl-PL"/>
              </w:rPr>
              <w:t> </w:t>
            </w:r>
          </w:p>
        </w:tc>
        <w:tc>
          <w:tcPr>
            <w:tcW w:w="4961"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2C247976" w14:textId="77777777" w:rsidR="004C4402" w:rsidRPr="000F0627" w:rsidRDefault="004C4402">
            <w:pPr>
              <w:rPr>
                <w:lang w:val="en-US" w:eastAsia="pl-PL"/>
              </w:rPr>
            </w:pPr>
            <w:r w:rsidRPr="000F0627">
              <w:rPr>
                <w:lang w:val="en-US" w:eastAsia="pl-PL"/>
              </w:rPr>
              <w:t xml:space="preserve">Plant </w:t>
            </w:r>
            <w:proofErr w:type="spellStart"/>
            <w:r w:rsidRPr="000F0627">
              <w:rPr>
                <w:lang w:val="en-US" w:eastAsia="pl-PL"/>
              </w:rPr>
              <w:t>biostimulants</w:t>
            </w:r>
            <w:proofErr w:type="spellEnd"/>
            <w:r w:rsidRPr="000F0627">
              <w:rPr>
                <w:lang w:val="en-US" w:eastAsia="pl-PL"/>
              </w:rPr>
              <w:t xml:space="preserve"> - Claims - Part 3: Tolerance to abiotic stress resulting from the use of a plant </w:t>
            </w:r>
            <w:proofErr w:type="spellStart"/>
            <w:r w:rsidRPr="000F0627">
              <w:rPr>
                <w:lang w:val="en-US" w:eastAsia="pl-PL"/>
              </w:rPr>
              <w:t>biostimulant</w:t>
            </w:r>
            <w:proofErr w:type="spellEnd"/>
            <w:r w:rsidRPr="000F0627">
              <w:rPr>
                <w:lang w:val="en-US" w:eastAsia="pl-PL"/>
              </w:rPr>
              <w:t> </w:t>
            </w:r>
          </w:p>
        </w:tc>
      </w:tr>
      <w:tr w:rsidR="000F0627" w:rsidRPr="000F0627" w14:paraId="36ECF2D5" w14:textId="77777777" w:rsidTr="004C4402">
        <w:trPr>
          <w:trHeight w:val="814"/>
        </w:trPr>
        <w:tc>
          <w:tcPr>
            <w:tcW w:w="1980" w:type="dxa"/>
            <w:tcBorders>
              <w:top w:val="nil"/>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14:paraId="59F6B023" w14:textId="4E1F8D03" w:rsidR="004C4402" w:rsidRPr="000F0627" w:rsidRDefault="004C4402" w:rsidP="004C4402">
            <w:pPr>
              <w:rPr>
                <w:lang w:eastAsia="pl-PL"/>
              </w:rPr>
            </w:pPr>
            <w:r w:rsidRPr="000F0627">
              <w:rPr>
                <w:lang w:val="en-US" w:eastAsia="pl-PL"/>
              </w:rPr>
              <w:t>CEN/TS 17700-4:2022  </w:t>
            </w:r>
          </w:p>
        </w:tc>
        <w:tc>
          <w:tcPr>
            <w:tcW w:w="4961"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67D02373" w14:textId="77777777" w:rsidR="004C4402" w:rsidRPr="000F0627" w:rsidRDefault="004C4402">
            <w:pPr>
              <w:rPr>
                <w:lang w:val="en-US" w:eastAsia="pl-PL"/>
              </w:rPr>
            </w:pPr>
            <w:r w:rsidRPr="000F0627">
              <w:rPr>
                <w:lang w:val="en-US" w:eastAsia="pl-PL"/>
              </w:rPr>
              <w:t xml:space="preserve">Plant </w:t>
            </w:r>
            <w:proofErr w:type="spellStart"/>
            <w:r w:rsidRPr="000F0627">
              <w:rPr>
                <w:lang w:val="en-US" w:eastAsia="pl-PL"/>
              </w:rPr>
              <w:t>biostimulants</w:t>
            </w:r>
            <w:proofErr w:type="spellEnd"/>
            <w:r w:rsidRPr="000F0627">
              <w:rPr>
                <w:lang w:val="en-US" w:eastAsia="pl-PL"/>
              </w:rPr>
              <w:t xml:space="preserve"> - Claims - Part 4: Determination of quality traits resulting from the use of a plant </w:t>
            </w:r>
            <w:proofErr w:type="spellStart"/>
            <w:r w:rsidRPr="000F0627">
              <w:rPr>
                <w:lang w:val="en-US" w:eastAsia="pl-PL"/>
              </w:rPr>
              <w:t>biostimulant</w:t>
            </w:r>
            <w:proofErr w:type="spellEnd"/>
            <w:r w:rsidRPr="000F0627">
              <w:rPr>
                <w:lang w:val="en-US" w:eastAsia="pl-PL"/>
              </w:rPr>
              <w:t> </w:t>
            </w:r>
          </w:p>
        </w:tc>
      </w:tr>
      <w:tr w:rsidR="000F0627" w:rsidRPr="000F0627" w14:paraId="2527FBE1" w14:textId="77777777" w:rsidTr="004C4402">
        <w:trPr>
          <w:trHeight w:val="814"/>
        </w:trPr>
        <w:tc>
          <w:tcPr>
            <w:tcW w:w="1980" w:type="dxa"/>
            <w:tcBorders>
              <w:top w:val="nil"/>
              <w:left w:val="single" w:sz="8" w:space="0" w:color="auto"/>
              <w:bottom w:val="single" w:sz="8" w:space="0" w:color="auto"/>
              <w:right w:val="single" w:sz="8" w:space="0" w:color="auto"/>
            </w:tcBorders>
            <w:shd w:val="clear" w:color="auto" w:fill="C5E0B3"/>
            <w:tcMar>
              <w:top w:w="0" w:type="dxa"/>
              <w:left w:w="108" w:type="dxa"/>
              <w:bottom w:w="0" w:type="dxa"/>
              <w:right w:w="108" w:type="dxa"/>
            </w:tcMar>
            <w:hideMark/>
          </w:tcPr>
          <w:p w14:paraId="38FACF2B" w14:textId="2B719178" w:rsidR="004C4402" w:rsidRPr="000F0627" w:rsidRDefault="004C4402" w:rsidP="004C4402">
            <w:pPr>
              <w:rPr>
                <w:lang w:eastAsia="pl-PL"/>
              </w:rPr>
            </w:pPr>
            <w:r w:rsidRPr="000F0627">
              <w:rPr>
                <w:lang w:val="en-US" w:eastAsia="pl-PL"/>
              </w:rPr>
              <w:t>CEN/TS 17700-5:2022  </w:t>
            </w:r>
          </w:p>
        </w:tc>
        <w:tc>
          <w:tcPr>
            <w:tcW w:w="4961" w:type="dxa"/>
            <w:tcBorders>
              <w:top w:val="nil"/>
              <w:left w:val="nil"/>
              <w:bottom w:val="single" w:sz="8" w:space="0" w:color="auto"/>
              <w:right w:val="single" w:sz="8" w:space="0" w:color="auto"/>
            </w:tcBorders>
            <w:shd w:val="clear" w:color="auto" w:fill="C5E0B3"/>
            <w:tcMar>
              <w:top w:w="0" w:type="dxa"/>
              <w:left w:w="108" w:type="dxa"/>
              <w:bottom w:w="0" w:type="dxa"/>
              <w:right w:w="108" w:type="dxa"/>
            </w:tcMar>
            <w:hideMark/>
          </w:tcPr>
          <w:p w14:paraId="08EA721A" w14:textId="77777777" w:rsidR="004C4402" w:rsidRPr="000F0627" w:rsidRDefault="004C4402">
            <w:pPr>
              <w:rPr>
                <w:lang w:val="en-US" w:eastAsia="pl-PL"/>
              </w:rPr>
            </w:pPr>
            <w:r w:rsidRPr="000F0627">
              <w:rPr>
                <w:lang w:val="en-US" w:eastAsia="pl-PL"/>
              </w:rPr>
              <w:t xml:space="preserve">Plant </w:t>
            </w:r>
            <w:proofErr w:type="spellStart"/>
            <w:r w:rsidRPr="000F0627">
              <w:rPr>
                <w:lang w:val="en-US" w:eastAsia="pl-PL"/>
              </w:rPr>
              <w:t>biostimulants</w:t>
            </w:r>
            <w:proofErr w:type="spellEnd"/>
            <w:r w:rsidRPr="000F0627">
              <w:rPr>
                <w:lang w:val="en-US" w:eastAsia="pl-PL"/>
              </w:rPr>
              <w:t xml:space="preserve"> - Claims - Part 5: Determination of availability of confined nutrients in the soil or rhizosphere </w:t>
            </w:r>
          </w:p>
        </w:tc>
      </w:tr>
    </w:tbl>
    <w:bookmarkEnd w:id="2"/>
    <w:p w14:paraId="4F641F84" w14:textId="2C6D8C6D" w:rsidR="00F840F2" w:rsidRPr="000F0627" w:rsidRDefault="000C7EE0" w:rsidP="00E10AB9">
      <w:pPr>
        <w:jc w:val="both"/>
        <w:rPr>
          <w:b/>
          <w:bCs/>
        </w:rPr>
      </w:pPr>
      <w:r w:rsidRPr="000F0627">
        <w:rPr>
          <w:b/>
          <w:bCs/>
        </w:rPr>
        <w:t>13</w:t>
      </w:r>
      <w:r w:rsidR="00F840F2" w:rsidRPr="000F0627">
        <w:rPr>
          <w:b/>
          <w:bCs/>
        </w:rPr>
        <w:t xml:space="preserve">. Produkty mieszane – PFC 7, jeżeli produkt składa się z różnych PFC, jedno z nich jest ocenione </w:t>
      </w:r>
      <w:r w:rsidR="00E10AB9" w:rsidRPr="000F0627">
        <w:rPr>
          <w:b/>
          <w:bCs/>
        </w:rPr>
        <w:t xml:space="preserve"> </w:t>
      </w:r>
      <w:r w:rsidR="00F840F2" w:rsidRPr="000F0627">
        <w:rPr>
          <w:b/>
          <w:bCs/>
        </w:rPr>
        <w:t>w module A, drugie, np. PFC 6 przez jednostkę notyfikowaną, czy wtedy można umieścić numer jednostki notyfikowanej na opakowaniu?</w:t>
      </w:r>
    </w:p>
    <w:p w14:paraId="01B0FD81" w14:textId="6C7C71BC" w:rsidR="008B60AC" w:rsidRPr="000F0627" w:rsidRDefault="008B60AC" w:rsidP="00E10AB9">
      <w:pPr>
        <w:jc w:val="both"/>
        <w:rPr>
          <w:bCs/>
        </w:rPr>
      </w:pPr>
      <w:r w:rsidRPr="000F0627">
        <w:rPr>
          <w:bCs/>
        </w:rPr>
        <w:t xml:space="preserve">Produkt nawozowy PFC 7 podlega nowej ocenie zgodności. Jeżeli taka ocena jest przeprowadzana przez jednostkę notyfikowaną, to na opakowaniu umieszcza się numer tej jednostki. Jeżeli oceny dokonuje producent w module A, to jednostka notyfikowana nie </w:t>
      </w:r>
      <w:r w:rsidR="008A48CD" w:rsidRPr="000F0627">
        <w:rPr>
          <w:bCs/>
        </w:rPr>
        <w:t>uczestniczy</w:t>
      </w:r>
      <w:r w:rsidRPr="000F0627">
        <w:rPr>
          <w:bCs/>
        </w:rPr>
        <w:t xml:space="preserve"> w ocenie.</w:t>
      </w:r>
    </w:p>
    <w:p w14:paraId="72FE4310" w14:textId="2330A0EA" w:rsidR="00F840F2" w:rsidRPr="000F0627" w:rsidRDefault="000C7EE0" w:rsidP="00E10AB9">
      <w:pPr>
        <w:jc w:val="both"/>
        <w:rPr>
          <w:b/>
          <w:bCs/>
        </w:rPr>
      </w:pPr>
      <w:r w:rsidRPr="000F0627">
        <w:rPr>
          <w:b/>
          <w:bCs/>
        </w:rPr>
        <w:t>14</w:t>
      </w:r>
      <w:r w:rsidR="00F840F2" w:rsidRPr="000F0627">
        <w:rPr>
          <w:b/>
          <w:bCs/>
        </w:rPr>
        <w:t>. Jeżeli sprowadzam produkt nawozowy PFC 6 już oceniony przez inną jednostkę notyfikowaną i potem ten produkt służy do sporządzenia mieszanki, która jest oceniana w module A, to czy można umieścić numer jednostki notyfikowanej?</w:t>
      </w:r>
    </w:p>
    <w:p w14:paraId="1B99FA11" w14:textId="437322DD" w:rsidR="002D01F4" w:rsidRPr="000F0627" w:rsidRDefault="002D01F4" w:rsidP="00E10AB9">
      <w:pPr>
        <w:jc w:val="both"/>
        <w:rPr>
          <w:bCs/>
        </w:rPr>
      </w:pPr>
      <w:r w:rsidRPr="000F0627">
        <w:rPr>
          <w:bCs/>
        </w:rPr>
        <w:t xml:space="preserve">Nie. </w:t>
      </w:r>
      <w:r w:rsidR="008B60AC" w:rsidRPr="000F0627">
        <w:rPr>
          <w:bCs/>
        </w:rPr>
        <w:t>Mieszanka podlega ocenie zgodności jako nowy produkt nawozowy UE</w:t>
      </w:r>
      <w:r w:rsidR="00523667" w:rsidRPr="000F0627">
        <w:rPr>
          <w:bCs/>
        </w:rPr>
        <w:t xml:space="preserve">, który w module A </w:t>
      </w:r>
      <w:r w:rsidR="008B60AC" w:rsidRPr="000F0627">
        <w:rPr>
          <w:bCs/>
        </w:rPr>
        <w:t>nie jest oceniany przez jednostkę notyfikowaną (w module A oceny dokonuje producent).</w:t>
      </w:r>
    </w:p>
    <w:p w14:paraId="1F5FA1E5" w14:textId="1286E69F" w:rsidR="00F840F2" w:rsidRPr="000F0627" w:rsidRDefault="000C7EE0" w:rsidP="00E10AB9">
      <w:pPr>
        <w:jc w:val="both"/>
        <w:rPr>
          <w:b/>
          <w:bCs/>
        </w:rPr>
      </w:pPr>
      <w:r w:rsidRPr="000F0627">
        <w:rPr>
          <w:b/>
          <w:bCs/>
        </w:rPr>
        <w:t>15</w:t>
      </w:r>
      <w:r w:rsidR="00F840F2" w:rsidRPr="000F0627">
        <w:rPr>
          <w:b/>
          <w:bCs/>
        </w:rPr>
        <w:t>. Od kiedy obowiązuje czas 30 dni na dostarczenie dokumentacji?</w:t>
      </w:r>
    </w:p>
    <w:p w14:paraId="717C0985" w14:textId="5DAEDBA0" w:rsidR="006E609A" w:rsidRPr="000F0627" w:rsidRDefault="008A48CD" w:rsidP="00E10AB9">
      <w:pPr>
        <w:jc w:val="both"/>
        <w:rPr>
          <w:bCs/>
        </w:rPr>
      </w:pPr>
      <w:bookmarkStart w:id="3" w:name="_Hlk108688836"/>
      <w:r w:rsidRPr="000F0627">
        <w:rPr>
          <w:bCs/>
        </w:rPr>
        <w:lastRenderedPageBreak/>
        <w:t>Termin</w:t>
      </w:r>
      <w:r w:rsidR="004C4402" w:rsidRPr="000F0627">
        <w:rPr>
          <w:bCs/>
        </w:rPr>
        <w:t>y realizacji procedury oceny zgodności</w:t>
      </w:r>
      <w:r w:rsidRPr="000F0627">
        <w:rPr>
          <w:bCs/>
        </w:rPr>
        <w:t xml:space="preserve"> ustala </w:t>
      </w:r>
      <w:r w:rsidR="004C4402" w:rsidRPr="000F0627">
        <w:rPr>
          <w:bCs/>
        </w:rPr>
        <w:t xml:space="preserve">każda </w:t>
      </w:r>
      <w:r w:rsidRPr="000F0627">
        <w:rPr>
          <w:bCs/>
        </w:rPr>
        <w:t>jednostka notyfikowana</w:t>
      </w:r>
      <w:r w:rsidR="004C4402" w:rsidRPr="000F0627">
        <w:rPr>
          <w:bCs/>
        </w:rPr>
        <w:t xml:space="preserve"> indywidualnie</w:t>
      </w:r>
      <w:r w:rsidRPr="000F0627">
        <w:rPr>
          <w:bCs/>
        </w:rPr>
        <w:t>.</w:t>
      </w:r>
      <w:r w:rsidR="005D7E79" w:rsidRPr="000F0627">
        <w:rPr>
          <w:bCs/>
        </w:rPr>
        <w:t xml:space="preserve"> </w:t>
      </w:r>
      <w:r w:rsidR="004C4402" w:rsidRPr="000F0627">
        <w:rPr>
          <w:bCs/>
        </w:rPr>
        <w:br/>
      </w:r>
      <w:r w:rsidR="006E609A" w:rsidRPr="000F0627">
        <w:rPr>
          <w:bCs/>
        </w:rPr>
        <w:t>W PCBC S.A. czas oceny dokumentacji zależy od modułu oceny zgodności</w:t>
      </w:r>
      <w:r w:rsidR="00057EFE" w:rsidRPr="000F0627">
        <w:rPr>
          <w:bCs/>
        </w:rPr>
        <w:t xml:space="preserve"> i trwa od 50 </w:t>
      </w:r>
      <w:r w:rsidR="006E609A" w:rsidRPr="000F0627">
        <w:rPr>
          <w:bCs/>
        </w:rPr>
        <w:t xml:space="preserve">do 180 dni </w:t>
      </w:r>
      <w:r w:rsidR="00057EFE" w:rsidRPr="000F0627">
        <w:rPr>
          <w:bCs/>
        </w:rPr>
        <w:t xml:space="preserve">roboczych, </w:t>
      </w:r>
      <w:r w:rsidR="006E609A" w:rsidRPr="000F0627">
        <w:rPr>
          <w:bCs/>
        </w:rPr>
        <w:t>pod warunkiem przesłania przez producenta kompletnej dokumentacji technicznej oraz dokumentacji dotyczącej systemu zapewnienia procesu produkcji</w:t>
      </w:r>
      <w:r w:rsidR="006C06F5" w:rsidRPr="000F0627">
        <w:rPr>
          <w:bCs/>
        </w:rPr>
        <w:t xml:space="preserve"> (jeśli ma zastosowanie)</w:t>
      </w:r>
      <w:r w:rsidR="006E609A" w:rsidRPr="000F0627">
        <w:rPr>
          <w:bCs/>
        </w:rPr>
        <w:t xml:space="preserve">. Termin 30 dni </w:t>
      </w:r>
      <w:r w:rsidR="000A0073" w:rsidRPr="000F0627">
        <w:rPr>
          <w:bCs/>
        </w:rPr>
        <w:t>od podpisania umowy</w:t>
      </w:r>
      <w:r w:rsidR="006C06F5" w:rsidRPr="000F0627">
        <w:rPr>
          <w:bCs/>
        </w:rPr>
        <w:t xml:space="preserve"> przez PCBC S.A.</w:t>
      </w:r>
      <w:r w:rsidR="000A0073" w:rsidRPr="000F0627">
        <w:rPr>
          <w:bCs/>
        </w:rPr>
        <w:t xml:space="preserve"> dotyczy dostarczenia do PCBC S.A. kompletu dokumentacji technicznej.</w:t>
      </w:r>
    </w:p>
    <w:bookmarkEnd w:id="3"/>
    <w:p w14:paraId="50F90C77" w14:textId="1F1C559C" w:rsidR="00F840F2" w:rsidRPr="000F0627" w:rsidRDefault="000C7EE0" w:rsidP="00E10AB9">
      <w:pPr>
        <w:jc w:val="both"/>
        <w:rPr>
          <w:b/>
          <w:bCs/>
        </w:rPr>
      </w:pPr>
      <w:r w:rsidRPr="000F0627">
        <w:rPr>
          <w:b/>
          <w:bCs/>
        </w:rPr>
        <w:t>16</w:t>
      </w:r>
      <w:r w:rsidR="00F840F2" w:rsidRPr="000F0627">
        <w:rPr>
          <w:b/>
          <w:bCs/>
        </w:rPr>
        <w:t>. Czy zawsze na wniosku należy wskazywać nazwy handlowe, czy mogą to być nazwy kodowe, które zmienią się w czasie prowadzenia oceny zgodności?</w:t>
      </w:r>
    </w:p>
    <w:p w14:paraId="1D0D0423" w14:textId="3A0AEB8A" w:rsidR="00057EFE" w:rsidRPr="000F0627" w:rsidRDefault="00B25DDB" w:rsidP="00E10AB9">
      <w:pPr>
        <w:jc w:val="both"/>
      </w:pPr>
      <w:r w:rsidRPr="000F0627">
        <w:t>Jednostka notyfikowana oczekuje jednoznacznej nazwy, identyfikującej produkt w całej dokumentacji. Nazwa produktu wskazana we wniosku o ocenę zgodności będzie również wpisana na certyfikacie.</w:t>
      </w:r>
    </w:p>
    <w:p w14:paraId="7D600D2A" w14:textId="58C187B0" w:rsidR="00F840F2" w:rsidRPr="000F0627" w:rsidRDefault="000C7EE0" w:rsidP="00E10AB9">
      <w:pPr>
        <w:jc w:val="both"/>
        <w:rPr>
          <w:b/>
          <w:bCs/>
        </w:rPr>
      </w:pPr>
      <w:r w:rsidRPr="000F0627">
        <w:rPr>
          <w:b/>
          <w:bCs/>
        </w:rPr>
        <w:t>17</w:t>
      </w:r>
      <w:r w:rsidR="00F840F2" w:rsidRPr="000F0627">
        <w:rPr>
          <w:b/>
          <w:bCs/>
        </w:rPr>
        <w:t>. Czy badania skuteczności mogą być przeprowadzone we własnym zakresie?</w:t>
      </w:r>
    </w:p>
    <w:p w14:paraId="341A9181" w14:textId="5667AB24" w:rsidR="005D7E79" w:rsidRPr="000F0627" w:rsidRDefault="00B32176" w:rsidP="00E10AB9">
      <w:pPr>
        <w:jc w:val="both"/>
        <w:rPr>
          <w:bCs/>
        </w:rPr>
      </w:pPr>
      <w:r w:rsidRPr="000F0627">
        <w:rPr>
          <w:bCs/>
        </w:rPr>
        <w:t>N</w:t>
      </w:r>
      <w:r w:rsidR="00D63D1B" w:rsidRPr="000F0627">
        <w:rPr>
          <w:bCs/>
        </w:rPr>
        <w:t>ależy</w:t>
      </w:r>
      <w:r w:rsidRPr="000F0627">
        <w:rPr>
          <w:bCs/>
        </w:rPr>
        <w:t xml:space="preserve"> to ustalić z jednostką notyfikowaną.</w:t>
      </w:r>
    </w:p>
    <w:p w14:paraId="68E5FF96" w14:textId="6B764AA5" w:rsidR="00F840F2" w:rsidRPr="000F0627" w:rsidRDefault="000C7EE0" w:rsidP="00E10AB9">
      <w:pPr>
        <w:jc w:val="both"/>
        <w:rPr>
          <w:b/>
          <w:bCs/>
        </w:rPr>
      </w:pPr>
      <w:r w:rsidRPr="000F0627">
        <w:rPr>
          <w:b/>
          <w:bCs/>
        </w:rPr>
        <w:t>18</w:t>
      </w:r>
      <w:r w:rsidR="00F840F2" w:rsidRPr="000F0627">
        <w:rPr>
          <w:b/>
          <w:bCs/>
        </w:rPr>
        <w:t>. Czy jest jakaś luka czasowa od momentu złożenia wniosku na przygotowanie dokumentacji?</w:t>
      </w:r>
    </w:p>
    <w:p w14:paraId="1B9A72B1" w14:textId="302FED8C" w:rsidR="00B32176" w:rsidRPr="000F0627" w:rsidRDefault="00B32176" w:rsidP="00B32176">
      <w:pPr>
        <w:jc w:val="both"/>
        <w:rPr>
          <w:bCs/>
        </w:rPr>
      </w:pPr>
      <w:r w:rsidRPr="000F0627">
        <w:rPr>
          <w:bCs/>
        </w:rPr>
        <w:t>Wszelkie terminy należy ustalić z jednostką notyfikowaną.</w:t>
      </w:r>
    </w:p>
    <w:p w14:paraId="5FF05231" w14:textId="03BB6126" w:rsidR="00057EFE" w:rsidRPr="000F0627" w:rsidRDefault="00057EFE" w:rsidP="00057EFE">
      <w:pPr>
        <w:pStyle w:val="Akapitzlist"/>
        <w:ind w:left="0"/>
        <w:jc w:val="both"/>
        <w:rPr>
          <w:i/>
          <w:iCs/>
        </w:rPr>
      </w:pPr>
      <w:r w:rsidRPr="000F0627">
        <w:t>Kosztorys wydany  przez PCBC S.A. jest ważny 90 dni, dopiero po jego podpisaniu</w:t>
      </w:r>
      <w:r w:rsidR="00B25DDB" w:rsidRPr="000F0627">
        <w:t>/akceptacji przez obie strony</w:t>
      </w:r>
      <w:r w:rsidRPr="000F0627">
        <w:t xml:space="preserve"> przygotowywana jest umowa, po podpisaniu której należy w ciągu 30 dni złożyć komplet dokumentacji</w:t>
      </w:r>
      <w:r w:rsidRPr="000F0627">
        <w:rPr>
          <w:i/>
          <w:iCs/>
        </w:rPr>
        <w:t>.</w:t>
      </w:r>
    </w:p>
    <w:p w14:paraId="25E8085F" w14:textId="55C200B9" w:rsidR="00F840F2" w:rsidRPr="000F0627" w:rsidRDefault="000C7EE0" w:rsidP="00E10AB9">
      <w:pPr>
        <w:jc w:val="both"/>
        <w:rPr>
          <w:b/>
          <w:bCs/>
        </w:rPr>
      </w:pPr>
      <w:r w:rsidRPr="000F0627">
        <w:rPr>
          <w:b/>
          <w:bCs/>
        </w:rPr>
        <w:t>19</w:t>
      </w:r>
      <w:r w:rsidR="00F840F2" w:rsidRPr="000F0627">
        <w:rPr>
          <w:b/>
          <w:bCs/>
        </w:rPr>
        <w:t>. Czy Importer, który ściąga surowce do produkcji produktów nawozowych UE musi przeprowadzić ocenę zgodności dla tych surowców?</w:t>
      </w:r>
    </w:p>
    <w:p w14:paraId="0C9E035A" w14:textId="51217743" w:rsidR="009F764C" w:rsidRPr="000F0627" w:rsidRDefault="009F764C" w:rsidP="009F764C">
      <w:pPr>
        <w:jc w:val="both"/>
      </w:pPr>
      <w:r w:rsidRPr="000F0627">
        <w:t>Procedur</w:t>
      </w:r>
      <w:r w:rsidR="00F827D3" w:rsidRPr="000F0627">
        <w:t>a</w:t>
      </w:r>
      <w:r w:rsidRPr="000F0627">
        <w:t xml:space="preserve"> oceny zgodności powinna być stosowana przez producentów niezależnie od tego, czy mają siedzibę w państwie UE, czy w państwie trzecim. W przypadku produktów wytwarzanych w państwie trzecim</w:t>
      </w:r>
      <w:r w:rsidR="003C4A04" w:rsidRPr="000F0627">
        <w:t>,</w:t>
      </w:r>
      <w:r w:rsidRPr="000F0627">
        <w:t xml:space="preserve"> rozporządzenie (UE) 2019/1009 określa również obowiązki dotyczące importerów.</w:t>
      </w:r>
    </w:p>
    <w:p w14:paraId="23435D11" w14:textId="40C7EFDB" w:rsidR="009F764C" w:rsidRPr="000F0627" w:rsidRDefault="009F764C" w:rsidP="009F764C">
      <w:pPr>
        <w:jc w:val="both"/>
      </w:pPr>
      <w:r w:rsidRPr="000F0627">
        <w:t>Importerzy mogą wprowadzać do obrotu wyłącznie produkty nawozowe UE zgodne z wymaganiami. Dlatego też importer musi zapewnić, że producent:</w:t>
      </w:r>
    </w:p>
    <w:p w14:paraId="016BA249" w14:textId="3CEE3ACF" w:rsidR="009F764C" w:rsidRPr="000F0627" w:rsidRDefault="009F764C" w:rsidP="009F764C">
      <w:pPr>
        <w:jc w:val="both"/>
      </w:pPr>
      <w:r w:rsidRPr="000F0627">
        <w:t>• pomyślnie przeprowadzi odpowiednią procedurę oceny zgodności (nawet jeśli oznacza to zaangażowanie jednostki notyfikowanej)</w:t>
      </w:r>
    </w:p>
    <w:p w14:paraId="193D6EA3" w14:textId="65756004" w:rsidR="009F764C" w:rsidRPr="000F0627" w:rsidRDefault="009F764C" w:rsidP="009F764C">
      <w:pPr>
        <w:jc w:val="both"/>
      </w:pPr>
      <w:r w:rsidRPr="000F0627">
        <w:t>• sporządzi dokumentację techniczną, umieści oznakowanie CE,</w:t>
      </w:r>
    </w:p>
    <w:p w14:paraId="64CA2BD2" w14:textId="3F2E1200" w:rsidR="009F764C" w:rsidRPr="000F0627" w:rsidRDefault="009F764C" w:rsidP="009F764C">
      <w:pPr>
        <w:jc w:val="both"/>
      </w:pPr>
      <w:r w:rsidRPr="000F0627">
        <w:t xml:space="preserve">• </w:t>
      </w:r>
      <w:r w:rsidR="00F827D3" w:rsidRPr="000F0627">
        <w:t>wypełni</w:t>
      </w:r>
      <w:r w:rsidRPr="000F0627">
        <w:t xml:space="preserve"> swoje obowiązki dotyczące identyfikowalności i</w:t>
      </w:r>
    </w:p>
    <w:p w14:paraId="12F64BDA" w14:textId="565609A4" w:rsidR="00F827D3" w:rsidRPr="000F0627" w:rsidRDefault="009F764C" w:rsidP="00F827D3">
      <w:pPr>
        <w:jc w:val="both"/>
      </w:pPr>
      <w:r w:rsidRPr="000F0627">
        <w:t xml:space="preserve">• </w:t>
      </w:r>
      <w:r w:rsidR="00F827D3" w:rsidRPr="000F0627">
        <w:t>dołączy do produktu, w stosownych przypadkach, instrukcje i informacje dotyczące bezpieczeństwa w języku łatwo zrozumiałym dla użytkowników końcowych, określonym przez kraj UE, w którym produkt jest wprowadzany do obrotu.</w:t>
      </w:r>
    </w:p>
    <w:p w14:paraId="3DBCB245" w14:textId="403DE03E" w:rsidR="00B32176" w:rsidRPr="000F0627" w:rsidRDefault="00B32176" w:rsidP="00F827D3">
      <w:pPr>
        <w:jc w:val="both"/>
      </w:pPr>
      <w:r w:rsidRPr="000F0627">
        <w:t xml:space="preserve">Ocenę zgodności przeprowadza się dla produktu (końcowego) nawozowego UE. </w:t>
      </w:r>
    </w:p>
    <w:p w14:paraId="5195F881" w14:textId="2BE78A1C" w:rsidR="00F840F2" w:rsidRPr="000F0627" w:rsidRDefault="000C7EE0" w:rsidP="00E10AB9">
      <w:pPr>
        <w:jc w:val="both"/>
        <w:rPr>
          <w:b/>
          <w:bCs/>
        </w:rPr>
      </w:pPr>
      <w:r w:rsidRPr="000F0627">
        <w:rPr>
          <w:b/>
          <w:bCs/>
        </w:rPr>
        <w:t>20</w:t>
      </w:r>
      <w:r w:rsidR="00F840F2" w:rsidRPr="000F0627">
        <w:rPr>
          <w:b/>
          <w:bCs/>
        </w:rPr>
        <w:t>. Analiza ryzyka, jaki jest zakres jej przeprowadzenia?</w:t>
      </w:r>
    </w:p>
    <w:p w14:paraId="6CAA11E9" w14:textId="01D1D307" w:rsidR="00D63D1B" w:rsidRPr="000F0627" w:rsidRDefault="005D7E79" w:rsidP="00E10AB9">
      <w:pPr>
        <w:jc w:val="both"/>
        <w:rPr>
          <w:bCs/>
        </w:rPr>
      </w:pPr>
      <w:r w:rsidRPr="000F0627">
        <w:rPr>
          <w:bCs/>
        </w:rPr>
        <w:t xml:space="preserve">Odpowiedź </w:t>
      </w:r>
      <w:r w:rsidR="00D63D1B" w:rsidRPr="000F0627">
        <w:rPr>
          <w:bCs/>
        </w:rPr>
        <w:t>Część 3. punkt 4</w:t>
      </w:r>
      <w:r w:rsidR="0014161D" w:rsidRPr="000F0627">
        <w:rPr>
          <w:bCs/>
        </w:rPr>
        <w:t>.</w:t>
      </w:r>
    </w:p>
    <w:p w14:paraId="455B0ABF" w14:textId="0188585F" w:rsidR="00F840F2" w:rsidRPr="000F0627" w:rsidRDefault="000F0627" w:rsidP="00500548">
      <w:pPr>
        <w:jc w:val="both"/>
        <w:rPr>
          <w:b/>
          <w:bCs/>
        </w:rPr>
      </w:pPr>
      <w:r w:rsidRPr="000F0627">
        <w:rPr>
          <w:b/>
          <w:bCs/>
        </w:rPr>
        <w:t>Część 5.</w:t>
      </w:r>
    </w:p>
    <w:p w14:paraId="50B82C89" w14:textId="10DC2B16" w:rsidR="00F840F2" w:rsidRPr="000F0627" w:rsidRDefault="00F840F2" w:rsidP="00500548">
      <w:pPr>
        <w:jc w:val="both"/>
        <w:rPr>
          <w:b/>
          <w:bCs/>
        </w:rPr>
      </w:pPr>
      <w:r w:rsidRPr="000F0627">
        <w:rPr>
          <w:b/>
          <w:bCs/>
        </w:rPr>
        <w:t>1) Czy możliwe jest certyfikacja 1 produktu nawozowego pod kilkoma nazwami handlowymi?</w:t>
      </w:r>
    </w:p>
    <w:p w14:paraId="696DAE80" w14:textId="5D40FC3F" w:rsidR="005217F4" w:rsidRPr="000F0627" w:rsidRDefault="00BD3FDE" w:rsidP="00500548">
      <w:pPr>
        <w:jc w:val="both"/>
        <w:rPr>
          <w:bCs/>
        </w:rPr>
      </w:pPr>
      <w:r w:rsidRPr="000F0627">
        <w:rPr>
          <w:bCs/>
        </w:rPr>
        <w:t>Tak.</w:t>
      </w:r>
    </w:p>
    <w:p w14:paraId="01CA2F34" w14:textId="667BB4F4" w:rsidR="00F840F2" w:rsidRPr="000F0627" w:rsidRDefault="00F840F2" w:rsidP="00500548">
      <w:pPr>
        <w:jc w:val="both"/>
        <w:rPr>
          <w:b/>
          <w:bCs/>
        </w:rPr>
      </w:pPr>
      <w:r w:rsidRPr="000F0627">
        <w:rPr>
          <w:b/>
          <w:bCs/>
        </w:rPr>
        <w:lastRenderedPageBreak/>
        <w:t xml:space="preserve">2) Czy w przypadku produktów nawozowych dla których ma zastosowanie ROZPORZĄDZENIE (WE) NR 396/2005 PARLAMENTU EUROPEJSKIEGO I RADY z dnia 23 lutego 2005 r. w sprawie najwyższych dopuszczalnych poziomów pozostałości pestycydów w żywności i paszy pochodzenia roślinnego i zwierzęcego oraz na ich powierzchni, zmieniające dyrektywę Rady 91/414/EWG w celu analizy ryzyka dla konsumenta możliwa jest ekstrapolacja badań pozostałości przeprowadzonych dla podobnej </w:t>
      </w:r>
      <w:proofErr w:type="spellStart"/>
      <w:r w:rsidRPr="000F0627">
        <w:rPr>
          <w:b/>
          <w:bCs/>
        </w:rPr>
        <w:t>formulacji</w:t>
      </w:r>
      <w:proofErr w:type="spellEnd"/>
      <w:r w:rsidRPr="000F0627">
        <w:rPr>
          <w:b/>
          <w:bCs/>
        </w:rPr>
        <w:t xml:space="preserve"> będącej np. środkiem ochrony roślin oraz wykorzystanie kalkulatora PRIMO (</w:t>
      </w:r>
      <w:hyperlink r:id="rId11" w:history="1">
        <w:r w:rsidR="00060F41" w:rsidRPr="000F0627">
          <w:rPr>
            <w:rStyle w:val="Hipercze"/>
            <w:b/>
            <w:bCs/>
            <w:color w:val="auto"/>
          </w:rPr>
          <w:t>https://www.efsa.europa.eu/en/applications/pesticides/tools</w:t>
        </w:r>
      </w:hyperlink>
      <w:r w:rsidRPr="000F0627">
        <w:rPr>
          <w:b/>
          <w:bCs/>
        </w:rPr>
        <w:t>)?</w:t>
      </w:r>
    </w:p>
    <w:p w14:paraId="33107E0D" w14:textId="52B85B00" w:rsidR="00AE70C6" w:rsidRPr="000F0627" w:rsidRDefault="005A3B26" w:rsidP="00AE70C6">
      <w:pPr>
        <w:jc w:val="both"/>
      </w:pPr>
      <w:r w:rsidRPr="000F0627">
        <w:t xml:space="preserve">Rozporządzenie (UE) 2019/1009 </w:t>
      </w:r>
      <w:r w:rsidR="00200754" w:rsidRPr="000F0627">
        <w:t xml:space="preserve">nie reguluje z jakich narzędzie ma korzystać producent w celu wykazania zgodności jego produktu z wymaganiami rozporządzenia, natomiast </w:t>
      </w:r>
      <w:r w:rsidR="00371591" w:rsidRPr="000F0627">
        <w:t xml:space="preserve">w części II załącznika IV dotyczącego </w:t>
      </w:r>
      <w:r w:rsidR="00782DBB" w:rsidRPr="000F0627">
        <w:t xml:space="preserve">modułów </w:t>
      </w:r>
      <w:r w:rsidR="00371591" w:rsidRPr="000F0627">
        <w:t>oceny zgodności rozporządzenie wskazuje</w:t>
      </w:r>
      <w:r w:rsidR="00782DBB" w:rsidRPr="000F0627">
        <w:t xml:space="preserve"> na obowiązki producenta, jakie musi spełnić aby wykazać, że dane produkty nawozowe UE są zgodne z typem opisanym w certyfikacie badania typu UE i spełniają mające do nich zastosowanie wymogi niniejszego rozporządzenia. To dokumentacja techniczna sporządzona przez producenta umożliwia ocenę produktu nawozowego UE pod względem jego zgodności z odnośnymi wymogami oraz obejmuje odpowiednią analizę i ocenę ryzyka.</w:t>
      </w:r>
      <w:r w:rsidR="00AE70C6" w:rsidRPr="000F0627">
        <w:t xml:space="preserve"> </w:t>
      </w:r>
    </w:p>
    <w:p w14:paraId="38691AF8" w14:textId="3D39BBE6" w:rsidR="003C4A04" w:rsidRPr="000F0627" w:rsidRDefault="003C4A04" w:rsidP="00AE70C6">
      <w:pPr>
        <w:jc w:val="both"/>
        <w:rPr>
          <w:bCs/>
        </w:rPr>
      </w:pPr>
      <w:r w:rsidRPr="000F0627">
        <w:rPr>
          <w:bCs/>
        </w:rPr>
        <w:t xml:space="preserve">Wydaje się, ze model PRIMO, który został opracowany w celu jednoczesnego obliczenia krótkoterminowego i długoterminowego narażenia konsumentów związanego ze spożywaniem żywności zawierającej  pozostałości pestycydów nie będzie miła zastosowania w stosunku do oceny produktów nawozowych UE. </w:t>
      </w:r>
    </w:p>
    <w:p w14:paraId="39C993CA" w14:textId="51009B55" w:rsidR="00F840F2" w:rsidRPr="000F0627" w:rsidRDefault="00F840F2" w:rsidP="00F840F2">
      <w:pPr>
        <w:rPr>
          <w:b/>
          <w:bCs/>
        </w:rPr>
      </w:pPr>
      <w:r w:rsidRPr="000F0627">
        <w:rPr>
          <w:b/>
          <w:bCs/>
        </w:rPr>
        <w:t>3) Czy w nawozach CE można deklarować na etykiecie takie składowe jak nikiel, tytan, krzem,</w:t>
      </w:r>
      <w:r w:rsidR="00060F41" w:rsidRPr="000F0627">
        <w:rPr>
          <w:b/>
          <w:bCs/>
        </w:rPr>
        <w:t xml:space="preserve"> </w:t>
      </w:r>
      <w:r w:rsidRPr="000F0627">
        <w:rPr>
          <w:b/>
          <w:bCs/>
        </w:rPr>
        <w:t xml:space="preserve">selen, witamina C. Jeżeli tak, to w którym miejscu na etykiecie? </w:t>
      </w:r>
    </w:p>
    <w:p w14:paraId="01C48987" w14:textId="59E6E108" w:rsidR="009176BB" w:rsidRPr="000F0627" w:rsidRDefault="009176BB" w:rsidP="009176BB">
      <w:pPr>
        <w:jc w:val="both"/>
      </w:pPr>
      <w:r w:rsidRPr="000F0627">
        <w:t>Zgodnie z rozporządzeniem (UE) 2019/1009 dla produktów nawozowych UE należy przedstawić wykaz wszystkich składników powyżej 5 % w masie produktu w porządku malejącym w przeliczeniu na suchą masę. Oprócz obowiązku zadeklarowania wszystkich składników, których zawartość w masie produktu jest większa niż 5 %, podmioty gospodarcze mogą zdecydować się na umieszczanie na etykiecie informacji o składnikach, których zawartość w masie produktu jest mniejsza niż 5 %. Nie mniej jednak wszystkie składniki obecne w produktach nawozowych UE, niezależnie od ich stężenia, muszą należeć do kategorii materiałów składowych</w:t>
      </w:r>
      <w:r w:rsidR="003B06C5" w:rsidRPr="000F0627">
        <w:t xml:space="preserve"> CMC</w:t>
      </w:r>
      <w:r w:rsidRPr="000F0627">
        <w:t>. Na przykład dodatki, które stanowią 2% masy produktu, muszą pasować do kategorii materiałów składowych, nawet jeśli nie są deklarowane na etykiecie. Natomiast w sporządzonej przez producenta dokumentacji technicznej zawiera się szczegółowe informacje dotyczące wszystkich materiałów składowych.</w:t>
      </w:r>
    </w:p>
    <w:p w14:paraId="40177D0F" w14:textId="403C8713" w:rsidR="008139AA" w:rsidRPr="000F0627" w:rsidRDefault="008139AA" w:rsidP="008139AA">
      <w:pPr>
        <w:jc w:val="both"/>
      </w:pPr>
      <w:r w:rsidRPr="000F0627">
        <w:t>Przykładowy wygląd etykiety można znaleźć w KOMUNIKACIE KOMISJI w sprawie wyglądu etykiety produktów nawozowych UE, o której mowa w załączniku III do rozporządzenia Parlamentu Europejskiego i Rady (UE) 2019/1009 (2021/C 119/01)</w:t>
      </w:r>
      <w:r w:rsidR="008B6A8E" w:rsidRPr="000F0627">
        <w:t>.</w:t>
      </w:r>
    </w:p>
    <w:p w14:paraId="05377BD0" w14:textId="60A8FAC6" w:rsidR="00F840F2" w:rsidRPr="000F0627" w:rsidRDefault="00F840F2" w:rsidP="00F840F2">
      <w:pPr>
        <w:rPr>
          <w:b/>
          <w:bCs/>
        </w:rPr>
      </w:pPr>
      <w:r w:rsidRPr="000F0627">
        <w:rPr>
          <w:b/>
          <w:bCs/>
        </w:rPr>
        <w:t xml:space="preserve">4) Czy jest jakiś wykaz czynników </w:t>
      </w:r>
      <w:proofErr w:type="spellStart"/>
      <w:r w:rsidRPr="000F0627">
        <w:rPr>
          <w:b/>
          <w:bCs/>
        </w:rPr>
        <w:t>chelatujących</w:t>
      </w:r>
      <w:proofErr w:type="spellEnd"/>
      <w:r w:rsidRPr="000F0627">
        <w:rPr>
          <w:b/>
          <w:bCs/>
        </w:rPr>
        <w:t xml:space="preserve"> i kompleksujących stosowanych w nawozach CE? </w:t>
      </w:r>
    </w:p>
    <w:p w14:paraId="4DA96508" w14:textId="63D50507" w:rsidR="008139AA" w:rsidRPr="000F0627" w:rsidRDefault="009F6AF3" w:rsidP="003C22D3">
      <w:pPr>
        <w:jc w:val="both"/>
      </w:pPr>
      <w:r w:rsidRPr="000F0627">
        <w:t>Rozporządzenie (UE) 2019/1009 nie określa wykazu tych czynników</w:t>
      </w:r>
      <w:r w:rsidR="003B06C5" w:rsidRPr="000F0627">
        <w:t>, określa natomiast dla nich wymagania</w:t>
      </w:r>
      <w:r w:rsidRPr="000F0627">
        <w:t xml:space="preserve">. </w:t>
      </w:r>
    </w:p>
    <w:p w14:paraId="53AAD687" w14:textId="7A06F2D8" w:rsidR="00F840F2" w:rsidRPr="000F0627" w:rsidRDefault="00F840F2" w:rsidP="00F840F2">
      <w:pPr>
        <w:rPr>
          <w:b/>
          <w:bCs/>
        </w:rPr>
      </w:pPr>
      <w:r w:rsidRPr="000F0627">
        <w:rPr>
          <w:b/>
          <w:bCs/>
        </w:rPr>
        <w:t xml:space="preserve">5) Czy w świetle </w:t>
      </w:r>
      <w:bookmarkStart w:id="4" w:name="_Hlk108520078"/>
      <w:r w:rsidRPr="000F0627">
        <w:rPr>
          <w:b/>
          <w:bCs/>
        </w:rPr>
        <w:t xml:space="preserve">Rozporządzenia 2019/1009 </w:t>
      </w:r>
      <w:bookmarkEnd w:id="4"/>
      <w:r w:rsidRPr="000F0627">
        <w:rPr>
          <w:b/>
          <w:bCs/>
        </w:rPr>
        <w:t>rozporządzenia krajowe Ministra Gospodarki z dnia 8 września 2011 będzie nadal obowiązujące i będzie mogło być stosowane, również po 16 lipca 2022?</w:t>
      </w:r>
    </w:p>
    <w:p w14:paraId="2B1B1541" w14:textId="292B36E3" w:rsidR="00925F16" w:rsidRPr="000F0627" w:rsidRDefault="00925F16" w:rsidP="00925F16">
      <w:pPr>
        <w:pStyle w:val="2536"/>
        <w:spacing w:before="0" w:beforeAutospacing="0" w:after="200" w:afterAutospacing="0" w:line="253" w:lineRule="atLeast"/>
        <w:rPr>
          <w:rFonts w:asciiTheme="minorHAnsi" w:hAnsiTheme="minorHAnsi" w:cstheme="minorHAnsi"/>
        </w:rPr>
      </w:pPr>
      <w:r w:rsidRPr="000F0627">
        <w:rPr>
          <w:rFonts w:asciiTheme="minorHAnsi" w:hAnsiTheme="minorHAnsi" w:cstheme="minorHAnsi"/>
          <w:sz w:val="22"/>
          <w:szCs w:val="22"/>
        </w:rPr>
        <w:t>Tak, rozporządzenie Ministra Gospodarki z dnia 8 września 2010 obowiązuje i nadal jest stosowane w Polsce.</w:t>
      </w:r>
      <w:r w:rsidR="00881277" w:rsidRPr="000F0627">
        <w:rPr>
          <w:rFonts w:asciiTheme="minorHAnsi" w:hAnsiTheme="minorHAnsi" w:cstheme="minorHAnsi"/>
          <w:sz w:val="22"/>
          <w:szCs w:val="22"/>
        </w:rPr>
        <w:t xml:space="preserve"> Niemniej jednak w najbliższym czasie Ministerstwo Rozwoju i Technologii planuje nowelizacje rozporządzenia zgodnie i dostosowanie do  Rozporządzenia 2019/1009</w:t>
      </w:r>
    </w:p>
    <w:p w14:paraId="5C8CBFC7" w14:textId="17262AED" w:rsidR="00F840F2" w:rsidRPr="000F0627" w:rsidRDefault="00F840F2" w:rsidP="00F840F2">
      <w:pPr>
        <w:rPr>
          <w:b/>
          <w:bCs/>
        </w:rPr>
      </w:pPr>
      <w:r w:rsidRPr="000F0627">
        <w:lastRenderedPageBreak/>
        <w:t>6</w:t>
      </w:r>
      <w:r w:rsidRPr="000F0627">
        <w:rPr>
          <w:b/>
          <w:bCs/>
        </w:rPr>
        <w:t>) Jak przedstawić na etykiecie różne formy AZOTU jeśli ich zawartość zmienia się w czasie</w:t>
      </w:r>
      <w:r w:rsidR="008779C0" w:rsidRPr="000F0627">
        <w:rPr>
          <w:b/>
          <w:bCs/>
        </w:rPr>
        <w:t xml:space="preserve"> </w:t>
      </w:r>
      <w:r w:rsidRPr="000F0627">
        <w:rPr>
          <w:b/>
          <w:bCs/>
        </w:rPr>
        <w:t>PRZECHOWYWANIA produktu (jeden rodzaj azotu przechodzi w drugi)?</w:t>
      </w:r>
    </w:p>
    <w:p w14:paraId="2E497A53" w14:textId="5DA580F9" w:rsidR="00A80A2D" w:rsidRPr="000F0627" w:rsidRDefault="003C2881" w:rsidP="00A80A2D">
      <w:pPr>
        <w:jc w:val="both"/>
        <w:rPr>
          <w:bCs/>
        </w:rPr>
      </w:pPr>
      <w:r w:rsidRPr="000F0627">
        <w:rPr>
          <w:bCs/>
        </w:rPr>
        <w:t>P</w:t>
      </w:r>
      <w:r w:rsidR="00A80A2D" w:rsidRPr="000F0627">
        <w:rPr>
          <w:bCs/>
        </w:rPr>
        <w:t>roducent powinien podać informacje o zawartości składników pokarmowych w oparciu o</w:t>
      </w:r>
      <w:r w:rsidRPr="000F0627">
        <w:rPr>
          <w:bCs/>
        </w:rPr>
        <w:t xml:space="preserve"> przeprowadzone</w:t>
      </w:r>
      <w:r w:rsidR="00A80A2D" w:rsidRPr="000F0627">
        <w:rPr>
          <w:bCs/>
        </w:rPr>
        <w:t xml:space="preserve"> </w:t>
      </w:r>
      <w:r w:rsidRPr="000F0627">
        <w:rPr>
          <w:bCs/>
        </w:rPr>
        <w:t xml:space="preserve">badania i </w:t>
      </w:r>
      <w:r w:rsidR="00A80A2D" w:rsidRPr="000F0627">
        <w:rPr>
          <w:bCs/>
        </w:rPr>
        <w:t>ocenę produktu nawozowego UE</w:t>
      </w:r>
      <w:r w:rsidRPr="000F0627">
        <w:rPr>
          <w:bCs/>
        </w:rPr>
        <w:t xml:space="preserve"> w danym module</w:t>
      </w:r>
      <w:r w:rsidR="00A80A2D" w:rsidRPr="000F0627">
        <w:rPr>
          <w:bCs/>
        </w:rPr>
        <w:t>. Wszelkie wahania w końcowym stężeniu określonych form składników pokarmowych w czasie</w:t>
      </w:r>
      <w:r w:rsidR="0014161D" w:rsidRPr="000F0627">
        <w:rPr>
          <w:bCs/>
        </w:rPr>
        <w:t>,</w:t>
      </w:r>
      <w:r w:rsidR="00A80A2D" w:rsidRPr="000F0627">
        <w:rPr>
          <w:bCs/>
        </w:rPr>
        <w:t xml:space="preserve"> </w:t>
      </w:r>
      <w:r w:rsidR="00B32176" w:rsidRPr="000F0627">
        <w:rPr>
          <w:bCs/>
        </w:rPr>
        <w:t>powinny zawierać się w zakresie dopuszczalnych tolerancji.</w:t>
      </w:r>
    </w:p>
    <w:p w14:paraId="3834957B" w14:textId="3A54A1D8" w:rsidR="003C2881" w:rsidRPr="000F0627" w:rsidRDefault="003C2881" w:rsidP="00A80A2D">
      <w:pPr>
        <w:jc w:val="both"/>
        <w:rPr>
          <w:bCs/>
        </w:rPr>
      </w:pPr>
      <w:r w:rsidRPr="000F0627">
        <w:rPr>
          <w:bCs/>
        </w:rPr>
        <w:t>Producent odpowiada za zgodność swojego produktu.</w:t>
      </w:r>
    </w:p>
    <w:p w14:paraId="65E6E2C5" w14:textId="6337A400" w:rsidR="00F840F2" w:rsidRPr="000F0627" w:rsidRDefault="00F840F2" w:rsidP="00F840F2">
      <w:pPr>
        <w:rPr>
          <w:b/>
          <w:bCs/>
        </w:rPr>
      </w:pPr>
      <w:r w:rsidRPr="000F0627">
        <w:rPr>
          <w:b/>
          <w:bCs/>
        </w:rPr>
        <w:t>7) Jakie są dopuszczalne odchylenia w stężeniach form azotu; amidowej, azotanowej i amonowej?</w:t>
      </w:r>
      <w:r w:rsidR="005E6C22" w:rsidRPr="000F0627">
        <w:rPr>
          <w:b/>
          <w:bCs/>
        </w:rPr>
        <w:t xml:space="preserve"> </w:t>
      </w:r>
    </w:p>
    <w:p w14:paraId="63B42941" w14:textId="3DCA26B2" w:rsidR="00192FA4" w:rsidRPr="000F0627" w:rsidRDefault="00192FA4" w:rsidP="004D3274">
      <w:pPr>
        <w:jc w:val="both"/>
      </w:pPr>
      <w:r w:rsidRPr="000F0627">
        <w:t xml:space="preserve">Rozporządzenie (UE) 2019/1009 w załączniku </w:t>
      </w:r>
      <w:r w:rsidR="00F95118" w:rsidRPr="000F0627">
        <w:t>III, w części II określa wymogi dotyczące etykietowania poszczególnych produktów</w:t>
      </w:r>
      <w:r w:rsidR="00210CF0" w:rsidRPr="000F0627">
        <w:t>, w tym podaje że z</w:t>
      </w:r>
      <w:r w:rsidR="00303642" w:rsidRPr="000F0627">
        <w:t xml:space="preserve">awartość składników pokarmowych można deklarować wyłącznie wtedy, gdy w danym produkcie nawozowym UE występują one w minimalnej ilości określonej w załączniku I dla odpowiedniej PFC. </w:t>
      </w:r>
      <w:r w:rsidR="00F95118" w:rsidRPr="000F0627">
        <w:t xml:space="preserve">Natomiast w części III podaje </w:t>
      </w:r>
      <w:r w:rsidR="00CE4A3A" w:rsidRPr="000F0627">
        <w:t xml:space="preserve">szczegółowe </w:t>
      </w:r>
      <w:r w:rsidR="00F95118" w:rsidRPr="000F0627">
        <w:t xml:space="preserve">przepisy dotyczące tolerancji dla odpowiedniej </w:t>
      </w:r>
      <w:r w:rsidR="00210CF0" w:rsidRPr="000F0627">
        <w:t xml:space="preserve">kategorii </w:t>
      </w:r>
      <w:r w:rsidR="00F95118" w:rsidRPr="000F0627">
        <w:t>PFC. W zależności od wybranego PF</w:t>
      </w:r>
      <w:r w:rsidR="004D3274" w:rsidRPr="000F0627">
        <w:t>C</w:t>
      </w:r>
      <w:r w:rsidR="00F95118" w:rsidRPr="000F0627">
        <w:t xml:space="preserve"> rozporządzenie</w:t>
      </w:r>
      <w:r w:rsidR="00210CF0" w:rsidRPr="000F0627">
        <w:t xml:space="preserve"> </w:t>
      </w:r>
      <w:r w:rsidR="00F95118" w:rsidRPr="000F0627">
        <w:t>(UE) 2019/1009</w:t>
      </w:r>
      <w:r w:rsidR="00870E64" w:rsidRPr="000F0627">
        <w:t xml:space="preserve"> </w:t>
      </w:r>
      <w:r w:rsidR="00F95118" w:rsidRPr="000F0627">
        <w:t xml:space="preserve">określa </w:t>
      </w:r>
      <w:r w:rsidRPr="000F0627">
        <w:t xml:space="preserve">dopuszczalne tolerancje dla deklarowanej </w:t>
      </w:r>
      <w:r w:rsidR="00210CF0" w:rsidRPr="000F0627">
        <w:t>zawartości składników pokarmowych i innych deklarowanych parametrów. I tak np. dla nawozu organicznego PFC 1(A) - całkowita zwartości azotu (N) -  odchylenie względne ± 50 % deklarowanej wartości do maksymalnie 1,0 punktu procentowego w wartościach bezwzględnych</w:t>
      </w:r>
      <w:r w:rsidR="00CE4A3A" w:rsidRPr="000F0627">
        <w:t xml:space="preserve">. Dla nawozu nieorganicznego PFC 1(C) - deklarowane postaci azotu (N) </w:t>
      </w:r>
      <w:r w:rsidRPr="000F0627">
        <w:t xml:space="preserve"> </w:t>
      </w:r>
      <w:r w:rsidR="00CE4A3A" w:rsidRPr="000F0627">
        <w:t>- odchylenie względne ± 25 % deklarowanej wartości do maksymalnie 2 punktów procentowych w wartościach bezwzględnych.</w:t>
      </w:r>
    </w:p>
    <w:p w14:paraId="59C7B06D" w14:textId="3F9C2820" w:rsidR="00F840F2" w:rsidRPr="000F0627" w:rsidRDefault="00F840F2" w:rsidP="00F840F2">
      <w:pPr>
        <w:rPr>
          <w:b/>
          <w:bCs/>
        </w:rPr>
      </w:pPr>
      <w:r w:rsidRPr="000F0627">
        <w:rPr>
          <w:b/>
          <w:bCs/>
        </w:rPr>
        <w:t>8) W jaki sposób oznaczać suchą masę w nawozach płynnych oraz jak przeliczać i przedstawiać udziały składników takich jak uwodnione sole?</w:t>
      </w:r>
    </w:p>
    <w:p w14:paraId="64BC17E2" w14:textId="5FEBCFAA" w:rsidR="00737E97" w:rsidRPr="000F0627" w:rsidRDefault="00737E97" w:rsidP="00DA56A1">
      <w:pPr>
        <w:jc w:val="both"/>
        <w:rPr>
          <w:b/>
          <w:bCs/>
        </w:rPr>
      </w:pPr>
      <w:r w:rsidRPr="000F0627">
        <w:t xml:space="preserve">Testy służące weryfikacji zgodności produktów nawozowych UE z wymogami określonymi w załącznikach I, II oraz III </w:t>
      </w:r>
      <w:r w:rsidR="003E26F9" w:rsidRPr="000F0627">
        <w:t xml:space="preserve">rozporządzenia (UE) 2019/1009 </w:t>
      </w:r>
      <w:r w:rsidRPr="000F0627">
        <w:t xml:space="preserve">przeprowadza się zgodnie z </w:t>
      </w:r>
      <w:r w:rsidR="00DA56A1" w:rsidRPr="000F0627">
        <w:t xml:space="preserve">wymogami określonymi w </w:t>
      </w:r>
      <w:r w:rsidR="005605FC" w:rsidRPr="000F0627">
        <w:t xml:space="preserve">tych </w:t>
      </w:r>
      <w:r w:rsidR="00DA56A1" w:rsidRPr="000F0627">
        <w:t xml:space="preserve">załącznikach, które są zgodne ze wspólnymi specyfikacjami lub ich częściami, są miarodajne i odtwarzalne w zakresie, w jakim testy te są objęte tymi wspólnymi specyfikacjami lub ich częściami. </w:t>
      </w:r>
    </w:p>
    <w:p w14:paraId="556BAE94" w14:textId="3B389E53" w:rsidR="00C640D3" w:rsidRPr="000F0627" w:rsidRDefault="000A10EC" w:rsidP="00C640D3">
      <w:pPr>
        <w:jc w:val="both"/>
      </w:pPr>
      <w:r w:rsidRPr="000F0627">
        <w:t>Normy europejskie, w tym normy zharmonizowane są często w całości lub w części oparte na międzynarodowych normach ISO lub IEC. Zakłada się, że normy zharmonizowane są zgodne z określonymi w nich zasadniczymi wymaganiami, jeżeli odniesienia do nich zostały opublikowane w Dzienniku Urzędowym Unii Europejskiej. Odniesienia do norm zharmonizowanych są publikowane jako komunikaty Komisji w serii C Dziennika.</w:t>
      </w:r>
      <w:r w:rsidR="007B6FFC" w:rsidRPr="000F0627">
        <w:t xml:space="preserve"> Należy podkreślić, że unijne przepisy </w:t>
      </w:r>
      <w:proofErr w:type="spellStart"/>
      <w:r w:rsidR="007B6FFC" w:rsidRPr="000F0627">
        <w:t>harmonizacyjne</w:t>
      </w:r>
      <w:proofErr w:type="spellEnd"/>
      <w:r w:rsidR="007B6FFC" w:rsidRPr="000F0627">
        <w:t xml:space="preserve"> dotyczące produktów na ogół nie nakładają obowiązku stosowania norm zharmonizowanych. Prawnie wiążące są tylko zasadnicze wymagania, a </w:t>
      </w:r>
      <w:r w:rsidR="007B6FFC" w:rsidRPr="000F0627">
        <w:rPr>
          <w:b/>
          <w:bCs/>
        </w:rPr>
        <w:t>producenci mogą stosować dowolne normy i specyfikacje techniczne</w:t>
      </w:r>
      <w:r w:rsidR="007B6FFC" w:rsidRPr="000F0627">
        <w:t xml:space="preserve"> – jednak tylko normy zharmonizowane stanowią podstawę domniemania zgodności.</w:t>
      </w:r>
    </w:p>
    <w:p w14:paraId="0467FD7E" w14:textId="097F1986" w:rsidR="00F840F2" w:rsidRPr="000F0627" w:rsidRDefault="00F840F2" w:rsidP="00F840F2">
      <w:pPr>
        <w:rPr>
          <w:b/>
          <w:bCs/>
        </w:rPr>
      </w:pPr>
      <w:r w:rsidRPr="000F0627">
        <w:rPr>
          <w:b/>
          <w:bCs/>
        </w:rPr>
        <w:t>9) Czy nadal będzie można wprowadzać do obrotu produkty zarejestrowane wg przepisów krajowych w państwach członkowskich, zgodnie z art. 5 ustawy o nawozach i nawożeniu?</w:t>
      </w:r>
    </w:p>
    <w:p w14:paraId="269B31F2" w14:textId="4513420C" w:rsidR="004D6781" w:rsidRPr="000F0627" w:rsidRDefault="004D6781" w:rsidP="004D6781">
      <w:pPr>
        <w:pStyle w:val="2962"/>
        <w:spacing w:before="0" w:beforeAutospacing="0" w:after="200" w:afterAutospacing="0" w:line="253" w:lineRule="atLeast"/>
        <w:jc w:val="both"/>
        <w:rPr>
          <w:rFonts w:asciiTheme="minorHAnsi" w:hAnsiTheme="minorHAnsi" w:cstheme="minorHAnsi"/>
        </w:rPr>
      </w:pPr>
      <w:r w:rsidRPr="000F0627">
        <w:rPr>
          <w:rFonts w:asciiTheme="minorHAnsi" w:hAnsiTheme="minorHAnsi" w:cstheme="minorHAnsi"/>
          <w:sz w:val="22"/>
          <w:szCs w:val="22"/>
        </w:rPr>
        <w:t>Tak, Nawozy i środki wspomagające uprawę rośli</w:t>
      </w:r>
      <w:r w:rsidR="00057EFE" w:rsidRPr="000F0627">
        <w:rPr>
          <w:rFonts w:asciiTheme="minorHAnsi" w:hAnsiTheme="minorHAnsi" w:cstheme="minorHAnsi"/>
          <w:sz w:val="22"/>
          <w:szCs w:val="22"/>
        </w:rPr>
        <w:t>n</w:t>
      </w:r>
      <w:r w:rsidRPr="000F0627">
        <w:rPr>
          <w:rFonts w:asciiTheme="minorHAnsi" w:hAnsiTheme="minorHAnsi" w:cstheme="minorHAnsi"/>
          <w:sz w:val="22"/>
          <w:szCs w:val="22"/>
        </w:rPr>
        <w:t xml:space="preserve"> wprowadzone do obrotu w innych państwach członkowskich będą nadal mogły być wprowadzane do obrotu w Polsce na podstawie art. 5 ustawy o nawozach i nawożeniu oraz rozporządzenia (UE) 2019/515. </w:t>
      </w:r>
    </w:p>
    <w:p w14:paraId="03BB31C5" w14:textId="404E3E32" w:rsidR="00F840F2" w:rsidRPr="000F0627" w:rsidRDefault="00F840F2" w:rsidP="00F840F2">
      <w:pPr>
        <w:rPr>
          <w:b/>
          <w:bCs/>
        </w:rPr>
      </w:pPr>
      <w:r w:rsidRPr="000F0627">
        <w:rPr>
          <w:b/>
          <w:bCs/>
        </w:rPr>
        <w:t>10) W jaki sposób gwarantowana jest ochrona danych podczas procedury dla modułu B i C. Czy będzie to umowa o poufności pomiędzy PCBC a wnioskodawca? Czy trzeba będzie składać stosowny wniosek o ochronę danych?</w:t>
      </w:r>
      <w:r w:rsidR="00057EFE" w:rsidRPr="000F0627">
        <w:rPr>
          <w:b/>
          <w:bCs/>
        </w:rPr>
        <w:t xml:space="preserve"> </w:t>
      </w:r>
    </w:p>
    <w:p w14:paraId="08002425" w14:textId="3CFAD7B6" w:rsidR="00F840F2" w:rsidRPr="000F0627" w:rsidRDefault="00057EFE" w:rsidP="00F840F2">
      <w:pPr>
        <w:rPr>
          <w:b/>
          <w:bCs/>
        </w:rPr>
      </w:pPr>
      <w:r w:rsidRPr="000F0627">
        <w:lastRenderedPageBreak/>
        <w:t>Umowa zawierana pomiędzy jednostką a producentem zawiera klauzule poufności.</w:t>
      </w:r>
      <w:r w:rsidR="00262384" w:rsidRPr="000F0627">
        <w:t xml:space="preserve"> Informacje, które Jednostka Notyfikowana jest zobowiązana ujawnić KE, innym jednostkom notyfikowanym lub organowi notyfikującemu są określone przez Rozporządzenie (UE) 2019/1009.</w:t>
      </w:r>
      <w:r w:rsidR="00F840F2" w:rsidRPr="000F0627">
        <w:rPr>
          <w:b/>
          <w:bCs/>
        </w:rPr>
        <w:t xml:space="preserve">11) Jak dużo danych Producent nawozu (spełniający </w:t>
      </w:r>
      <w:proofErr w:type="spellStart"/>
      <w:r w:rsidR="00F840F2" w:rsidRPr="000F0627">
        <w:rPr>
          <w:b/>
          <w:bCs/>
        </w:rPr>
        <w:t>Conformity</w:t>
      </w:r>
      <w:proofErr w:type="spellEnd"/>
      <w:r w:rsidR="00F840F2" w:rsidRPr="000F0627">
        <w:rPr>
          <w:b/>
          <w:bCs/>
        </w:rPr>
        <w:t xml:space="preserve"> </w:t>
      </w:r>
      <w:proofErr w:type="spellStart"/>
      <w:r w:rsidR="00F840F2" w:rsidRPr="000F0627">
        <w:rPr>
          <w:b/>
          <w:bCs/>
        </w:rPr>
        <w:t>assessment</w:t>
      </w:r>
      <w:proofErr w:type="spellEnd"/>
      <w:r w:rsidR="00F840F2" w:rsidRPr="000F0627">
        <w:rPr>
          <w:b/>
          <w:bCs/>
        </w:rPr>
        <w:t>) będzie zobowiązany przekazać dystrybutorowi (importerowi), który ma obowiązki sprawozdawcze w ramach FPR. Chodzi o ochronę danych. Czy będą to tylko certyfikaty/potwierdzenia zgodności? Jaki zakres informacji będzie musiał być przekazany między tymi dwoma podmiotami?</w:t>
      </w:r>
    </w:p>
    <w:p w14:paraId="6D35BF19" w14:textId="0542C3BD" w:rsidR="000D52B3" w:rsidRPr="000F0627" w:rsidRDefault="000F1D70" w:rsidP="00E46A05">
      <w:pPr>
        <w:jc w:val="both"/>
        <w:rPr>
          <w:bCs/>
        </w:rPr>
      </w:pPr>
      <w:r w:rsidRPr="000F0627">
        <w:rPr>
          <w:bCs/>
        </w:rPr>
        <w:t xml:space="preserve">Producent jest zobowiązany do przeprowadzenia odpowiedniej procedury oceny zgodności, sporządzenia </w:t>
      </w:r>
      <w:r w:rsidRPr="000F0627">
        <w:rPr>
          <w:b/>
          <w:bCs/>
        </w:rPr>
        <w:t>dokumentacji technicznej</w:t>
      </w:r>
      <w:r w:rsidRPr="000F0627">
        <w:rPr>
          <w:bCs/>
        </w:rPr>
        <w:t>, dołączenia do produktu nawozowego UE wymaganych dokumentów. Producent zapewnia, aby opakowania wprowadzonych przez niego do obrotu produktów nawozowych UE</w:t>
      </w:r>
      <w:r w:rsidR="0042158A" w:rsidRPr="000F0627">
        <w:rPr>
          <w:bCs/>
        </w:rPr>
        <w:t xml:space="preserve"> </w:t>
      </w:r>
      <w:r w:rsidR="00C42824" w:rsidRPr="000F0627">
        <w:rPr>
          <w:bCs/>
        </w:rPr>
        <w:t>(lub w przypadku produktu bez opakowania dołączone dokumenty)</w:t>
      </w:r>
      <w:r w:rsidRPr="000F0627">
        <w:rPr>
          <w:bCs/>
        </w:rPr>
        <w:t xml:space="preserve"> były opatrzone </w:t>
      </w:r>
      <w:r w:rsidRPr="000F0627">
        <w:rPr>
          <w:b/>
          <w:bCs/>
        </w:rPr>
        <w:t>numerem typu, numerem partii</w:t>
      </w:r>
      <w:r w:rsidRPr="000F0627">
        <w:rPr>
          <w:bCs/>
        </w:rPr>
        <w:t xml:space="preserve"> lub zawierały inny </w:t>
      </w:r>
      <w:r w:rsidRPr="000F0627">
        <w:rPr>
          <w:b/>
          <w:bCs/>
        </w:rPr>
        <w:t>element umożliwiający ich identyfikację</w:t>
      </w:r>
      <w:r w:rsidRPr="000F0627">
        <w:rPr>
          <w:bCs/>
        </w:rPr>
        <w:t xml:space="preserve">. Producent podaje swoje </w:t>
      </w:r>
      <w:r w:rsidRPr="000F0627">
        <w:rPr>
          <w:b/>
          <w:bCs/>
        </w:rPr>
        <w:t>imię i nazwisko lub swoją nazwę</w:t>
      </w:r>
      <w:r w:rsidRPr="000F0627">
        <w:rPr>
          <w:bCs/>
        </w:rPr>
        <w:t xml:space="preserve">, </w:t>
      </w:r>
      <w:r w:rsidRPr="000F0627">
        <w:rPr>
          <w:b/>
          <w:bCs/>
        </w:rPr>
        <w:t>zarejestrowaną nazwę handlową lub zarejestrowany znak towarowy</w:t>
      </w:r>
      <w:r w:rsidRPr="000F0627">
        <w:rPr>
          <w:bCs/>
        </w:rPr>
        <w:t xml:space="preserve"> oraz </w:t>
      </w:r>
      <w:r w:rsidRPr="000F0627">
        <w:rPr>
          <w:b/>
          <w:bCs/>
        </w:rPr>
        <w:t>kontaktowy adres pocztowy</w:t>
      </w:r>
      <w:r w:rsidRPr="000F0627">
        <w:rPr>
          <w:bCs/>
        </w:rPr>
        <w:t xml:space="preserve"> na opakowaniu </w:t>
      </w:r>
      <w:r w:rsidR="00C42824" w:rsidRPr="000F0627">
        <w:rPr>
          <w:bCs/>
        </w:rPr>
        <w:t xml:space="preserve">(w dołączonym dokumencie) </w:t>
      </w:r>
      <w:r w:rsidRPr="000F0627">
        <w:rPr>
          <w:bCs/>
        </w:rPr>
        <w:t xml:space="preserve">produktu nawozowego UE. Adres pocztowy wskazuje pojedynczy punkt, w którym można skontaktować się z producentem. </w:t>
      </w:r>
      <w:r w:rsidR="00E46A05" w:rsidRPr="000F0627">
        <w:rPr>
          <w:bCs/>
        </w:rPr>
        <w:t xml:space="preserve">Importerzy przechowują kopię </w:t>
      </w:r>
      <w:r w:rsidR="00E46A05" w:rsidRPr="000F0627">
        <w:rPr>
          <w:b/>
          <w:bCs/>
        </w:rPr>
        <w:t>deklaracji zgodności UE</w:t>
      </w:r>
      <w:r w:rsidR="00E46A05" w:rsidRPr="000F0627">
        <w:rPr>
          <w:bCs/>
        </w:rPr>
        <w:t xml:space="preserve"> do dyspozycji organów nadzoru rynku przez 5 lat od wprowadzenia produktu nawozowego UE do obrotu i zapewniają, aby </w:t>
      </w:r>
      <w:r w:rsidR="00E46A05" w:rsidRPr="000F0627">
        <w:rPr>
          <w:b/>
          <w:bCs/>
        </w:rPr>
        <w:t>dokumentacja techniczna</w:t>
      </w:r>
      <w:r w:rsidR="00E46A05" w:rsidRPr="000F0627">
        <w:rPr>
          <w:bCs/>
        </w:rPr>
        <w:t xml:space="preserve"> była udostępniana tym organom na ich żądanie. Na żądanie importerzy udostępniają kopię deklaracji zgodności UE innym podmiotom gospodarczym.</w:t>
      </w:r>
    </w:p>
    <w:p w14:paraId="622290A8" w14:textId="0FDDBA5B" w:rsidR="00F840F2" w:rsidRPr="000F0627" w:rsidRDefault="00F840F2" w:rsidP="00F840F2">
      <w:pPr>
        <w:rPr>
          <w:b/>
          <w:bCs/>
        </w:rPr>
      </w:pPr>
      <w:r w:rsidRPr="000F0627">
        <w:rPr>
          <w:b/>
          <w:bCs/>
        </w:rPr>
        <w:t xml:space="preserve">12) Czy mogą Państwo podać szacowany zakres ceny za opracowanie </w:t>
      </w:r>
      <w:proofErr w:type="spellStart"/>
      <w:r w:rsidRPr="000F0627">
        <w:rPr>
          <w:b/>
          <w:bCs/>
        </w:rPr>
        <w:t>conformity</w:t>
      </w:r>
      <w:proofErr w:type="spellEnd"/>
      <w:r w:rsidRPr="000F0627">
        <w:rPr>
          <w:b/>
          <w:bCs/>
        </w:rPr>
        <w:t xml:space="preserve"> </w:t>
      </w:r>
      <w:proofErr w:type="spellStart"/>
      <w:r w:rsidRPr="000F0627">
        <w:rPr>
          <w:b/>
          <w:bCs/>
        </w:rPr>
        <w:t>assessment</w:t>
      </w:r>
      <w:proofErr w:type="spellEnd"/>
      <w:r w:rsidRPr="000F0627">
        <w:rPr>
          <w:b/>
          <w:bCs/>
        </w:rPr>
        <w:t xml:space="preserve"> dla inhibitora ureazy?</w:t>
      </w:r>
    </w:p>
    <w:p w14:paraId="4842DE6B" w14:textId="7E322A3E" w:rsidR="005C5797" w:rsidRPr="000F0627" w:rsidRDefault="000A0073" w:rsidP="00F840F2">
      <w:r w:rsidRPr="000F0627">
        <w:t>Wycena kosztów oceny zgodności jest przedstawiana producentowi na podstawie przesłanego do jednostki wniosku  o ocenę zgodności. Wystawienie oferty</w:t>
      </w:r>
      <w:r w:rsidR="003A3416" w:rsidRPr="000F0627">
        <w:t>/kosztorysu</w:t>
      </w:r>
      <w:r w:rsidRPr="000F0627">
        <w:t xml:space="preserve"> nie obliguje producenta do współpracy z jednostką.</w:t>
      </w:r>
      <w:r w:rsidR="001A38D6" w:rsidRPr="000F0627">
        <w:t xml:space="preserve"> Współpraca i zobowiązania pojawiają się</w:t>
      </w:r>
      <w:r w:rsidR="003A3416" w:rsidRPr="000F0627">
        <w:t xml:space="preserve"> dopiero</w:t>
      </w:r>
      <w:r w:rsidR="001A38D6" w:rsidRPr="000F0627">
        <w:t xml:space="preserve"> po podpisaniu umowy i kosztorysu.</w:t>
      </w:r>
      <w:r w:rsidRPr="000F0627">
        <w:t xml:space="preserve"> </w:t>
      </w:r>
    </w:p>
    <w:p w14:paraId="791AE60D" w14:textId="6DE48F98" w:rsidR="00F840F2" w:rsidRPr="000F0627" w:rsidRDefault="00F840F2" w:rsidP="00F840F2">
      <w:pPr>
        <w:rPr>
          <w:b/>
          <w:bCs/>
        </w:rPr>
      </w:pPr>
      <w:r w:rsidRPr="000F0627">
        <w:rPr>
          <w:b/>
          <w:bCs/>
        </w:rPr>
        <w:t>13) Jaką kategorię PFC zastosować dla mieszaniny wapna nawozowego z węglem brunatnym? Oprócz odkwaszania produkty tego typu zalecane są do wzbogacania i poprawiania struktury gleby poprzez dostarczenie substancji organicznych.</w:t>
      </w:r>
    </w:p>
    <w:p w14:paraId="219C02EC" w14:textId="13673D3D" w:rsidR="0097626B" w:rsidRPr="000F0627" w:rsidRDefault="00303A91" w:rsidP="0097626B">
      <w:pPr>
        <w:jc w:val="both"/>
      </w:pPr>
      <w:r w:rsidRPr="000F0627">
        <w:t xml:space="preserve">Zgodnie z rozporządzeniem (UE) 2019/1009 produkt nawozowy mieszany to produkt nawozowy UE składający się z co najmniej dwóch produktów nawozowych UE PFC 1–PFC 6, dla których dla każdego składowego produktu nawozowego UE w danej mieszance wykazano zgodność z wymogami niniejszego rozporządzenia zgodnie z procedurą oceny zgodności mającą zastosowanie do tego składowego produktu nawozowego UE. </w:t>
      </w:r>
      <w:r w:rsidR="0097626B" w:rsidRPr="000F0627">
        <w:t xml:space="preserve">W pierwszej kolejności producent produktu nawozowego mieszanego powinien </w:t>
      </w:r>
      <w:r w:rsidRPr="000F0627">
        <w:t xml:space="preserve">zatem </w:t>
      </w:r>
      <w:r w:rsidR="0097626B" w:rsidRPr="000F0627">
        <w:t xml:space="preserve">przypisać składowe produktu nawozowego do odpowiednich kategorii funkcji </w:t>
      </w:r>
      <w:r w:rsidRPr="000F0627">
        <w:t xml:space="preserve">produktów. Jeżeli </w:t>
      </w:r>
      <w:r w:rsidR="002B3B8B" w:rsidRPr="000F0627">
        <w:t xml:space="preserve">jedna ze składowych nie spełnia wymagań odpowiedniej PFC, to należy </w:t>
      </w:r>
      <w:r w:rsidR="0097626B" w:rsidRPr="000F0627">
        <w:t xml:space="preserve">przyporządkować </w:t>
      </w:r>
      <w:r w:rsidR="002B3B8B" w:rsidRPr="000F0627">
        <w:t>ją</w:t>
      </w:r>
      <w:r w:rsidR="0097626B" w:rsidRPr="000F0627">
        <w:t xml:space="preserve"> do </w:t>
      </w:r>
      <w:r w:rsidR="002B3B8B" w:rsidRPr="000F0627">
        <w:t>odpowiedniej kategorii materiałów składowych</w:t>
      </w:r>
      <w:r w:rsidR="0097626B" w:rsidRPr="000F0627">
        <w:t xml:space="preserve"> i następnie przejść ocenę zgodności do odpowiedniego </w:t>
      </w:r>
      <w:r w:rsidR="002B3B8B" w:rsidRPr="000F0627">
        <w:t>PFC</w:t>
      </w:r>
      <w:r w:rsidR="0097626B" w:rsidRPr="000F0627">
        <w:t xml:space="preserve">. </w:t>
      </w:r>
    </w:p>
    <w:p w14:paraId="56C69DCC" w14:textId="3D85F173" w:rsidR="003D436F" w:rsidRPr="000F0627" w:rsidRDefault="002B3B8B" w:rsidP="003D436F">
      <w:pPr>
        <w:jc w:val="both"/>
      </w:pPr>
      <w:r w:rsidRPr="000F0627">
        <w:t>Dodatkowo p</w:t>
      </w:r>
      <w:r w:rsidR="003D436F" w:rsidRPr="000F0627">
        <w:t>roducent mieszaniny produktów nawozowych powinien być w stanie zagwarantować, że powstały ze zmieszania produkt:</w:t>
      </w:r>
    </w:p>
    <w:p w14:paraId="1CA083A3" w14:textId="77777777" w:rsidR="003D436F" w:rsidRPr="000F0627" w:rsidRDefault="003D436F" w:rsidP="003D436F">
      <w:pPr>
        <w:jc w:val="both"/>
      </w:pPr>
      <w:r w:rsidRPr="000F0627">
        <w:t>• nie zmienia charakteru każdego składnika produktu nawozowego UE oraz</w:t>
      </w:r>
    </w:p>
    <w:p w14:paraId="54E6C69A" w14:textId="77777777" w:rsidR="003D436F" w:rsidRPr="000F0627" w:rsidRDefault="003D436F" w:rsidP="003D436F">
      <w:pPr>
        <w:jc w:val="both"/>
      </w:pPr>
      <w:r w:rsidRPr="000F0627">
        <w:t>• nie ma negatywnego wpływu na zdrowie ludzi, zwierząt lub roślin, na bezpieczeństwo ani na środowisko w racjonalnie przewidywalnych warunkach przechowywania lub użytkowania.</w:t>
      </w:r>
    </w:p>
    <w:p w14:paraId="47839730" w14:textId="61EE97D9" w:rsidR="00F840F2" w:rsidRPr="000F0627" w:rsidRDefault="00F840F2" w:rsidP="00F840F2">
      <w:pPr>
        <w:rPr>
          <w:b/>
          <w:bCs/>
        </w:rPr>
      </w:pPr>
      <w:r w:rsidRPr="000F0627">
        <w:rPr>
          <w:b/>
          <w:bCs/>
        </w:rPr>
        <w:lastRenderedPageBreak/>
        <w:t>14) W jaki sposób wypełnić wymóg pkt 2. PFC 5(C): INHIBITOR UREAZY związku z b</w:t>
      </w:r>
      <w:r w:rsidR="00F51508" w:rsidRPr="000F0627">
        <w:rPr>
          <w:b/>
          <w:bCs/>
        </w:rPr>
        <w:t>ra</w:t>
      </w:r>
      <w:r w:rsidRPr="000F0627">
        <w:rPr>
          <w:b/>
          <w:bCs/>
        </w:rPr>
        <w:t>kiem norm zharmonizowanych. W porównaniu z próbką kontrolną, do której nie został dodany inhibitor ureazy, test in vitro zawierający inhibitor ureazy wykazuje przy przedziale ufności na poziomie 95 % spadek szybkości hydrolizy mocznika (CH4N2O) na poziomie 20 % na podstawie analizy przeprowadzonej 14 dni po zastosowaniu.</w:t>
      </w:r>
    </w:p>
    <w:p w14:paraId="41826BE6" w14:textId="414A1ABB" w:rsidR="00B32176" w:rsidRPr="000F0627" w:rsidRDefault="005719A4" w:rsidP="00B32176">
      <w:pPr>
        <w:rPr>
          <w:lang w:eastAsia="pl-PL"/>
        </w:rPr>
      </w:pPr>
      <w:r w:rsidRPr="000F0627">
        <w:rPr>
          <w:lang w:eastAsia="pl-PL"/>
        </w:rPr>
        <w:t>B</w:t>
      </w:r>
      <w:r w:rsidR="00B32176" w:rsidRPr="000F0627">
        <w:rPr>
          <w:lang w:eastAsia="pl-PL"/>
        </w:rPr>
        <w:t>rak  Specyfikacji Techniczn</w:t>
      </w:r>
      <w:r w:rsidRPr="000F0627">
        <w:rPr>
          <w:lang w:eastAsia="pl-PL"/>
        </w:rPr>
        <w:t>ych</w:t>
      </w:r>
      <w:r w:rsidR="00B32176" w:rsidRPr="000F0627">
        <w:rPr>
          <w:lang w:eastAsia="pl-PL"/>
        </w:rPr>
        <w:t xml:space="preserve">  dla</w:t>
      </w:r>
      <w:r w:rsidRPr="000F0627">
        <w:rPr>
          <w:lang w:eastAsia="pl-PL"/>
        </w:rPr>
        <w:t xml:space="preserve"> badania</w:t>
      </w:r>
      <w:r w:rsidR="00B32176" w:rsidRPr="000F0627">
        <w:rPr>
          <w:lang w:eastAsia="pl-PL"/>
        </w:rPr>
        <w:t xml:space="preserve"> sku</w:t>
      </w:r>
      <w:r w:rsidRPr="000F0627">
        <w:rPr>
          <w:lang w:eastAsia="pl-PL"/>
        </w:rPr>
        <w:t>t</w:t>
      </w:r>
      <w:r w:rsidR="00B32176" w:rsidRPr="000F0627">
        <w:rPr>
          <w:lang w:eastAsia="pl-PL"/>
        </w:rPr>
        <w:t>eczności inhibitorów.</w:t>
      </w:r>
    </w:p>
    <w:p w14:paraId="7A9B55C4" w14:textId="43EE9808" w:rsidR="00F840F2" w:rsidRPr="000F0627" w:rsidRDefault="00F840F2" w:rsidP="00ED54E6">
      <w:pPr>
        <w:jc w:val="both"/>
        <w:rPr>
          <w:b/>
          <w:bCs/>
        </w:rPr>
      </w:pPr>
      <w:r w:rsidRPr="000F0627">
        <w:rPr>
          <w:b/>
          <w:bCs/>
        </w:rPr>
        <w:t xml:space="preserve">15) Producent sporządza dokumentację techniczną. Dokumentacja umożliwia ocenę produktu nawozowego UE pod względem jego zgodności z odnośnymi wymogami oraz obejmuje odpowiednią analizę i ocenę ryzyka- jaki dokument należy załączyć/okazać do dokumentacji, aby spełnić ten wymóg? </w:t>
      </w:r>
    </w:p>
    <w:p w14:paraId="6B67D778" w14:textId="6B065E77" w:rsidR="001F7D88" w:rsidRPr="000F0627" w:rsidRDefault="001F7D88" w:rsidP="001F7D88">
      <w:pPr>
        <w:pStyle w:val="CM4"/>
        <w:spacing w:before="60" w:after="60"/>
        <w:rPr>
          <w:rFonts w:ascii="Calibri" w:hAnsi="Calibri" w:cs="Calibri"/>
          <w:sz w:val="22"/>
          <w:szCs w:val="22"/>
        </w:rPr>
      </w:pPr>
      <w:r w:rsidRPr="000F0627">
        <w:rPr>
          <w:rFonts w:ascii="Calibri" w:hAnsi="Calibri" w:cs="Calibri"/>
          <w:sz w:val="22"/>
          <w:szCs w:val="22"/>
        </w:rPr>
        <w:t>Dokumentacja techniczna zawiera, w stosownych przypadkach</w:t>
      </w:r>
      <w:r w:rsidR="001A38D6" w:rsidRPr="000F0627">
        <w:rPr>
          <w:rFonts w:ascii="Calibri" w:hAnsi="Calibri" w:cs="Calibri"/>
          <w:sz w:val="22"/>
          <w:szCs w:val="22"/>
        </w:rPr>
        <w:t xml:space="preserve"> – zależnie od modułu</w:t>
      </w:r>
      <w:r w:rsidRPr="000F0627">
        <w:rPr>
          <w:rFonts w:ascii="Calibri" w:hAnsi="Calibri" w:cs="Calibri"/>
          <w:sz w:val="22"/>
          <w:szCs w:val="22"/>
        </w:rPr>
        <w:t xml:space="preserve">, co najmniej następujące elementy: </w:t>
      </w:r>
    </w:p>
    <w:p w14:paraId="54C5AC90" w14:textId="5AD66D2A" w:rsidR="001C6126" w:rsidRPr="000F0627" w:rsidRDefault="001F7D88" w:rsidP="001C6126">
      <w:pPr>
        <w:pStyle w:val="CM4"/>
        <w:numPr>
          <w:ilvl w:val="0"/>
          <w:numId w:val="4"/>
        </w:numPr>
        <w:spacing w:before="60" w:after="60"/>
        <w:rPr>
          <w:rFonts w:ascii="Calibri" w:hAnsi="Calibri" w:cs="Calibri"/>
          <w:sz w:val="22"/>
          <w:szCs w:val="22"/>
        </w:rPr>
      </w:pPr>
      <w:r w:rsidRPr="000F0627">
        <w:rPr>
          <w:rFonts w:ascii="Calibri" w:hAnsi="Calibri" w:cs="Calibri"/>
          <w:sz w:val="22"/>
          <w:szCs w:val="22"/>
        </w:rPr>
        <w:t>ogólny opis produktu nawozowego UE, PFC odpowiadającą deklarowanej funkcji produktu nawozowego UE i opis przewidzianego zastosowania,</w:t>
      </w:r>
      <w:r w:rsidR="001C6126" w:rsidRPr="000F0627">
        <w:rPr>
          <w:rFonts w:ascii="Calibri" w:hAnsi="Calibri" w:cs="Calibri"/>
          <w:sz w:val="22"/>
          <w:szCs w:val="22"/>
        </w:rPr>
        <w:t xml:space="preserve"> </w:t>
      </w:r>
    </w:p>
    <w:p w14:paraId="3FFDCCB9" w14:textId="37407AB2" w:rsidR="001C6126" w:rsidRPr="000F0627" w:rsidRDefault="001C6126" w:rsidP="001C6126">
      <w:pPr>
        <w:pStyle w:val="CM4"/>
        <w:numPr>
          <w:ilvl w:val="0"/>
          <w:numId w:val="4"/>
        </w:numPr>
        <w:spacing w:before="60" w:after="60"/>
        <w:rPr>
          <w:rFonts w:ascii="Calibri" w:hAnsi="Calibri" w:cs="Calibri"/>
          <w:sz w:val="22"/>
          <w:szCs w:val="22"/>
        </w:rPr>
      </w:pPr>
      <w:r w:rsidRPr="000F0627">
        <w:rPr>
          <w:rFonts w:ascii="Calibri" w:hAnsi="Calibri" w:cs="Calibri"/>
          <w:sz w:val="22"/>
          <w:szCs w:val="22"/>
        </w:rPr>
        <w:t>wykaz użytych materiałów składowych, CM</w:t>
      </w:r>
      <w:r w:rsidR="00170D89" w:rsidRPr="000F0627">
        <w:rPr>
          <w:rFonts w:ascii="Calibri" w:hAnsi="Calibri" w:cs="Calibri"/>
          <w:sz w:val="22"/>
          <w:szCs w:val="22"/>
        </w:rPr>
        <w:t>C</w:t>
      </w:r>
      <w:r w:rsidRPr="000F0627">
        <w:rPr>
          <w:rFonts w:ascii="Calibri" w:hAnsi="Calibri" w:cs="Calibri"/>
          <w:sz w:val="22"/>
          <w:szCs w:val="22"/>
        </w:rPr>
        <w:t xml:space="preserve">, o których mowa w załączniku II, do których należą, oraz informacje o ich pochodzeniu lub procesie produkcji, </w:t>
      </w:r>
    </w:p>
    <w:p w14:paraId="06A3B20C" w14:textId="3FAFCD0A" w:rsidR="001C6126" w:rsidRPr="000F0627" w:rsidRDefault="001C6126" w:rsidP="001C6126">
      <w:pPr>
        <w:pStyle w:val="CM4"/>
        <w:numPr>
          <w:ilvl w:val="0"/>
          <w:numId w:val="4"/>
        </w:numPr>
        <w:spacing w:before="60" w:after="60"/>
        <w:rPr>
          <w:rFonts w:ascii="Calibri" w:hAnsi="Calibri" w:cs="Calibri"/>
          <w:sz w:val="22"/>
          <w:szCs w:val="22"/>
        </w:rPr>
      </w:pPr>
      <w:r w:rsidRPr="000F0627">
        <w:rPr>
          <w:rFonts w:ascii="Calibri" w:hAnsi="Calibri" w:cs="Calibri"/>
          <w:sz w:val="22"/>
          <w:szCs w:val="22"/>
        </w:rPr>
        <w:t xml:space="preserve">deklaracje zgodności UE dla elementów składowych produktu nawozowego mieszanego będących produktem nawozowym UE, </w:t>
      </w:r>
    </w:p>
    <w:p w14:paraId="50F22BDC" w14:textId="5659D252" w:rsidR="001C6126" w:rsidRPr="000F0627" w:rsidRDefault="001C6126" w:rsidP="001C6126">
      <w:pPr>
        <w:pStyle w:val="CM4"/>
        <w:numPr>
          <w:ilvl w:val="0"/>
          <w:numId w:val="4"/>
        </w:numPr>
        <w:spacing w:before="60" w:after="60"/>
        <w:rPr>
          <w:rFonts w:ascii="Calibri" w:hAnsi="Calibri" w:cs="Calibri"/>
          <w:sz w:val="22"/>
          <w:szCs w:val="22"/>
        </w:rPr>
      </w:pPr>
      <w:r w:rsidRPr="000F0627">
        <w:rPr>
          <w:rFonts w:ascii="Calibri" w:hAnsi="Calibri" w:cs="Calibri"/>
          <w:sz w:val="22"/>
          <w:szCs w:val="22"/>
        </w:rPr>
        <w:t xml:space="preserve"> rysunki, schematy, opisy i wyjaśnienia niezbędne do zrozumienia procesu produkcji produktu nawozowego UE, </w:t>
      </w:r>
    </w:p>
    <w:p w14:paraId="376E80F5" w14:textId="4EE67DE3" w:rsidR="001C6126" w:rsidRPr="000F0627" w:rsidRDefault="001C6126" w:rsidP="001C6126">
      <w:pPr>
        <w:pStyle w:val="CM4"/>
        <w:numPr>
          <w:ilvl w:val="0"/>
          <w:numId w:val="4"/>
        </w:numPr>
        <w:spacing w:before="60" w:after="60"/>
        <w:rPr>
          <w:rFonts w:ascii="Calibri" w:hAnsi="Calibri" w:cs="Calibri"/>
          <w:sz w:val="22"/>
          <w:szCs w:val="22"/>
        </w:rPr>
      </w:pPr>
      <w:r w:rsidRPr="000F0627">
        <w:rPr>
          <w:rFonts w:ascii="Calibri" w:hAnsi="Calibri" w:cs="Calibri"/>
          <w:sz w:val="22"/>
          <w:szCs w:val="22"/>
        </w:rPr>
        <w:t>wzór etykiety lub ulotki, lub obu, o których mowa w art. 6 ust. 7, zawierający informacje wymagane zgodnie z załącznikiem III,</w:t>
      </w:r>
    </w:p>
    <w:p w14:paraId="255611BE" w14:textId="7B784F18" w:rsidR="001C6126" w:rsidRPr="000F0627" w:rsidRDefault="001C6126" w:rsidP="001C6126">
      <w:pPr>
        <w:pStyle w:val="CM4"/>
        <w:numPr>
          <w:ilvl w:val="0"/>
          <w:numId w:val="4"/>
        </w:numPr>
        <w:spacing w:before="60" w:after="60"/>
        <w:rPr>
          <w:rFonts w:ascii="Calibri" w:hAnsi="Calibri" w:cs="Calibri"/>
          <w:sz w:val="22"/>
          <w:szCs w:val="22"/>
        </w:rPr>
      </w:pPr>
      <w:r w:rsidRPr="000F0627">
        <w:rPr>
          <w:rFonts w:ascii="Calibri" w:hAnsi="Calibri" w:cs="Calibri"/>
          <w:sz w:val="22"/>
          <w:szCs w:val="22"/>
        </w:rPr>
        <w:t xml:space="preserve">wykaz norm zharmonizowanych, o których mowa w art. 13, wspólnych specyfikacji, o których mowa w art. 14, lub innych właściwych zastosowanych specyfikacji technicznych. W przypadku gdy normy zharmonizowane lub wspólne specyfikacje stosowane są częściowo, w dokumentacji technicznej określa się, które z ich części zostały zastosowane, </w:t>
      </w:r>
    </w:p>
    <w:p w14:paraId="71F37E96" w14:textId="517F3F8F" w:rsidR="001C6126" w:rsidRPr="000F0627" w:rsidRDefault="001C6126" w:rsidP="001C6126">
      <w:pPr>
        <w:pStyle w:val="CM4"/>
        <w:numPr>
          <w:ilvl w:val="0"/>
          <w:numId w:val="4"/>
        </w:numPr>
        <w:spacing w:before="60" w:after="60"/>
        <w:rPr>
          <w:rFonts w:ascii="Calibri" w:hAnsi="Calibri" w:cs="Calibri"/>
          <w:sz w:val="22"/>
          <w:szCs w:val="22"/>
        </w:rPr>
      </w:pPr>
      <w:r w:rsidRPr="000F0627">
        <w:rPr>
          <w:rFonts w:ascii="Calibri" w:hAnsi="Calibri" w:cs="Calibri"/>
          <w:sz w:val="22"/>
          <w:szCs w:val="22"/>
        </w:rPr>
        <w:t xml:space="preserve">wyniki wykonanych obliczeń, w tym obliczeń służących wykazaniu zgodności z załącznikiem I część II pkt 5, przeprowadzonych badań itp., </w:t>
      </w:r>
    </w:p>
    <w:p w14:paraId="254C3528" w14:textId="19B623E6" w:rsidR="001C6126" w:rsidRPr="000F0627" w:rsidRDefault="001C6126" w:rsidP="001C6126">
      <w:pPr>
        <w:pStyle w:val="CM4"/>
        <w:numPr>
          <w:ilvl w:val="0"/>
          <w:numId w:val="4"/>
        </w:numPr>
        <w:spacing w:before="60" w:after="60"/>
        <w:rPr>
          <w:rFonts w:ascii="Calibri" w:hAnsi="Calibri" w:cs="Calibri"/>
          <w:sz w:val="22"/>
          <w:szCs w:val="22"/>
        </w:rPr>
      </w:pPr>
      <w:r w:rsidRPr="000F0627">
        <w:rPr>
          <w:rFonts w:ascii="Calibri" w:hAnsi="Calibri" w:cs="Calibri"/>
          <w:sz w:val="22"/>
          <w:szCs w:val="22"/>
        </w:rPr>
        <w:t xml:space="preserve">sprawozdania z badań, </w:t>
      </w:r>
    </w:p>
    <w:p w14:paraId="77A01253" w14:textId="7B8BE4F3" w:rsidR="001C6126" w:rsidRPr="000F0627" w:rsidRDefault="001C6126" w:rsidP="001C6126">
      <w:pPr>
        <w:pStyle w:val="CM4"/>
        <w:numPr>
          <w:ilvl w:val="0"/>
          <w:numId w:val="4"/>
        </w:numPr>
        <w:spacing w:before="60" w:after="60"/>
        <w:rPr>
          <w:rFonts w:ascii="Calibri" w:hAnsi="Calibri" w:cs="Calibri"/>
          <w:sz w:val="22"/>
          <w:szCs w:val="22"/>
        </w:rPr>
      </w:pPr>
      <w:r w:rsidRPr="000F0627">
        <w:rPr>
          <w:rFonts w:ascii="Calibri" w:hAnsi="Calibri" w:cs="Calibri"/>
          <w:sz w:val="22"/>
          <w:szCs w:val="22"/>
        </w:rPr>
        <w:t xml:space="preserve">w przypadku gdy produkt nawozowy UE zawiera produkty uboczne w rozumieniu dyrektywy 2008/98/WE lub składa się z takich produktów – dowody techniczne i administracyjne, że te produkty uboczne spełniają kryteria ustanowione w akcie delegowanym, o którym mowa w art. 42 ust. 7 niniejszego rozporządzenia, a także ze środkami krajowymi transponującymi art. 5 ust. 1 dyrektywy 2008/98/WE i – w stosownych przypadkach – z aktami wykonawczymi, o których mowa w art. 5 ust. 2 lub środkami krajowymi przyjętymi na podstawie art. 5 ust. 3 tej dyrektywy. </w:t>
      </w:r>
    </w:p>
    <w:p w14:paraId="6F26D672" w14:textId="40DB3989" w:rsidR="001C6126" w:rsidRPr="000F0627" w:rsidRDefault="001C6126" w:rsidP="001C6126">
      <w:pPr>
        <w:pStyle w:val="Akapitzlist"/>
        <w:numPr>
          <w:ilvl w:val="0"/>
          <w:numId w:val="4"/>
        </w:numPr>
        <w:jc w:val="both"/>
        <w:rPr>
          <w:rFonts w:ascii="Calibri" w:hAnsi="Calibri" w:cs="Calibri"/>
          <w:b/>
          <w:bCs/>
        </w:rPr>
      </w:pPr>
      <w:r w:rsidRPr="000F0627">
        <w:rPr>
          <w:rFonts w:ascii="Calibri" w:hAnsi="Calibri" w:cs="Calibri"/>
        </w:rPr>
        <w:t>w przypadku gdy całkowita zawartość chromu (Cr) w produkcie nawozowym UE przekracza 200 mg/kg, informacje na temat maksymalnej ilości i dokładne źródło całkowitego chromu (Cr).</w:t>
      </w:r>
    </w:p>
    <w:p w14:paraId="7835999B" w14:textId="3B095CA9" w:rsidR="001F7D88" w:rsidRPr="000F0627" w:rsidRDefault="0014161D" w:rsidP="0014161D">
      <w:pPr>
        <w:jc w:val="both"/>
        <w:rPr>
          <w:bCs/>
        </w:rPr>
      </w:pPr>
      <w:r w:rsidRPr="000F0627">
        <w:rPr>
          <w:rFonts w:cs="EU Albertina"/>
        </w:rPr>
        <w:t xml:space="preserve">Odnośnie ryzyka - </w:t>
      </w:r>
      <w:r w:rsidRPr="000F0627">
        <w:rPr>
          <w:bCs/>
        </w:rPr>
        <w:t>odpowiedź w części 3 pytań. punkt 4.</w:t>
      </w:r>
    </w:p>
    <w:p w14:paraId="713486CC" w14:textId="05F4A576" w:rsidR="001A38D6" w:rsidRPr="000F0627" w:rsidRDefault="001A38D6" w:rsidP="0014161D">
      <w:pPr>
        <w:jc w:val="both"/>
        <w:rPr>
          <w:bCs/>
        </w:rPr>
      </w:pPr>
      <w:r w:rsidRPr="000F0627">
        <w:rPr>
          <w:bCs/>
        </w:rPr>
        <w:t xml:space="preserve">PCBC S.A. we wniosku o </w:t>
      </w:r>
      <w:r w:rsidR="00170D89" w:rsidRPr="000F0627">
        <w:rPr>
          <w:bCs/>
        </w:rPr>
        <w:t>ocenę zgodności</w:t>
      </w:r>
      <w:r w:rsidRPr="000F0627">
        <w:rPr>
          <w:bCs/>
        </w:rPr>
        <w:t xml:space="preserve"> wskazuje jakie dokumenty powinien dostarczyć producent w zakresie oceny prowadzonej w poszczególnych modułach.</w:t>
      </w:r>
    </w:p>
    <w:p w14:paraId="2EF09244" w14:textId="42D9CFDF" w:rsidR="00F840F2" w:rsidRPr="000F0627" w:rsidRDefault="00F840F2" w:rsidP="00F840F2">
      <w:pPr>
        <w:rPr>
          <w:b/>
          <w:bCs/>
        </w:rPr>
      </w:pPr>
      <w:r w:rsidRPr="000F0627">
        <w:rPr>
          <w:b/>
          <w:bCs/>
        </w:rPr>
        <w:t xml:space="preserve">16) dot. nawóz nieorganiczny, import z kraju trzeciego (nie z UE) – kontrakt podpisany przed lipcem 2022, produkt wyprodukowany przed 16 lipca, dostawa w lipcu (przekroczenie granicy PL) nie wiadomo dokładnie jakiego dnia. Pytanie: jeśli produkt będzie oferowany pod marką własną po 16 </w:t>
      </w:r>
      <w:r w:rsidRPr="000F0627">
        <w:rPr>
          <w:b/>
          <w:bCs/>
        </w:rPr>
        <w:lastRenderedPageBreak/>
        <w:t>lipca 2022 to czy zgodne z prawem jest oznakowania WE (wg obecnych przepisów) czy już obowiązuje znakowanie CE tj. wg nowego Rozporządzenia?</w:t>
      </w:r>
    </w:p>
    <w:p w14:paraId="02229184" w14:textId="77777777" w:rsidR="004D6781" w:rsidRPr="000F0627" w:rsidRDefault="004D6781" w:rsidP="004D6781">
      <w:pPr>
        <w:pStyle w:val="6087"/>
        <w:spacing w:before="0" w:beforeAutospacing="0" w:after="200" w:afterAutospacing="0" w:line="253" w:lineRule="atLeast"/>
        <w:jc w:val="both"/>
      </w:pPr>
      <w:r w:rsidRPr="000F0627">
        <w:rPr>
          <w:rFonts w:ascii="Calibri" w:hAnsi="Calibri" w:cs="Calibri"/>
          <w:sz w:val="22"/>
          <w:szCs w:val="22"/>
        </w:rPr>
        <w:t xml:space="preserve">Obowiązuje oznakowanie WE. </w:t>
      </w:r>
    </w:p>
    <w:p w14:paraId="03353865" w14:textId="77777777" w:rsidR="004D6781" w:rsidRPr="000F0627" w:rsidRDefault="004D6781" w:rsidP="004D6781">
      <w:pPr>
        <w:pStyle w:val="NormalnyWeb"/>
        <w:spacing w:before="0" w:beforeAutospacing="0" w:after="0" w:afterAutospacing="0" w:line="253" w:lineRule="atLeast"/>
        <w:jc w:val="both"/>
      </w:pPr>
      <w:r w:rsidRPr="000F0627">
        <w:rPr>
          <w:rFonts w:ascii="Calibri" w:hAnsi="Calibri" w:cs="Calibri"/>
          <w:sz w:val="22"/>
          <w:szCs w:val="22"/>
        </w:rPr>
        <w:t>Po 16 lipca 2022 r. podmiot gospodarczy będzie mógł udostępnić poszczególne nawozy WE, które:</w:t>
      </w:r>
    </w:p>
    <w:p w14:paraId="2BC11A17" w14:textId="039C673E" w:rsidR="004D6781" w:rsidRPr="000F0627" w:rsidRDefault="004D6781" w:rsidP="004D6781">
      <w:pPr>
        <w:pStyle w:val="NormalnyWeb"/>
        <w:spacing w:before="0" w:beforeAutospacing="0" w:after="0" w:afterAutospacing="0" w:line="253" w:lineRule="atLeast"/>
        <w:jc w:val="both"/>
      </w:pPr>
      <w:r w:rsidRPr="000F0627">
        <w:rPr>
          <w:rFonts w:ascii="Calibri" w:hAnsi="Calibri" w:cs="Calibri"/>
          <w:sz w:val="22"/>
          <w:szCs w:val="22"/>
        </w:rPr>
        <w:t>- zostały już wyprodukowane i są zgodne z rozporządzeniem (WE) nr 2003/2003</w:t>
      </w:r>
    </w:p>
    <w:p w14:paraId="2A12B2F4" w14:textId="1DAC1A06" w:rsidR="004D6781" w:rsidRPr="000F0627" w:rsidRDefault="004D6781" w:rsidP="004D6781">
      <w:pPr>
        <w:pStyle w:val="NormalnyWeb"/>
        <w:spacing w:before="0" w:beforeAutospacing="0" w:after="0" w:afterAutospacing="0" w:line="253" w:lineRule="atLeast"/>
        <w:jc w:val="both"/>
      </w:pPr>
      <w:r w:rsidRPr="000F0627">
        <w:rPr>
          <w:rFonts w:ascii="Calibri" w:hAnsi="Calibri" w:cs="Calibri"/>
          <w:sz w:val="22"/>
          <w:szCs w:val="22"/>
        </w:rPr>
        <w:t>- zostały już dostarczone, są przechowywane w celu dostawy lub zostały importowane.</w:t>
      </w:r>
    </w:p>
    <w:p w14:paraId="2A67FB3B" w14:textId="6E6F1B76" w:rsidR="004D6781" w:rsidRPr="000F0627" w:rsidRDefault="004D6781" w:rsidP="004D6781">
      <w:pPr>
        <w:pStyle w:val="NormalnyWeb"/>
        <w:spacing w:before="0" w:beforeAutospacing="0" w:after="200" w:afterAutospacing="0" w:line="253" w:lineRule="atLeast"/>
        <w:jc w:val="both"/>
      </w:pPr>
      <w:r w:rsidRPr="000F0627">
        <w:rPr>
          <w:rFonts w:ascii="Calibri" w:hAnsi="Calibri" w:cs="Calibri"/>
          <w:sz w:val="22"/>
          <w:szCs w:val="22"/>
        </w:rPr>
        <w:t>Produkty te mogą pozostać na rynku do upływu ich daty ważności.</w:t>
      </w:r>
    </w:p>
    <w:p w14:paraId="03FD5372" w14:textId="3A7EFBDB" w:rsidR="00F840F2" w:rsidRPr="000F0627" w:rsidRDefault="00F840F2" w:rsidP="00F840F2">
      <w:pPr>
        <w:rPr>
          <w:b/>
          <w:bCs/>
        </w:rPr>
      </w:pPr>
      <w:r w:rsidRPr="000F0627">
        <w:rPr>
          <w:b/>
          <w:bCs/>
        </w:rPr>
        <w:t>17) dot. nawóz nieorganiczny, importowany z kraju UE, posiada oznakowanie CE w kraju producenta (wytwórcy), sprowadzony po 16 lipca 2022 do PL, oferowany będzie pod marką własną ze wskazaniem wytwórcy produktu – Pytanie: czy wymagana jest ponowna certyfikacja CE w Polsce (uzyskanie deklaracji zgodności UE na rynku polskim)?</w:t>
      </w:r>
    </w:p>
    <w:p w14:paraId="3490DE25" w14:textId="4879A3CD" w:rsidR="004D6781" w:rsidRPr="000F0627" w:rsidRDefault="004D6781" w:rsidP="00F840F2">
      <w:pPr>
        <w:rPr>
          <w:b/>
          <w:bCs/>
        </w:rPr>
      </w:pPr>
      <w:r w:rsidRPr="000F0627">
        <w:rPr>
          <w:rStyle w:val="docdata"/>
          <w:rFonts w:ascii="Calibri" w:hAnsi="Calibri" w:cs="Calibri"/>
          <w:b/>
          <w:bCs/>
        </w:rPr>
        <w:t>Nie jest wymagana</w:t>
      </w:r>
      <w:r w:rsidRPr="000F0627">
        <w:rPr>
          <w:rFonts w:ascii="Calibri" w:hAnsi="Calibri" w:cs="Calibri"/>
        </w:rPr>
        <w:t> ponowna certyfikacja CE w Polsce. Obowiązuje swobodny obrót.</w:t>
      </w:r>
    </w:p>
    <w:p w14:paraId="4B17E9E7" w14:textId="6FCFCA69" w:rsidR="000B5109" w:rsidRPr="000F0627" w:rsidRDefault="00F840F2" w:rsidP="003B06C5">
      <w:pPr>
        <w:rPr>
          <w:b/>
          <w:bCs/>
        </w:rPr>
      </w:pPr>
      <w:r w:rsidRPr="000F0627">
        <w:rPr>
          <w:b/>
          <w:bCs/>
        </w:rPr>
        <w:t>18) Czy w ramach prowadzonego procesu oceny zgodności wg modułu D1 będzie wymagane potwierdzenie przyjętej kategorii elementu składowego od dostawców? Jak powinien wyglądać taki dokument?</w:t>
      </w:r>
    </w:p>
    <w:p w14:paraId="11951822" w14:textId="52F15DA7" w:rsidR="007E14B4" w:rsidRPr="000F0627" w:rsidRDefault="00BB76B9" w:rsidP="00A008A4">
      <w:pPr>
        <w:jc w:val="both"/>
        <w:rPr>
          <w:i/>
          <w:iCs/>
        </w:rPr>
      </w:pPr>
      <w:r w:rsidRPr="000F0627">
        <w:t>Nie ma takiego wymagania skierowanego dla dostawcy surowca</w:t>
      </w:r>
      <w:r w:rsidR="00E250F3" w:rsidRPr="000F0627">
        <w:t>. Nie wyklucza to jednak, że</w:t>
      </w:r>
      <w:r w:rsidRPr="000F0627">
        <w:t xml:space="preserve"> Producent może </w:t>
      </w:r>
      <w:r w:rsidR="00E250F3" w:rsidRPr="000F0627">
        <w:t xml:space="preserve">otrzymać taki </w:t>
      </w:r>
      <w:r w:rsidRPr="000F0627">
        <w:t>dokumentu od swojego dostawcy</w:t>
      </w:r>
      <w:r w:rsidR="00E250F3" w:rsidRPr="000F0627">
        <w:t>, w celu potwierdzenia spełnienia wymagań kategorii materiałów składowych.</w:t>
      </w:r>
    </w:p>
    <w:p w14:paraId="38421C7D" w14:textId="4363B7D9" w:rsidR="00F840F2" w:rsidRPr="000F0627" w:rsidRDefault="00F840F2" w:rsidP="00F840F2">
      <w:pPr>
        <w:rPr>
          <w:b/>
          <w:bCs/>
        </w:rPr>
      </w:pPr>
      <w:r w:rsidRPr="000F0627">
        <w:rPr>
          <w:b/>
          <w:bCs/>
        </w:rPr>
        <w:t xml:space="preserve">19) Jak (przykładowo, ogólne podejście) powinna wyglądać analiza i ocena ryzyka wymagana podczas oceny zgodności produktu nawozowego zgodnie z modułem D1. </w:t>
      </w:r>
    </w:p>
    <w:p w14:paraId="10ADB43D" w14:textId="77777777" w:rsidR="001A38D6" w:rsidRPr="000F0627" w:rsidRDefault="001A38D6" w:rsidP="001A38D6">
      <w:pPr>
        <w:jc w:val="both"/>
        <w:rPr>
          <w:bCs/>
        </w:rPr>
      </w:pPr>
      <w:r w:rsidRPr="000F0627">
        <w:rPr>
          <w:bCs/>
        </w:rPr>
        <w:t>Odpowiedź Część 3. punkt 4.</w:t>
      </w:r>
    </w:p>
    <w:p w14:paraId="3D97949C" w14:textId="1911CB55" w:rsidR="00F840F2" w:rsidRPr="000F0627" w:rsidRDefault="00F840F2" w:rsidP="00F840F2">
      <w:pPr>
        <w:rPr>
          <w:b/>
          <w:bCs/>
        </w:rPr>
      </w:pPr>
      <w:r w:rsidRPr="000F0627">
        <w:rPr>
          <w:b/>
          <w:bCs/>
        </w:rPr>
        <w:t>20) Moje pytanie będzie dotyczyło etykiety, podawanych tolerancji na etykiecie oraz tego czy są potrzebne plomby do worków?</w:t>
      </w:r>
    </w:p>
    <w:p w14:paraId="467DDD60" w14:textId="7D1EF523" w:rsidR="00B21A42" w:rsidRPr="000F0627" w:rsidRDefault="00ED54E6" w:rsidP="00ED54E6">
      <w:pPr>
        <w:jc w:val="both"/>
      </w:pPr>
      <w:r w:rsidRPr="000F0627">
        <w:t xml:space="preserve">W części III </w:t>
      </w:r>
      <w:r w:rsidR="00BA6F73" w:rsidRPr="000F0627">
        <w:t>z</w:t>
      </w:r>
      <w:r w:rsidRPr="000F0627">
        <w:t xml:space="preserve">ałącznika III rozporządzenia (UE) 2019/1009 przedstawiono wymagania </w:t>
      </w:r>
      <w:r w:rsidR="00BA6F73" w:rsidRPr="000F0627">
        <w:t xml:space="preserve">dotyczące </w:t>
      </w:r>
      <w:r w:rsidRPr="000F0627">
        <w:t xml:space="preserve">deklarowanych zawartości składników pokarmowych lub właściwości produktu nawozowego UE dla odpowiedniej PFC, w tym dopuszczalnych zakresów tolerancji. </w:t>
      </w:r>
      <w:r w:rsidR="00BA6F73" w:rsidRPr="000F0627">
        <w:t xml:space="preserve">Zgodnie z tym załącznikiem </w:t>
      </w:r>
      <w:r w:rsidRPr="000F0627">
        <w:t>istotne jest, aby rzeczywista zawartość składnika w produkcie nawozowych UE, dla którego w załącznikach I lub II ustalono zawartość minimalną lub maksymalną, nigdy nie była niższa od zawartości minimalnej ani nie przekraczała zawartości maksymalnej.</w:t>
      </w:r>
      <w:r w:rsidR="00345993" w:rsidRPr="000F0627">
        <w:t xml:space="preserve"> </w:t>
      </w:r>
      <w:r w:rsidR="003E26F9" w:rsidRPr="000F0627">
        <w:rPr>
          <w:b/>
          <w:bCs/>
        </w:rPr>
        <w:t>Zatem n</w:t>
      </w:r>
      <w:r w:rsidR="00345993" w:rsidRPr="000F0627">
        <w:rPr>
          <w:b/>
          <w:bCs/>
        </w:rPr>
        <w:t>a etykiecie n</w:t>
      </w:r>
      <w:r w:rsidR="00B21A42" w:rsidRPr="000F0627">
        <w:rPr>
          <w:b/>
          <w:bCs/>
        </w:rPr>
        <w:t xml:space="preserve">ie umieszcza się </w:t>
      </w:r>
      <w:r w:rsidR="00345993" w:rsidRPr="000F0627">
        <w:rPr>
          <w:b/>
          <w:bCs/>
        </w:rPr>
        <w:t xml:space="preserve">zakresu </w:t>
      </w:r>
      <w:r w:rsidR="00B21A42" w:rsidRPr="000F0627">
        <w:rPr>
          <w:b/>
          <w:bCs/>
        </w:rPr>
        <w:t>tolerancji</w:t>
      </w:r>
      <w:r w:rsidR="00345993" w:rsidRPr="000F0627">
        <w:rPr>
          <w:b/>
          <w:bCs/>
        </w:rPr>
        <w:t xml:space="preserve"> a jedynie deklarowaną </w:t>
      </w:r>
      <w:r w:rsidR="003E26F9" w:rsidRPr="000F0627">
        <w:rPr>
          <w:b/>
          <w:bCs/>
        </w:rPr>
        <w:t xml:space="preserve">(rzeczywistą) </w:t>
      </w:r>
      <w:r w:rsidR="00345993" w:rsidRPr="000F0627">
        <w:rPr>
          <w:b/>
          <w:bCs/>
        </w:rPr>
        <w:t xml:space="preserve">zawartość. </w:t>
      </w:r>
    </w:p>
    <w:p w14:paraId="5AB23A85" w14:textId="37CDBE3B" w:rsidR="00ED54E6" w:rsidRPr="000F0627" w:rsidRDefault="00F51508" w:rsidP="009E0D7A">
      <w:pPr>
        <w:jc w:val="both"/>
      </w:pPr>
      <w:r w:rsidRPr="000F0627">
        <w:t xml:space="preserve">W </w:t>
      </w:r>
      <w:r w:rsidR="009E0D7A" w:rsidRPr="000F0627">
        <w:t xml:space="preserve">odniesieniu o pytanie dotyczące plomby do worków słowo, „plomba” (w potocznym rozumieniu wynikającym zarówno z rozporządzenia (WE) nr 2003/2003 jak i rozporządzenia (UE) nr 2019/1009) nie jest uznawana za część opakowania, a za system zamknięcia opakowania, który przy otwarciu ulega nieodwracalnemu uszkodzeniu. </w:t>
      </w:r>
      <w:r w:rsidR="00345993" w:rsidRPr="000F0627">
        <w:t>Rozporządzenie (UE) nr 2019/1009 nie wskazuje</w:t>
      </w:r>
      <w:r w:rsidR="003E26F9" w:rsidRPr="000F0627">
        <w:t xml:space="preserve"> konkretnego sposobu, a jedynie reguluje w odniesieniu do kategori</w:t>
      </w:r>
      <w:r w:rsidR="009E0D7A" w:rsidRPr="000F0627">
        <w:t xml:space="preserve">i </w:t>
      </w:r>
      <w:r w:rsidRPr="000F0627">
        <w:t>PFC 1(C)(I)(a)(i-ii)(A): PROSTY LUB WIELOSKŁADNIKOWY STAŁY NIEORGANICZNY NAWÓZ MAKROSKŁADNIKOWY O WYSOKIEJ ZAWARTOŚCI AZOTU NA BAZIE AZOTANU AMONU rozporządzenie (UE) 2019/1009 w pkt. 3</w:t>
      </w:r>
      <w:r w:rsidR="003E26F9" w:rsidRPr="000F0627">
        <w:t>.</w:t>
      </w:r>
      <w:r w:rsidRPr="000F0627">
        <w:t xml:space="preserve"> </w:t>
      </w:r>
      <w:r w:rsidR="00CA19CD" w:rsidRPr="000F0627">
        <w:t xml:space="preserve"> „Prosty lub wieloskładnikowy stały nieorganiczny nawóz makroskładnikowy o wysokiej zawartości azotu na bazie azotanu amonu jest udostępniany użytkownikowi końcowemu wyłącznie w postaci opakowanej. Opakowanie musi być zamknięte w taki sposób lub za pomocą takiego urządzenia, aby przy jego otwieraniu zamknięcie, opieczętowanie zamknięcia lub samo opakowanie ulegały nieodwracalnemu uszkodzeniu. Można stosować worki wentylowe”.</w:t>
      </w:r>
    </w:p>
    <w:p w14:paraId="2E0FACFE" w14:textId="77777777" w:rsidR="008A519E" w:rsidRPr="000F0627" w:rsidRDefault="008A519E" w:rsidP="009E0D7A">
      <w:pPr>
        <w:jc w:val="both"/>
      </w:pPr>
    </w:p>
    <w:p w14:paraId="7D32AEF6" w14:textId="2A1254C6" w:rsidR="00F840F2" w:rsidRPr="000F0627" w:rsidRDefault="00F840F2" w:rsidP="00F840F2">
      <w:pPr>
        <w:rPr>
          <w:b/>
          <w:bCs/>
        </w:rPr>
      </w:pPr>
      <w:r w:rsidRPr="000F0627">
        <w:rPr>
          <w:b/>
          <w:bCs/>
        </w:rPr>
        <w:t>21) Czy jest możliwe zgłoszenie jeszcze pytania na temat możliwości wykorzystania opakowań, które zostaną po 16 lipca 2022 - czy istnieje możliwość zastosowania etykiet zastępczych do czasu wykorzystania starych zapasów opakowań</w:t>
      </w:r>
      <w:r w:rsidR="00ED54E6" w:rsidRPr="000F0627">
        <w:rPr>
          <w:b/>
          <w:bCs/>
        </w:rPr>
        <w:t>.</w:t>
      </w:r>
    </w:p>
    <w:p w14:paraId="14F9F524" w14:textId="77777777" w:rsidR="00ED54E6" w:rsidRPr="000F0627" w:rsidRDefault="00ED54E6" w:rsidP="00ED54E6">
      <w:pPr>
        <w:jc w:val="both"/>
      </w:pPr>
      <w:r w:rsidRPr="000F0627">
        <w:t xml:space="preserve">Rozporządzenie Parlamentu Europejskiego i Rady (UE) 2019/1009 z dnia 5 czerwca 2019 r. ustanawiające przepisy dotyczące udostępniania na rynku produktów nawozowych UE weszło w życie w lipcu 2019 r. Zgodnie z art. 53 tego rozporządzenia określono datę stosowania większości przepisów, w tym dot. etykietowania  - 16 lipca 2022 r., przyznając tym samym podmiotom działającym na rynku nawozów, 3 - letni okres na dostosowanie się do nowych regulacji. Przepisy w tym zakresie nie przewidują dodatkowych okresów przejściowych. </w:t>
      </w:r>
    </w:p>
    <w:p w14:paraId="543E2218" w14:textId="77777777" w:rsidR="00ED54E6" w:rsidRPr="000F0627" w:rsidRDefault="00ED54E6" w:rsidP="00ED54E6">
      <w:pPr>
        <w:jc w:val="both"/>
      </w:pPr>
      <w:r w:rsidRPr="000F0627">
        <w:t>Załącznik III rozporządzenia (UE) 2019/1009 określa wymagania dot. etykietowania produktów nawozowych UE, w tym zakres wymaganych informacji na oraz sposób ich podawania. Zgodnie z regulacjami w nim zawartymi, wymagane informacje umieszcza się na opakowaniu/etykiecie przymocowanej do opakowania, a w przypadku gdy opakowanie jest zbyt małe, aby mogło zawierać wszystkie informacje, informacje, których nie można umieścić na etykiecie, podaje się w oddzielnej ulotce dołączonej do tego opakowania. Gdy produkty nawozowe UE są dostarczane bez opakowania - wymagane informacje zamieszcza się w dokumencie dołączonym do każdego produktu nawozowego.</w:t>
      </w:r>
    </w:p>
    <w:p w14:paraId="6EAEDF83" w14:textId="77777777" w:rsidR="00ED54E6" w:rsidRPr="000F0627" w:rsidRDefault="00ED54E6" w:rsidP="00ED54E6">
      <w:pPr>
        <w:jc w:val="both"/>
      </w:pPr>
      <w:r w:rsidRPr="000F0627">
        <w:t xml:space="preserve">Można założyć, że w pewnych przypadkach wykorzystanie nieużytych opakowań przygotowanych dla nawozów WE do pakowania produktów nawozowych UE będzie możliwe, aczkolwiek sposób takiego pakowania musi spełnić wymogi rozporządzenia (UE) 2019/1009. W szczególności należy zapewnić, aby naniesione na opakowania informacje były jasne, czytelne, zrozumiałe.  Informacje nieaktualne powinny zostać w sposób nieusuwalny całkowicie zasłonięte, tak aby nie były widoczne treści odnoszących się do wcześniejszego produktu. </w:t>
      </w:r>
    </w:p>
    <w:p w14:paraId="45C19AE7" w14:textId="77777777" w:rsidR="00ED54E6" w:rsidRPr="000F0627" w:rsidRDefault="00ED54E6" w:rsidP="00ED54E6">
      <w:pPr>
        <w:jc w:val="both"/>
      </w:pPr>
      <w:r w:rsidRPr="000F0627">
        <w:t xml:space="preserve">Należy w tym względzie zapewnić, aby etykieta produktu nawozowego nie wprowadzała w błąd konsumenta i nie budziła wątpliwości co do legalności produktu i czy jest to produkt pełnowartościowy,  tym samym potwierdzała możliwość pełnoprawnego udostępnienia produktu na rynku oraz jego stosowania. Sposób etykietowania nie może też stwarzać wrażenia, że ma charakter tymczasowy czy uproszczony, co jest charakterystyczne dla tzw. „etykiet zastępczych”. Pełną odpowiedzialność za etykietowanie produktu nawozowego UE ponosi jego producent. </w:t>
      </w:r>
    </w:p>
    <w:p w14:paraId="23D09BE9" w14:textId="77777777" w:rsidR="00ED54E6" w:rsidRPr="000F0627" w:rsidRDefault="00ED54E6" w:rsidP="00F840F2">
      <w:pPr>
        <w:rPr>
          <w:b/>
          <w:bCs/>
        </w:rPr>
      </w:pPr>
    </w:p>
    <w:sectPr w:rsidR="00ED54E6" w:rsidRPr="000F0627" w:rsidSect="00435909">
      <w:footerReference w:type="default" r:id="rId12"/>
      <w:pgSz w:w="11906" w:h="16838"/>
      <w:pgMar w:top="1417" w:right="1417" w:bottom="1417" w:left="1417"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34D73" w14:textId="77777777" w:rsidR="00C706DA" w:rsidRDefault="00C706DA" w:rsidP="00675253">
      <w:pPr>
        <w:spacing w:after="0" w:line="240" w:lineRule="auto"/>
      </w:pPr>
      <w:r>
        <w:separator/>
      </w:r>
    </w:p>
  </w:endnote>
  <w:endnote w:type="continuationSeparator" w:id="0">
    <w:p w14:paraId="36874952" w14:textId="77777777" w:rsidR="00C706DA" w:rsidRDefault="00C706DA" w:rsidP="0067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EU 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8070"/>
      <w:docPartObj>
        <w:docPartGallery w:val="Page Numbers (Bottom of Page)"/>
        <w:docPartUnique/>
      </w:docPartObj>
    </w:sdtPr>
    <w:sdtContent>
      <w:p w14:paraId="592F6C3B" w14:textId="74693E2B" w:rsidR="00435909" w:rsidRDefault="00435909">
        <w:pPr>
          <w:pStyle w:val="Stopka"/>
          <w:jc w:val="right"/>
        </w:pPr>
        <w:r>
          <w:fldChar w:fldCharType="begin"/>
        </w:r>
        <w:r>
          <w:instrText>PAGE   \* MERGEFORMAT</w:instrText>
        </w:r>
        <w:r>
          <w:fldChar w:fldCharType="separate"/>
        </w:r>
        <w:r>
          <w:t>2</w:t>
        </w:r>
        <w:r>
          <w:fldChar w:fldCharType="end"/>
        </w:r>
      </w:p>
    </w:sdtContent>
  </w:sdt>
  <w:p w14:paraId="3ED74EDD" w14:textId="77777777" w:rsidR="00435909" w:rsidRDefault="004359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EE12" w14:textId="77777777" w:rsidR="00C706DA" w:rsidRDefault="00C706DA" w:rsidP="00675253">
      <w:pPr>
        <w:spacing w:after="0" w:line="240" w:lineRule="auto"/>
      </w:pPr>
      <w:r>
        <w:separator/>
      </w:r>
    </w:p>
  </w:footnote>
  <w:footnote w:type="continuationSeparator" w:id="0">
    <w:p w14:paraId="1262D68E" w14:textId="77777777" w:rsidR="00C706DA" w:rsidRDefault="00C706DA" w:rsidP="00675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54175"/>
    <w:multiLevelType w:val="hybridMultilevel"/>
    <w:tmpl w:val="87B833B8"/>
    <w:lvl w:ilvl="0" w:tplc="549AF3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2128FB"/>
    <w:multiLevelType w:val="multilevel"/>
    <w:tmpl w:val="D020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6047D"/>
    <w:multiLevelType w:val="hybridMultilevel"/>
    <w:tmpl w:val="C5223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9110268"/>
    <w:multiLevelType w:val="hybridMultilevel"/>
    <w:tmpl w:val="7716F4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76F317E"/>
    <w:multiLevelType w:val="hybridMultilevel"/>
    <w:tmpl w:val="CB24A5D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16cid:durableId="924072141">
    <w:abstractNumId w:val="0"/>
  </w:num>
  <w:num w:numId="2" w16cid:durableId="114520026">
    <w:abstractNumId w:val="4"/>
  </w:num>
  <w:num w:numId="3" w16cid:durableId="135874658">
    <w:abstractNumId w:val="1"/>
  </w:num>
  <w:num w:numId="4" w16cid:durableId="892351740">
    <w:abstractNumId w:val="3"/>
  </w:num>
  <w:num w:numId="5" w16cid:durableId="26108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F2"/>
    <w:rsid w:val="00014D25"/>
    <w:rsid w:val="00036F29"/>
    <w:rsid w:val="00040849"/>
    <w:rsid w:val="0005297E"/>
    <w:rsid w:val="0005618B"/>
    <w:rsid w:val="00056191"/>
    <w:rsid w:val="00057EFE"/>
    <w:rsid w:val="00060F41"/>
    <w:rsid w:val="00072C2D"/>
    <w:rsid w:val="000907E1"/>
    <w:rsid w:val="000A0073"/>
    <w:rsid w:val="000A10EC"/>
    <w:rsid w:val="000A3921"/>
    <w:rsid w:val="000B5109"/>
    <w:rsid w:val="000C2E6A"/>
    <w:rsid w:val="000C7EE0"/>
    <w:rsid w:val="000D52B3"/>
    <w:rsid w:val="000E793B"/>
    <w:rsid w:val="000F0627"/>
    <w:rsid w:val="000F1D70"/>
    <w:rsid w:val="000F45A9"/>
    <w:rsid w:val="001039AF"/>
    <w:rsid w:val="00106537"/>
    <w:rsid w:val="00110DB7"/>
    <w:rsid w:val="00111F6C"/>
    <w:rsid w:val="00113735"/>
    <w:rsid w:val="00115D8F"/>
    <w:rsid w:val="00121A52"/>
    <w:rsid w:val="00127908"/>
    <w:rsid w:val="00134525"/>
    <w:rsid w:val="00140B98"/>
    <w:rsid w:val="00140C25"/>
    <w:rsid w:val="0014161D"/>
    <w:rsid w:val="00144AA1"/>
    <w:rsid w:val="0016106F"/>
    <w:rsid w:val="00170D89"/>
    <w:rsid w:val="001714BC"/>
    <w:rsid w:val="00173A27"/>
    <w:rsid w:val="001800FA"/>
    <w:rsid w:val="00192FA4"/>
    <w:rsid w:val="0019487B"/>
    <w:rsid w:val="001A154D"/>
    <w:rsid w:val="001A38D6"/>
    <w:rsid w:val="001C097F"/>
    <w:rsid w:val="001C6126"/>
    <w:rsid w:val="001E1F27"/>
    <w:rsid w:val="001E789A"/>
    <w:rsid w:val="001F7D88"/>
    <w:rsid w:val="00200754"/>
    <w:rsid w:val="0020492E"/>
    <w:rsid w:val="00207FA4"/>
    <w:rsid w:val="00210CF0"/>
    <w:rsid w:val="00213E83"/>
    <w:rsid w:val="0022116E"/>
    <w:rsid w:val="00226469"/>
    <w:rsid w:val="00252AAA"/>
    <w:rsid w:val="00262384"/>
    <w:rsid w:val="00263CA7"/>
    <w:rsid w:val="0026782C"/>
    <w:rsid w:val="002772F2"/>
    <w:rsid w:val="00287937"/>
    <w:rsid w:val="00295B6D"/>
    <w:rsid w:val="002A4695"/>
    <w:rsid w:val="002B1C0D"/>
    <w:rsid w:val="002B3B8B"/>
    <w:rsid w:val="002D01F4"/>
    <w:rsid w:val="002D2F44"/>
    <w:rsid w:val="002F15CC"/>
    <w:rsid w:val="00303642"/>
    <w:rsid w:val="00303A91"/>
    <w:rsid w:val="00303D08"/>
    <w:rsid w:val="00321D2A"/>
    <w:rsid w:val="00326135"/>
    <w:rsid w:val="00345993"/>
    <w:rsid w:val="00371591"/>
    <w:rsid w:val="00371F64"/>
    <w:rsid w:val="00392558"/>
    <w:rsid w:val="003A3416"/>
    <w:rsid w:val="003B06C5"/>
    <w:rsid w:val="003B0C30"/>
    <w:rsid w:val="003C22D3"/>
    <w:rsid w:val="003C2861"/>
    <w:rsid w:val="003C2881"/>
    <w:rsid w:val="003C4A04"/>
    <w:rsid w:val="003D436F"/>
    <w:rsid w:val="003D7C48"/>
    <w:rsid w:val="003E26F9"/>
    <w:rsid w:val="003F49D3"/>
    <w:rsid w:val="003F66F5"/>
    <w:rsid w:val="0041654E"/>
    <w:rsid w:val="00420A34"/>
    <w:rsid w:val="0042158A"/>
    <w:rsid w:val="0042631E"/>
    <w:rsid w:val="00435909"/>
    <w:rsid w:val="004411AD"/>
    <w:rsid w:val="00442A0C"/>
    <w:rsid w:val="00445AE8"/>
    <w:rsid w:val="00457357"/>
    <w:rsid w:val="00461B1C"/>
    <w:rsid w:val="00462335"/>
    <w:rsid w:val="00476A87"/>
    <w:rsid w:val="00495476"/>
    <w:rsid w:val="004A2F1F"/>
    <w:rsid w:val="004A33C4"/>
    <w:rsid w:val="004A662A"/>
    <w:rsid w:val="004C4402"/>
    <w:rsid w:val="004C509E"/>
    <w:rsid w:val="004D0189"/>
    <w:rsid w:val="004D3274"/>
    <w:rsid w:val="004D5133"/>
    <w:rsid w:val="004D6781"/>
    <w:rsid w:val="004F32B9"/>
    <w:rsid w:val="004F4E50"/>
    <w:rsid w:val="00500548"/>
    <w:rsid w:val="005013DE"/>
    <w:rsid w:val="00501A23"/>
    <w:rsid w:val="005022A6"/>
    <w:rsid w:val="00510D8D"/>
    <w:rsid w:val="00520A58"/>
    <w:rsid w:val="005217F4"/>
    <w:rsid w:val="00523667"/>
    <w:rsid w:val="00530756"/>
    <w:rsid w:val="00534D71"/>
    <w:rsid w:val="00553B5C"/>
    <w:rsid w:val="005605FC"/>
    <w:rsid w:val="00561C39"/>
    <w:rsid w:val="005719A4"/>
    <w:rsid w:val="00592576"/>
    <w:rsid w:val="005959CE"/>
    <w:rsid w:val="005A3ABE"/>
    <w:rsid w:val="005A3B26"/>
    <w:rsid w:val="005A6346"/>
    <w:rsid w:val="005B1E86"/>
    <w:rsid w:val="005C5797"/>
    <w:rsid w:val="005D3697"/>
    <w:rsid w:val="005D4D98"/>
    <w:rsid w:val="005D7B33"/>
    <w:rsid w:val="005D7E79"/>
    <w:rsid w:val="005E6C22"/>
    <w:rsid w:val="005F3FCF"/>
    <w:rsid w:val="0060058E"/>
    <w:rsid w:val="00610C63"/>
    <w:rsid w:val="00640067"/>
    <w:rsid w:val="006545DD"/>
    <w:rsid w:val="0067235D"/>
    <w:rsid w:val="00672EA8"/>
    <w:rsid w:val="00675253"/>
    <w:rsid w:val="00696DDF"/>
    <w:rsid w:val="006C06F5"/>
    <w:rsid w:val="006D141D"/>
    <w:rsid w:val="006E609A"/>
    <w:rsid w:val="006F3E42"/>
    <w:rsid w:val="006F4AA0"/>
    <w:rsid w:val="006F6247"/>
    <w:rsid w:val="00710BCC"/>
    <w:rsid w:val="00712C01"/>
    <w:rsid w:val="00732E1D"/>
    <w:rsid w:val="00737E97"/>
    <w:rsid w:val="00782DBB"/>
    <w:rsid w:val="00793D98"/>
    <w:rsid w:val="0079682E"/>
    <w:rsid w:val="007B6FFC"/>
    <w:rsid w:val="007C2C3F"/>
    <w:rsid w:val="007C7F88"/>
    <w:rsid w:val="007E0FCE"/>
    <w:rsid w:val="007E14B4"/>
    <w:rsid w:val="007E57FA"/>
    <w:rsid w:val="007F6F5B"/>
    <w:rsid w:val="008139AA"/>
    <w:rsid w:val="00831020"/>
    <w:rsid w:val="00835461"/>
    <w:rsid w:val="0084198B"/>
    <w:rsid w:val="00843DFC"/>
    <w:rsid w:val="00850C11"/>
    <w:rsid w:val="008604CB"/>
    <w:rsid w:val="00863958"/>
    <w:rsid w:val="00863EC3"/>
    <w:rsid w:val="00870E64"/>
    <w:rsid w:val="00872808"/>
    <w:rsid w:val="008733D2"/>
    <w:rsid w:val="008779C0"/>
    <w:rsid w:val="00881277"/>
    <w:rsid w:val="0089370A"/>
    <w:rsid w:val="008A48CD"/>
    <w:rsid w:val="008A519E"/>
    <w:rsid w:val="008A6E54"/>
    <w:rsid w:val="008A744F"/>
    <w:rsid w:val="008B1712"/>
    <w:rsid w:val="008B38C9"/>
    <w:rsid w:val="008B60AC"/>
    <w:rsid w:val="008B6A8E"/>
    <w:rsid w:val="008D04F6"/>
    <w:rsid w:val="008D1A28"/>
    <w:rsid w:val="008E496C"/>
    <w:rsid w:val="008F5BC8"/>
    <w:rsid w:val="008F6BB5"/>
    <w:rsid w:val="008F7913"/>
    <w:rsid w:val="00904602"/>
    <w:rsid w:val="00904A79"/>
    <w:rsid w:val="009176BB"/>
    <w:rsid w:val="009214A6"/>
    <w:rsid w:val="00925F16"/>
    <w:rsid w:val="00927B68"/>
    <w:rsid w:val="009479DE"/>
    <w:rsid w:val="009504D9"/>
    <w:rsid w:val="00957FD8"/>
    <w:rsid w:val="009750E6"/>
    <w:rsid w:val="0097626B"/>
    <w:rsid w:val="009936EC"/>
    <w:rsid w:val="00996755"/>
    <w:rsid w:val="009B5140"/>
    <w:rsid w:val="009D3B0A"/>
    <w:rsid w:val="009D5B09"/>
    <w:rsid w:val="009E0D7A"/>
    <w:rsid w:val="009F6AF3"/>
    <w:rsid w:val="009F764C"/>
    <w:rsid w:val="00A008A4"/>
    <w:rsid w:val="00A04647"/>
    <w:rsid w:val="00A061DB"/>
    <w:rsid w:val="00A16566"/>
    <w:rsid w:val="00A235EC"/>
    <w:rsid w:val="00A26EE4"/>
    <w:rsid w:val="00A5202E"/>
    <w:rsid w:val="00A532CF"/>
    <w:rsid w:val="00A640CD"/>
    <w:rsid w:val="00A80A2D"/>
    <w:rsid w:val="00A813D1"/>
    <w:rsid w:val="00AB04B6"/>
    <w:rsid w:val="00AB1AD0"/>
    <w:rsid w:val="00AC1095"/>
    <w:rsid w:val="00AC25F2"/>
    <w:rsid w:val="00AC7D37"/>
    <w:rsid w:val="00AD3049"/>
    <w:rsid w:val="00AE18D0"/>
    <w:rsid w:val="00AE1B84"/>
    <w:rsid w:val="00AE70C6"/>
    <w:rsid w:val="00AF44FB"/>
    <w:rsid w:val="00B12916"/>
    <w:rsid w:val="00B21288"/>
    <w:rsid w:val="00B21A42"/>
    <w:rsid w:val="00B25DC9"/>
    <w:rsid w:val="00B25DDB"/>
    <w:rsid w:val="00B320E8"/>
    <w:rsid w:val="00B32176"/>
    <w:rsid w:val="00B363A7"/>
    <w:rsid w:val="00B36524"/>
    <w:rsid w:val="00B54512"/>
    <w:rsid w:val="00B603E9"/>
    <w:rsid w:val="00B62C3E"/>
    <w:rsid w:val="00B757B6"/>
    <w:rsid w:val="00B75E0D"/>
    <w:rsid w:val="00B77D03"/>
    <w:rsid w:val="00B83F24"/>
    <w:rsid w:val="00BA6F73"/>
    <w:rsid w:val="00BA74A6"/>
    <w:rsid w:val="00BB76B9"/>
    <w:rsid w:val="00BC1AB4"/>
    <w:rsid w:val="00BD0DF7"/>
    <w:rsid w:val="00BD3FDE"/>
    <w:rsid w:val="00BD4A8A"/>
    <w:rsid w:val="00BF0DE3"/>
    <w:rsid w:val="00BF36CA"/>
    <w:rsid w:val="00BF636A"/>
    <w:rsid w:val="00BF7C2F"/>
    <w:rsid w:val="00C00D6D"/>
    <w:rsid w:val="00C06132"/>
    <w:rsid w:val="00C12D99"/>
    <w:rsid w:val="00C14A4C"/>
    <w:rsid w:val="00C32AD5"/>
    <w:rsid w:val="00C42272"/>
    <w:rsid w:val="00C42824"/>
    <w:rsid w:val="00C42AE9"/>
    <w:rsid w:val="00C44F09"/>
    <w:rsid w:val="00C55231"/>
    <w:rsid w:val="00C640D3"/>
    <w:rsid w:val="00C706DA"/>
    <w:rsid w:val="00C70A78"/>
    <w:rsid w:val="00C97F6C"/>
    <w:rsid w:val="00CA19CD"/>
    <w:rsid w:val="00CA6095"/>
    <w:rsid w:val="00CA62EF"/>
    <w:rsid w:val="00CB1EA2"/>
    <w:rsid w:val="00CC0B2E"/>
    <w:rsid w:val="00CC506B"/>
    <w:rsid w:val="00CD3E5D"/>
    <w:rsid w:val="00CD54C3"/>
    <w:rsid w:val="00CE4A3A"/>
    <w:rsid w:val="00D057A7"/>
    <w:rsid w:val="00D06E0E"/>
    <w:rsid w:val="00D1075B"/>
    <w:rsid w:val="00D1129B"/>
    <w:rsid w:val="00D133AF"/>
    <w:rsid w:val="00D35BAE"/>
    <w:rsid w:val="00D42C22"/>
    <w:rsid w:val="00D550AD"/>
    <w:rsid w:val="00D63D1B"/>
    <w:rsid w:val="00D71009"/>
    <w:rsid w:val="00D73E8D"/>
    <w:rsid w:val="00D82F1E"/>
    <w:rsid w:val="00DA17E8"/>
    <w:rsid w:val="00DA56A1"/>
    <w:rsid w:val="00DC1232"/>
    <w:rsid w:val="00DD55F8"/>
    <w:rsid w:val="00DE1459"/>
    <w:rsid w:val="00DF381B"/>
    <w:rsid w:val="00DF4596"/>
    <w:rsid w:val="00DF61F5"/>
    <w:rsid w:val="00DF79C0"/>
    <w:rsid w:val="00DF7CA2"/>
    <w:rsid w:val="00E0445A"/>
    <w:rsid w:val="00E07D44"/>
    <w:rsid w:val="00E10AB9"/>
    <w:rsid w:val="00E14780"/>
    <w:rsid w:val="00E20072"/>
    <w:rsid w:val="00E237DB"/>
    <w:rsid w:val="00E24D88"/>
    <w:rsid w:val="00E250F3"/>
    <w:rsid w:val="00E2599B"/>
    <w:rsid w:val="00E3352C"/>
    <w:rsid w:val="00E34C43"/>
    <w:rsid w:val="00E4440A"/>
    <w:rsid w:val="00E44E06"/>
    <w:rsid w:val="00E46A05"/>
    <w:rsid w:val="00E56A4E"/>
    <w:rsid w:val="00E65591"/>
    <w:rsid w:val="00E72403"/>
    <w:rsid w:val="00E75307"/>
    <w:rsid w:val="00E8063A"/>
    <w:rsid w:val="00E9701F"/>
    <w:rsid w:val="00EA7DE6"/>
    <w:rsid w:val="00EC71ED"/>
    <w:rsid w:val="00ED54E6"/>
    <w:rsid w:val="00EE254C"/>
    <w:rsid w:val="00F037AE"/>
    <w:rsid w:val="00F17140"/>
    <w:rsid w:val="00F25296"/>
    <w:rsid w:val="00F2736D"/>
    <w:rsid w:val="00F42D70"/>
    <w:rsid w:val="00F46996"/>
    <w:rsid w:val="00F51508"/>
    <w:rsid w:val="00F62C75"/>
    <w:rsid w:val="00F6547D"/>
    <w:rsid w:val="00F77056"/>
    <w:rsid w:val="00F827D3"/>
    <w:rsid w:val="00F840F2"/>
    <w:rsid w:val="00F86A28"/>
    <w:rsid w:val="00F95118"/>
    <w:rsid w:val="00FA4B6A"/>
    <w:rsid w:val="00FC2BF8"/>
    <w:rsid w:val="00FD1018"/>
    <w:rsid w:val="00FE405C"/>
    <w:rsid w:val="00FF1841"/>
    <w:rsid w:val="00FF2F15"/>
    <w:rsid w:val="00FF74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FC1FE"/>
  <w15:chartTrackingRefBased/>
  <w15:docId w15:val="{D26B91C6-756B-4847-ADE4-619D4623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11AD"/>
    <w:pPr>
      <w:ind w:left="720"/>
      <w:contextualSpacing/>
    </w:pPr>
  </w:style>
  <w:style w:type="character" w:styleId="Hipercze">
    <w:name w:val="Hyperlink"/>
    <w:basedOn w:val="Domylnaczcionkaakapitu"/>
    <w:uiPriority w:val="99"/>
    <w:unhideWhenUsed/>
    <w:rsid w:val="00060F41"/>
    <w:rPr>
      <w:color w:val="0563C1" w:themeColor="hyperlink"/>
      <w:u w:val="single"/>
    </w:rPr>
  </w:style>
  <w:style w:type="character" w:styleId="Nierozpoznanawzmianka">
    <w:name w:val="Unresolved Mention"/>
    <w:basedOn w:val="Domylnaczcionkaakapitu"/>
    <w:uiPriority w:val="99"/>
    <w:semiHidden/>
    <w:unhideWhenUsed/>
    <w:rsid w:val="00060F41"/>
    <w:rPr>
      <w:color w:val="605E5C"/>
      <w:shd w:val="clear" w:color="auto" w:fill="E1DFDD"/>
    </w:rPr>
  </w:style>
  <w:style w:type="paragraph" w:styleId="Tekstprzypisukocowego">
    <w:name w:val="endnote text"/>
    <w:basedOn w:val="Normalny"/>
    <w:link w:val="TekstprzypisukocowegoZnak"/>
    <w:uiPriority w:val="99"/>
    <w:semiHidden/>
    <w:unhideWhenUsed/>
    <w:rsid w:val="006752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75253"/>
    <w:rPr>
      <w:sz w:val="20"/>
      <w:szCs w:val="20"/>
    </w:rPr>
  </w:style>
  <w:style w:type="character" w:styleId="Odwoanieprzypisukocowego">
    <w:name w:val="endnote reference"/>
    <w:basedOn w:val="Domylnaczcionkaakapitu"/>
    <w:uiPriority w:val="99"/>
    <w:semiHidden/>
    <w:unhideWhenUsed/>
    <w:rsid w:val="00675253"/>
    <w:rPr>
      <w:vertAlign w:val="superscript"/>
    </w:rPr>
  </w:style>
  <w:style w:type="character" w:styleId="UyteHipercze">
    <w:name w:val="FollowedHyperlink"/>
    <w:basedOn w:val="Domylnaczcionkaakapitu"/>
    <w:uiPriority w:val="99"/>
    <w:semiHidden/>
    <w:unhideWhenUsed/>
    <w:rsid w:val="00A061DB"/>
    <w:rPr>
      <w:color w:val="954F72" w:themeColor="followedHyperlink"/>
      <w:u w:val="single"/>
    </w:rPr>
  </w:style>
  <w:style w:type="paragraph" w:styleId="HTML-wstpniesformatowany">
    <w:name w:val="HTML Preformatted"/>
    <w:basedOn w:val="Normalny"/>
    <w:link w:val="HTML-wstpniesformatowanyZnak"/>
    <w:uiPriority w:val="99"/>
    <w:semiHidden/>
    <w:unhideWhenUsed/>
    <w:rsid w:val="003C4A04"/>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3C4A04"/>
    <w:rPr>
      <w:rFonts w:ascii="Consolas" w:hAnsi="Consolas"/>
      <w:sz w:val="20"/>
      <w:szCs w:val="20"/>
    </w:rPr>
  </w:style>
  <w:style w:type="character" w:customStyle="1" w:styleId="docdata">
    <w:name w:val="docdata"/>
    <w:aliases w:val="docy,v5,7287,bqiaagaaesggaaaglayaaaozgqaabaczaaaaaaaaaaaaaaaaaaaaaaaaaaaaaaaaaaaaaaaaaaaaaaaaaaaaaaaaaaaaaaaaaaaaaaaaaaaaaaaaaaaaaaaaaaaaaaaaaaaaaaaaaaaaaaaaaaaaaaaaaaaaaaaaaaaaaaaaaaaaaaaaaaaaaaaaaaaaaaaaaaaaaaaaaaaaaaaaaaaaaaaaaaaaaaaaaaaaaaaa"/>
    <w:basedOn w:val="Domylnaczcionkaakapitu"/>
    <w:rsid w:val="00E65591"/>
  </w:style>
  <w:style w:type="paragraph" w:customStyle="1" w:styleId="3403">
    <w:name w:val="3403"/>
    <w:aliases w:val="bqiaagaaesggaaaglayaaaoscgaabaakaaaaaaaaaaaaaaaaaaaaaaaaaaaaaaaaaaaaaaaaaaaaaaaaaaaaaaaaaaaaaaaaaaaaaaaaaaaaaaaaaaaaaaaaaaaaaaaaaaaaaaaaaaaaaaaaaaaaaaaaaaaaaaaaaaaaaaaaaaaaaaaaaaaaaaaaaaaaaaaaaaaaaaaaaaaaaaaaaaaaaaaaaaaaaaaaaaaaaaaa"/>
    <w:basedOn w:val="Normalny"/>
    <w:rsid w:val="00925F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2536">
    <w:name w:val="2536"/>
    <w:aliases w:val="bqiaagaaesggaaaglayaaamocqaabrwjaaaaaaaaaaaaaaaaaaaaaaaaaaaaaaaaaaaaaaaaaaaaaaaaaaaaaaaaaaaaaaaaaaaaaaaaaaaaaaaaaaaaaaaaaaaaaaaaaaaaaaaaaaaaaaaaaaaaaaaaaaaaaaaaaaaaaaaaaaaaaaaaaaaaaaaaaaaaaaaaaaaaaaaaaaaaaaaaaaaaaaaaaaaaaaaaaaaaaaaa"/>
    <w:basedOn w:val="Normalny"/>
    <w:rsid w:val="00925F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2962">
    <w:name w:val="2962"/>
    <w:aliases w:val="bqiaagaaesggaaaglayaaao4cgaabcykaaaaaaaaaaaaaaaaaaaaaaaaaaaaaaaaaaaaaaaaaaaaaaaaaaaaaaaaaaaaaaaaaaaaaaaaaaaaaaaaaaaaaaaaaaaaaaaaaaaaaaaaaaaaaaaaaaaaaaaaaaaaaaaaaaaaaaaaaaaaaaaaaaaaaaaaaaaaaaaaaaaaaaaaaaaaaaaaaaaaaaaaaaaaaaaaaaaaaaaa"/>
    <w:basedOn w:val="Normalny"/>
    <w:rsid w:val="004D67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6087">
    <w:name w:val="6087"/>
    <w:aliases w:val="bqiaagaaesggaaaglayaaampeaaabfswaaaaaaaaaaaaaaaaaaaaaaaaaaaaaaaaaaaaaaaaaaaaaaaaaaaaaaaaaaaaaaaaaaaaaaaaaaaaaaaaaaaaaaaaaaaaaaaaaaaaaaaaaaaaaaaaaaaaaaaaaaaaaaaaaaaaaaaaaaaaaaaaaaaaaaaaaaaaaaaaaaaaaaaaaaaaaaaaaaaaaaaaaaaaaaaaaaaaaaaa"/>
    <w:basedOn w:val="Normalny"/>
    <w:rsid w:val="004D67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4D678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8D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ny"/>
    <w:next w:val="Normalny"/>
    <w:uiPriority w:val="99"/>
    <w:rsid w:val="001F7D88"/>
    <w:pPr>
      <w:autoSpaceDE w:val="0"/>
      <w:autoSpaceDN w:val="0"/>
      <w:adjustRightInd w:val="0"/>
      <w:spacing w:after="0" w:line="240" w:lineRule="auto"/>
    </w:pPr>
    <w:rPr>
      <w:rFonts w:ascii="EU Albertina" w:hAnsi="EU Albertina"/>
      <w:sz w:val="24"/>
      <w:szCs w:val="24"/>
    </w:rPr>
  </w:style>
  <w:style w:type="paragraph" w:customStyle="1" w:styleId="CM3">
    <w:name w:val="CM3"/>
    <w:basedOn w:val="Normalny"/>
    <w:next w:val="Normalny"/>
    <w:uiPriority w:val="99"/>
    <w:rsid w:val="001F7D88"/>
    <w:pPr>
      <w:autoSpaceDE w:val="0"/>
      <w:autoSpaceDN w:val="0"/>
      <w:adjustRightInd w:val="0"/>
      <w:spacing w:after="0" w:line="240" w:lineRule="auto"/>
    </w:pPr>
    <w:rPr>
      <w:rFonts w:ascii="EU Albertina" w:hAnsi="EU Albertina"/>
      <w:sz w:val="24"/>
      <w:szCs w:val="24"/>
    </w:rPr>
  </w:style>
  <w:style w:type="paragraph" w:customStyle="1" w:styleId="CM4">
    <w:name w:val="CM4"/>
    <w:basedOn w:val="Normalny"/>
    <w:next w:val="Normalny"/>
    <w:uiPriority w:val="99"/>
    <w:rsid w:val="001F7D88"/>
    <w:pPr>
      <w:autoSpaceDE w:val="0"/>
      <w:autoSpaceDN w:val="0"/>
      <w:adjustRightInd w:val="0"/>
      <w:spacing w:after="0" w:line="240" w:lineRule="auto"/>
    </w:pPr>
    <w:rPr>
      <w:rFonts w:ascii="EU Albertina" w:hAnsi="EU Albertina"/>
      <w:sz w:val="24"/>
      <w:szCs w:val="24"/>
    </w:rPr>
  </w:style>
  <w:style w:type="paragraph" w:customStyle="1" w:styleId="Default">
    <w:name w:val="Default"/>
    <w:rsid w:val="001C6126"/>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D107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075B"/>
    <w:rPr>
      <w:rFonts w:ascii="Segoe UI" w:hAnsi="Segoe UI" w:cs="Segoe UI"/>
      <w:sz w:val="18"/>
      <w:szCs w:val="18"/>
    </w:rPr>
  </w:style>
  <w:style w:type="paragraph" w:styleId="Poprawka">
    <w:name w:val="Revision"/>
    <w:hidden/>
    <w:uiPriority w:val="99"/>
    <w:semiHidden/>
    <w:rsid w:val="00B21288"/>
    <w:pPr>
      <w:spacing w:after="0" w:line="240" w:lineRule="auto"/>
    </w:pPr>
  </w:style>
  <w:style w:type="paragraph" w:styleId="Nagwek">
    <w:name w:val="header"/>
    <w:basedOn w:val="Normalny"/>
    <w:link w:val="NagwekZnak"/>
    <w:uiPriority w:val="99"/>
    <w:unhideWhenUsed/>
    <w:rsid w:val="004359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909"/>
  </w:style>
  <w:style w:type="paragraph" w:styleId="Stopka">
    <w:name w:val="footer"/>
    <w:basedOn w:val="Normalny"/>
    <w:link w:val="StopkaZnak"/>
    <w:uiPriority w:val="99"/>
    <w:unhideWhenUsed/>
    <w:rsid w:val="004359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52911">
      <w:bodyDiv w:val="1"/>
      <w:marLeft w:val="0"/>
      <w:marRight w:val="0"/>
      <w:marTop w:val="0"/>
      <w:marBottom w:val="0"/>
      <w:divBdr>
        <w:top w:val="none" w:sz="0" w:space="0" w:color="auto"/>
        <w:left w:val="none" w:sz="0" w:space="0" w:color="auto"/>
        <w:bottom w:val="none" w:sz="0" w:space="0" w:color="auto"/>
        <w:right w:val="none" w:sz="0" w:space="0" w:color="auto"/>
      </w:divBdr>
      <w:divsChild>
        <w:div w:id="196747829">
          <w:marLeft w:val="0"/>
          <w:marRight w:val="0"/>
          <w:marTop w:val="0"/>
          <w:marBottom w:val="0"/>
          <w:divBdr>
            <w:top w:val="none" w:sz="0" w:space="0" w:color="auto"/>
            <w:left w:val="none" w:sz="0" w:space="0" w:color="auto"/>
            <w:bottom w:val="none" w:sz="0" w:space="0" w:color="auto"/>
            <w:right w:val="none" w:sz="0" w:space="0" w:color="auto"/>
          </w:divBdr>
          <w:divsChild>
            <w:div w:id="1670601648">
              <w:marLeft w:val="0"/>
              <w:marRight w:val="0"/>
              <w:marTop w:val="0"/>
              <w:marBottom w:val="0"/>
              <w:divBdr>
                <w:top w:val="none" w:sz="0" w:space="0" w:color="auto"/>
                <w:left w:val="none" w:sz="0" w:space="0" w:color="auto"/>
                <w:bottom w:val="none" w:sz="0" w:space="0" w:color="auto"/>
                <w:right w:val="none" w:sz="0" w:space="0" w:color="auto"/>
              </w:divBdr>
            </w:div>
          </w:divsChild>
        </w:div>
        <w:div w:id="795759419">
          <w:marLeft w:val="0"/>
          <w:marRight w:val="0"/>
          <w:marTop w:val="0"/>
          <w:marBottom w:val="0"/>
          <w:divBdr>
            <w:top w:val="none" w:sz="0" w:space="0" w:color="auto"/>
            <w:left w:val="none" w:sz="0" w:space="0" w:color="auto"/>
            <w:bottom w:val="none" w:sz="0" w:space="0" w:color="auto"/>
            <w:right w:val="none" w:sz="0" w:space="0" w:color="auto"/>
          </w:divBdr>
          <w:divsChild>
            <w:div w:id="995690875">
              <w:marLeft w:val="0"/>
              <w:marRight w:val="0"/>
              <w:marTop w:val="0"/>
              <w:marBottom w:val="0"/>
              <w:divBdr>
                <w:top w:val="none" w:sz="0" w:space="0" w:color="auto"/>
                <w:left w:val="none" w:sz="0" w:space="0" w:color="auto"/>
                <w:bottom w:val="none" w:sz="0" w:space="0" w:color="auto"/>
                <w:right w:val="none" w:sz="0" w:space="0" w:color="auto"/>
              </w:divBdr>
              <w:divsChild>
                <w:div w:id="814761930">
                  <w:marLeft w:val="0"/>
                  <w:marRight w:val="0"/>
                  <w:marTop w:val="0"/>
                  <w:marBottom w:val="0"/>
                  <w:divBdr>
                    <w:top w:val="none" w:sz="0" w:space="0" w:color="auto"/>
                    <w:left w:val="none" w:sz="0" w:space="0" w:color="auto"/>
                    <w:bottom w:val="none" w:sz="0" w:space="0" w:color="auto"/>
                    <w:right w:val="none" w:sz="0" w:space="0" w:color="auto"/>
                  </w:divBdr>
                  <w:divsChild>
                    <w:div w:id="287014475">
                      <w:marLeft w:val="0"/>
                      <w:marRight w:val="0"/>
                      <w:marTop w:val="0"/>
                      <w:marBottom w:val="0"/>
                      <w:divBdr>
                        <w:top w:val="none" w:sz="0" w:space="0" w:color="auto"/>
                        <w:left w:val="none" w:sz="0" w:space="0" w:color="auto"/>
                        <w:bottom w:val="none" w:sz="0" w:space="0" w:color="auto"/>
                        <w:right w:val="none" w:sz="0" w:space="0" w:color="auto"/>
                      </w:divBdr>
                      <w:divsChild>
                        <w:div w:id="16159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551325">
      <w:bodyDiv w:val="1"/>
      <w:marLeft w:val="0"/>
      <w:marRight w:val="0"/>
      <w:marTop w:val="0"/>
      <w:marBottom w:val="0"/>
      <w:divBdr>
        <w:top w:val="none" w:sz="0" w:space="0" w:color="auto"/>
        <w:left w:val="none" w:sz="0" w:space="0" w:color="auto"/>
        <w:bottom w:val="none" w:sz="0" w:space="0" w:color="auto"/>
        <w:right w:val="none" w:sz="0" w:space="0" w:color="auto"/>
      </w:divBdr>
    </w:div>
    <w:div w:id="522863246">
      <w:bodyDiv w:val="1"/>
      <w:marLeft w:val="0"/>
      <w:marRight w:val="0"/>
      <w:marTop w:val="0"/>
      <w:marBottom w:val="0"/>
      <w:divBdr>
        <w:top w:val="none" w:sz="0" w:space="0" w:color="auto"/>
        <w:left w:val="none" w:sz="0" w:space="0" w:color="auto"/>
        <w:bottom w:val="none" w:sz="0" w:space="0" w:color="auto"/>
        <w:right w:val="none" w:sz="0" w:space="0" w:color="auto"/>
      </w:divBdr>
    </w:div>
    <w:div w:id="618802349">
      <w:bodyDiv w:val="1"/>
      <w:marLeft w:val="0"/>
      <w:marRight w:val="0"/>
      <w:marTop w:val="0"/>
      <w:marBottom w:val="0"/>
      <w:divBdr>
        <w:top w:val="none" w:sz="0" w:space="0" w:color="auto"/>
        <w:left w:val="none" w:sz="0" w:space="0" w:color="auto"/>
        <w:bottom w:val="none" w:sz="0" w:space="0" w:color="auto"/>
        <w:right w:val="none" w:sz="0" w:space="0" w:color="auto"/>
      </w:divBdr>
    </w:div>
    <w:div w:id="671833552">
      <w:bodyDiv w:val="1"/>
      <w:marLeft w:val="0"/>
      <w:marRight w:val="0"/>
      <w:marTop w:val="0"/>
      <w:marBottom w:val="0"/>
      <w:divBdr>
        <w:top w:val="none" w:sz="0" w:space="0" w:color="auto"/>
        <w:left w:val="none" w:sz="0" w:space="0" w:color="auto"/>
        <w:bottom w:val="none" w:sz="0" w:space="0" w:color="auto"/>
        <w:right w:val="none" w:sz="0" w:space="0" w:color="auto"/>
      </w:divBdr>
    </w:div>
    <w:div w:id="755322135">
      <w:bodyDiv w:val="1"/>
      <w:marLeft w:val="0"/>
      <w:marRight w:val="0"/>
      <w:marTop w:val="0"/>
      <w:marBottom w:val="0"/>
      <w:divBdr>
        <w:top w:val="none" w:sz="0" w:space="0" w:color="auto"/>
        <w:left w:val="none" w:sz="0" w:space="0" w:color="auto"/>
        <w:bottom w:val="none" w:sz="0" w:space="0" w:color="auto"/>
        <w:right w:val="none" w:sz="0" w:space="0" w:color="auto"/>
      </w:divBdr>
    </w:div>
    <w:div w:id="787312391">
      <w:bodyDiv w:val="1"/>
      <w:marLeft w:val="0"/>
      <w:marRight w:val="0"/>
      <w:marTop w:val="0"/>
      <w:marBottom w:val="0"/>
      <w:divBdr>
        <w:top w:val="none" w:sz="0" w:space="0" w:color="auto"/>
        <w:left w:val="none" w:sz="0" w:space="0" w:color="auto"/>
        <w:bottom w:val="none" w:sz="0" w:space="0" w:color="auto"/>
        <w:right w:val="none" w:sz="0" w:space="0" w:color="auto"/>
      </w:divBdr>
    </w:div>
    <w:div w:id="962271614">
      <w:bodyDiv w:val="1"/>
      <w:marLeft w:val="0"/>
      <w:marRight w:val="0"/>
      <w:marTop w:val="0"/>
      <w:marBottom w:val="0"/>
      <w:divBdr>
        <w:top w:val="none" w:sz="0" w:space="0" w:color="auto"/>
        <w:left w:val="none" w:sz="0" w:space="0" w:color="auto"/>
        <w:bottom w:val="none" w:sz="0" w:space="0" w:color="auto"/>
        <w:right w:val="none" w:sz="0" w:space="0" w:color="auto"/>
      </w:divBdr>
    </w:div>
    <w:div w:id="978336796">
      <w:bodyDiv w:val="1"/>
      <w:marLeft w:val="0"/>
      <w:marRight w:val="0"/>
      <w:marTop w:val="0"/>
      <w:marBottom w:val="0"/>
      <w:divBdr>
        <w:top w:val="none" w:sz="0" w:space="0" w:color="auto"/>
        <w:left w:val="none" w:sz="0" w:space="0" w:color="auto"/>
        <w:bottom w:val="none" w:sz="0" w:space="0" w:color="auto"/>
        <w:right w:val="none" w:sz="0" w:space="0" w:color="auto"/>
      </w:divBdr>
    </w:div>
    <w:div w:id="1085108940">
      <w:bodyDiv w:val="1"/>
      <w:marLeft w:val="0"/>
      <w:marRight w:val="0"/>
      <w:marTop w:val="0"/>
      <w:marBottom w:val="0"/>
      <w:divBdr>
        <w:top w:val="none" w:sz="0" w:space="0" w:color="auto"/>
        <w:left w:val="none" w:sz="0" w:space="0" w:color="auto"/>
        <w:bottom w:val="none" w:sz="0" w:space="0" w:color="auto"/>
        <w:right w:val="none" w:sz="0" w:space="0" w:color="auto"/>
      </w:divBdr>
    </w:div>
    <w:div w:id="1307470812">
      <w:bodyDiv w:val="1"/>
      <w:marLeft w:val="0"/>
      <w:marRight w:val="0"/>
      <w:marTop w:val="0"/>
      <w:marBottom w:val="0"/>
      <w:divBdr>
        <w:top w:val="none" w:sz="0" w:space="0" w:color="auto"/>
        <w:left w:val="none" w:sz="0" w:space="0" w:color="auto"/>
        <w:bottom w:val="none" w:sz="0" w:space="0" w:color="auto"/>
        <w:right w:val="none" w:sz="0" w:space="0" w:color="auto"/>
      </w:divBdr>
    </w:div>
    <w:div w:id="1360281565">
      <w:bodyDiv w:val="1"/>
      <w:marLeft w:val="0"/>
      <w:marRight w:val="0"/>
      <w:marTop w:val="0"/>
      <w:marBottom w:val="0"/>
      <w:divBdr>
        <w:top w:val="none" w:sz="0" w:space="0" w:color="auto"/>
        <w:left w:val="none" w:sz="0" w:space="0" w:color="auto"/>
        <w:bottom w:val="none" w:sz="0" w:space="0" w:color="auto"/>
        <w:right w:val="none" w:sz="0" w:space="0" w:color="auto"/>
      </w:divBdr>
    </w:div>
    <w:div w:id="1368330877">
      <w:bodyDiv w:val="1"/>
      <w:marLeft w:val="0"/>
      <w:marRight w:val="0"/>
      <w:marTop w:val="0"/>
      <w:marBottom w:val="0"/>
      <w:divBdr>
        <w:top w:val="none" w:sz="0" w:space="0" w:color="auto"/>
        <w:left w:val="none" w:sz="0" w:space="0" w:color="auto"/>
        <w:bottom w:val="none" w:sz="0" w:space="0" w:color="auto"/>
        <w:right w:val="none" w:sz="0" w:space="0" w:color="auto"/>
      </w:divBdr>
    </w:div>
    <w:div w:id="1449160335">
      <w:bodyDiv w:val="1"/>
      <w:marLeft w:val="0"/>
      <w:marRight w:val="0"/>
      <w:marTop w:val="0"/>
      <w:marBottom w:val="0"/>
      <w:divBdr>
        <w:top w:val="none" w:sz="0" w:space="0" w:color="auto"/>
        <w:left w:val="none" w:sz="0" w:space="0" w:color="auto"/>
        <w:bottom w:val="none" w:sz="0" w:space="0" w:color="auto"/>
        <w:right w:val="none" w:sz="0" w:space="0" w:color="auto"/>
      </w:divBdr>
    </w:div>
    <w:div w:id="1490056164">
      <w:bodyDiv w:val="1"/>
      <w:marLeft w:val="0"/>
      <w:marRight w:val="0"/>
      <w:marTop w:val="0"/>
      <w:marBottom w:val="0"/>
      <w:divBdr>
        <w:top w:val="none" w:sz="0" w:space="0" w:color="auto"/>
        <w:left w:val="none" w:sz="0" w:space="0" w:color="auto"/>
        <w:bottom w:val="none" w:sz="0" w:space="0" w:color="auto"/>
        <w:right w:val="none" w:sz="0" w:space="0" w:color="auto"/>
      </w:divBdr>
    </w:div>
    <w:div w:id="1571767838">
      <w:bodyDiv w:val="1"/>
      <w:marLeft w:val="0"/>
      <w:marRight w:val="0"/>
      <w:marTop w:val="0"/>
      <w:marBottom w:val="0"/>
      <w:divBdr>
        <w:top w:val="none" w:sz="0" w:space="0" w:color="auto"/>
        <w:left w:val="none" w:sz="0" w:space="0" w:color="auto"/>
        <w:bottom w:val="none" w:sz="0" w:space="0" w:color="auto"/>
        <w:right w:val="none" w:sz="0" w:space="0" w:color="auto"/>
      </w:divBdr>
    </w:div>
    <w:div w:id="1876850646">
      <w:bodyDiv w:val="1"/>
      <w:marLeft w:val="0"/>
      <w:marRight w:val="0"/>
      <w:marTop w:val="0"/>
      <w:marBottom w:val="0"/>
      <w:divBdr>
        <w:top w:val="none" w:sz="0" w:space="0" w:color="auto"/>
        <w:left w:val="none" w:sz="0" w:space="0" w:color="auto"/>
        <w:bottom w:val="none" w:sz="0" w:space="0" w:color="auto"/>
        <w:right w:val="none" w:sz="0" w:space="0" w:color="auto"/>
      </w:divBdr>
    </w:div>
    <w:div w:id="208155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ozwoj-technologia/nawoz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fsa.europa.eu/en/applications/pesticides/tools" TargetMode="External"/><Relationship Id="rId5" Type="http://schemas.openxmlformats.org/officeDocument/2006/relationships/webSettings" Target="webSettings.xml"/><Relationship Id="rId10" Type="http://schemas.openxmlformats.org/officeDocument/2006/relationships/hyperlink" Target="mailto:sekretariat.dhr@minrol.gov.pl" TargetMode="External"/><Relationship Id="rId4" Type="http://schemas.openxmlformats.org/officeDocument/2006/relationships/settings" Target="settings.xml"/><Relationship Id="rId9" Type="http://schemas.openxmlformats.org/officeDocument/2006/relationships/hyperlink" Target="mailto:sekretariatdip@mrit.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0C18C-1A83-497C-A845-E9576093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6221</Words>
  <Characters>37327</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Wołoszynowska</dc:creator>
  <cp:keywords/>
  <dc:description/>
  <cp:lastModifiedBy>Król Karolina</cp:lastModifiedBy>
  <cp:revision>2</cp:revision>
  <cp:lastPrinted>2022-07-19T09:28:00Z</cp:lastPrinted>
  <dcterms:created xsi:type="dcterms:W3CDTF">2022-08-16T13:13:00Z</dcterms:created>
  <dcterms:modified xsi:type="dcterms:W3CDTF">2022-08-16T13:13:00Z</dcterms:modified>
</cp:coreProperties>
</file>