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bookmarkStart w:id="0" w:name="_GoBack"/>
      <w:bookmarkEnd w:id="0"/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35B10F00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</w:t>
      </w:r>
      <w:r w:rsidR="004C0A7B">
        <w:t>Konsul RP w Republice Mołdawii, z siedzibą w Kiszyniowie.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04B3E71C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4C0A7B">
        <w:rPr>
          <w:rFonts w:eastAsia="Times New Roman" w:cs="Arial"/>
          <w:bCs/>
          <w:lang w:eastAsia="pl-PL"/>
        </w:rPr>
        <w:t>Ambasady RP w Kiszyniowie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386268"/>
    <w:rsid w:val="004C0A7B"/>
    <w:rsid w:val="0053535F"/>
    <w:rsid w:val="00553295"/>
    <w:rsid w:val="00840750"/>
    <w:rsid w:val="00A366E0"/>
    <w:rsid w:val="00AA6635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Kozłowska-Słupek Anna</cp:lastModifiedBy>
  <cp:revision>2</cp:revision>
  <dcterms:created xsi:type="dcterms:W3CDTF">2020-01-21T14:17:00Z</dcterms:created>
  <dcterms:modified xsi:type="dcterms:W3CDTF">2020-01-21T14:17:00Z</dcterms:modified>
</cp:coreProperties>
</file>