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BB76BF" w14:textId="77777777" w:rsidR="00C64B1B" w:rsidRDefault="00C64B1B" w:rsidP="00C64B1B">
      <w:pPr>
        <w:jc w:val="center"/>
      </w:pPr>
      <w:bookmarkStart w:id="0" w:name="_GoBack"/>
      <w:bookmarkEnd w:id="0"/>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4536"/>
        <w:gridCol w:w="2635"/>
      </w:tblGrid>
      <w:tr w:rsidR="00A06425" w:rsidRPr="00A06425" w14:paraId="20132384" w14:textId="77777777" w:rsidTr="00A06425">
        <w:tc>
          <w:tcPr>
            <w:tcW w:w="15388" w:type="dxa"/>
            <w:gridSpan w:val="6"/>
            <w:shd w:val="clear" w:color="auto" w:fill="auto"/>
            <w:vAlign w:val="center"/>
          </w:tcPr>
          <w:p w14:paraId="36C764DD" w14:textId="77777777"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EE5C07">
              <w:rPr>
                <w:rFonts w:asciiTheme="minorHAnsi" w:hAnsiTheme="minorHAnsi" w:cstheme="minorHAnsi"/>
                <w:b/>
                <w:i/>
                <w:sz w:val="22"/>
                <w:szCs w:val="22"/>
              </w:rPr>
              <w:t xml:space="preserve"> </w:t>
            </w:r>
            <w:r w:rsidR="00EE5C07" w:rsidRPr="00EE5C07">
              <w:rPr>
                <w:rFonts w:asciiTheme="minorHAnsi" w:hAnsiTheme="minorHAnsi" w:cstheme="minorHAnsi"/>
                <w:b/>
                <w:i/>
                <w:sz w:val="22"/>
                <w:szCs w:val="22"/>
              </w:rPr>
              <w:t>Projekt ustawy o zmianie ustawy – Prawo budowlane oraz o zmianie niektórych innych ustaw</w:t>
            </w:r>
          </w:p>
          <w:p w14:paraId="1A754635" w14:textId="77777777" w:rsidR="00A06425" w:rsidRPr="00A06425" w:rsidRDefault="00A06425" w:rsidP="00B871B6">
            <w:pPr>
              <w:spacing w:before="120" w:after="120"/>
              <w:rPr>
                <w:rFonts w:asciiTheme="minorHAnsi" w:hAnsiTheme="minorHAnsi" w:cstheme="minorHAnsi"/>
                <w:b/>
                <w:i/>
                <w:sz w:val="22"/>
                <w:szCs w:val="22"/>
              </w:rPr>
            </w:pPr>
          </w:p>
        </w:tc>
      </w:tr>
      <w:tr w:rsidR="00044C14" w:rsidRPr="00A06425" w14:paraId="31949FB6" w14:textId="77777777" w:rsidTr="00181998">
        <w:tc>
          <w:tcPr>
            <w:tcW w:w="562" w:type="dxa"/>
            <w:shd w:val="clear" w:color="auto" w:fill="auto"/>
          </w:tcPr>
          <w:p w14:paraId="3E1DA22B" w14:textId="61D75232" w:rsidR="00044C14" w:rsidRPr="00B577A3" w:rsidRDefault="00144BCD" w:rsidP="005E0B5F">
            <w:pPr>
              <w:spacing w:before="120" w:after="120"/>
              <w:jc w:val="center"/>
              <w:rPr>
                <w:rFonts w:asciiTheme="minorHAnsi" w:hAnsiTheme="minorHAnsi" w:cstheme="minorHAnsi"/>
                <w:b/>
              </w:rPr>
            </w:pPr>
            <w:r>
              <w:rPr>
                <w:rFonts w:asciiTheme="minorHAnsi" w:hAnsiTheme="minorHAnsi" w:cstheme="minorHAnsi"/>
                <w:b/>
              </w:rPr>
              <w:t>1</w:t>
            </w:r>
            <w:r w:rsidR="00044C14" w:rsidRPr="00B577A3">
              <w:rPr>
                <w:rFonts w:asciiTheme="minorHAnsi" w:hAnsiTheme="minorHAnsi" w:cstheme="minorHAnsi"/>
                <w:b/>
              </w:rPr>
              <w:t>.</w:t>
            </w:r>
          </w:p>
        </w:tc>
        <w:tc>
          <w:tcPr>
            <w:tcW w:w="1134" w:type="dxa"/>
            <w:shd w:val="clear" w:color="auto" w:fill="auto"/>
          </w:tcPr>
          <w:p w14:paraId="11E322B1" w14:textId="131E6CEB" w:rsidR="00044C14" w:rsidRPr="00B577A3" w:rsidRDefault="00044C14" w:rsidP="005E0B5F">
            <w:pPr>
              <w:spacing w:before="60" w:after="60"/>
              <w:jc w:val="center"/>
              <w:rPr>
                <w:rFonts w:asciiTheme="minorHAnsi" w:hAnsiTheme="minorHAnsi" w:cstheme="minorHAnsi"/>
                <w:b/>
              </w:rPr>
            </w:pPr>
            <w:r w:rsidRPr="00B577A3">
              <w:rPr>
                <w:rFonts w:asciiTheme="minorHAnsi" w:hAnsiTheme="minorHAnsi" w:cstheme="minorHAnsi"/>
                <w:b/>
              </w:rPr>
              <w:t>MC</w:t>
            </w:r>
          </w:p>
        </w:tc>
        <w:tc>
          <w:tcPr>
            <w:tcW w:w="1843" w:type="dxa"/>
            <w:shd w:val="clear" w:color="auto" w:fill="auto"/>
          </w:tcPr>
          <w:p w14:paraId="51B69653" w14:textId="114537A2" w:rsidR="00044C14" w:rsidRPr="00B577A3" w:rsidRDefault="00044C14" w:rsidP="005E0B5F">
            <w:pPr>
              <w:jc w:val="center"/>
              <w:rPr>
                <w:rFonts w:asciiTheme="minorHAnsi" w:hAnsiTheme="minorHAnsi" w:cstheme="minorHAnsi"/>
              </w:rPr>
            </w:pPr>
            <w:r w:rsidRPr="00B577A3">
              <w:rPr>
                <w:rFonts w:asciiTheme="minorHAnsi" w:hAnsiTheme="minorHAnsi" w:cstheme="minorHAnsi"/>
              </w:rPr>
              <w:t>Art. 1 pkt 27 (79h ust. 2)</w:t>
            </w:r>
          </w:p>
        </w:tc>
        <w:tc>
          <w:tcPr>
            <w:tcW w:w="4678" w:type="dxa"/>
            <w:shd w:val="clear" w:color="auto" w:fill="auto"/>
          </w:tcPr>
          <w:p w14:paraId="64B1C691" w14:textId="27740789" w:rsidR="00044C14" w:rsidRPr="00B577A3" w:rsidRDefault="00044C14" w:rsidP="004B5455">
            <w:pPr>
              <w:jc w:val="both"/>
              <w:rPr>
                <w:rFonts w:asciiTheme="minorHAnsi" w:hAnsiTheme="minorHAnsi" w:cstheme="minorHAnsi"/>
              </w:rPr>
            </w:pPr>
            <w:r w:rsidRPr="00B577A3">
              <w:rPr>
                <w:rFonts w:asciiTheme="minorHAnsi" w:hAnsiTheme="minorHAnsi" w:cstheme="minorHAnsi"/>
              </w:rPr>
              <w:t xml:space="preserve">Proponuję rozważyć skrócenie okresu 5 lat, o którym mowa w projektowanym art. 79h ust. 2 ww. ustawy, aby w przypadku długookresowych nieaktywnych kont na portalu e-Budownictwo nie przechowywać zbyt długo zgromadzonych tam danych osobowych, jeśli nie odnotowuje się na takim koncie żadnej aktywności. Po pierwsze przechowywanie danych osobowych w portalu, zgromadzonych na takich nieaktywnych kontach, aż przez 5 lat, wydaje się nadmierne pod względem RODO. Po drugie dużo szybciej takie konta nie będą blokowały zasobów systemu administratora. </w:t>
            </w:r>
          </w:p>
        </w:tc>
        <w:tc>
          <w:tcPr>
            <w:tcW w:w="4536" w:type="dxa"/>
            <w:shd w:val="clear" w:color="auto" w:fill="auto"/>
          </w:tcPr>
          <w:p w14:paraId="131B8F68" w14:textId="2FBB791E" w:rsidR="00044C14" w:rsidRPr="00FD72C7" w:rsidRDefault="00D26016" w:rsidP="00D26016">
            <w:pPr>
              <w:rPr>
                <w:rFonts w:asciiTheme="minorHAnsi" w:hAnsiTheme="minorHAnsi" w:cstheme="minorHAnsi"/>
              </w:rPr>
            </w:pPr>
            <w:r>
              <w:rPr>
                <w:rFonts w:asciiTheme="minorHAnsi" w:hAnsiTheme="minorHAnsi" w:cstheme="minorHAnsi"/>
              </w:rPr>
              <w:t>Z</w:t>
            </w:r>
            <w:r w:rsidR="00044C14" w:rsidRPr="00044C14">
              <w:rPr>
                <w:rFonts w:asciiTheme="minorHAnsi" w:hAnsiTheme="minorHAnsi" w:cstheme="minorHAnsi"/>
              </w:rPr>
              <w:t>mniejszon</w:t>
            </w:r>
            <w:r>
              <w:rPr>
                <w:rFonts w:asciiTheme="minorHAnsi" w:hAnsiTheme="minorHAnsi" w:cstheme="minorHAnsi"/>
              </w:rPr>
              <w:t>o</w:t>
            </w:r>
            <w:r w:rsidR="00044C14" w:rsidRPr="00044C14">
              <w:rPr>
                <w:rFonts w:asciiTheme="minorHAnsi" w:hAnsiTheme="minorHAnsi" w:cstheme="minorHAnsi"/>
              </w:rPr>
              <w:t xml:space="preserve"> termin, po którym usuwane byłoby konto na platformie e-Budownictwo (z 5 lat do 2 lat).</w:t>
            </w:r>
          </w:p>
        </w:tc>
        <w:tc>
          <w:tcPr>
            <w:tcW w:w="2635" w:type="dxa"/>
          </w:tcPr>
          <w:p w14:paraId="23593D62" w14:textId="2495733C" w:rsidR="00044C14" w:rsidRPr="00044C14" w:rsidRDefault="00044C14" w:rsidP="005E0B5F">
            <w:pPr>
              <w:jc w:val="center"/>
              <w:rPr>
                <w:rFonts w:asciiTheme="minorHAnsi" w:hAnsiTheme="minorHAnsi" w:cstheme="minorHAnsi"/>
              </w:rPr>
            </w:pPr>
            <w:r w:rsidRPr="00044C14">
              <w:rPr>
                <w:rFonts w:asciiTheme="minorHAnsi" w:hAnsiTheme="minorHAnsi" w:cstheme="minorHAnsi"/>
              </w:rPr>
              <w:t>Uwaga uwzględniona</w:t>
            </w:r>
          </w:p>
        </w:tc>
      </w:tr>
      <w:tr w:rsidR="00044C14" w:rsidRPr="00A06425" w14:paraId="553D317E" w14:textId="77777777" w:rsidTr="00181998">
        <w:tc>
          <w:tcPr>
            <w:tcW w:w="562" w:type="dxa"/>
            <w:shd w:val="clear" w:color="auto" w:fill="auto"/>
          </w:tcPr>
          <w:p w14:paraId="5264D0E6" w14:textId="6E22F1A5" w:rsidR="00044C14" w:rsidRPr="00B577A3" w:rsidRDefault="00144BCD" w:rsidP="005E0B5F">
            <w:pPr>
              <w:spacing w:before="120" w:after="120"/>
              <w:jc w:val="center"/>
              <w:rPr>
                <w:rFonts w:asciiTheme="minorHAnsi" w:hAnsiTheme="minorHAnsi" w:cstheme="minorHAnsi"/>
                <w:b/>
              </w:rPr>
            </w:pPr>
            <w:r>
              <w:rPr>
                <w:rFonts w:asciiTheme="minorHAnsi" w:hAnsiTheme="minorHAnsi" w:cstheme="minorHAnsi"/>
                <w:b/>
              </w:rPr>
              <w:t>2</w:t>
            </w:r>
            <w:r w:rsidR="00044C14" w:rsidRPr="00B577A3">
              <w:rPr>
                <w:rFonts w:asciiTheme="minorHAnsi" w:hAnsiTheme="minorHAnsi" w:cstheme="minorHAnsi"/>
                <w:b/>
              </w:rPr>
              <w:t>.</w:t>
            </w:r>
          </w:p>
        </w:tc>
        <w:tc>
          <w:tcPr>
            <w:tcW w:w="1134" w:type="dxa"/>
            <w:shd w:val="clear" w:color="auto" w:fill="auto"/>
          </w:tcPr>
          <w:p w14:paraId="00AEEC0A" w14:textId="4681B342" w:rsidR="00044C14" w:rsidRPr="00B577A3" w:rsidRDefault="00044C14" w:rsidP="005E0B5F">
            <w:pPr>
              <w:spacing w:before="60" w:after="60"/>
              <w:jc w:val="center"/>
              <w:rPr>
                <w:rFonts w:asciiTheme="minorHAnsi" w:hAnsiTheme="minorHAnsi" w:cstheme="minorHAnsi"/>
                <w:b/>
              </w:rPr>
            </w:pPr>
            <w:r w:rsidRPr="00B577A3">
              <w:rPr>
                <w:rFonts w:asciiTheme="minorHAnsi" w:hAnsiTheme="minorHAnsi" w:cstheme="minorHAnsi"/>
                <w:b/>
              </w:rPr>
              <w:t>MC</w:t>
            </w:r>
          </w:p>
        </w:tc>
        <w:tc>
          <w:tcPr>
            <w:tcW w:w="1843" w:type="dxa"/>
            <w:shd w:val="clear" w:color="auto" w:fill="auto"/>
          </w:tcPr>
          <w:p w14:paraId="51A1DF00" w14:textId="78C6C783" w:rsidR="00044C14" w:rsidRPr="00B577A3" w:rsidRDefault="00044C14" w:rsidP="005E0B5F">
            <w:pPr>
              <w:jc w:val="center"/>
              <w:rPr>
                <w:rFonts w:asciiTheme="minorHAnsi" w:hAnsiTheme="minorHAnsi" w:cstheme="minorHAnsi"/>
              </w:rPr>
            </w:pPr>
            <w:r w:rsidRPr="00B577A3">
              <w:rPr>
                <w:rFonts w:asciiTheme="minorHAnsi" w:hAnsiTheme="minorHAnsi" w:cstheme="minorHAnsi"/>
              </w:rPr>
              <w:t>uzasadnienie</w:t>
            </w:r>
          </w:p>
        </w:tc>
        <w:tc>
          <w:tcPr>
            <w:tcW w:w="4678" w:type="dxa"/>
            <w:shd w:val="clear" w:color="auto" w:fill="auto"/>
          </w:tcPr>
          <w:p w14:paraId="49F4D2A6" w14:textId="7CE0D2F0" w:rsidR="00044C14" w:rsidRPr="00B577A3" w:rsidRDefault="00044C14" w:rsidP="004B5455">
            <w:pPr>
              <w:jc w:val="both"/>
              <w:rPr>
                <w:rFonts w:asciiTheme="minorHAnsi" w:hAnsiTheme="minorHAnsi" w:cstheme="minorHAnsi"/>
              </w:rPr>
            </w:pPr>
            <w:r w:rsidRPr="00B577A3">
              <w:rPr>
                <w:rFonts w:asciiTheme="minorHAnsi" w:hAnsiTheme="minorHAnsi" w:cstheme="minorHAnsi"/>
              </w:rPr>
              <w:t xml:space="preserve">Zgodnie z zasadą przejrzystości, minimalizacji danych oraz ograniczenia przechowywania RODO (art. 5 ust. 1 lit. a, c oraz e RODO) należy uzupełnić uzasadnienie do projektowanego art. 60p ust. 2 ustawy - Prawo budowlane, w zakresie wykazania niezbędności, konieczności i adekwatności przyjętego w tym przepisie okresu aż 10 lat od rozbiórki obiektu, dla przechowywania w systemie EKOB danych osobowych zawartych w książce takiego obiektu budowlanego, względem realizowanego celu przetwarzania tych danych osobowych. Należy bowiem wskazać, że zgodnie z RODO dane osobowe, które nie są już niezbędne do celów, w których zostały zebrane lub w inny sposób przetwarzane administrator winien </w:t>
            </w:r>
            <w:r w:rsidRPr="00B577A3">
              <w:rPr>
                <w:rFonts w:asciiTheme="minorHAnsi" w:hAnsiTheme="minorHAnsi" w:cstheme="minorHAnsi"/>
              </w:rPr>
              <w:lastRenderedPageBreak/>
              <w:t>niezwłocznie usuwać.</w:t>
            </w:r>
          </w:p>
        </w:tc>
        <w:tc>
          <w:tcPr>
            <w:tcW w:w="4536" w:type="dxa"/>
            <w:shd w:val="clear" w:color="auto" w:fill="auto"/>
          </w:tcPr>
          <w:p w14:paraId="504212D4" w14:textId="7CF66A34" w:rsidR="00044C14" w:rsidRPr="00FD72C7" w:rsidRDefault="00D26016" w:rsidP="00D26016">
            <w:pPr>
              <w:rPr>
                <w:rFonts w:asciiTheme="minorHAnsi" w:hAnsiTheme="minorHAnsi" w:cstheme="minorHAnsi"/>
              </w:rPr>
            </w:pPr>
            <w:r>
              <w:rPr>
                <w:rFonts w:asciiTheme="minorHAnsi" w:hAnsiTheme="minorHAnsi" w:cstheme="minorHAnsi"/>
              </w:rPr>
              <w:lastRenderedPageBreak/>
              <w:t>U</w:t>
            </w:r>
            <w:r w:rsidRPr="00D26016">
              <w:rPr>
                <w:rFonts w:asciiTheme="minorHAnsi" w:hAnsiTheme="minorHAnsi" w:cstheme="minorHAnsi"/>
              </w:rPr>
              <w:t>zupełni</w:t>
            </w:r>
            <w:r>
              <w:rPr>
                <w:rFonts w:asciiTheme="minorHAnsi" w:hAnsiTheme="minorHAnsi" w:cstheme="minorHAnsi"/>
              </w:rPr>
              <w:t>ono</w:t>
            </w:r>
            <w:r w:rsidRPr="00D26016">
              <w:rPr>
                <w:rFonts w:asciiTheme="minorHAnsi" w:hAnsiTheme="minorHAnsi" w:cstheme="minorHAnsi"/>
              </w:rPr>
              <w:t xml:space="preserve"> uzasadnienie art. 60p wskazując,</w:t>
            </w:r>
            <w:r>
              <w:rPr>
                <w:rFonts w:asciiTheme="minorHAnsi" w:hAnsiTheme="minorHAnsi" w:cstheme="minorHAnsi"/>
              </w:rPr>
              <w:t xml:space="preserve"> </w:t>
            </w:r>
            <w:r w:rsidRPr="00D26016">
              <w:rPr>
                <w:rFonts w:asciiTheme="minorHAnsi" w:hAnsiTheme="minorHAnsi" w:cstheme="minorHAnsi"/>
              </w:rPr>
              <w:t>niezbędność, konieczność i adekwatność przyjętego w tym przepisie okresu 10-u lat od rozbiórki obiektu dla przechowywania w systemie EKOB danych osobowych uzasadniając, że książka obiektu budowlanego jest jednym z najważniejszych dokumentów zawierających informacje</w:t>
            </w:r>
            <w:r>
              <w:rPr>
                <w:rFonts w:asciiTheme="minorHAnsi" w:hAnsiTheme="minorHAnsi" w:cstheme="minorHAnsi"/>
              </w:rPr>
              <w:t xml:space="preserve"> </w:t>
            </w:r>
            <w:r w:rsidRPr="00D26016">
              <w:rPr>
                <w:rFonts w:asciiTheme="minorHAnsi" w:hAnsiTheme="minorHAnsi" w:cstheme="minorHAnsi"/>
              </w:rPr>
              <w:t>na temat zdarzeń dotyczących obiektu budowlanego począwszy od przystąpienia do jego użytkowania, po dzień zakończenia jego rozbiórki. Dotyczy to również zdarzeń wpływających bezpośrednio na bezpieczeństwo jego użytkowania, jak wyniki kontroli okresowych, wykonane</w:t>
            </w:r>
            <w:r>
              <w:rPr>
                <w:rFonts w:asciiTheme="minorHAnsi" w:hAnsiTheme="minorHAnsi" w:cstheme="minorHAnsi"/>
              </w:rPr>
              <w:t xml:space="preserve"> </w:t>
            </w:r>
            <w:r w:rsidRPr="00D26016">
              <w:rPr>
                <w:rFonts w:asciiTheme="minorHAnsi" w:hAnsiTheme="minorHAnsi" w:cstheme="minorHAnsi"/>
              </w:rPr>
              <w:t>w obiekcie roboty budowlane, czy sporządzone opinie techniczne i ekspertyzy.</w:t>
            </w:r>
          </w:p>
        </w:tc>
        <w:tc>
          <w:tcPr>
            <w:tcW w:w="2635" w:type="dxa"/>
          </w:tcPr>
          <w:p w14:paraId="11D937C5" w14:textId="14728FA7" w:rsidR="00044C14" w:rsidRPr="00044C14" w:rsidRDefault="00044C14" w:rsidP="005E0B5F">
            <w:pPr>
              <w:jc w:val="center"/>
              <w:rPr>
                <w:rFonts w:asciiTheme="minorHAnsi" w:hAnsiTheme="minorHAnsi" w:cstheme="minorHAnsi"/>
              </w:rPr>
            </w:pPr>
            <w:r w:rsidRPr="00044C14">
              <w:rPr>
                <w:rFonts w:asciiTheme="minorHAnsi" w:hAnsiTheme="minorHAnsi" w:cstheme="minorHAnsi"/>
              </w:rPr>
              <w:t>Uwaga uwzględniona</w:t>
            </w:r>
          </w:p>
        </w:tc>
      </w:tr>
    </w:tbl>
    <w:p w14:paraId="33B434A6" w14:textId="77777777" w:rsidR="00C64B1B" w:rsidRDefault="00C64B1B" w:rsidP="004509A1"/>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1B"/>
    <w:rsid w:val="00034258"/>
    <w:rsid w:val="00044C14"/>
    <w:rsid w:val="000829FA"/>
    <w:rsid w:val="000E4CD3"/>
    <w:rsid w:val="00140BE8"/>
    <w:rsid w:val="00144BCD"/>
    <w:rsid w:val="00181998"/>
    <w:rsid w:val="00186E94"/>
    <w:rsid w:val="0019648E"/>
    <w:rsid w:val="002715B2"/>
    <w:rsid w:val="002E6A93"/>
    <w:rsid w:val="003124D1"/>
    <w:rsid w:val="003B4105"/>
    <w:rsid w:val="004509A1"/>
    <w:rsid w:val="00481498"/>
    <w:rsid w:val="004B7103"/>
    <w:rsid w:val="004C3AB6"/>
    <w:rsid w:val="004D086F"/>
    <w:rsid w:val="00566E1A"/>
    <w:rsid w:val="00577065"/>
    <w:rsid w:val="005E0B5F"/>
    <w:rsid w:val="005F6527"/>
    <w:rsid w:val="00631F6F"/>
    <w:rsid w:val="006705EC"/>
    <w:rsid w:val="006E16E9"/>
    <w:rsid w:val="00796E4D"/>
    <w:rsid w:val="007B65EC"/>
    <w:rsid w:val="00807385"/>
    <w:rsid w:val="00826300"/>
    <w:rsid w:val="008907FA"/>
    <w:rsid w:val="008B44A3"/>
    <w:rsid w:val="009029AA"/>
    <w:rsid w:val="00944932"/>
    <w:rsid w:val="0095382C"/>
    <w:rsid w:val="009819F2"/>
    <w:rsid w:val="009E5FDB"/>
    <w:rsid w:val="00A06425"/>
    <w:rsid w:val="00A35C7A"/>
    <w:rsid w:val="00A364F5"/>
    <w:rsid w:val="00AA2D3A"/>
    <w:rsid w:val="00AC7796"/>
    <w:rsid w:val="00B577A3"/>
    <w:rsid w:val="00B871B6"/>
    <w:rsid w:val="00C64B1B"/>
    <w:rsid w:val="00CD5EB0"/>
    <w:rsid w:val="00CD7CA7"/>
    <w:rsid w:val="00D26016"/>
    <w:rsid w:val="00E14C33"/>
    <w:rsid w:val="00E42B64"/>
    <w:rsid w:val="00ED7FAB"/>
    <w:rsid w:val="00EE5C07"/>
    <w:rsid w:val="00FC2841"/>
    <w:rsid w:val="00FD72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58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7FAB"/>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D7FAB"/>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1890</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BAF</dc:creator>
  <cp:lastModifiedBy>Anna Herman</cp:lastModifiedBy>
  <cp:revision>2</cp:revision>
  <cp:lastPrinted>2021-08-18T12:19:00Z</cp:lastPrinted>
  <dcterms:created xsi:type="dcterms:W3CDTF">2021-09-06T12:23:00Z</dcterms:created>
  <dcterms:modified xsi:type="dcterms:W3CDTF">2021-09-06T12:23:00Z</dcterms:modified>
</cp:coreProperties>
</file>