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69D7" w14:textId="0E27B338" w:rsidR="00F2010A" w:rsidRPr="00AE25C3" w:rsidRDefault="00504D42" w:rsidP="00504D42">
      <w:pPr>
        <w:keepNext/>
        <w:suppressAutoHyphens/>
        <w:spacing w:after="0" w:line="240" w:lineRule="auto"/>
        <w:ind w:left="6372"/>
        <w:jc w:val="both"/>
        <w:outlineLvl w:val="0"/>
        <w:rPr>
          <w:rFonts w:eastAsia="Times New Roman" w:cstheme="minorHAnsi"/>
          <w:b/>
          <w:smallCaps/>
        </w:rPr>
      </w:pPr>
      <w:bookmarkStart w:id="0" w:name="_Toc524000998"/>
      <w:bookmarkStart w:id="1" w:name="_Toc530061706"/>
      <w:bookmarkStart w:id="2" w:name="_Toc4071512"/>
      <w:bookmarkStart w:id="3" w:name="_Toc20814115"/>
      <w:r w:rsidRPr="00AE25C3">
        <w:rPr>
          <w:rFonts w:eastAsia="Times New Roman" w:cstheme="minorHAnsi"/>
          <w:b/>
          <w:smallCaps/>
        </w:rPr>
        <w:t xml:space="preserve">Załącznik </w:t>
      </w:r>
      <w:r w:rsidR="000404B9">
        <w:rPr>
          <w:rFonts w:eastAsia="Times New Roman" w:cstheme="minorHAnsi"/>
          <w:b/>
          <w:smallCaps/>
        </w:rPr>
        <w:t>5</w:t>
      </w:r>
      <w:r w:rsidR="00D619A1" w:rsidRPr="00AE25C3">
        <w:rPr>
          <w:rFonts w:eastAsia="Times New Roman" w:cstheme="minorHAnsi"/>
          <w:b/>
          <w:smallCaps/>
        </w:rPr>
        <w:t xml:space="preserve"> </w:t>
      </w:r>
      <w:r w:rsidRPr="00AE25C3">
        <w:rPr>
          <w:rFonts w:eastAsia="Times New Roman" w:cstheme="minorHAnsi"/>
          <w:b/>
          <w:smallCaps/>
        </w:rPr>
        <w:t>do Umowy</w:t>
      </w:r>
    </w:p>
    <w:p w14:paraId="294E21AB" w14:textId="77777777" w:rsidR="00504D42" w:rsidRPr="00AE25C3" w:rsidRDefault="00504D42" w:rsidP="00AE6AD3">
      <w:pPr>
        <w:keepNext/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mallCaps/>
        </w:rPr>
      </w:pPr>
    </w:p>
    <w:p w14:paraId="356E5851" w14:textId="77777777" w:rsidR="00AE6AD3" w:rsidRPr="00AE25C3" w:rsidRDefault="00F2010A" w:rsidP="00AE6AD3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smallCaps/>
          <w:sz w:val="24"/>
          <w:szCs w:val="24"/>
        </w:rPr>
      </w:pPr>
      <w:r w:rsidRPr="00AE25C3">
        <w:rPr>
          <w:rFonts w:eastAsia="Times New Roman" w:cstheme="minorHAnsi"/>
          <w:b/>
          <w:smallCaps/>
          <w:sz w:val="28"/>
          <w:szCs w:val="28"/>
        </w:rPr>
        <w:t>Mechanizm monitorowania i wycofania</w:t>
      </w:r>
      <w:r w:rsidR="00AE6AD3" w:rsidRPr="00AE25C3">
        <w:rPr>
          <w:rFonts w:eastAsia="Times New Roman" w:cstheme="minorHAnsi"/>
          <w:b/>
          <w:smallCaps/>
          <w:sz w:val="24"/>
          <w:szCs w:val="24"/>
        </w:rPr>
        <w:t xml:space="preserve"> </w:t>
      </w:r>
    </w:p>
    <w:p w14:paraId="653EE1EE" w14:textId="77777777" w:rsidR="00AE6AD3" w:rsidRPr="00AE25C3" w:rsidRDefault="00AE6AD3" w:rsidP="00AE6AD3">
      <w:pPr>
        <w:keepNext/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mallCaps/>
        </w:rPr>
      </w:pPr>
    </w:p>
    <w:bookmarkEnd w:id="0"/>
    <w:bookmarkEnd w:id="1"/>
    <w:bookmarkEnd w:id="2"/>
    <w:bookmarkEnd w:id="3"/>
    <w:p w14:paraId="386E64BE" w14:textId="0D701707" w:rsidR="00B87355" w:rsidRPr="00AE25C3" w:rsidRDefault="007530F8" w:rsidP="00CF4474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Udzielenie Beneficjentowi </w:t>
      </w:r>
      <w:r w:rsidR="0076207B" w:rsidRPr="00AE25C3">
        <w:rPr>
          <w:rFonts w:eastAsia="Times New Roman" w:cstheme="minorHAnsi"/>
          <w:iCs/>
        </w:rPr>
        <w:t xml:space="preserve">dofinansowania w postaci </w:t>
      </w:r>
      <w:r w:rsidRPr="00AE25C3">
        <w:rPr>
          <w:rFonts w:eastAsia="Times New Roman" w:cstheme="minorHAnsi"/>
          <w:iCs/>
        </w:rPr>
        <w:t>pomocy</w:t>
      </w:r>
      <w:r w:rsidR="0076207B" w:rsidRPr="00AE25C3">
        <w:rPr>
          <w:rFonts w:eastAsia="Times New Roman" w:cstheme="minorHAnsi"/>
          <w:iCs/>
        </w:rPr>
        <w:t xml:space="preserve"> państwa</w:t>
      </w:r>
      <w:r w:rsidRPr="00AE25C3">
        <w:rPr>
          <w:rFonts w:eastAsia="Times New Roman" w:cstheme="minorHAnsi"/>
          <w:iCs/>
        </w:rPr>
        <w:t xml:space="preserve"> następuje w ramach określonych </w:t>
      </w:r>
      <w:r w:rsidRPr="00AE25C3">
        <w:rPr>
          <w:rFonts w:cstheme="minorHAnsi"/>
        </w:rPr>
        <w:t xml:space="preserve">decyzją Komisji Europejskiej z dnia </w:t>
      </w:r>
      <w:r w:rsidR="00B0030E">
        <w:rPr>
          <w:rFonts w:cstheme="minorHAnsi"/>
        </w:rPr>
        <w:t xml:space="preserve">8 czerwca 2023 r. </w:t>
      </w:r>
      <w:r w:rsidR="00453FD0">
        <w:rPr>
          <w:rFonts w:cstheme="minorHAnsi"/>
        </w:rPr>
        <w:t xml:space="preserve">w sprawie SA.101175 (2023/N) – Poland – </w:t>
      </w:r>
      <w:proofErr w:type="spellStart"/>
      <w:r w:rsidR="00453FD0">
        <w:rPr>
          <w:rFonts w:cstheme="minorHAnsi"/>
        </w:rPr>
        <w:t>Important</w:t>
      </w:r>
      <w:proofErr w:type="spellEnd"/>
      <w:r w:rsidR="00453FD0">
        <w:rPr>
          <w:rFonts w:cstheme="minorHAnsi"/>
        </w:rPr>
        <w:t xml:space="preserve"> Project of </w:t>
      </w:r>
      <w:proofErr w:type="spellStart"/>
      <w:r w:rsidR="00453FD0">
        <w:rPr>
          <w:rFonts w:cstheme="minorHAnsi"/>
        </w:rPr>
        <w:t>Common</w:t>
      </w:r>
      <w:proofErr w:type="spellEnd"/>
      <w:r w:rsidR="00453FD0">
        <w:rPr>
          <w:rFonts w:cstheme="minorHAnsi"/>
        </w:rPr>
        <w:t xml:space="preserve"> </w:t>
      </w:r>
      <w:proofErr w:type="spellStart"/>
      <w:r w:rsidR="00453FD0">
        <w:rPr>
          <w:rFonts w:cstheme="minorHAnsi"/>
        </w:rPr>
        <w:t>European</w:t>
      </w:r>
      <w:proofErr w:type="spellEnd"/>
      <w:r w:rsidR="00453FD0">
        <w:rPr>
          <w:rFonts w:cstheme="minorHAnsi"/>
        </w:rPr>
        <w:t xml:space="preserve"> </w:t>
      </w:r>
      <w:proofErr w:type="spellStart"/>
      <w:r w:rsidR="00453FD0">
        <w:rPr>
          <w:rFonts w:cstheme="minorHAnsi"/>
        </w:rPr>
        <w:t>Interest</w:t>
      </w:r>
      <w:proofErr w:type="spellEnd"/>
      <w:r w:rsidR="00453FD0">
        <w:rPr>
          <w:rFonts w:cstheme="minorHAnsi"/>
        </w:rPr>
        <w:t xml:space="preserve"> on Microelectronics/</w:t>
      </w:r>
      <w:proofErr w:type="spellStart"/>
      <w:r w:rsidR="00453FD0">
        <w:rPr>
          <w:rFonts w:cstheme="minorHAnsi"/>
        </w:rPr>
        <w:t>Communication</w:t>
      </w:r>
      <w:proofErr w:type="spellEnd"/>
      <w:r w:rsidR="00453FD0">
        <w:rPr>
          <w:rFonts w:cstheme="minorHAnsi"/>
        </w:rPr>
        <w:t xml:space="preserve"> Technologies (IPCEI ME/CT) </w:t>
      </w:r>
      <w:r w:rsidRPr="00AE25C3">
        <w:rPr>
          <w:rFonts w:cstheme="minorHAnsi"/>
        </w:rPr>
        <w:t>(„</w:t>
      </w:r>
      <w:r w:rsidRPr="00AE25C3">
        <w:rPr>
          <w:rFonts w:cstheme="minorHAnsi"/>
          <w:b/>
        </w:rPr>
        <w:t>Decyzja Komisji</w:t>
      </w:r>
      <w:r w:rsidRPr="00AE25C3">
        <w:rPr>
          <w:rFonts w:cstheme="minorHAnsi"/>
        </w:rPr>
        <w:t>”).</w:t>
      </w:r>
      <w:r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>Pomoc państwa, której udzielenie</w:t>
      </w:r>
      <w:r w:rsidR="00D619A1"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>Beneficjentowi jest dozwolone, ograniczona jest notyfikowaną Komisji Europejskiej przez Polskę:</w:t>
      </w:r>
    </w:p>
    <w:p w14:paraId="7E1B9B78" w14:textId="77777777" w:rsidR="00B87355" w:rsidRPr="00AE25C3" w:rsidRDefault="00B87355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wartością nominalną i rzeczywistą kosztów kwalifikowanych oraz </w:t>
      </w:r>
    </w:p>
    <w:p w14:paraId="0428519E" w14:textId="46A86906" w:rsidR="00B87355" w:rsidRPr="00AE25C3" w:rsidRDefault="00082105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zdyskontowaną</w:t>
      </w:r>
      <w:r w:rsidR="00420751" w:rsidRPr="00AE25C3">
        <w:rPr>
          <w:rFonts w:eastAsia="Times New Roman" w:cstheme="minorHAnsi"/>
          <w:iCs/>
        </w:rPr>
        <w:t xml:space="preserve">, z uwzględnieniem </w:t>
      </w:r>
      <w:r w:rsidR="00546CD6" w:rsidRPr="00AE25C3">
        <w:rPr>
          <w:rFonts w:eastAsia="Times New Roman" w:cstheme="minorHAnsi"/>
          <w:iCs/>
        </w:rPr>
        <w:t xml:space="preserve">notyfikowanego Komisji Europejskiej </w:t>
      </w:r>
      <w:r w:rsidR="00420751" w:rsidRPr="00AE25C3">
        <w:rPr>
          <w:rFonts w:eastAsia="Times New Roman" w:cstheme="minorHAnsi"/>
          <w:iCs/>
        </w:rPr>
        <w:t xml:space="preserve">średniego ważonego kosztu kapitału </w:t>
      </w:r>
      <w:r w:rsidR="00390F49" w:rsidRPr="00AE25C3">
        <w:rPr>
          <w:rFonts w:eastAsia="Times New Roman" w:cstheme="minorHAnsi"/>
          <w:iCs/>
        </w:rPr>
        <w:t xml:space="preserve">ustalonego dla </w:t>
      </w:r>
      <w:r w:rsidR="00420751" w:rsidRPr="00AE25C3">
        <w:rPr>
          <w:rFonts w:eastAsia="Times New Roman" w:cstheme="minorHAnsi"/>
          <w:iCs/>
        </w:rPr>
        <w:t xml:space="preserve">Beneficjenta </w:t>
      </w:r>
      <w:r w:rsidR="00390F49" w:rsidRPr="00AE25C3">
        <w:rPr>
          <w:rFonts w:eastAsia="Times New Roman" w:cstheme="minorHAnsi"/>
          <w:iCs/>
        </w:rPr>
        <w:t>i</w:t>
      </w:r>
      <w:r w:rsidR="00CF4474">
        <w:rPr>
          <w:rFonts w:eastAsia="Times New Roman" w:cstheme="minorHAnsi"/>
          <w:iCs/>
        </w:rPr>
        <w:t> </w:t>
      </w:r>
      <w:r w:rsidR="00546CD6" w:rsidRPr="00AE25C3">
        <w:rPr>
          <w:rFonts w:eastAsia="Times New Roman" w:cstheme="minorHAnsi"/>
          <w:iCs/>
        </w:rPr>
        <w:t xml:space="preserve">wynoszącego [___] </w:t>
      </w:r>
      <w:r w:rsidR="00420751" w:rsidRPr="00AE25C3">
        <w:rPr>
          <w:rFonts w:eastAsia="Times New Roman" w:cstheme="minorHAnsi"/>
          <w:iCs/>
        </w:rPr>
        <w:t>(„</w:t>
      </w:r>
      <w:r w:rsidR="006A3C64" w:rsidRPr="00AE25C3">
        <w:rPr>
          <w:rFonts w:eastAsia="Times New Roman" w:cstheme="minorHAnsi"/>
          <w:b/>
          <w:iCs/>
        </w:rPr>
        <w:t>W</w:t>
      </w:r>
      <w:r w:rsidR="00420751" w:rsidRPr="00AE25C3">
        <w:rPr>
          <w:rFonts w:eastAsia="Times New Roman" w:cstheme="minorHAnsi"/>
          <w:b/>
          <w:iCs/>
        </w:rPr>
        <w:t>skaźnik WACC</w:t>
      </w:r>
      <w:r w:rsidR="00420751" w:rsidRPr="00AE25C3">
        <w:rPr>
          <w:rFonts w:eastAsia="Times New Roman" w:cstheme="minorHAnsi"/>
          <w:iCs/>
        </w:rPr>
        <w:t>”)</w:t>
      </w:r>
      <w:r w:rsidR="00AF4C59" w:rsidRPr="00AE25C3">
        <w:rPr>
          <w:rFonts w:eastAsia="Times New Roman" w:cstheme="minorHAnsi"/>
          <w:iCs/>
        </w:rPr>
        <w:t>,</w:t>
      </w:r>
      <w:r w:rsidR="00420751"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>wartością luki finansowej</w:t>
      </w:r>
      <w:r w:rsidR="00D30D66" w:rsidRPr="00AE25C3">
        <w:rPr>
          <w:rFonts w:eastAsia="Times New Roman" w:cstheme="minorHAnsi"/>
          <w:iCs/>
        </w:rPr>
        <w:t xml:space="preserve"> ustalonej dla roku </w:t>
      </w:r>
      <w:r w:rsidR="00891F1E">
        <w:rPr>
          <w:rFonts w:eastAsia="Times New Roman" w:cstheme="minorHAnsi"/>
          <w:iCs/>
        </w:rPr>
        <w:t>2023</w:t>
      </w:r>
      <w:r w:rsidR="00B87355" w:rsidRPr="00AE25C3">
        <w:rPr>
          <w:rFonts w:eastAsia="Times New Roman" w:cstheme="minorHAnsi"/>
          <w:iCs/>
        </w:rPr>
        <w:t>.</w:t>
      </w:r>
      <w:r w:rsidR="003A4D92" w:rsidRPr="00AE25C3">
        <w:t xml:space="preserve"> </w:t>
      </w:r>
      <w:r w:rsidR="003A4D92" w:rsidRPr="00AE25C3">
        <w:rPr>
          <w:rFonts w:eastAsia="Times New Roman" w:cstheme="minorHAnsi"/>
          <w:b/>
          <w:iCs/>
        </w:rPr>
        <w:t>Luka w</w:t>
      </w:r>
      <w:r w:rsidR="003B5D63">
        <w:rPr>
          <w:rFonts w:eastAsia="Times New Roman" w:cstheme="minorHAnsi"/>
          <w:b/>
          <w:iCs/>
        </w:rPr>
        <w:t> </w:t>
      </w:r>
      <w:r w:rsidR="003A4D92" w:rsidRPr="00AE25C3">
        <w:rPr>
          <w:rFonts w:eastAsia="Times New Roman" w:cstheme="minorHAnsi"/>
          <w:b/>
          <w:iCs/>
        </w:rPr>
        <w:t>finansowaniu</w:t>
      </w:r>
      <w:r w:rsidR="00831F3F" w:rsidRPr="00AE25C3">
        <w:rPr>
          <w:rStyle w:val="Odwoanieprzypisudolnego"/>
          <w:rFonts w:eastAsia="Times New Roman" w:cstheme="minorHAnsi"/>
          <w:iCs/>
        </w:rPr>
        <w:footnoteReference w:id="2"/>
      </w:r>
      <w:r w:rsidR="003A4D92" w:rsidRPr="00AE25C3">
        <w:rPr>
          <w:rFonts w:eastAsia="Times New Roman" w:cstheme="minorHAnsi"/>
          <w:iCs/>
        </w:rPr>
        <w:t xml:space="preserve"> została określona w przypadku Beneficjenta na kwotę [___].</w:t>
      </w:r>
    </w:p>
    <w:p w14:paraId="19CFDA2A" w14:textId="73474804" w:rsidR="007530F8" w:rsidRPr="00AE25C3" w:rsidRDefault="00F2010A" w:rsidP="00CF4474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Zgodnie z treścią </w:t>
      </w:r>
      <w:r w:rsidR="007530F8" w:rsidRPr="00AE25C3">
        <w:rPr>
          <w:rFonts w:eastAsia="Times New Roman" w:cstheme="minorHAnsi"/>
          <w:iCs/>
        </w:rPr>
        <w:t xml:space="preserve">Decyzji Komisji </w:t>
      </w:r>
      <w:r w:rsidR="005F2519" w:rsidRPr="00AE25C3">
        <w:rPr>
          <w:rFonts w:eastAsia="Times New Roman" w:cstheme="minorHAnsi"/>
          <w:iCs/>
        </w:rPr>
        <w:t xml:space="preserve">oraz dołączonym do niej załącznikiem I, </w:t>
      </w:r>
      <w:r w:rsidRPr="00AE25C3">
        <w:rPr>
          <w:rFonts w:eastAsia="Times New Roman" w:cstheme="minorHAnsi"/>
          <w:iCs/>
        </w:rPr>
        <w:t xml:space="preserve">każde państwo członkowskie udzielające pomocy </w:t>
      </w:r>
      <w:r w:rsidR="00135E1F">
        <w:rPr>
          <w:rFonts w:eastAsia="Times New Roman" w:cstheme="minorHAnsi"/>
          <w:iCs/>
        </w:rPr>
        <w:t>objętej tą decyzją</w:t>
      </w:r>
      <w:r w:rsidR="007530F8" w:rsidRPr="00AE25C3">
        <w:rPr>
          <w:rFonts w:eastAsia="Times New Roman" w:cstheme="minorHAnsi"/>
          <w:iCs/>
        </w:rPr>
        <w:t xml:space="preserve">, </w:t>
      </w:r>
      <w:r w:rsidRPr="00AE25C3">
        <w:rPr>
          <w:rFonts w:eastAsia="Times New Roman" w:cstheme="minorHAnsi"/>
          <w:iCs/>
        </w:rPr>
        <w:t>zobowiązane</w:t>
      </w:r>
      <w:r w:rsidR="00504D42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 xml:space="preserve">jest do stosowania mechanizmu </w:t>
      </w:r>
      <w:r w:rsidR="007530F8" w:rsidRPr="00AE25C3">
        <w:rPr>
          <w:rFonts w:eastAsia="Times New Roman" w:cstheme="minorHAnsi"/>
          <w:iCs/>
        </w:rPr>
        <w:t xml:space="preserve">wycofania (ang. </w:t>
      </w:r>
      <w:proofErr w:type="spellStart"/>
      <w:r w:rsidRPr="00AE25C3">
        <w:rPr>
          <w:rFonts w:eastAsia="Times New Roman" w:cstheme="minorHAnsi"/>
          <w:i/>
        </w:rPr>
        <w:t>claw-back</w:t>
      </w:r>
      <w:proofErr w:type="spellEnd"/>
      <w:r w:rsidR="007530F8" w:rsidRPr="00AE25C3">
        <w:rPr>
          <w:rFonts w:eastAsia="Times New Roman" w:cstheme="minorHAnsi"/>
          <w:i/>
        </w:rPr>
        <w:t xml:space="preserve"> </w:t>
      </w:r>
      <w:proofErr w:type="spellStart"/>
      <w:r w:rsidR="007530F8" w:rsidRPr="00AE25C3">
        <w:rPr>
          <w:rFonts w:eastAsia="Times New Roman" w:cstheme="minorHAnsi"/>
          <w:i/>
        </w:rPr>
        <w:t>mechanism</w:t>
      </w:r>
      <w:proofErr w:type="spellEnd"/>
      <w:r w:rsidR="007530F8" w:rsidRPr="00AE25C3">
        <w:rPr>
          <w:rFonts w:eastAsia="Times New Roman" w:cstheme="minorHAnsi"/>
          <w:iCs/>
        </w:rPr>
        <w:t xml:space="preserve">), służącego zapewnieniu, że pomoc </w:t>
      </w:r>
      <w:r w:rsidR="00101DAE" w:rsidRPr="00AE25C3">
        <w:rPr>
          <w:rFonts w:eastAsia="Times New Roman" w:cstheme="minorHAnsi"/>
          <w:iCs/>
        </w:rPr>
        <w:t xml:space="preserve">jest </w:t>
      </w:r>
      <w:r w:rsidR="00135E1F">
        <w:rPr>
          <w:rFonts w:eastAsia="Times New Roman" w:cstheme="minorHAnsi"/>
          <w:iCs/>
        </w:rPr>
        <w:t>ograniczona do niezbędnego minimum</w:t>
      </w:r>
      <w:r w:rsidR="00101DAE" w:rsidRPr="00AE25C3">
        <w:rPr>
          <w:rFonts w:eastAsia="Times New Roman" w:cstheme="minorHAnsi"/>
          <w:iCs/>
        </w:rPr>
        <w:t xml:space="preserve"> (</w:t>
      </w:r>
      <w:r w:rsidR="00AE22F1">
        <w:rPr>
          <w:rFonts w:eastAsia="Times New Roman" w:cstheme="minorHAnsi"/>
          <w:iCs/>
        </w:rPr>
        <w:t>motyw</w:t>
      </w:r>
      <w:r w:rsidR="00AE22F1" w:rsidRPr="00AE25C3">
        <w:rPr>
          <w:rFonts w:eastAsia="Times New Roman" w:cstheme="minorHAnsi"/>
          <w:iCs/>
        </w:rPr>
        <w:t xml:space="preserve"> </w:t>
      </w:r>
      <w:r w:rsidR="00AE22F1">
        <w:rPr>
          <w:rFonts w:eastAsia="Times New Roman" w:cstheme="minorHAnsi"/>
          <w:iCs/>
        </w:rPr>
        <w:t> </w:t>
      </w:r>
      <w:r w:rsidR="00891F1E">
        <w:rPr>
          <w:rFonts w:eastAsia="Times New Roman" w:cstheme="minorHAnsi"/>
          <w:iCs/>
        </w:rPr>
        <w:t>336</w:t>
      </w:r>
      <w:r w:rsidR="00AE22F1" w:rsidRPr="00AE25C3">
        <w:rPr>
          <w:rFonts w:eastAsia="Times New Roman" w:cstheme="minorHAnsi"/>
          <w:iCs/>
        </w:rPr>
        <w:t xml:space="preserve"> </w:t>
      </w:r>
      <w:r w:rsidR="00101DAE" w:rsidRPr="00AE25C3">
        <w:rPr>
          <w:rFonts w:eastAsia="Times New Roman" w:cstheme="minorHAnsi"/>
          <w:iCs/>
        </w:rPr>
        <w:t>Decyzji Komisji</w:t>
      </w:r>
      <w:r w:rsidR="00082105">
        <w:rPr>
          <w:rFonts w:eastAsia="Times New Roman" w:cstheme="minorHAnsi"/>
          <w:iCs/>
        </w:rPr>
        <w:t xml:space="preserve"> oraz</w:t>
      </w:r>
      <w:r w:rsidR="00093DEF"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 xml:space="preserve">pkt </w:t>
      </w:r>
      <w:r w:rsidR="00B53CD4">
        <w:rPr>
          <w:rFonts w:eastAsia="Times New Roman" w:cstheme="minorHAnsi"/>
          <w:iCs/>
        </w:rPr>
        <w:t>30</w:t>
      </w:r>
      <w:r w:rsidR="00B53CD4"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>Komunikatu IPCEI</w:t>
      </w:r>
      <w:r w:rsidR="00101DAE" w:rsidRPr="00AE25C3">
        <w:rPr>
          <w:rFonts w:eastAsia="Times New Roman" w:cstheme="minorHAnsi"/>
          <w:iCs/>
        </w:rPr>
        <w:t xml:space="preserve">). </w:t>
      </w:r>
      <w:r w:rsidR="00CB4C5B" w:rsidRPr="00AE25C3">
        <w:rPr>
          <w:rFonts w:eastAsia="Times New Roman" w:cstheme="minorHAnsi"/>
          <w:iCs/>
        </w:rPr>
        <w:t xml:space="preserve">Niniejszy </w:t>
      </w:r>
      <w:r w:rsidR="00101DAE" w:rsidRPr="00AE25C3">
        <w:rPr>
          <w:rFonts w:eastAsia="Times New Roman" w:cstheme="minorHAnsi"/>
          <w:iCs/>
        </w:rPr>
        <w:t>dokument określa zasady służące realizacji ww. zobowiązania Polski jako państwa członkowskiego.</w:t>
      </w:r>
      <w:r w:rsidR="00BD452D" w:rsidRPr="00AE25C3">
        <w:rPr>
          <w:rFonts w:eastAsia="Times New Roman" w:cstheme="minorHAnsi"/>
          <w:iCs/>
        </w:rPr>
        <w:t xml:space="preserve"> Instytucja Pośrednicząca zastrzega sobie możliwość modyfikacji tego dokumentu w związku ze wskazaniami służb Komisji Europejskiej oraz Instytucji Zarządzającej </w:t>
      </w:r>
      <w:r w:rsidR="00B53CD4">
        <w:rPr>
          <w:rFonts w:eastAsia="Times New Roman" w:cstheme="minorHAnsi"/>
          <w:iCs/>
        </w:rPr>
        <w:t>FENG</w:t>
      </w:r>
      <w:r w:rsidR="00B53CD4" w:rsidRPr="00AE25C3">
        <w:rPr>
          <w:rFonts w:eastAsia="Times New Roman" w:cstheme="minorHAnsi"/>
          <w:iCs/>
        </w:rPr>
        <w:t xml:space="preserve"> </w:t>
      </w:r>
      <w:r w:rsidR="00BD452D" w:rsidRPr="00AE25C3">
        <w:rPr>
          <w:rFonts w:eastAsia="Times New Roman" w:cstheme="minorHAnsi"/>
          <w:iCs/>
        </w:rPr>
        <w:t>przekazanymi w toku realizacji Umowy.</w:t>
      </w:r>
    </w:p>
    <w:p w14:paraId="55F146D6" w14:textId="1C04A207" w:rsidR="005F2519" w:rsidRPr="00AE25C3" w:rsidRDefault="00101DAE" w:rsidP="00CF4474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Beneficjent jest zobowiązany do stosowania zasad określonych w niniejszym załączniku, </w:t>
      </w:r>
      <w:r w:rsidR="00831F3F" w:rsidRPr="00AE25C3">
        <w:rPr>
          <w:rFonts w:eastAsia="Times New Roman" w:cstheme="minorHAnsi"/>
          <w:iCs/>
        </w:rPr>
        <w:br/>
      </w:r>
      <w:r w:rsidRPr="00AE25C3">
        <w:rPr>
          <w:rFonts w:eastAsia="Times New Roman" w:cstheme="minorHAnsi"/>
          <w:iCs/>
        </w:rPr>
        <w:t xml:space="preserve">jeśli zgodnie z </w:t>
      </w:r>
      <w:r w:rsidR="00C442EC" w:rsidRPr="00AE25C3">
        <w:rPr>
          <w:rFonts w:eastAsia="Times New Roman" w:cstheme="minorHAnsi"/>
          <w:iCs/>
        </w:rPr>
        <w:t>Decyzją Komisji</w:t>
      </w:r>
      <w:r w:rsidRPr="00AE25C3">
        <w:rPr>
          <w:rFonts w:eastAsia="Times New Roman" w:cstheme="minorHAnsi"/>
          <w:iCs/>
        </w:rPr>
        <w:t xml:space="preserve"> maksymalna wartość pomocy, jaką Beneficjent może uzyskać od Polski jako państwa członkowskiego, przekracza równowartość 50 000 000 (pięćdziesięciu milionów) euro.</w:t>
      </w:r>
      <w:r w:rsidR="005F2519" w:rsidRPr="00AE25C3">
        <w:rPr>
          <w:rFonts w:eastAsia="Times New Roman" w:cstheme="minorHAnsi"/>
          <w:iCs/>
        </w:rPr>
        <w:t xml:space="preserve"> Beneficjent</w:t>
      </w:r>
      <w:r w:rsidR="003B5D63">
        <w:rPr>
          <w:rFonts w:eastAsia="Times New Roman" w:cstheme="minorHAnsi"/>
          <w:iCs/>
        </w:rPr>
        <w:t>,</w:t>
      </w:r>
      <w:r w:rsidR="005F2519" w:rsidRPr="00AE25C3">
        <w:rPr>
          <w:rFonts w:eastAsia="Times New Roman" w:cstheme="minorHAnsi"/>
          <w:iCs/>
        </w:rPr>
        <w:t xml:space="preserve"> zawierając niniejszą </w:t>
      </w:r>
      <w:r w:rsidR="003B5D63">
        <w:rPr>
          <w:rFonts w:eastAsia="Times New Roman" w:cstheme="minorHAnsi"/>
          <w:iCs/>
        </w:rPr>
        <w:t>U</w:t>
      </w:r>
      <w:r w:rsidR="005F2519" w:rsidRPr="00AE25C3">
        <w:rPr>
          <w:rFonts w:eastAsia="Times New Roman" w:cstheme="minorHAnsi"/>
          <w:iCs/>
        </w:rPr>
        <w:t xml:space="preserve">mowę oświadcza, że zapoznał się z treścią Decyzji Komisji oraz ma świadomość, że w przypadku uzyskania Nadwyżki określonej zgodnie z poniższymi zasadami, zobowiązany będzie do zwrotu części środków </w:t>
      </w:r>
      <w:r w:rsidR="00093DEF" w:rsidRPr="00AE25C3">
        <w:rPr>
          <w:rFonts w:eastAsia="Times New Roman" w:cstheme="minorHAnsi"/>
          <w:iCs/>
        </w:rPr>
        <w:t xml:space="preserve">dofinansowania </w:t>
      </w:r>
      <w:r w:rsidR="00831F3F" w:rsidRPr="00AE25C3">
        <w:rPr>
          <w:rFonts w:eastAsia="Times New Roman" w:cstheme="minorHAnsi"/>
          <w:iCs/>
        </w:rPr>
        <w:br/>
      </w:r>
      <w:r w:rsidR="005F2519" w:rsidRPr="00AE25C3">
        <w:rPr>
          <w:rFonts w:eastAsia="Times New Roman" w:cstheme="minorHAnsi"/>
          <w:iCs/>
        </w:rPr>
        <w:t>w wysokości określonej zgodnie z niniejszym załącznikiem.</w:t>
      </w:r>
    </w:p>
    <w:p w14:paraId="243767D2" w14:textId="3A9007F6" w:rsidR="003E6B09" w:rsidRPr="00AE25C3" w:rsidRDefault="003E6B09" w:rsidP="00CF4474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W przypadku Projektu Strony przyjmują na potrzeby niniejszego mechanizmu monitorowania i wycofania termin określony jako „</w:t>
      </w:r>
      <w:r w:rsidRPr="00AE25C3">
        <w:rPr>
          <w:rFonts w:eastAsia="Times New Roman" w:cstheme="minorHAnsi"/>
          <w:b/>
          <w:iCs/>
        </w:rPr>
        <w:t>Data Końcowa</w:t>
      </w:r>
      <w:r w:rsidRPr="00AE25C3">
        <w:rPr>
          <w:rFonts w:eastAsia="Times New Roman" w:cstheme="minorHAnsi"/>
          <w:iCs/>
        </w:rPr>
        <w:t>”</w:t>
      </w:r>
      <w:r w:rsidR="00831F3F" w:rsidRPr="00AE25C3">
        <w:rPr>
          <w:rStyle w:val="Odwoanieprzypisudolnego"/>
          <w:rFonts w:eastAsia="Times New Roman" w:cstheme="minorHAnsi"/>
          <w:iCs/>
        </w:rPr>
        <w:footnoteReference w:id="3"/>
      </w:r>
      <w:r w:rsidRPr="00AE25C3">
        <w:rPr>
          <w:rFonts w:eastAsia="Times New Roman" w:cstheme="minorHAnsi"/>
          <w:iCs/>
        </w:rPr>
        <w:t xml:space="preserve">, odnoszący się do dnia </w:t>
      </w:r>
      <w:r w:rsidR="00831F3F" w:rsidRPr="00AE25C3">
        <w:rPr>
          <w:rFonts w:eastAsia="Times New Roman" w:cstheme="minorHAnsi"/>
          <w:iCs/>
        </w:rPr>
        <w:br/>
      </w:r>
      <w:r w:rsidRPr="00AE25C3">
        <w:rPr>
          <w:rFonts w:eastAsia="Times New Roman" w:cstheme="minorHAnsi"/>
          <w:iCs/>
        </w:rPr>
        <w:t xml:space="preserve">w którym upływa okres </w:t>
      </w:r>
      <w:r w:rsidR="004348AE">
        <w:rPr>
          <w:rFonts w:eastAsia="Times New Roman" w:cstheme="minorHAnsi"/>
          <w:iCs/>
        </w:rPr>
        <w:t>10</w:t>
      </w:r>
      <w:r w:rsidR="004348AE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 xml:space="preserve">lat od </w:t>
      </w:r>
      <w:r w:rsidR="003B5D63">
        <w:rPr>
          <w:rFonts w:eastAsia="Times New Roman" w:cstheme="minorHAnsi"/>
          <w:iCs/>
        </w:rPr>
        <w:t>zakończenia realizacji Projektu w rozumieniu Umowy</w:t>
      </w:r>
      <w:r w:rsidRPr="00AE25C3">
        <w:rPr>
          <w:rFonts w:eastAsia="Times New Roman" w:cstheme="minorHAnsi"/>
          <w:iCs/>
        </w:rPr>
        <w:t>.</w:t>
      </w:r>
    </w:p>
    <w:p w14:paraId="39DA7B17" w14:textId="0C29FA34" w:rsidR="003E6B09" w:rsidRPr="00AE25C3" w:rsidRDefault="003E6B09" w:rsidP="00CF4474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eastAsia="Times New Roman" w:cstheme="minorHAnsi"/>
          <w:b/>
          <w:iCs/>
        </w:rPr>
      </w:pPr>
      <w:r w:rsidRPr="00AE25C3">
        <w:rPr>
          <w:rFonts w:eastAsia="Times New Roman" w:cstheme="minorHAnsi"/>
          <w:iCs/>
        </w:rPr>
        <w:lastRenderedPageBreak/>
        <w:t xml:space="preserve">Wyliczenia Nadwyżki oraz Kwoty Podlegającej Wycofaniu następują dla każdego roku od </w:t>
      </w:r>
      <w:r w:rsidR="00FC1CB5">
        <w:rPr>
          <w:rFonts w:eastAsia="Times New Roman" w:cstheme="minorHAnsi"/>
          <w:iCs/>
        </w:rPr>
        <w:t>2023</w:t>
      </w:r>
      <w:r w:rsidR="005B3597">
        <w:rPr>
          <w:rFonts w:eastAsia="Times New Roman" w:cstheme="minorHAnsi"/>
          <w:iCs/>
        </w:rPr>
        <w:t xml:space="preserve"> roku</w:t>
      </w:r>
      <w:r w:rsidRPr="00AE25C3">
        <w:rPr>
          <w:rFonts w:eastAsia="Times New Roman" w:cstheme="minorHAnsi"/>
          <w:b/>
          <w:iCs/>
        </w:rPr>
        <w:t xml:space="preserve"> do roku w którym wypada Data końcowa.</w:t>
      </w:r>
    </w:p>
    <w:p w14:paraId="0DB0EA1D" w14:textId="2D0BC938" w:rsidR="00101DAE" w:rsidRPr="00AE25C3" w:rsidRDefault="003C5FF2" w:rsidP="007530F8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 xml:space="preserve">Zobowiązania </w:t>
      </w:r>
      <w:r w:rsidR="00093DEF" w:rsidRPr="00AE25C3">
        <w:rPr>
          <w:rFonts w:eastAsia="Times New Roman" w:cstheme="minorHAnsi"/>
          <w:b/>
          <w:bCs/>
          <w:iCs/>
        </w:rPr>
        <w:t xml:space="preserve">Beneficjenta </w:t>
      </w:r>
      <w:r w:rsidRPr="00AE25C3">
        <w:rPr>
          <w:rFonts w:eastAsia="Times New Roman" w:cstheme="minorHAnsi"/>
          <w:b/>
          <w:bCs/>
          <w:iCs/>
        </w:rPr>
        <w:t>dotyczące ksiąg rachunkowych</w:t>
      </w:r>
    </w:p>
    <w:p w14:paraId="57121C52" w14:textId="77777777" w:rsidR="00CB4C5B" w:rsidRPr="00AE25C3" w:rsidRDefault="00965CC8" w:rsidP="00CF4474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bookmarkStart w:id="4" w:name="_Ref51197245"/>
      <w:r w:rsidRPr="00AE25C3">
        <w:rPr>
          <w:rFonts w:eastAsia="Times New Roman" w:cstheme="minorHAnsi"/>
          <w:iCs/>
        </w:rPr>
        <w:t>Beneficjent jest zobowiązany:</w:t>
      </w:r>
      <w:bookmarkEnd w:id="4"/>
    </w:p>
    <w:p w14:paraId="6CD5620F" w14:textId="5FD59A2E" w:rsidR="00965CC8" w:rsidRPr="00AE25C3" w:rsidRDefault="00965CC8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prowadzić odrębną dla Projektu</w:t>
      </w:r>
      <w:r w:rsidR="00C91FAE" w:rsidRPr="00AE25C3">
        <w:rPr>
          <w:rFonts w:eastAsia="Times New Roman" w:cstheme="minorHAnsi"/>
          <w:iCs/>
        </w:rPr>
        <w:t xml:space="preserve"> (i jego podprojektów) </w:t>
      </w:r>
      <w:r w:rsidRPr="00AE25C3">
        <w:rPr>
          <w:rFonts w:eastAsia="Times New Roman" w:cstheme="minorHAnsi"/>
          <w:iCs/>
        </w:rPr>
        <w:t>księgowość analityczną,</w:t>
      </w:r>
    </w:p>
    <w:p w14:paraId="511FC558" w14:textId="6FE42419" w:rsidR="008A4D02" w:rsidRPr="00AE25C3" w:rsidRDefault="008A4D02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bookmarkStart w:id="5" w:name="_Ref51197247"/>
      <w:r w:rsidRPr="00AE25C3">
        <w:rPr>
          <w:rFonts w:eastAsia="Times New Roman" w:cstheme="minorHAnsi"/>
          <w:iCs/>
        </w:rPr>
        <w:t xml:space="preserve">wyszczególniać w </w:t>
      </w:r>
      <w:r w:rsidR="006C04F7" w:rsidRPr="00AE25C3">
        <w:rPr>
          <w:rFonts w:eastAsia="Times New Roman" w:cstheme="minorHAnsi"/>
          <w:iCs/>
        </w:rPr>
        <w:t>dokumen</w:t>
      </w:r>
      <w:r w:rsidR="00D37F7B" w:rsidRPr="00AE25C3">
        <w:rPr>
          <w:rFonts w:eastAsia="Times New Roman" w:cstheme="minorHAnsi"/>
          <w:iCs/>
        </w:rPr>
        <w:t xml:space="preserve">cie </w:t>
      </w:r>
      <w:r w:rsidR="006C04F7" w:rsidRPr="00AE25C3">
        <w:rPr>
          <w:rFonts w:eastAsia="Times New Roman" w:cstheme="minorHAnsi"/>
          <w:iCs/>
        </w:rPr>
        <w:t>finansowy</w:t>
      </w:r>
      <w:r w:rsidR="00D37F7B" w:rsidRPr="00AE25C3">
        <w:rPr>
          <w:rFonts w:eastAsia="Times New Roman" w:cstheme="minorHAnsi"/>
          <w:iCs/>
        </w:rPr>
        <w:t>m sporządzonym przez</w:t>
      </w:r>
      <w:r w:rsidRPr="00AE25C3">
        <w:rPr>
          <w:rFonts w:eastAsia="Times New Roman" w:cstheme="minorHAnsi"/>
          <w:iCs/>
        </w:rPr>
        <w:t xml:space="preserve"> Beneficjenta </w:t>
      </w:r>
      <w:r w:rsidR="00D17E90" w:rsidRPr="00AE25C3">
        <w:rPr>
          <w:rFonts w:eastAsia="Times New Roman" w:cstheme="minorHAnsi"/>
          <w:iCs/>
        </w:rPr>
        <w:br/>
      </w:r>
      <w:r w:rsidR="006C04F7" w:rsidRPr="00AE25C3">
        <w:rPr>
          <w:rFonts w:eastAsia="Times New Roman" w:cstheme="minorHAnsi"/>
          <w:iCs/>
        </w:rPr>
        <w:t xml:space="preserve">(w jednostkowym lub skonsolidowanym sprawozdaniu finansowym, lub innym dokumencie finansowym sporządzonym zgodnie z obowiązującymi Beneficjenta zasadami rachunkowości) </w:t>
      </w:r>
      <w:r w:rsidR="0050267E" w:rsidRPr="00AE25C3">
        <w:rPr>
          <w:rFonts w:eastAsia="Times New Roman" w:cstheme="minorHAnsi"/>
          <w:iCs/>
        </w:rPr>
        <w:t xml:space="preserve">wartości dla okresu od roku </w:t>
      </w:r>
      <w:r w:rsidR="002C60F0">
        <w:rPr>
          <w:rFonts w:eastAsia="Times New Roman" w:cstheme="minorHAnsi"/>
          <w:iCs/>
        </w:rPr>
        <w:t>202</w:t>
      </w:r>
      <w:r w:rsidR="003B5D63">
        <w:rPr>
          <w:rFonts w:eastAsia="Times New Roman" w:cstheme="minorHAnsi"/>
          <w:iCs/>
        </w:rPr>
        <w:t>3</w:t>
      </w:r>
      <w:r w:rsidR="00901A00" w:rsidRPr="00AE25C3">
        <w:rPr>
          <w:rFonts w:eastAsia="Times New Roman" w:cstheme="minorHAnsi"/>
          <w:iCs/>
        </w:rPr>
        <w:t xml:space="preserve"> </w:t>
      </w:r>
      <w:r w:rsidR="0050267E" w:rsidRPr="00AE25C3">
        <w:rPr>
          <w:rFonts w:eastAsia="Times New Roman" w:cstheme="minorHAnsi"/>
          <w:iCs/>
        </w:rPr>
        <w:t>do okresu badanego w</w:t>
      </w:r>
      <w:r w:rsidR="003B5D63">
        <w:rPr>
          <w:rFonts w:eastAsia="Times New Roman" w:cstheme="minorHAnsi"/>
          <w:iCs/>
        </w:rPr>
        <w:t> </w:t>
      </w:r>
      <w:r w:rsidR="0050267E" w:rsidRPr="00AE25C3">
        <w:rPr>
          <w:rFonts w:eastAsia="Times New Roman" w:cstheme="minorHAnsi"/>
          <w:iCs/>
        </w:rPr>
        <w:t xml:space="preserve">zakresie określonym w pkt </w:t>
      </w:r>
      <w:r w:rsidR="0050267E" w:rsidRPr="00AE25C3">
        <w:rPr>
          <w:rFonts w:eastAsia="Times New Roman" w:cstheme="minorHAnsi"/>
          <w:iCs/>
        </w:rPr>
        <w:fldChar w:fldCharType="begin"/>
      </w:r>
      <w:r w:rsidR="0050267E"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50267E" w:rsidRPr="00AE25C3">
        <w:rPr>
          <w:rFonts w:eastAsia="Times New Roman" w:cstheme="minorHAnsi"/>
          <w:iCs/>
        </w:rPr>
      </w:r>
      <w:r w:rsidR="0050267E" w:rsidRPr="00AE25C3">
        <w:rPr>
          <w:rFonts w:eastAsia="Times New Roman" w:cstheme="minorHAnsi"/>
          <w:iCs/>
        </w:rPr>
        <w:fldChar w:fldCharType="separate"/>
      </w:r>
      <w:r w:rsidR="001E7104">
        <w:rPr>
          <w:rFonts w:eastAsia="Times New Roman" w:cstheme="minorHAnsi"/>
          <w:iCs/>
        </w:rPr>
        <w:t>10</w:t>
      </w:r>
      <w:r w:rsidR="0050267E" w:rsidRPr="00AE25C3">
        <w:rPr>
          <w:rFonts w:eastAsia="Times New Roman" w:cstheme="minorHAnsi"/>
          <w:iCs/>
        </w:rPr>
        <w:fldChar w:fldCharType="end"/>
      </w:r>
      <w:r w:rsidR="0050267E" w:rsidRPr="00AE25C3">
        <w:rPr>
          <w:rFonts w:eastAsia="Times New Roman" w:cstheme="minorHAnsi"/>
          <w:iCs/>
        </w:rPr>
        <w:t xml:space="preserve"> oraz pkt </w:t>
      </w:r>
      <w:r w:rsidR="0050267E" w:rsidRPr="00AE25C3">
        <w:rPr>
          <w:rFonts w:eastAsia="Times New Roman" w:cstheme="minorHAnsi"/>
          <w:iCs/>
        </w:rPr>
        <w:fldChar w:fldCharType="begin"/>
      </w:r>
      <w:r w:rsidR="0050267E"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50267E" w:rsidRPr="00AE25C3">
        <w:rPr>
          <w:rFonts w:eastAsia="Times New Roman" w:cstheme="minorHAnsi"/>
          <w:iCs/>
        </w:rPr>
      </w:r>
      <w:r w:rsidR="0050267E" w:rsidRPr="00AE25C3">
        <w:rPr>
          <w:rFonts w:eastAsia="Times New Roman" w:cstheme="minorHAnsi"/>
          <w:iCs/>
        </w:rPr>
        <w:fldChar w:fldCharType="separate"/>
      </w:r>
      <w:r w:rsidR="001E7104">
        <w:rPr>
          <w:rFonts w:eastAsia="Times New Roman" w:cstheme="minorHAnsi"/>
          <w:iCs/>
        </w:rPr>
        <w:t>11</w:t>
      </w:r>
      <w:r w:rsidR="0050267E" w:rsidRPr="00AE25C3">
        <w:rPr>
          <w:rFonts w:eastAsia="Times New Roman" w:cstheme="minorHAnsi"/>
          <w:iCs/>
        </w:rPr>
        <w:fldChar w:fldCharType="end"/>
      </w:r>
      <w:r w:rsidR="003C5FF2" w:rsidRPr="00AE25C3">
        <w:rPr>
          <w:rFonts w:eastAsia="Times New Roman" w:cstheme="minorHAnsi"/>
          <w:iCs/>
        </w:rPr>
        <w:t>,</w:t>
      </w:r>
      <w:bookmarkEnd w:id="5"/>
    </w:p>
    <w:p w14:paraId="4AE2B063" w14:textId="4D19546F" w:rsidR="00965CC8" w:rsidRPr="00AE25C3" w:rsidRDefault="00965CC8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bookmarkStart w:id="6" w:name="_Ref51232536"/>
      <w:r w:rsidRPr="00AE25C3">
        <w:rPr>
          <w:rFonts w:eastAsia="Times New Roman" w:cstheme="minorHAnsi"/>
          <w:iCs/>
        </w:rPr>
        <w:t xml:space="preserve">poddawać </w:t>
      </w:r>
      <w:r w:rsidR="006C04F7" w:rsidRPr="00AE25C3">
        <w:rPr>
          <w:rFonts w:eastAsia="Times New Roman" w:cstheme="minorHAnsi"/>
          <w:iCs/>
        </w:rPr>
        <w:t xml:space="preserve">dokumenty finansowe wskazane w lit.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_Ref51197247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b</w:t>
      </w:r>
      <w:r w:rsidR="006C04F7"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ocenie biegłego rewidenta</w:t>
      </w:r>
      <w:r w:rsidR="00797E03" w:rsidRPr="00AE25C3">
        <w:rPr>
          <w:rFonts w:eastAsia="Times New Roman" w:cstheme="minorHAnsi"/>
          <w:iCs/>
        </w:rPr>
        <w:t xml:space="preserve"> wybranego przez Beneficjenta</w:t>
      </w:r>
      <w:r w:rsidRPr="00AE25C3">
        <w:rPr>
          <w:rFonts w:eastAsia="Times New Roman" w:cstheme="minorHAnsi"/>
          <w:iCs/>
        </w:rPr>
        <w:t>, co najmniej w zakresie dotyczącym Projektu</w:t>
      </w:r>
      <w:r w:rsidR="003C5FF2" w:rsidRPr="00AE25C3">
        <w:rPr>
          <w:rFonts w:eastAsia="Times New Roman" w:cstheme="minorHAnsi"/>
          <w:iCs/>
        </w:rPr>
        <w:t xml:space="preserve"> </w:t>
      </w:r>
      <w:r w:rsidR="00C91FAE" w:rsidRPr="00AE25C3">
        <w:rPr>
          <w:rFonts w:eastAsia="Times New Roman" w:cstheme="minorHAnsi"/>
          <w:iCs/>
        </w:rPr>
        <w:t>oraz</w:t>
      </w:r>
      <w:r w:rsidR="003C5FF2" w:rsidRPr="00AE25C3">
        <w:rPr>
          <w:rFonts w:eastAsia="Times New Roman" w:cstheme="minorHAnsi"/>
          <w:iCs/>
        </w:rPr>
        <w:t xml:space="preserve"> danych wskazanych </w:t>
      </w:r>
      <w:r w:rsidR="00D37F7B" w:rsidRPr="00AE25C3">
        <w:rPr>
          <w:rFonts w:eastAsia="Times New Roman" w:cstheme="minorHAnsi"/>
          <w:iCs/>
        </w:rPr>
        <w:t xml:space="preserve">w pkt </w:t>
      </w:r>
      <w:r w:rsidR="00D37F7B" w:rsidRPr="00AE25C3">
        <w:rPr>
          <w:rFonts w:eastAsia="Times New Roman" w:cstheme="minorHAnsi"/>
          <w:iCs/>
        </w:rPr>
        <w:fldChar w:fldCharType="begin"/>
      </w:r>
      <w:r w:rsidR="00D37F7B"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37F7B" w:rsidRPr="00AE25C3">
        <w:rPr>
          <w:rFonts w:eastAsia="Times New Roman" w:cstheme="minorHAnsi"/>
          <w:iCs/>
        </w:rPr>
      </w:r>
      <w:r w:rsidR="00D37F7B" w:rsidRPr="00AE25C3">
        <w:rPr>
          <w:rFonts w:eastAsia="Times New Roman" w:cstheme="minorHAnsi"/>
          <w:iCs/>
        </w:rPr>
        <w:fldChar w:fldCharType="separate"/>
      </w:r>
      <w:r w:rsidR="003B5D63">
        <w:rPr>
          <w:rFonts w:eastAsia="Times New Roman" w:cstheme="minorHAnsi"/>
          <w:iCs/>
        </w:rPr>
        <w:t>10</w:t>
      </w:r>
      <w:r w:rsidR="00D37F7B" w:rsidRPr="00AE25C3">
        <w:rPr>
          <w:rFonts w:eastAsia="Times New Roman" w:cstheme="minorHAnsi"/>
          <w:iCs/>
        </w:rPr>
        <w:fldChar w:fldCharType="end"/>
      </w:r>
      <w:r w:rsidR="00D37F7B" w:rsidRPr="00AE25C3">
        <w:rPr>
          <w:rFonts w:eastAsia="Times New Roman" w:cstheme="minorHAnsi"/>
          <w:iCs/>
        </w:rPr>
        <w:t xml:space="preserve"> oraz pkt </w:t>
      </w:r>
      <w:r w:rsidR="00D37F7B" w:rsidRPr="00AE25C3">
        <w:rPr>
          <w:rFonts w:eastAsia="Times New Roman" w:cstheme="minorHAnsi"/>
          <w:iCs/>
        </w:rPr>
        <w:fldChar w:fldCharType="begin"/>
      </w:r>
      <w:r w:rsidR="00D37F7B"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37F7B" w:rsidRPr="00AE25C3">
        <w:rPr>
          <w:rFonts w:eastAsia="Times New Roman" w:cstheme="minorHAnsi"/>
          <w:iCs/>
        </w:rPr>
      </w:r>
      <w:r w:rsidR="00D37F7B" w:rsidRPr="00AE25C3">
        <w:rPr>
          <w:rFonts w:eastAsia="Times New Roman" w:cstheme="minorHAnsi"/>
          <w:iCs/>
        </w:rPr>
        <w:fldChar w:fldCharType="separate"/>
      </w:r>
      <w:r w:rsidR="003B5D63">
        <w:rPr>
          <w:rFonts w:eastAsia="Times New Roman" w:cstheme="minorHAnsi"/>
          <w:iCs/>
        </w:rPr>
        <w:t>11</w:t>
      </w:r>
      <w:r w:rsidR="00D37F7B" w:rsidRPr="00AE25C3">
        <w:rPr>
          <w:rFonts w:eastAsia="Times New Roman" w:cstheme="minorHAnsi"/>
          <w:iCs/>
        </w:rPr>
        <w:fldChar w:fldCharType="end"/>
      </w:r>
      <w:r w:rsidR="006C6FF8" w:rsidRPr="00AE25C3">
        <w:rPr>
          <w:rFonts w:eastAsia="Times New Roman" w:cstheme="minorHAnsi"/>
          <w:iCs/>
        </w:rPr>
        <w:t>,</w:t>
      </w:r>
      <w:bookmarkEnd w:id="6"/>
    </w:p>
    <w:p w14:paraId="7595A39F" w14:textId="730F5806" w:rsidR="00901A00" w:rsidRPr="00AE25C3" w:rsidRDefault="006C6FF8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przekazywać Instytucji Pośredniczącej egzemplarz elektroniczny </w:t>
      </w:r>
      <w:r w:rsidR="00212C26" w:rsidRPr="00AE25C3">
        <w:rPr>
          <w:rFonts w:eastAsia="Times New Roman" w:cstheme="minorHAnsi"/>
          <w:iCs/>
        </w:rPr>
        <w:t xml:space="preserve">albo skan </w:t>
      </w:r>
      <w:r w:rsidR="006C04F7" w:rsidRPr="00AE25C3">
        <w:rPr>
          <w:rFonts w:eastAsia="Times New Roman" w:cstheme="minorHAnsi"/>
          <w:iCs/>
        </w:rPr>
        <w:t>dokumentu finansowego</w:t>
      </w:r>
      <w:r w:rsidR="00212C26" w:rsidRPr="00AE25C3">
        <w:rPr>
          <w:rFonts w:eastAsia="Times New Roman" w:cstheme="minorHAnsi"/>
          <w:iCs/>
        </w:rPr>
        <w:t xml:space="preserve"> </w:t>
      </w:r>
      <w:r w:rsidR="00DB6797" w:rsidRPr="00AE25C3">
        <w:rPr>
          <w:rFonts w:eastAsia="Times New Roman" w:cstheme="minorHAnsi"/>
          <w:iCs/>
        </w:rPr>
        <w:t xml:space="preserve">Beneficjenta </w:t>
      </w:r>
      <w:r w:rsidR="006C04F7" w:rsidRPr="00AE25C3">
        <w:rPr>
          <w:rFonts w:eastAsia="Times New Roman" w:cstheme="minorHAnsi"/>
          <w:iCs/>
        </w:rPr>
        <w:t xml:space="preserve">wskazanego w lit.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_Ref51197247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b</w:t>
      </w:r>
      <w:r w:rsidR="006C04F7" w:rsidRPr="00AE25C3">
        <w:rPr>
          <w:rFonts w:eastAsia="Times New Roman" w:cstheme="minorHAnsi"/>
          <w:iCs/>
        </w:rPr>
        <w:fldChar w:fldCharType="end"/>
      </w:r>
      <w:r w:rsidR="006C04F7" w:rsidRPr="00AE25C3">
        <w:rPr>
          <w:rFonts w:eastAsia="Times New Roman" w:cstheme="minorHAnsi"/>
          <w:iCs/>
        </w:rPr>
        <w:t xml:space="preserve"> </w:t>
      </w:r>
      <w:r w:rsidR="00DB6797" w:rsidRPr="00AE25C3">
        <w:rPr>
          <w:rFonts w:eastAsia="Times New Roman" w:cstheme="minorHAnsi"/>
          <w:iCs/>
        </w:rPr>
        <w:t>po jego zaopiniowaniu przez biegłego rewidenta</w:t>
      </w:r>
      <w:r w:rsidR="00797E03" w:rsidRPr="00AE25C3">
        <w:rPr>
          <w:rFonts w:eastAsia="Times New Roman" w:cstheme="minorHAnsi"/>
          <w:iCs/>
        </w:rPr>
        <w:t xml:space="preserve"> wybranego przez Beneficjenta</w:t>
      </w:r>
      <w:r w:rsidR="006C04F7" w:rsidRPr="00AE25C3">
        <w:rPr>
          <w:rFonts w:eastAsia="Times New Roman" w:cstheme="minorHAnsi"/>
          <w:iCs/>
        </w:rPr>
        <w:t xml:space="preserve"> zgodnie z lit.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_Ref51232536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c</w:t>
      </w:r>
      <w:r w:rsidR="006C04F7" w:rsidRPr="00AE25C3">
        <w:rPr>
          <w:rFonts w:eastAsia="Times New Roman" w:cstheme="minorHAnsi"/>
          <w:iCs/>
        </w:rPr>
        <w:fldChar w:fldCharType="end"/>
      </w:r>
      <w:r w:rsidR="00DB6797" w:rsidRPr="00AE25C3">
        <w:rPr>
          <w:rFonts w:eastAsia="Times New Roman" w:cstheme="minorHAnsi"/>
          <w:iCs/>
        </w:rPr>
        <w:t>, w terminie miesiąca od sporządzenia opinii przez biegłego rewidenta</w:t>
      </w:r>
      <w:r w:rsidR="004536F3" w:rsidRPr="00AE25C3">
        <w:rPr>
          <w:rFonts w:eastAsia="Times New Roman" w:cstheme="minorHAnsi"/>
          <w:iCs/>
        </w:rPr>
        <w:t xml:space="preserve">, począwszy od </w:t>
      </w:r>
      <w:r w:rsidR="006C04F7" w:rsidRPr="00AE25C3">
        <w:rPr>
          <w:rFonts w:eastAsia="Times New Roman" w:cstheme="minorHAnsi"/>
          <w:iCs/>
        </w:rPr>
        <w:t xml:space="preserve">dokumentu </w:t>
      </w:r>
      <w:r w:rsidR="004536F3" w:rsidRPr="00AE25C3">
        <w:rPr>
          <w:rFonts w:eastAsia="Times New Roman" w:cstheme="minorHAnsi"/>
          <w:iCs/>
        </w:rPr>
        <w:t xml:space="preserve">finansowego </w:t>
      </w:r>
      <w:r w:rsidR="0050267E" w:rsidRPr="00AE25C3">
        <w:rPr>
          <w:rFonts w:eastAsia="Times New Roman" w:cstheme="minorHAnsi"/>
          <w:iCs/>
        </w:rPr>
        <w:t xml:space="preserve">dla roku </w:t>
      </w:r>
      <w:r w:rsidR="009737F7">
        <w:rPr>
          <w:rFonts w:eastAsia="Times New Roman" w:cstheme="minorHAnsi"/>
          <w:iCs/>
        </w:rPr>
        <w:t>2023</w:t>
      </w:r>
      <w:r w:rsidR="001E7104">
        <w:rPr>
          <w:rFonts w:eastAsia="Times New Roman" w:cstheme="minorHAnsi"/>
          <w:iCs/>
        </w:rPr>
        <w:t>,</w:t>
      </w:r>
      <w:r w:rsidR="003A4D92" w:rsidRPr="00AE25C3">
        <w:rPr>
          <w:rFonts w:eastAsia="Times New Roman" w:cstheme="minorHAnsi"/>
          <w:iCs/>
        </w:rPr>
        <w:t xml:space="preserve"> z zastrzeżeniem, że </w:t>
      </w:r>
      <w:r w:rsidR="006C04F7" w:rsidRPr="00AE25C3">
        <w:rPr>
          <w:rFonts w:eastAsia="Times New Roman" w:cstheme="minorHAnsi"/>
          <w:iCs/>
        </w:rPr>
        <w:t xml:space="preserve">przekazanie dokumentu finansowego Instytucji Pośredniczącej po zaopiniowaniu przez biegłego rewidenta powinno nastąpić nie później niż do dnia 31 lipca danego roku, a w przypadku </w:t>
      </w:r>
      <w:r w:rsidR="003A4D92" w:rsidRPr="00AE25C3">
        <w:rPr>
          <w:rFonts w:eastAsia="Times New Roman" w:cstheme="minorHAnsi"/>
          <w:iCs/>
        </w:rPr>
        <w:t xml:space="preserve">roku </w:t>
      </w:r>
      <w:r w:rsidR="009737F7">
        <w:rPr>
          <w:rFonts w:eastAsia="Times New Roman" w:cstheme="minorHAnsi"/>
          <w:iCs/>
        </w:rPr>
        <w:t xml:space="preserve">następującego </w:t>
      </w:r>
      <w:r w:rsidR="004A0786">
        <w:rPr>
          <w:rFonts w:eastAsia="Times New Roman" w:cstheme="minorHAnsi"/>
          <w:iCs/>
        </w:rPr>
        <w:t>po dwóch l</w:t>
      </w:r>
      <w:r w:rsidR="009737F7">
        <w:rPr>
          <w:rFonts w:eastAsia="Times New Roman" w:cstheme="minorHAnsi"/>
          <w:iCs/>
        </w:rPr>
        <w:t>ata</w:t>
      </w:r>
      <w:r w:rsidR="004A0786">
        <w:rPr>
          <w:rFonts w:eastAsia="Times New Roman" w:cstheme="minorHAnsi"/>
          <w:iCs/>
        </w:rPr>
        <w:t>ch</w:t>
      </w:r>
      <w:r w:rsidR="009737F7">
        <w:rPr>
          <w:rFonts w:eastAsia="Times New Roman" w:cstheme="minorHAnsi"/>
          <w:iCs/>
        </w:rPr>
        <w:t xml:space="preserve"> </w:t>
      </w:r>
      <w:r w:rsidR="004A0786">
        <w:rPr>
          <w:rFonts w:eastAsia="Times New Roman" w:cstheme="minorHAnsi"/>
          <w:iCs/>
        </w:rPr>
        <w:t>od</w:t>
      </w:r>
      <w:r w:rsidR="001E7104" w:rsidRPr="00AE25C3">
        <w:rPr>
          <w:rFonts w:eastAsia="Times New Roman" w:cstheme="minorHAnsi"/>
          <w:iCs/>
        </w:rPr>
        <w:t xml:space="preserve"> </w:t>
      </w:r>
      <w:r w:rsidR="001E7104">
        <w:rPr>
          <w:rFonts w:eastAsia="Times New Roman" w:cstheme="minorHAnsi"/>
          <w:iCs/>
        </w:rPr>
        <w:t>zakończeni</w:t>
      </w:r>
      <w:r w:rsidR="004A0786">
        <w:rPr>
          <w:rFonts w:eastAsia="Times New Roman" w:cstheme="minorHAnsi"/>
          <w:iCs/>
        </w:rPr>
        <w:t>a</w:t>
      </w:r>
      <w:r w:rsidR="001E7104">
        <w:rPr>
          <w:rFonts w:eastAsia="Times New Roman" w:cstheme="minorHAnsi"/>
          <w:iCs/>
        </w:rPr>
        <w:t xml:space="preserve"> realizacji Projektu w rozumieniu Umowy</w:t>
      </w:r>
      <w:r w:rsidR="001E7104" w:rsidRPr="00AE25C3" w:rsidDel="00612C77">
        <w:rPr>
          <w:rFonts w:eastAsia="Times New Roman" w:cstheme="minorHAnsi"/>
          <w:iCs/>
        </w:rPr>
        <w:t xml:space="preserve"> </w:t>
      </w:r>
      <w:r w:rsidR="006C04F7" w:rsidRPr="00AE25C3">
        <w:rPr>
          <w:rFonts w:eastAsia="Times New Roman" w:cstheme="minorHAnsi"/>
          <w:iCs/>
        </w:rPr>
        <w:t xml:space="preserve">i każdej </w:t>
      </w:r>
      <w:r w:rsidR="009737F7">
        <w:rPr>
          <w:rFonts w:eastAsia="Times New Roman" w:cstheme="minorHAnsi"/>
          <w:iCs/>
        </w:rPr>
        <w:t>drugiej</w:t>
      </w:r>
      <w:r w:rsidR="009737F7">
        <w:rPr>
          <w:rStyle w:val="Odwoanieprzypisudolnego"/>
          <w:rFonts w:eastAsia="Times New Roman" w:cstheme="minorHAnsi"/>
          <w:iCs/>
        </w:rPr>
        <w:footnoteReference w:id="4"/>
      </w:r>
      <w:r w:rsidR="009737F7">
        <w:rPr>
          <w:rFonts w:eastAsia="Times New Roman" w:cstheme="minorHAnsi"/>
          <w:iCs/>
        </w:rPr>
        <w:t xml:space="preserve"> </w:t>
      </w:r>
      <w:r w:rsidR="006C04F7" w:rsidRPr="00AE25C3">
        <w:rPr>
          <w:rFonts w:eastAsia="Times New Roman" w:cstheme="minorHAnsi"/>
          <w:iCs/>
        </w:rPr>
        <w:t xml:space="preserve">rocznicy liczonej od tego roku </w:t>
      </w:r>
      <w:r w:rsidR="009737F7">
        <w:rPr>
          <w:rFonts w:eastAsia="Times New Roman" w:cstheme="minorHAnsi"/>
          <w:iCs/>
        </w:rPr>
        <w:t>do Daty Końcowej</w:t>
      </w:r>
      <w:r w:rsidR="006C04F7" w:rsidRPr="00AE25C3">
        <w:rPr>
          <w:rFonts w:eastAsia="Times New Roman" w:cstheme="minorHAnsi"/>
          <w:iCs/>
        </w:rPr>
        <w:t xml:space="preserve"> </w:t>
      </w:r>
      <w:r w:rsidR="003A4D92" w:rsidRPr="00AE25C3">
        <w:rPr>
          <w:rFonts w:eastAsia="Times New Roman" w:cstheme="minorHAnsi"/>
          <w:iCs/>
        </w:rPr>
        <w:t xml:space="preserve">Beneficjent jest zobowiązany dostarczyć </w:t>
      </w:r>
      <w:r w:rsidR="006C04F7" w:rsidRPr="00AE25C3">
        <w:rPr>
          <w:rFonts w:eastAsia="Times New Roman" w:cstheme="minorHAnsi"/>
          <w:iCs/>
        </w:rPr>
        <w:t xml:space="preserve">taki zaopiniowany dokument </w:t>
      </w:r>
      <w:r w:rsidR="003A4D92" w:rsidRPr="00AE25C3">
        <w:rPr>
          <w:rFonts w:eastAsia="Times New Roman" w:cstheme="minorHAnsi"/>
          <w:iCs/>
        </w:rPr>
        <w:t>do dnia 1</w:t>
      </w:r>
      <w:r w:rsidR="004A0786">
        <w:rPr>
          <w:rFonts w:eastAsia="Times New Roman" w:cstheme="minorHAnsi"/>
          <w:iCs/>
        </w:rPr>
        <w:t> </w:t>
      </w:r>
      <w:r w:rsidR="003A4D92" w:rsidRPr="00AE25C3">
        <w:rPr>
          <w:rFonts w:eastAsia="Times New Roman" w:cstheme="minorHAnsi"/>
          <w:iCs/>
        </w:rPr>
        <w:t xml:space="preserve">czerwca </w:t>
      </w:r>
      <w:r w:rsidR="001E7104" w:rsidRPr="00AE25C3">
        <w:rPr>
          <w:rFonts w:eastAsia="Times New Roman" w:cstheme="minorHAnsi"/>
          <w:iCs/>
        </w:rPr>
        <w:t xml:space="preserve">roku </w:t>
      </w:r>
      <w:r w:rsidR="001E7104">
        <w:rPr>
          <w:rFonts w:eastAsia="Times New Roman" w:cstheme="minorHAnsi"/>
          <w:iCs/>
        </w:rPr>
        <w:t xml:space="preserve">następującego </w:t>
      </w:r>
      <w:r w:rsidR="004A0786">
        <w:rPr>
          <w:rFonts w:eastAsia="Times New Roman" w:cstheme="minorHAnsi"/>
          <w:iCs/>
        </w:rPr>
        <w:t>po trzech latach od</w:t>
      </w:r>
      <w:r w:rsidR="001E7104" w:rsidRPr="00AE25C3">
        <w:rPr>
          <w:rFonts w:eastAsia="Times New Roman" w:cstheme="minorHAnsi"/>
          <w:iCs/>
        </w:rPr>
        <w:t xml:space="preserve"> </w:t>
      </w:r>
      <w:r w:rsidR="001E7104">
        <w:rPr>
          <w:rFonts w:eastAsia="Times New Roman" w:cstheme="minorHAnsi"/>
          <w:iCs/>
        </w:rPr>
        <w:t>zakończeni</w:t>
      </w:r>
      <w:r w:rsidR="004A0786">
        <w:rPr>
          <w:rFonts w:eastAsia="Times New Roman" w:cstheme="minorHAnsi"/>
          <w:iCs/>
        </w:rPr>
        <w:t>a</w:t>
      </w:r>
      <w:r w:rsidR="001E7104">
        <w:rPr>
          <w:rFonts w:eastAsia="Times New Roman" w:cstheme="minorHAnsi"/>
          <w:iCs/>
        </w:rPr>
        <w:t xml:space="preserve"> realizacji Projektu w rozumieniu Umowy</w:t>
      </w:r>
      <w:r w:rsidR="001E7104" w:rsidRPr="00AE25C3" w:rsidDel="001E7104">
        <w:rPr>
          <w:rFonts w:eastAsia="Times New Roman" w:cstheme="minorHAnsi"/>
          <w:iCs/>
        </w:rPr>
        <w:t xml:space="preserve"> </w:t>
      </w:r>
      <w:r w:rsidR="00901A00" w:rsidRPr="00AE25C3">
        <w:rPr>
          <w:rFonts w:eastAsia="Times New Roman" w:cstheme="minorHAnsi"/>
          <w:iCs/>
        </w:rPr>
        <w:t>;</w:t>
      </w:r>
    </w:p>
    <w:p w14:paraId="08B30CEA" w14:textId="1B5B0CD4" w:rsidR="00831F3F" w:rsidRPr="00AE25C3" w:rsidRDefault="00831F3F" w:rsidP="00CF4474">
      <w:pPr>
        <w:pStyle w:val="Akapitzlist"/>
        <w:numPr>
          <w:ilvl w:val="1"/>
          <w:numId w:val="1"/>
        </w:numPr>
        <w:ind w:hanging="357"/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przekazywać Instytucji Pośredniczącej dane</w:t>
      </w:r>
      <w:r w:rsidR="00BD3401" w:rsidRPr="00AE25C3">
        <w:rPr>
          <w:rFonts w:eastAsia="Times New Roman" w:cstheme="minorHAnsi"/>
          <w:iCs/>
        </w:rPr>
        <w:t xml:space="preserve"> finansowe oraz sprawozdawcze,</w:t>
      </w:r>
      <w:r w:rsidRPr="00AE25C3">
        <w:rPr>
          <w:rFonts w:eastAsia="Times New Roman" w:cstheme="minorHAnsi"/>
          <w:iCs/>
        </w:rPr>
        <w:t xml:space="preserve"> </w:t>
      </w:r>
      <w:r w:rsidR="00BD3401" w:rsidRPr="00AE25C3">
        <w:rPr>
          <w:rFonts w:eastAsia="Times New Roman" w:cstheme="minorHAnsi"/>
          <w:iCs/>
        </w:rPr>
        <w:br/>
        <w:t>na potrzeby r</w:t>
      </w:r>
      <w:r w:rsidRPr="00AE25C3">
        <w:rPr>
          <w:rFonts w:eastAsia="Times New Roman" w:cstheme="minorHAnsi"/>
          <w:iCs/>
        </w:rPr>
        <w:t>ealiz</w:t>
      </w:r>
      <w:r w:rsidR="00BD3401" w:rsidRPr="00AE25C3">
        <w:rPr>
          <w:rFonts w:eastAsia="Times New Roman" w:cstheme="minorHAnsi"/>
          <w:iCs/>
        </w:rPr>
        <w:t>acji</w:t>
      </w:r>
      <w:r w:rsidRPr="00AE25C3">
        <w:rPr>
          <w:rFonts w:eastAsia="Times New Roman" w:cstheme="minorHAnsi"/>
          <w:iCs/>
        </w:rPr>
        <w:t xml:space="preserve"> obowiązków</w:t>
      </w:r>
      <w:r w:rsidR="00BD3401" w:rsidRPr="00AE25C3">
        <w:rPr>
          <w:rFonts w:eastAsia="Times New Roman" w:cstheme="minorHAnsi"/>
          <w:iCs/>
        </w:rPr>
        <w:t xml:space="preserve"> IP</w:t>
      </w:r>
      <w:r w:rsidRPr="00AE25C3">
        <w:rPr>
          <w:rFonts w:eastAsia="Times New Roman" w:cstheme="minorHAnsi"/>
          <w:iCs/>
        </w:rPr>
        <w:t xml:space="preserve"> w zakresie stosowania Mechanizmu wycofania</w:t>
      </w:r>
      <w:r w:rsidR="001E7104">
        <w:rPr>
          <w:rFonts w:eastAsia="Times New Roman" w:cstheme="minorHAnsi"/>
          <w:iCs/>
        </w:rPr>
        <w:t>.</w:t>
      </w:r>
    </w:p>
    <w:p w14:paraId="0DF324D7" w14:textId="77777777" w:rsidR="00101DAE" w:rsidRPr="00AE25C3" w:rsidRDefault="00101DAE" w:rsidP="007530F8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>Monitorowanie wartości Nadwyżki</w:t>
      </w:r>
    </w:p>
    <w:p w14:paraId="43D8F996" w14:textId="77777777" w:rsidR="00DB6797" w:rsidRPr="00AE25C3" w:rsidRDefault="00B97A64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7" w:name="_Ref51197802"/>
      <w:r w:rsidRPr="00AE25C3">
        <w:rPr>
          <w:rFonts w:eastAsia="Times New Roman" w:cstheme="minorHAnsi"/>
          <w:iCs/>
        </w:rPr>
        <w:t xml:space="preserve">Instytucja Pośrednicząca </w:t>
      </w:r>
      <w:r w:rsidR="00DB6797" w:rsidRPr="00AE25C3">
        <w:rPr>
          <w:rFonts w:eastAsia="Times New Roman" w:cstheme="minorHAnsi"/>
          <w:iCs/>
        </w:rPr>
        <w:t>jest uprawnion</w:t>
      </w:r>
      <w:r w:rsidRPr="00AE25C3">
        <w:rPr>
          <w:rFonts w:eastAsia="Times New Roman" w:cstheme="minorHAnsi"/>
          <w:iCs/>
        </w:rPr>
        <w:t>a</w:t>
      </w:r>
      <w:r w:rsidR="00DB6797" w:rsidRPr="00AE25C3">
        <w:rPr>
          <w:rFonts w:eastAsia="Times New Roman" w:cstheme="minorHAnsi"/>
          <w:iCs/>
        </w:rPr>
        <w:t>:</w:t>
      </w:r>
      <w:bookmarkEnd w:id="7"/>
    </w:p>
    <w:p w14:paraId="75EBD325" w14:textId="32905DCA" w:rsidR="00DB6797" w:rsidRPr="00AE25C3" w:rsidRDefault="00495392" w:rsidP="004A0786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8" w:name="_Ref51197808"/>
      <w:r w:rsidRPr="00AE25C3">
        <w:rPr>
          <w:rFonts w:eastAsia="Times New Roman" w:cstheme="minorHAnsi"/>
          <w:iCs/>
        </w:rPr>
        <w:t>uzyskiwać</w:t>
      </w:r>
      <w:r w:rsidR="00DB6797" w:rsidRPr="00AE25C3">
        <w:rPr>
          <w:rFonts w:eastAsia="Times New Roman" w:cstheme="minorHAnsi"/>
          <w:iCs/>
        </w:rPr>
        <w:t>, nie częściej niż cztery razy w roku kalendarzowym, wgląd do ksiąg rachunkowych i dokumentów księgowych Beneficjenta</w:t>
      </w:r>
      <w:r w:rsidR="00490817" w:rsidRPr="00AE25C3">
        <w:rPr>
          <w:rFonts w:eastAsia="Times New Roman" w:cstheme="minorHAnsi"/>
          <w:iCs/>
        </w:rPr>
        <w:t xml:space="preserve"> lub do uzyskiwania wyciągu z</w:t>
      </w:r>
      <w:r w:rsidR="001E7104">
        <w:rPr>
          <w:rFonts w:eastAsia="Times New Roman" w:cstheme="minorHAnsi"/>
          <w:iCs/>
        </w:rPr>
        <w:t> </w:t>
      </w:r>
      <w:r w:rsidR="00490817" w:rsidRPr="00AE25C3">
        <w:rPr>
          <w:rFonts w:eastAsia="Times New Roman" w:cstheme="minorHAnsi"/>
          <w:iCs/>
        </w:rPr>
        <w:t>danych w nich zawartych</w:t>
      </w:r>
      <w:r w:rsidR="00BD3401" w:rsidRPr="00AE25C3">
        <w:rPr>
          <w:rFonts w:eastAsia="Times New Roman" w:cstheme="minorHAnsi"/>
          <w:iCs/>
        </w:rPr>
        <w:t xml:space="preserve"> lub innych danych,</w:t>
      </w:r>
      <w:r w:rsidR="00DB6797" w:rsidRPr="00AE25C3">
        <w:rPr>
          <w:rFonts w:eastAsia="Times New Roman" w:cstheme="minorHAnsi"/>
          <w:iCs/>
        </w:rPr>
        <w:t xml:space="preserve"> w terminie ustalonym przez strony, nie dłuższym</w:t>
      </w:r>
      <w:r w:rsidRPr="00AE25C3">
        <w:rPr>
          <w:rFonts w:eastAsia="Times New Roman" w:cstheme="minorHAnsi"/>
          <w:iCs/>
        </w:rPr>
        <w:t xml:space="preserve"> jednak</w:t>
      </w:r>
      <w:r w:rsidR="00DB6797" w:rsidRPr="00AE25C3">
        <w:rPr>
          <w:rFonts w:eastAsia="Times New Roman" w:cstheme="minorHAnsi"/>
          <w:iCs/>
        </w:rPr>
        <w:t xml:space="preserve"> niż </w:t>
      </w:r>
      <w:r w:rsidR="0050267E" w:rsidRPr="00AE25C3">
        <w:rPr>
          <w:rFonts w:eastAsia="Times New Roman" w:cstheme="minorHAnsi"/>
          <w:iCs/>
        </w:rPr>
        <w:t>10</w:t>
      </w:r>
      <w:r w:rsidR="00DB6797" w:rsidRPr="00AE25C3">
        <w:rPr>
          <w:rFonts w:eastAsia="Times New Roman" w:cstheme="minorHAnsi"/>
          <w:iCs/>
        </w:rPr>
        <w:t xml:space="preserve"> dni od przedstawienia żądania przez Instytucję Pośredniczącą,</w:t>
      </w:r>
      <w:bookmarkEnd w:id="8"/>
    </w:p>
    <w:p w14:paraId="7310229B" w14:textId="24795262" w:rsidR="00DB6797" w:rsidRPr="00AE25C3" w:rsidRDefault="00EA62BC" w:rsidP="004A0786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9" w:name="_Ref51199017"/>
      <w:r w:rsidRPr="00AE25C3">
        <w:rPr>
          <w:rFonts w:eastAsia="Times New Roman" w:cstheme="minorHAnsi"/>
          <w:iCs/>
        </w:rPr>
        <w:t xml:space="preserve">niezależnie od uprawnienia wskazanego w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_Ref51197808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a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, </w:t>
      </w:r>
      <w:r w:rsidR="00DB6797" w:rsidRPr="00AE25C3">
        <w:rPr>
          <w:rFonts w:eastAsia="Times New Roman" w:cstheme="minorHAnsi"/>
          <w:iCs/>
        </w:rPr>
        <w:t xml:space="preserve">w przypadku uzasadnionych wątpliwości </w:t>
      </w:r>
      <w:r w:rsidR="00B97A64" w:rsidRPr="00AE25C3">
        <w:rPr>
          <w:rFonts w:eastAsia="Times New Roman" w:cstheme="minorHAnsi"/>
          <w:iCs/>
        </w:rPr>
        <w:t xml:space="preserve">Instytucji Pośredniczącej </w:t>
      </w:r>
      <w:r w:rsidR="00DB6797" w:rsidRPr="00AE25C3">
        <w:rPr>
          <w:rFonts w:eastAsia="Times New Roman" w:cstheme="minorHAnsi"/>
          <w:iCs/>
        </w:rPr>
        <w:t>co do prawdziwości lub rzetelności oceny dokonanej przez biegłego rewidenta</w:t>
      </w:r>
      <w:r w:rsidR="00797E03" w:rsidRPr="00AE25C3">
        <w:rPr>
          <w:rFonts w:eastAsia="Times New Roman" w:cstheme="minorHAnsi"/>
          <w:iCs/>
        </w:rPr>
        <w:t xml:space="preserve"> wybranego przez Beneficjenta</w:t>
      </w:r>
      <w:r w:rsidR="00DB6797" w:rsidRPr="00AE25C3">
        <w:rPr>
          <w:rFonts w:eastAsia="Times New Roman" w:cstheme="minorHAnsi"/>
          <w:iCs/>
        </w:rPr>
        <w:t xml:space="preserve">, Instytucja Pośredniczącą jest uprawniona, na swój koszt, skierować </w:t>
      </w:r>
      <w:r w:rsidR="006C04F7" w:rsidRPr="00AE25C3">
        <w:rPr>
          <w:rFonts w:eastAsia="Times New Roman" w:cstheme="minorHAnsi"/>
          <w:iCs/>
        </w:rPr>
        <w:t xml:space="preserve">dokument </w:t>
      </w:r>
      <w:r w:rsidR="00DB6797" w:rsidRPr="00AE25C3">
        <w:rPr>
          <w:rFonts w:eastAsia="Times New Roman" w:cstheme="minorHAnsi"/>
          <w:iCs/>
        </w:rPr>
        <w:t>finansow</w:t>
      </w:r>
      <w:r w:rsidR="006C04F7" w:rsidRPr="00AE25C3">
        <w:rPr>
          <w:rFonts w:eastAsia="Times New Roman" w:cstheme="minorHAnsi"/>
          <w:iCs/>
        </w:rPr>
        <w:t>y</w:t>
      </w:r>
      <w:r w:rsidR="00DB6797" w:rsidRPr="00AE25C3">
        <w:rPr>
          <w:rFonts w:eastAsia="Times New Roman" w:cstheme="minorHAnsi"/>
          <w:iCs/>
        </w:rPr>
        <w:t xml:space="preserve"> </w:t>
      </w:r>
      <w:r w:rsidR="00DB6797" w:rsidRPr="00AE25C3">
        <w:rPr>
          <w:rFonts w:eastAsia="Times New Roman" w:cstheme="minorHAnsi"/>
          <w:iCs/>
        </w:rPr>
        <w:lastRenderedPageBreak/>
        <w:t>Beneficjenta do oceny wybranego przez siebie biegłego rewidenta, a</w:t>
      </w:r>
      <w:r w:rsidR="004A0786">
        <w:rPr>
          <w:rFonts w:eastAsia="Times New Roman" w:cstheme="minorHAnsi"/>
          <w:iCs/>
        </w:rPr>
        <w:t xml:space="preserve"> </w:t>
      </w:r>
      <w:r w:rsidR="00DB6797" w:rsidRPr="00AE25C3">
        <w:rPr>
          <w:rFonts w:eastAsia="Times New Roman" w:cstheme="minorHAnsi"/>
          <w:iCs/>
        </w:rPr>
        <w:t>Beneficjent jest zobowiązany w tym zakresie współpracować z Instytucją Pośredniczącą i wskazanym przez nią biegłym rewidentem.</w:t>
      </w:r>
      <w:bookmarkEnd w:id="9"/>
      <w:r w:rsidR="00CF70D1">
        <w:rPr>
          <w:rFonts w:eastAsia="Times New Roman" w:cstheme="minorHAnsi"/>
          <w:iCs/>
        </w:rPr>
        <w:t xml:space="preserve"> </w:t>
      </w:r>
      <w:r w:rsidR="00CF70D1" w:rsidRPr="00CF70D1">
        <w:rPr>
          <w:rFonts w:eastAsia="Times New Roman" w:cstheme="minorHAnsi"/>
          <w:iCs/>
        </w:rPr>
        <w:t xml:space="preserve">W przypadkach, w których dane wejściowe i wyjściowe są oparte na metodologii </w:t>
      </w:r>
      <w:r w:rsidR="00CF70D1">
        <w:rPr>
          <w:rFonts w:eastAsia="Times New Roman" w:cstheme="minorHAnsi"/>
          <w:iCs/>
        </w:rPr>
        <w:t xml:space="preserve">ustalania </w:t>
      </w:r>
      <w:r w:rsidR="00CF70D1" w:rsidRPr="00CF70D1">
        <w:rPr>
          <w:rFonts w:eastAsia="Times New Roman" w:cstheme="minorHAnsi"/>
          <w:iCs/>
        </w:rPr>
        <w:t xml:space="preserve">cen transferowych dla transakcji wewnątrzgrupowych, </w:t>
      </w:r>
      <w:r w:rsidR="00CF70D1">
        <w:rPr>
          <w:rFonts w:eastAsia="Times New Roman" w:cstheme="minorHAnsi"/>
          <w:iCs/>
        </w:rPr>
        <w:t xml:space="preserve">dopuszczalne jest stosowanie </w:t>
      </w:r>
      <w:r w:rsidR="00CF70D1" w:rsidRPr="00CF70D1">
        <w:rPr>
          <w:rFonts w:eastAsia="Times New Roman" w:cstheme="minorHAnsi"/>
          <w:iCs/>
        </w:rPr>
        <w:t>metodologi</w:t>
      </w:r>
      <w:r w:rsidR="00CF70D1">
        <w:rPr>
          <w:rFonts w:eastAsia="Times New Roman" w:cstheme="minorHAnsi"/>
          <w:iCs/>
        </w:rPr>
        <w:t>i</w:t>
      </w:r>
      <w:r w:rsidR="00CF70D1" w:rsidRPr="00CF70D1">
        <w:rPr>
          <w:rFonts w:eastAsia="Times New Roman" w:cstheme="minorHAnsi"/>
          <w:iCs/>
        </w:rPr>
        <w:t xml:space="preserve"> </w:t>
      </w:r>
      <w:r w:rsidR="00CF70D1">
        <w:rPr>
          <w:rFonts w:eastAsia="Times New Roman" w:cstheme="minorHAnsi"/>
          <w:iCs/>
        </w:rPr>
        <w:t>ustalania cen transferowych uwzględnionej w notyfikacji,</w:t>
      </w:r>
    </w:p>
    <w:p w14:paraId="4D0C915D" w14:textId="26400C60" w:rsidR="00550197" w:rsidRPr="00AE25C3" w:rsidRDefault="00797E03" w:rsidP="004A0786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10" w:name="_Ref51200155"/>
      <w:bookmarkStart w:id="11" w:name="_Ref51199497"/>
      <w:r w:rsidRPr="00AE25C3">
        <w:rPr>
          <w:rFonts w:eastAsia="Times New Roman" w:cstheme="minorHAnsi"/>
          <w:iCs/>
        </w:rPr>
        <w:t xml:space="preserve">niezależnie od </w:t>
      </w:r>
      <w:r w:rsidR="00992417" w:rsidRPr="00AE25C3">
        <w:rPr>
          <w:rFonts w:eastAsia="Times New Roman" w:cstheme="minorHAnsi"/>
          <w:iCs/>
        </w:rPr>
        <w:t xml:space="preserve">uprawnień </w:t>
      </w:r>
      <w:r w:rsidRPr="00AE25C3">
        <w:rPr>
          <w:rFonts w:eastAsia="Times New Roman" w:cstheme="minorHAnsi"/>
          <w:iCs/>
        </w:rPr>
        <w:t xml:space="preserve">wskazanych w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_Ref51197808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a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-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_Ref51199017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b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>, jeśli</w:t>
      </w:r>
      <w:r w:rsidR="00550197" w:rsidRPr="00AE25C3">
        <w:rPr>
          <w:rFonts w:eastAsia="Times New Roman" w:cstheme="minorHAnsi"/>
          <w:iCs/>
        </w:rPr>
        <w:t>:</w:t>
      </w:r>
      <w:bookmarkEnd w:id="10"/>
    </w:p>
    <w:p w14:paraId="76317CC4" w14:textId="77777777" w:rsidR="00550197" w:rsidRPr="00AE25C3" w:rsidRDefault="00797E03" w:rsidP="004A0786">
      <w:pPr>
        <w:pStyle w:val="Akapitzlist"/>
        <w:numPr>
          <w:ilvl w:val="2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biegły rewident wybrany przez Beneficjenta negatywnie zaopiniował </w:t>
      </w:r>
      <w:r w:rsidR="006C04F7" w:rsidRPr="00AE25C3">
        <w:rPr>
          <w:rFonts w:eastAsia="Times New Roman" w:cstheme="minorHAnsi"/>
          <w:iCs/>
        </w:rPr>
        <w:t xml:space="preserve">dokument </w:t>
      </w:r>
      <w:r w:rsidRPr="00AE25C3">
        <w:rPr>
          <w:rFonts w:eastAsia="Times New Roman" w:cstheme="minorHAnsi"/>
          <w:iCs/>
        </w:rPr>
        <w:t>finansow</w:t>
      </w:r>
      <w:r w:rsidR="006C04F7" w:rsidRPr="00AE25C3">
        <w:rPr>
          <w:rFonts w:eastAsia="Times New Roman" w:cstheme="minorHAnsi"/>
          <w:iCs/>
        </w:rPr>
        <w:t>y przygotowany przez</w:t>
      </w:r>
      <w:r w:rsidRPr="00AE25C3">
        <w:rPr>
          <w:rFonts w:eastAsia="Times New Roman" w:cstheme="minorHAnsi"/>
          <w:iCs/>
        </w:rPr>
        <w:t xml:space="preserve"> Beneficjenta </w:t>
      </w:r>
      <w:r w:rsidR="00A57999" w:rsidRPr="00AE25C3">
        <w:rPr>
          <w:rFonts w:eastAsia="Times New Roman" w:cstheme="minorHAnsi"/>
          <w:iCs/>
        </w:rPr>
        <w:t>albo</w:t>
      </w:r>
      <w:r w:rsidRPr="00AE25C3">
        <w:rPr>
          <w:rFonts w:eastAsia="Times New Roman" w:cstheme="minorHAnsi"/>
          <w:iCs/>
        </w:rPr>
        <w:t xml:space="preserve"> odmówił jego oceny, </w:t>
      </w:r>
      <w:r w:rsidR="00550197" w:rsidRPr="00AE25C3">
        <w:rPr>
          <w:rFonts w:eastAsia="Times New Roman" w:cstheme="minorHAnsi"/>
          <w:iCs/>
        </w:rPr>
        <w:t>albo</w:t>
      </w:r>
    </w:p>
    <w:p w14:paraId="638C5F31" w14:textId="4F9460EF" w:rsidR="00550197" w:rsidRPr="00AE25C3" w:rsidRDefault="007C4385" w:rsidP="004A0786">
      <w:pPr>
        <w:pStyle w:val="Akapitzlist"/>
        <w:numPr>
          <w:ilvl w:val="2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Instytucja Pośrednicząca nie otrzymała w terminie do 30 września danego roku </w:t>
      </w:r>
      <w:r w:rsidR="00DC24CF">
        <w:rPr>
          <w:rFonts w:eastAsia="Times New Roman" w:cstheme="minorHAnsi"/>
          <w:iCs/>
        </w:rPr>
        <w:t xml:space="preserve">opinii biegłego rewidenta </w:t>
      </w:r>
      <w:r w:rsidR="00217610">
        <w:rPr>
          <w:rFonts w:eastAsia="Times New Roman" w:cstheme="minorHAnsi"/>
          <w:iCs/>
        </w:rPr>
        <w:t>dotyczącej</w:t>
      </w:r>
      <w:r w:rsidR="00DC24CF">
        <w:rPr>
          <w:rFonts w:eastAsia="Times New Roman" w:cstheme="minorHAnsi"/>
          <w:iCs/>
        </w:rPr>
        <w:t xml:space="preserve"> </w:t>
      </w:r>
      <w:r w:rsidR="006C04F7" w:rsidRPr="00AE25C3">
        <w:rPr>
          <w:rFonts w:eastAsia="Times New Roman" w:cstheme="minorHAnsi"/>
          <w:iCs/>
        </w:rPr>
        <w:t xml:space="preserve">dokumentu </w:t>
      </w:r>
      <w:r w:rsidR="00550197" w:rsidRPr="00AE25C3">
        <w:rPr>
          <w:rFonts w:eastAsia="Times New Roman" w:cstheme="minorHAnsi"/>
          <w:iCs/>
        </w:rPr>
        <w:t>finansowe</w:t>
      </w:r>
      <w:r w:rsidRPr="00AE25C3">
        <w:rPr>
          <w:rFonts w:eastAsia="Times New Roman" w:cstheme="minorHAnsi"/>
          <w:iCs/>
        </w:rPr>
        <w:t>go</w:t>
      </w:r>
      <w:r w:rsidR="00550197" w:rsidRPr="00AE25C3">
        <w:rPr>
          <w:rFonts w:eastAsia="Times New Roman" w:cstheme="minorHAnsi"/>
          <w:iCs/>
        </w:rPr>
        <w:t xml:space="preserve"> Beneficjenta zaopiniowane</w:t>
      </w:r>
      <w:r w:rsidRPr="00AE25C3">
        <w:rPr>
          <w:rFonts w:eastAsia="Times New Roman" w:cstheme="minorHAnsi"/>
          <w:iCs/>
        </w:rPr>
        <w:t>go</w:t>
      </w:r>
      <w:r w:rsidR="00550197" w:rsidRPr="00AE25C3">
        <w:rPr>
          <w:rFonts w:eastAsia="Times New Roman" w:cstheme="minorHAnsi"/>
          <w:iCs/>
        </w:rPr>
        <w:t xml:space="preserve"> przez wybranego przez Beneficjenta biegłego rewidenta,</w:t>
      </w:r>
    </w:p>
    <w:p w14:paraId="1E233D5B" w14:textId="67C526D5" w:rsidR="00797E03" w:rsidRPr="00613A94" w:rsidRDefault="00797E03" w:rsidP="004A0786">
      <w:pPr>
        <w:spacing w:after="0" w:line="240" w:lineRule="auto"/>
        <w:ind w:left="1418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Instytucja Pośredniczącą jest uprawniona, na koszt Beneficjenta, skierować </w:t>
      </w:r>
      <w:r w:rsidR="006C04F7" w:rsidRPr="00AE25C3">
        <w:rPr>
          <w:rFonts w:eastAsia="Times New Roman" w:cstheme="minorHAnsi"/>
          <w:iCs/>
        </w:rPr>
        <w:t xml:space="preserve">dokument </w:t>
      </w:r>
      <w:r w:rsidRPr="00AE25C3">
        <w:rPr>
          <w:rFonts w:eastAsia="Times New Roman" w:cstheme="minorHAnsi"/>
          <w:iCs/>
        </w:rPr>
        <w:t>finansow</w:t>
      </w:r>
      <w:r w:rsidR="006C04F7" w:rsidRPr="00AE25C3">
        <w:rPr>
          <w:rFonts w:eastAsia="Times New Roman" w:cstheme="minorHAnsi"/>
          <w:iCs/>
        </w:rPr>
        <w:t>y</w:t>
      </w:r>
      <w:r w:rsidRPr="00AE25C3">
        <w:rPr>
          <w:rFonts w:eastAsia="Times New Roman" w:cstheme="minorHAnsi"/>
          <w:iCs/>
        </w:rPr>
        <w:t xml:space="preserve"> Beneficjenta do oceny wybranego przez siebie biegłego rewidenta, a</w:t>
      </w:r>
      <w:r w:rsidR="004A0786">
        <w:rPr>
          <w:rFonts w:eastAsia="Times New Roman" w:cstheme="minorHAnsi"/>
          <w:iCs/>
        </w:rPr>
        <w:t> </w:t>
      </w:r>
      <w:r w:rsidRPr="00AE25C3">
        <w:rPr>
          <w:rFonts w:eastAsia="Times New Roman" w:cstheme="minorHAnsi"/>
          <w:iCs/>
        </w:rPr>
        <w:t>Beneficjent jest zobowiązany w tym zakresie współpracować z Instytucją Pośredniczącą i wskazanym przez nią biegłym rewidentem oraz pokryć koszty takiego badania</w:t>
      </w:r>
      <w:r w:rsidR="00217610">
        <w:rPr>
          <w:rFonts w:eastAsia="Times New Roman" w:cstheme="minorHAnsi"/>
          <w:iCs/>
        </w:rPr>
        <w:t>.</w:t>
      </w:r>
      <w:bookmarkEnd w:id="11"/>
    </w:p>
    <w:p w14:paraId="48F58395" w14:textId="02CB41DC" w:rsidR="00A57999" w:rsidRPr="00AE25C3" w:rsidRDefault="00A57999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cstheme="minorHAnsi"/>
          <w:b/>
        </w:rPr>
        <w:t>Podstaw</w:t>
      </w:r>
      <w:r w:rsidR="001E2872" w:rsidRPr="00AE25C3">
        <w:rPr>
          <w:rStyle w:val="tlid-translation"/>
          <w:rFonts w:cstheme="minorHAnsi"/>
          <w:b/>
        </w:rPr>
        <w:t>ę</w:t>
      </w:r>
      <w:r w:rsidRPr="00AE25C3">
        <w:rPr>
          <w:rStyle w:val="tlid-translation"/>
          <w:rFonts w:cstheme="minorHAnsi"/>
          <w:b/>
        </w:rPr>
        <w:t xml:space="preserve"> wyliczenia Nadwyżki i Kwoty Podlegającej Wycofaniu</w:t>
      </w:r>
      <w:r w:rsidRPr="00AE25C3">
        <w:rPr>
          <w:rStyle w:val="tlid-translation"/>
          <w:rFonts w:cstheme="minorHAnsi"/>
        </w:rPr>
        <w:t xml:space="preserve"> </w:t>
      </w:r>
      <w:r w:rsidRPr="00AE25C3">
        <w:rPr>
          <w:rStyle w:val="tlid-translation"/>
          <w:rFonts w:cstheme="minorHAnsi"/>
          <w:b/>
        </w:rPr>
        <w:t xml:space="preserve">stanowią </w:t>
      </w:r>
      <w:r w:rsidRPr="00AE25C3">
        <w:rPr>
          <w:rStyle w:val="tlid-translation"/>
          <w:rFonts w:cstheme="minorHAnsi"/>
          <w:b/>
          <w:bCs/>
        </w:rPr>
        <w:t xml:space="preserve">dane liczbowe zawarte w </w:t>
      </w:r>
      <w:r w:rsidR="006C04F7" w:rsidRPr="00AE25C3">
        <w:rPr>
          <w:rStyle w:val="tlid-translation"/>
          <w:rFonts w:cstheme="minorHAnsi"/>
          <w:b/>
          <w:bCs/>
        </w:rPr>
        <w:t xml:space="preserve">dokumencie </w:t>
      </w:r>
      <w:r w:rsidRPr="00AE25C3">
        <w:rPr>
          <w:rStyle w:val="tlid-translation"/>
          <w:rFonts w:cstheme="minorHAnsi"/>
          <w:b/>
          <w:bCs/>
        </w:rPr>
        <w:t>finansowym Beneficjenta</w:t>
      </w:r>
      <w:r w:rsidRPr="00AE25C3">
        <w:rPr>
          <w:rStyle w:val="tlid-translation"/>
          <w:rFonts w:cstheme="minorHAnsi"/>
          <w:b/>
        </w:rPr>
        <w:t>,</w:t>
      </w:r>
      <w:r w:rsidR="001E2872" w:rsidRPr="00AE25C3">
        <w:rPr>
          <w:rStyle w:val="tlid-translation"/>
          <w:rFonts w:cstheme="minorHAnsi"/>
        </w:rPr>
        <w:t xml:space="preserve"> który</w:t>
      </w:r>
      <w:r w:rsidRPr="00AE25C3">
        <w:rPr>
          <w:rStyle w:val="tlid-translation"/>
          <w:rFonts w:cstheme="minorHAnsi"/>
        </w:rPr>
        <w:t xml:space="preserve"> </w:t>
      </w:r>
      <w:r w:rsidR="001E2872" w:rsidRPr="00AE25C3">
        <w:rPr>
          <w:rStyle w:val="tlid-translation"/>
          <w:rFonts w:cstheme="minorHAnsi"/>
        </w:rPr>
        <w:t>był</w:t>
      </w:r>
      <w:r w:rsidRPr="00AE25C3">
        <w:rPr>
          <w:rStyle w:val="tlid-translation"/>
          <w:rFonts w:cstheme="minorHAnsi"/>
        </w:rPr>
        <w:t xml:space="preserve"> przedmiotem pozytywnej opinii biegłego rewidenta wybranego przez Beneficjenta, z zastrzeżeniem </w:t>
      </w:r>
      <w:r w:rsidR="00901A00" w:rsidRPr="00AE25C3">
        <w:rPr>
          <w:rStyle w:val="tlid-translation"/>
          <w:rFonts w:cstheme="minorHAnsi"/>
        </w:rPr>
        <w:t xml:space="preserve">zdań </w:t>
      </w:r>
      <w:r w:rsidRPr="00AE25C3">
        <w:rPr>
          <w:rStyle w:val="tlid-translation"/>
          <w:rFonts w:cstheme="minorHAnsi"/>
        </w:rPr>
        <w:t>kolejn</w:t>
      </w:r>
      <w:r w:rsidR="00901A00" w:rsidRPr="00AE25C3">
        <w:rPr>
          <w:rStyle w:val="tlid-translation"/>
          <w:rFonts w:cstheme="minorHAnsi"/>
        </w:rPr>
        <w:t>ych</w:t>
      </w:r>
      <w:r w:rsidRPr="00AE25C3">
        <w:rPr>
          <w:rStyle w:val="tlid-translation"/>
          <w:rFonts w:cstheme="minorHAnsi"/>
        </w:rPr>
        <w:t>. W</w:t>
      </w:r>
      <w:r w:rsidR="004A0786">
        <w:rPr>
          <w:rStyle w:val="tlid-translation"/>
          <w:rFonts w:cstheme="minorHAnsi"/>
        </w:rPr>
        <w:t> </w:t>
      </w:r>
      <w:r w:rsidRPr="00AE25C3">
        <w:rPr>
          <w:rStyle w:val="tlid-translation"/>
          <w:rFonts w:cstheme="minorHAnsi"/>
        </w:rPr>
        <w:t xml:space="preserve">przypadku </w:t>
      </w:r>
      <w:r w:rsidRPr="00AE25C3">
        <w:rPr>
          <w:rFonts w:eastAsia="Times New Roman" w:cstheme="minorHAnsi"/>
          <w:iCs/>
        </w:rPr>
        <w:t>jeśli</w:t>
      </w:r>
      <w:r w:rsidR="006A3C64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 xml:space="preserve">ocena </w:t>
      </w:r>
      <w:r w:rsidR="006C04F7" w:rsidRPr="00AE25C3">
        <w:rPr>
          <w:rFonts w:eastAsia="Times New Roman" w:cstheme="minorHAnsi"/>
          <w:iCs/>
        </w:rPr>
        <w:t xml:space="preserve">dokumentu </w:t>
      </w:r>
      <w:r w:rsidRPr="00AE25C3">
        <w:rPr>
          <w:rFonts w:eastAsia="Times New Roman" w:cstheme="minorHAnsi"/>
          <w:iCs/>
        </w:rPr>
        <w:t xml:space="preserve">finansowego została przeprowadzona przez dodatkowego biegłego rewidenta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217610">
        <w:rPr>
          <w:rFonts w:eastAsia="Times New Roman" w:cstheme="minorHAnsi"/>
          <w:iCs/>
        </w:rPr>
        <w:t>7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_Ref51199497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c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>, w wyliczeniu Nadwyżki</w:t>
      </w:r>
      <w:r w:rsidR="00952447" w:rsidRPr="00AE25C3">
        <w:rPr>
          <w:rStyle w:val="tlid-translation"/>
          <w:rFonts w:cstheme="minorHAnsi"/>
        </w:rPr>
        <w:t xml:space="preserve"> i Kwoty Podlegającej Wycofaniu</w:t>
      </w:r>
      <w:r w:rsidRPr="00AE25C3">
        <w:rPr>
          <w:rStyle w:val="tlid-translation"/>
          <w:rFonts w:cstheme="minorHAnsi"/>
        </w:rPr>
        <w:t xml:space="preserve"> uwzględnia się </w:t>
      </w:r>
      <w:r w:rsidR="006C04F7" w:rsidRPr="00AE25C3">
        <w:rPr>
          <w:rStyle w:val="tlid-translation"/>
          <w:rFonts w:cstheme="minorHAnsi"/>
        </w:rPr>
        <w:t xml:space="preserve">dokument </w:t>
      </w:r>
      <w:r w:rsidRPr="00AE25C3">
        <w:rPr>
          <w:rStyle w:val="tlid-translation"/>
          <w:rFonts w:cstheme="minorHAnsi"/>
        </w:rPr>
        <w:t>finansow</w:t>
      </w:r>
      <w:r w:rsidR="006C04F7" w:rsidRPr="00AE25C3">
        <w:rPr>
          <w:rStyle w:val="tlid-translation"/>
          <w:rFonts w:cstheme="minorHAnsi"/>
        </w:rPr>
        <w:t>y</w:t>
      </w:r>
      <w:r w:rsidRPr="00AE25C3">
        <w:rPr>
          <w:rStyle w:val="tlid-translation"/>
          <w:rFonts w:cstheme="minorHAnsi"/>
        </w:rPr>
        <w:t xml:space="preserve"> Beneficjenta z uwzględnieniem opinii biegłego rewidenta</w:t>
      </w:r>
      <w:r w:rsidR="00952447" w:rsidRPr="00AE25C3">
        <w:rPr>
          <w:rStyle w:val="tlid-translation"/>
          <w:rFonts w:cstheme="minorHAnsi"/>
        </w:rPr>
        <w:t xml:space="preserve"> wskazanego przez Instytucję Pośredniczącą</w:t>
      </w:r>
      <w:r w:rsidRPr="00AE25C3">
        <w:rPr>
          <w:rStyle w:val="tlid-translation"/>
          <w:rFonts w:cstheme="minorHAnsi"/>
        </w:rPr>
        <w:t>.</w:t>
      </w:r>
    </w:p>
    <w:p w14:paraId="0DC5B576" w14:textId="77777777" w:rsidR="00D95320" w:rsidRPr="00AE25C3" w:rsidRDefault="00D95320" w:rsidP="004A0786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>Wyliczenie Nadwyżki</w:t>
      </w:r>
    </w:p>
    <w:p w14:paraId="74CF2A88" w14:textId="7397C9E8" w:rsidR="004A0786" w:rsidRDefault="00C5578C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NCBR w terminie dwóch miesięcy od dnia otrzymania zaopiniowanego przez biegłego rewidenta </w:t>
      </w:r>
      <w:r w:rsidR="006C04F7" w:rsidRPr="00AE25C3">
        <w:rPr>
          <w:rStyle w:val="tlid-translation"/>
          <w:rFonts w:eastAsia="Times New Roman" w:cstheme="minorHAnsi"/>
          <w:iCs/>
        </w:rPr>
        <w:t xml:space="preserve">dokumentu </w:t>
      </w:r>
      <w:r w:rsidRPr="00AE25C3">
        <w:rPr>
          <w:rStyle w:val="tlid-translation"/>
          <w:rFonts w:eastAsia="Times New Roman" w:cstheme="minorHAnsi"/>
          <w:iCs/>
        </w:rPr>
        <w:t xml:space="preserve">finansowego Beneficjenta (z uwzględnieniem pkt </w:t>
      </w:r>
      <w:r w:rsidRPr="00AE25C3">
        <w:rPr>
          <w:rStyle w:val="tlid-translation"/>
          <w:rFonts w:eastAsia="Times New Roman" w:cstheme="minorHAnsi"/>
          <w:iCs/>
        </w:rPr>
        <w:fldChar w:fldCharType="begin"/>
      </w:r>
      <w:r w:rsidRPr="00AE25C3">
        <w:rPr>
          <w:rStyle w:val="tlid-translation"/>
          <w:rFonts w:eastAsia="Times New Roman" w:cstheme="minorHAnsi"/>
          <w:iCs/>
        </w:rPr>
        <w:instrText xml:space="preserve"> REF _Ref51197802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iCs/>
        </w:rPr>
      </w:r>
      <w:r w:rsidRPr="00AE25C3">
        <w:rPr>
          <w:rStyle w:val="tlid-translation"/>
          <w:rFonts w:eastAsia="Times New Roman" w:cstheme="minorHAnsi"/>
          <w:iCs/>
        </w:rPr>
        <w:fldChar w:fldCharType="separate"/>
      </w:r>
      <w:r w:rsidR="00217610">
        <w:rPr>
          <w:rStyle w:val="tlid-translation"/>
          <w:rFonts w:eastAsia="Times New Roman" w:cstheme="minorHAnsi"/>
          <w:iCs/>
        </w:rPr>
        <w:t>7</w:t>
      </w:r>
      <w:r w:rsidRPr="00AE25C3">
        <w:rPr>
          <w:rStyle w:val="tlid-translation"/>
          <w:rFonts w:eastAsia="Times New Roman" w:cstheme="minorHAnsi"/>
          <w:iCs/>
        </w:rPr>
        <w:fldChar w:fldCharType="end"/>
      </w:r>
      <w:r w:rsidRPr="00AE25C3">
        <w:rPr>
          <w:rStyle w:val="tlid-translation"/>
          <w:rFonts w:eastAsia="Times New Roman" w:cstheme="minorHAnsi"/>
          <w:iCs/>
        </w:rPr>
        <w:t xml:space="preserve"> lit. </w:t>
      </w:r>
      <w:r w:rsidRPr="00AE25C3">
        <w:rPr>
          <w:rStyle w:val="tlid-translation"/>
          <w:rFonts w:eastAsia="Times New Roman" w:cstheme="minorHAnsi"/>
          <w:iCs/>
        </w:rPr>
        <w:fldChar w:fldCharType="begin"/>
      </w:r>
      <w:r w:rsidRPr="00AE25C3">
        <w:rPr>
          <w:rStyle w:val="tlid-translation"/>
          <w:rFonts w:eastAsia="Times New Roman" w:cstheme="minorHAnsi"/>
          <w:iCs/>
        </w:rPr>
        <w:instrText xml:space="preserve"> REF _Ref51200155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iCs/>
        </w:rPr>
      </w:r>
      <w:r w:rsidRPr="00AE25C3">
        <w:rPr>
          <w:rStyle w:val="tlid-translation"/>
          <w:rFonts w:eastAsia="Times New Roman" w:cstheme="minorHAnsi"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iCs/>
        </w:rPr>
        <w:t>c</w:t>
      </w:r>
      <w:r w:rsidRPr="00AE25C3">
        <w:rPr>
          <w:rStyle w:val="tlid-translation"/>
          <w:rFonts w:eastAsia="Times New Roman" w:cstheme="minorHAnsi"/>
          <w:iCs/>
        </w:rPr>
        <w:fldChar w:fldCharType="end"/>
      </w:r>
      <w:r w:rsidRPr="00AE25C3">
        <w:rPr>
          <w:rStyle w:val="tlid-translation"/>
          <w:rFonts w:eastAsia="Times New Roman" w:cstheme="minorHAnsi"/>
          <w:iCs/>
        </w:rPr>
        <w:t xml:space="preserve">), wylicza wartość nadwyżki przekazanej pomocy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państwa </w:t>
      </w:r>
      <w:r w:rsidRPr="00AE25C3">
        <w:rPr>
          <w:rStyle w:val="tlid-translation"/>
          <w:rFonts w:eastAsia="Times New Roman" w:cstheme="minorHAnsi"/>
          <w:iCs/>
        </w:rPr>
        <w:t>nad rzeczywistą luką finansową („</w:t>
      </w:r>
      <w:r w:rsidRPr="00AE25C3">
        <w:rPr>
          <w:rStyle w:val="tlid-translation"/>
          <w:rFonts w:eastAsia="Times New Roman" w:cstheme="minorHAnsi"/>
          <w:b/>
          <w:iCs/>
        </w:rPr>
        <w:t>Nadwyżka</w:t>
      </w:r>
      <w:r w:rsidRPr="00AE25C3">
        <w:rPr>
          <w:rStyle w:val="tlid-translation"/>
          <w:rFonts w:eastAsia="Times New Roman" w:cstheme="minorHAnsi"/>
          <w:iCs/>
        </w:rPr>
        <w:t>”)</w:t>
      </w:r>
      <w:r w:rsidR="006C5908" w:rsidRPr="00AE25C3">
        <w:rPr>
          <w:rStyle w:val="tlid-translation"/>
          <w:rFonts w:eastAsia="Times New Roman" w:cstheme="minorHAnsi"/>
          <w:iCs/>
        </w:rPr>
        <w:t xml:space="preserve"> zgodnie z pkt </w:t>
      </w:r>
      <w:r w:rsidR="006A3C64" w:rsidRPr="00AE25C3">
        <w:rPr>
          <w:rStyle w:val="tlid-translation"/>
          <w:rFonts w:eastAsia="Times New Roman" w:cstheme="minorHAnsi"/>
          <w:iCs/>
        </w:rPr>
        <w:fldChar w:fldCharType="begin"/>
      </w:r>
      <w:r w:rsidR="006A3C64" w:rsidRPr="00AE25C3">
        <w:rPr>
          <w:rStyle w:val="tlid-translation"/>
          <w:rFonts w:eastAsia="Times New Roman" w:cstheme="minorHAnsi"/>
          <w:iCs/>
        </w:rPr>
        <w:instrText xml:space="preserve"> REF _Ref51201591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="006A3C64" w:rsidRPr="00AE25C3">
        <w:rPr>
          <w:rStyle w:val="tlid-translation"/>
          <w:rFonts w:eastAsia="Times New Roman" w:cstheme="minorHAnsi"/>
          <w:iCs/>
        </w:rPr>
      </w:r>
      <w:r w:rsidR="006A3C64" w:rsidRPr="00AE25C3">
        <w:rPr>
          <w:rStyle w:val="tlid-translation"/>
          <w:rFonts w:eastAsia="Times New Roman" w:cstheme="minorHAnsi"/>
          <w:iCs/>
        </w:rPr>
        <w:fldChar w:fldCharType="separate"/>
      </w:r>
      <w:r w:rsidR="00217610">
        <w:rPr>
          <w:rStyle w:val="tlid-translation"/>
          <w:rFonts w:eastAsia="Times New Roman" w:cstheme="minorHAnsi"/>
          <w:iCs/>
        </w:rPr>
        <w:t>10</w:t>
      </w:r>
      <w:r w:rsidR="006A3C64" w:rsidRPr="00AE25C3">
        <w:rPr>
          <w:rStyle w:val="tlid-translation"/>
          <w:rFonts w:eastAsia="Times New Roman" w:cstheme="minorHAnsi"/>
          <w:iCs/>
        </w:rPr>
        <w:fldChar w:fldCharType="end"/>
      </w:r>
      <w:r w:rsidR="0045423C" w:rsidRPr="00AE25C3">
        <w:rPr>
          <w:rStyle w:val="tlid-translation"/>
          <w:rFonts w:eastAsia="Times New Roman" w:cstheme="minorHAnsi"/>
          <w:iCs/>
        </w:rPr>
        <w:t>.</w:t>
      </w:r>
    </w:p>
    <w:p w14:paraId="4A9FAC3A" w14:textId="77777777" w:rsidR="006C5908" w:rsidRPr="00AE25C3" w:rsidRDefault="006C5908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bookmarkStart w:id="12" w:name="_Ref51201591"/>
      <w:r w:rsidRPr="00AE25C3">
        <w:rPr>
          <w:rStyle w:val="tlid-translation"/>
          <w:rFonts w:eastAsia="Times New Roman" w:cstheme="minorHAnsi"/>
          <w:iCs/>
        </w:rPr>
        <w:t>Wartość Nadwyżki jest wyliczana</w:t>
      </w:r>
      <w:r w:rsidR="009E4356" w:rsidRPr="00AE25C3">
        <w:rPr>
          <w:rStyle w:val="tlid-translation"/>
          <w:rFonts w:eastAsia="Times New Roman" w:cstheme="minorHAnsi"/>
          <w:iCs/>
        </w:rPr>
        <w:t xml:space="preserve"> dla danego roku </w:t>
      </w:r>
      <w:r w:rsidR="006A3C64" w:rsidRPr="00AE25C3">
        <w:rPr>
          <w:rStyle w:val="tlid-translation"/>
          <w:rFonts w:eastAsia="Times New Roman" w:cstheme="minorHAnsi"/>
          <w:iCs/>
        </w:rPr>
        <w:t>„</w:t>
      </w:r>
      <w:r w:rsidR="009E4356" w:rsidRPr="00AE25C3">
        <w:rPr>
          <w:rStyle w:val="tlid-translation"/>
          <w:rFonts w:eastAsia="Times New Roman" w:cstheme="minorHAnsi"/>
          <w:i/>
        </w:rPr>
        <w:t>i</w:t>
      </w:r>
      <w:r w:rsidR="006A3C64" w:rsidRPr="00AE25C3">
        <w:rPr>
          <w:rStyle w:val="tlid-translation"/>
          <w:rFonts w:eastAsia="Times New Roman" w:cstheme="minorHAnsi"/>
          <w:i/>
        </w:rPr>
        <w:t>”</w:t>
      </w:r>
      <w:r w:rsidR="009E4356" w:rsidRPr="00AE25C3">
        <w:rPr>
          <w:rStyle w:val="tlid-translation"/>
          <w:rFonts w:eastAsia="Times New Roman" w:cstheme="minorHAnsi"/>
          <w:i/>
        </w:rPr>
        <w:t xml:space="preserve"> </w:t>
      </w:r>
      <w:r w:rsidRPr="00AE25C3">
        <w:rPr>
          <w:rStyle w:val="tlid-translation"/>
          <w:rFonts w:eastAsia="Times New Roman" w:cstheme="minorHAnsi"/>
          <w:iCs/>
        </w:rPr>
        <w:t>zgodnie z poniższym wzorem:</w:t>
      </w:r>
      <w:bookmarkEnd w:id="12"/>
    </w:p>
    <w:p w14:paraId="6A9EFA9E" w14:textId="77777777" w:rsidR="00BD3401" w:rsidRPr="00AE25C3" w:rsidRDefault="00BD3401" w:rsidP="004A0786">
      <w:pPr>
        <w:pStyle w:val="Akapitzlist"/>
        <w:contextualSpacing w:val="0"/>
        <w:jc w:val="both"/>
        <w:rPr>
          <w:rStyle w:val="tlid-translation"/>
          <w:rFonts w:eastAsia="Times New Roman" w:cstheme="minorHAnsi"/>
          <w:iCs/>
        </w:rPr>
      </w:pPr>
    </w:p>
    <w:p w14:paraId="70017F86" w14:textId="77777777" w:rsidR="006C5908" w:rsidRPr="00AE25C3" w:rsidRDefault="00E5238D" w:rsidP="004A0786">
      <w:pPr>
        <w:pStyle w:val="Akapitzlist"/>
        <w:contextualSpacing w:val="0"/>
        <w:jc w:val="both"/>
        <w:rPr>
          <w:rStyle w:val="tlid-translation"/>
          <w:rFonts w:eastAsia="Times New Roman" w:cstheme="minorHAnsi"/>
          <w:iCs/>
        </w:rPr>
      </w:pPr>
      <m:oMathPara>
        <m:oMath>
          <m:sSub>
            <m:sSubPr>
              <m:ctrlPr>
                <w:rPr>
                  <w:rStyle w:val="tlid-translation"/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="Times New Roman" w:hAnsi="Cambria Math" w:cstheme="minorHAnsi"/>
                </w:rPr>
                <m:t>N</m:t>
              </m:r>
            </m:e>
            <m:sub>
              <m:r>
                <w:rPr>
                  <w:rStyle w:val="tlid-translation"/>
                  <w:rFonts w:ascii="Cambria Math" w:eastAsia="Times New Roman" w:hAnsi="Cambria Math" w:cstheme="minorHAnsi"/>
                </w:rPr>
                <m:t>i</m:t>
              </m:r>
            </m:sub>
          </m:sSub>
          <m:r>
            <w:rPr>
              <w:rStyle w:val="tlid-translation"/>
              <w:rFonts w:ascii="Cambria Math" w:eastAsia="Times New Roman" w:hAnsi="Cambria Math" w:cstheme="minorHAnsi"/>
            </w:rPr>
            <m:t xml:space="preserve">= </m:t>
          </m:r>
          <w:bookmarkStart w:id="13" w:name="_Hlk51200913"/>
          <m:sSub>
            <m:sSubPr>
              <m:ctrlPr>
                <w:rPr>
                  <w:rStyle w:val="tlid-translation"/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="Times New Roman" w:hAnsi="Cambria Math" w:cstheme="minorHAnsi"/>
                </w:rPr>
                <m:t>NPV</m:t>
              </m:r>
            </m:e>
            <m:sub>
              <m:r>
                <w:rPr>
                  <w:rStyle w:val="tlid-translation"/>
                  <w:rFonts w:ascii="Cambria Math" w:eastAsia="Times New Roman" w:hAnsi="Cambria Math" w:cstheme="minorHAnsi"/>
                </w:rPr>
                <m:t>CF</m:t>
              </m:r>
            </m:sub>
          </m:sSub>
          <w:bookmarkEnd w:id="13"/>
          <m:r>
            <w:rPr>
              <w:rStyle w:val="tlid-translation"/>
              <w:rFonts w:ascii="Cambria Math" w:eastAsia="Times New Roman" w:hAnsi="Cambria Math" w:cstheme="minorHAnsi"/>
            </w:rPr>
            <m:t xml:space="preserve">+ </m:t>
          </m:r>
          <m:sSub>
            <m:sSubPr>
              <m:ctrlPr>
                <w:rPr>
                  <w:rStyle w:val="tlid-translation"/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="Times New Roman" w:hAnsi="Cambria Math" w:cstheme="minorHAnsi"/>
                </w:rPr>
                <m:t>NPV</m:t>
              </m:r>
            </m:e>
            <m:sub>
              <m:r>
                <w:rPr>
                  <w:rStyle w:val="tlid-translation"/>
                  <w:rFonts w:ascii="Cambria Math" w:eastAsia="Times New Roman" w:hAnsi="Cambria Math" w:cstheme="minorHAnsi"/>
                </w:rPr>
                <m:t>SA</m:t>
              </m:r>
            </m:sub>
          </m:sSub>
          <m:r>
            <w:rPr>
              <w:rStyle w:val="tlid-translation"/>
              <w:rFonts w:ascii="Cambria Math" w:eastAsia="Times New Roman" w:hAnsi="Cambria Math" w:cstheme="minorHAnsi"/>
            </w:rPr>
            <m:t xml:space="preserve"> </m:t>
          </m:r>
        </m:oMath>
      </m:oMathPara>
    </w:p>
    <w:p w14:paraId="048628C0" w14:textId="77777777" w:rsidR="00546CD6" w:rsidRPr="00AE25C3" w:rsidRDefault="00546CD6" w:rsidP="004A0786">
      <w:pPr>
        <w:pStyle w:val="Akapitzlist"/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Gdzie:</w:t>
      </w:r>
    </w:p>
    <w:p w14:paraId="29D604F9" w14:textId="2EB0C458" w:rsidR="00546CD6" w:rsidRPr="00AE25C3" w:rsidRDefault="00546CD6" w:rsidP="004A0786">
      <w:pPr>
        <w:pStyle w:val="Akapitzlist"/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N</w:t>
      </w:r>
      <w:r w:rsidR="009E4356" w:rsidRPr="00AE25C3">
        <w:rPr>
          <w:rStyle w:val="tlid-translation"/>
          <w:rFonts w:eastAsia="Times New Roman" w:cstheme="minorHAnsi"/>
          <w:iCs/>
          <w:vertAlign w:val="subscript"/>
        </w:rPr>
        <w:t>i</w:t>
      </w:r>
      <w:r w:rsidRPr="00AE25C3">
        <w:rPr>
          <w:rStyle w:val="tlid-translation"/>
          <w:rFonts w:eastAsia="Times New Roman" w:cstheme="minorHAnsi"/>
          <w:iCs/>
        </w:rPr>
        <w:t xml:space="preserve"> – oznacza wartość nadwyżki przekazanej pomocy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państwa na realizację Projektu, zarówno w ramach Umowy jak i innych umów zawartych przez Beneficjenta z organami działającymi w imieniu Rzeczypospolitej Polskiej, </w:t>
      </w:r>
      <w:r w:rsidRPr="00AE25C3">
        <w:rPr>
          <w:rStyle w:val="tlid-translation"/>
          <w:rFonts w:eastAsia="Times New Roman" w:cstheme="minorHAnsi"/>
          <w:iCs/>
        </w:rPr>
        <w:t>nad rzeczywistą luką finansową („</w:t>
      </w:r>
      <w:r w:rsidRPr="00AE25C3">
        <w:rPr>
          <w:rStyle w:val="tlid-translation"/>
          <w:rFonts w:eastAsia="Times New Roman" w:cstheme="minorHAnsi"/>
          <w:b/>
          <w:iCs/>
        </w:rPr>
        <w:t>Nadwyżka</w:t>
      </w:r>
      <w:r w:rsidRPr="00AE25C3">
        <w:rPr>
          <w:rStyle w:val="tlid-translation"/>
          <w:rFonts w:eastAsia="Times New Roman" w:cstheme="minorHAnsi"/>
          <w:iCs/>
        </w:rPr>
        <w:t>”)</w:t>
      </w:r>
      <w:r w:rsidR="009E4356" w:rsidRPr="00AE25C3">
        <w:rPr>
          <w:rStyle w:val="tlid-translation"/>
          <w:rFonts w:eastAsia="Times New Roman" w:cstheme="minorHAnsi"/>
          <w:iCs/>
        </w:rPr>
        <w:t xml:space="preserve"> ustaloną dla roku „</w:t>
      </w:r>
      <w:r w:rsidR="009E4356" w:rsidRPr="00AE25C3">
        <w:rPr>
          <w:rStyle w:val="tlid-translation"/>
          <w:rFonts w:eastAsia="Times New Roman" w:cstheme="minorHAnsi"/>
          <w:i/>
        </w:rPr>
        <w:t>i”</w:t>
      </w:r>
      <w:r w:rsidRPr="00AE25C3">
        <w:rPr>
          <w:rStyle w:val="tlid-translation"/>
          <w:rFonts w:eastAsia="Times New Roman" w:cstheme="minorHAnsi"/>
          <w:iCs/>
        </w:rPr>
        <w:t>,</w:t>
      </w:r>
    </w:p>
    <w:p w14:paraId="12899947" w14:textId="7D05E774" w:rsidR="00546CD6" w:rsidRPr="00AE25C3" w:rsidRDefault="00546CD6" w:rsidP="004A0786">
      <w:pPr>
        <w:pStyle w:val="Akapitzlist"/>
        <w:contextualSpacing w:val="0"/>
        <w:jc w:val="both"/>
        <w:rPr>
          <w:rStyle w:val="tlid-translation"/>
          <w:rFonts w:cstheme="minorHAnsi"/>
        </w:rPr>
      </w:pPr>
      <w:r w:rsidRPr="00AE25C3">
        <w:rPr>
          <w:rStyle w:val="tlid-translation"/>
          <w:rFonts w:eastAsia="Cambria Math" w:cstheme="minorHAnsi"/>
          <w:iCs/>
        </w:rPr>
        <w:lastRenderedPageBreak/>
        <w:t>NPV</w:t>
      </w:r>
      <w:r w:rsidRPr="00AE25C3">
        <w:rPr>
          <w:rStyle w:val="tlid-translation"/>
          <w:rFonts w:eastAsia="Cambria Math" w:cstheme="minorHAnsi"/>
          <w:iCs/>
          <w:vertAlign w:val="subscript"/>
        </w:rPr>
        <w:t xml:space="preserve">CF </w:t>
      </w:r>
      <w:r w:rsidRPr="00AE25C3">
        <w:rPr>
          <w:rStyle w:val="tlid-translation"/>
          <w:rFonts w:eastAsia="Cambria Math" w:cstheme="minorHAnsi"/>
          <w:iCs/>
        </w:rPr>
        <w:t xml:space="preserve">– oznacza </w:t>
      </w:r>
      <w:r w:rsidR="009E4356" w:rsidRPr="00AE25C3">
        <w:rPr>
          <w:rStyle w:val="tlid-translation"/>
          <w:rFonts w:eastAsia="Cambria Math" w:cstheme="minorHAnsi"/>
          <w:iCs/>
        </w:rPr>
        <w:t xml:space="preserve">łączną </w:t>
      </w:r>
      <w:r w:rsidRPr="00AE25C3">
        <w:rPr>
          <w:rStyle w:val="tlid-translation"/>
          <w:rFonts w:cstheme="minorHAnsi"/>
        </w:rPr>
        <w:t>wartość bieżącą netto</w:t>
      </w:r>
      <w:r w:rsidR="00C602E9" w:rsidRPr="00AE25C3">
        <w:rPr>
          <w:rStyle w:val="tlid-translation"/>
          <w:rFonts w:cstheme="minorHAnsi"/>
        </w:rPr>
        <w:t>,</w:t>
      </w:r>
      <w:r w:rsidRPr="00AE25C3">
        <w:rPr>
          <w:rStyle w:val="tlid-translation"/>
          <w:rFonts w:cstheme="minorHAnsi"/>
        </w:rPr>
        <w:t xml:space="preserve"> zaktualizowaną dla roku ocenianego </w:t>
      </w:r>
      <w:r w:rsidR="006C04F7" w:rsidRPr="00AE25C3">
        <w:rPr>
          <w:rStyle w:val="tlid-translation"/>
          <w:rFonts w:cstheme="minorHAnsi"/>
        </w:rPr>
        <w:t xml:space="preserve">dokumentu </w:t>
      </w:r>
      <w:r w:rsidRPr="00AE25C3">
        <w:rPr>
          <w:rStyle w:val="tlid-translation"/>
          <w:rFonts w:cstheme="minorHAnsi"/>
        </w:rPr>
        <w:t xml:space="preserve">finansowego (z zastosowaniem </w:t>
      </w:r>
      <w:r w:rsidR="006A3C64" w:rsidRPr="00AE25C3">
        <w:rPr>
          <w:rStyle w:val="tlid-translation"/>
          <w:rFonts w:cstheme="minorHAnsi"/>
        </w:rPr>
        <w:t>W</w:t>
      </w:r>
      <w:r w:rsidRPr="00AE25C3">
        <w:rPr>
          <w:rStyle w:val="tlid-translation"/>
          <w:rFonts w:cstheme="minorHAnsi"/>
        </w:rPr>
        <w:t xml:space="preserve">skaźnika WACC jako współczynnika </w:t>
      </w:r>
      <w:r w:rsidR="00222388">
        <w:rPr>
          <w:rStyle w:val="tlid-translation"/>
          <w:rFonts w:cstheme="minorHAnsi"/>
        </w:rPr>
        <w:t>waloryzacji</w:t>
      </w:r>
      <w:r w:rsidR="00222388">
        <w:rPr>
          <w:rStyle w:val="Odwoanieprzypisudolnego"/>
          <w:rFonts w:cstheme="minorHAnsi"/>
        </w:rPr>
        <w:footnoteReference w:id="5"/>
      </w:r>
      <w:r w:rsidRPr="00AE25C3">
        <w:rPr>
          <w:rStyle w:val="tlid-translation"/>
          <w:rFonts w:cstheme="minorHAnsi"/>
        </w:rPr>
        <w:t>)</w:t>
      </w:r>
      <w:r w:rsidR="00C602E9" w:rsidRPr="00AE25C3">
        <w:rPr>
          <w:rStyle w:val="tlid-translation"/>
          <w:rFonts w:cstheme="minorHAnsi"/>
        </w:rPr>
        <w:t>,</w:t>
      </w:r>
      <w:r w:rsidRPr="00AE25C3">
        <w:rPr>
          <w:rStyle w:val="tlid-translation"/>
          <w:rFonts w:cstheme="minorHAnsi"/>
        </w:rPr>
        <w:t xml:space="preserve"> wynikających z ocenionych przez biegłego rewidenta </w:t>
      </w:r>
      <w:r w:rsidR="006C04F7" w:rsidRPr="00AE25C3">
        <w:rPr>
          <w:rStyle w:val="tlid-translation"/>
          <w:rFonts w:cstheme="minorHAnsi"/>
        </w:rPr>
        <w:t xml:space="preserve">dokumentów </w:t>
      </w:r>
      <w:r w:rsidRPr="00AE25C3">
        <w:rPr>
          <w:rStyle w:val="tlid-translation"/>
          <w:rFonts w:cstheme="minorHAnsi"/>
        </w:rPr>
        <w:t xml:space="preserve">finansowych Beneficjenta rzeczywistych przepływów pieniężnych po opodatkowaniu (w tym nakłady inwestycyjne </w:t>
      </w:r>
      <w:r w:rsidR="00FA7C4B" w:rsidRPr="00AE25C3">
        <w:rPr>
          <w:rStyle w:val="tlid-translation"/>
          <w:rFonts w:cstheme="minorHAnsi"/>
        </w:rPr>
        <w:t>[</w:t>
      </w:r>
      <w:r w:rsidRPr="00AE25C3">
        <w:rPr>
          <w:rStyle w:val="tlid-translation"/>
          <w:rFonts w:cstheme="minorHAnsi"/>
        </w:rPr>
        <w:t xml:space="preserve">tzw. </w:t>
      </w:r>
      <w:proofErr w:type="spellStart"/>
      <w:r w:rsidRPr="00AE25C3">
        <w:rPr>
          <w:rStyle w:val="tlid-translation"/>
          <w:rFonts w:cstheme="minorHAnsi"/>
        </w:rPr>
        <w:t>C</w:t>
      </w:r>
      <w:r w:rsidR="009E4356" w:rsidRPr="00AE25C3">
        <w:rPr>
          <w:rStyle w:val="tlid-translation"/>
          <w:rFonts w:cstheme="minorHAnsi"/>
        </w:rPr>
        <w:t>apex</w:t>
      </w:r>
      <w:proofErr w:type="spellEnd"/>
      <w:r w:rsidR="00FA7C4B" w:rsidRPr="00AE25C3">
        <w:rPr>
          <w:rStyle w:val="tlid-translation"/>
          <w:rFonts w:cstheme="minorHAnsi"/>
        </w:rPr>
        <w:t>]</w:t>
      </w:r>
      <w:r w:rsidR="00222388">
        <w:rPr>
          <w:rStyle w:val="tlid-translation"/>
          <w:rFonts w:cstheme="minorHAnsi"/>
        </w:rPr>
        <w:t xml:space="preserve"> oraz dodatkowe korzyści</w:t>
      </w:r>
      <w:r w:rsidR="00222388">
        <w:rPr>
          <w:rStyle w:val="Odwoanieprzypisudolnego"/>
          <w:rFonts w:cstheme="minorHAnsi"/>
        </w:rPr>
        <w:footnoteReference w:id="6"/>
      </w:r>
      <w:r w:rsidRPr="00AE25C3">
        <w:rPr>
          <w:rStyle w:val="tlid-translation"/>
          <w:rFonts w:cstheme="minorHAnsi"/>
        </w:rPr>
        <w:t xml:space="preserve">, z wyłączeniem przepływów pieniężnych z tytułu finansowania) </w:t>
      </w:r>
      <w:r w:rsidR="009E4356" w:rsidRPr="00AE25C3">
        <w:rPr>
          <w:rStyle w:val="tlid-translation"/>
          <w:rFonts w:cstheme="minorHAnsi"/>
        </w:rPr>
        <w:t xml:space="preserve">zsumowaną </w:t>
      </w:r>
      <w:r w:rsidRPr="00AE25C3">
        <w:rPr>
          <w:rStyle w:val="tlid-translation"/>
          <w:rFonts w:cstheme="minorHAnsi"/>
        </w:rPr>
        <w:t xml:space="preserve">od </w:t>
      </w:r>
      <w:r w:rsidR="00EA592D">
        <w:rPr>
          <w:rStyle w:val="tlid-translation"/>
          <w:rFonts w:cstheme="minorHAnsi"/>
        </w:rPr>
        <w:t xml:space="preserve">roku, w którym miało miejsce rozpoczęcie prac nad </w:t>
      </w:r>
      <w:r w:rsidR="00676564">
        <w:rPr>
          <w:rStyle w:val="tlid-translation"/>
          <w:rFonts w:cstheme="minorHAnsi"/>
        </w:rPr>
        <w:t>P</w:t>
      </w:r>
      <w:r w:rsidR="00EA592D">
        <w:rPr>
          <w:rStyle w:val="tlid-translation"/>
          <w:rFonts w:cstheme="minorHAnsi"/>
        </w:rPr>
        <w:t>rojektem,</w:t>
      </w:r>
      <w:r w:rsidRPr="00AE25C3">
        <w:rPr>
          <w:rStyle w:val="tlid-translation"/>
          <w:rFonts w:cstheme="minorHAnsi"/>
        </w:rPr>
        <w:t xml:space="preserve"> do roku „</w:t>
      </w:r>
      <w:r w:rsidRPr="00AE25C3">
        <w:rPr>
          <w:rStyle w:val="tlid-translation"/>
          <w:rFonts w:cstheme="minorHAnsi"/>
          <w:i/>
          <w:iCs/>
        </w:rPr>
        <w:t>i</w:t>
      </w:r>
      <w:r w:rsidRPr="00AE25C3">
        <w:rPr>
          <w:rStyle w:val="tlid-translation"/>
          <w:rFonts w:cstheme="minorHAnsi"/>
        </w:rPr>
        <w:t>”</w:t>
      </w:r>
      <w:r w:rsidR="00700857" w:rsidRPr="00AE25C3">
        <w:rPr>
          <w:rStyle w:val="tlid-translation"/>
          <w:rFonts w:cstheme="minorHAnsi"/>
        </w:rPr>
        <w:t xml:space="preserve"> włącznie</w:t>
      </w:r>
      <w:r w:rsidR="009E4356" w:rsidRPr="00AE25C3">
        <w:rPr>
          <w:rStyle w:val="tlid-translation"/>
          <w:rFonts w:cstheme="minorHAnsi"/>
        </w:rPr>
        <w:t>,</w:t>
      </w:r>
    </w:p>
    <w:p w14:paraId="43CA03F2" w14:textId="668D3C08" w:rsidR="009E4356" w:rsidRPr="00AE25C3" w:rsidRDefault="009E4356" w:rsidP="004A0786">
      <w:pPr>
        <w:pStyle w:val="Akapitzlist"/>
        <w:contextualSpacing w:val="0"/>
        <w:jc w:val="both"/>
        <w:rPr>
          <w:rStyle w:val="tlid-translation"/>
          <w:rFonts w:cstheme="minorHAnsi"/>
        </w:rPr>
      </w:pPr>
      <w:r w:rsidRPr="00AE25C3">
        <w:rPr>
          <w:rStyle w:val="tlid-translation"/>
          <w:rFonts w:eastAsia="Cambria Math" w:cstheme="minorHAnsi"/>
          <w:iCs/>
        </w:rPr>
        <w:t>NPV</w:t>
      </w:r>
      <w:r w:rsidRPr="00AE25C3">
        <w:rPr>
          <w:rStyle w:val="tlid-translation"/>
          <w:rFonts w:eastAsia="Cambria Math" w:cstheme="minorHAnsi"/>
          <w:iCs/>
          <w:vertAlign w:val="subscript"/>
        </w:rPr>
        <w:t xml:space="preserve">SA </w:t>
      </w:r>
      <w:r w:rsidRPr="00AE25C3">
        <w:rPr>
          <w:rStyle w:val="tlid-translation"/>
          <w:rFonts w:eastAsia="Cambria Math" w:cstheme="minorHAnsi"/>
          <w:iCs/>
        </w:rPr>
        <w:t xml:space="preserve">– oznacza </w:t>
      </w:r>
      <w:r w:rsidR="00C602E9" w:rsidRPr="00AE25C3">
        <w:rPr>
          <w:rStyle w:val="tlid-translation"/>
          <w:rFonts w:eastAsia="Cambria Math" w:cstheme="minorHAnsi"/>
          <w:iCs/>
        </w:rPr>
        <w:t xml:space="preserve">łączną </w:t>
      </w:r>
      <w:r w:rsidR="00C602E9" w:rsidRPr="00AE25C3">
        <w:rPr>
          <w:rStyle w:val="tlid-translation"/>
          <w:rFonts w:cstheme="minorHAnsi"/>
        </w:rPr>
        <w:t xml:space="preserve">wartość bieżącą netto, zaktualizowaną dla roku ocenianego </w:t>
      </w:r>
      <w:r w:rsidR="006C04F7" w:rsidRPr="00AE25C3">
        <w:rPr>
          <w:rStyle w:val="tlid-translation"/>
          <w:rFonts w:cstheme="minorHAnsi"/>
        </w:rPr>
        <w:t xml:space="preserve">dokumentu </w:t>
      </w:r>
      <w:r w:rsidR="00C602E9" w:rsidRPr="00AE25C3">
        <w:rPr>
          <w:rStyle w:val="tlid-translation"/>
          <w:rFonts w:cstheme="minorHAnsi"/>
        </w:rPr>
        <w:t xml:space="preserve">finansowego (z zastosowaniem </w:t>
      </w:r>
      <w:r w:rsidR="006A3C64" w:rsidRPr="00AE25C3">
        <w:rPr>
          <w:rStyle w:val="tlid-translation"/>
          <w:rFonts w:cstheme="minorHAnsi"/>
        </w:rPr>
        <w:t>W</w:t>
      </w:r>
      <w:r w:rsidR="00C602E9" w:rsidRPr="00AE25C3">
        <w:rPr>
          <w:rStyle w:val="tlid-translation"/>
          <w:rFonts w:cstheme="minorHAnsi"/>
        </w:rPr>
        <w:t xml:space="preserve">skaźnika WACC jako współczynnika </w:t>
      </w:r>
      <w:r w:rsidR="00EA592D">
        <w:rPr>
          <w:rStyle w:val="tlid-translation"/>
          <w:rFonts w:cstheme="minorHAnsi"/>
        </w:rPr>
        <w:t>waloryzacji</w:t>
      </w:r>
      <w:r w:rsidR="00C602E9" w:rsidRPr="00AE25C3">
        <w:rPr>
          <w:rStyle w:val="tlid-translation"/>
          <w:rFonts w:cstheme="minorHAnsi"/>
        </w:rPr>
        <w:t xml:space="preserve">), </w:t>
      </w:r>
      <w:r w:rsidRPr="00AE25C3">
        <w:rPr>
          <w:rStyle w:val="tlid-translation"/>
          <w:rFonts w:eastAsia="Cambria Math" w:cstheme="minorHAnsi"/>
          <w:iCs/>
        </w:rPr>
        <w:t xml:space="preserve">rzeczywiście przekazanej Beneficjentowi pomocy państwa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na realizację Projektu, zarówno w ramach Umowy jak i innych umów zawartych przez Beneficjenta z organami działającymi w imieniu Rzeczypospolitej Polskiej </w:t>
      </w:r>
      <w:r w:rsidRPr="00AE25C3">
        <w:rPr>
          <w:rStyle w:val="tlid-translation"/>
          <w:rFonts w:cstheme="minorHAnsi"/>
        </w:rPr>
        <w:t xml:space="preserve">od </w:t>
      </w:r>
      <w:r w:rsidR="00EA592D">
        <w:rPr>
          <w:rStyle w:val="tlid-translation"/>
          <w:rFonts w:cstheme="minorHAnsi"/>
        </w:rPr>
        <w:t xml:space="preserve">roku, w którym miało miejsce rozpoczęcie prac nad </w:t>
      </w:r>
      <w:r w:rsidR="00676564">
        <w:rPr>
          <w:rStyle w:val="tlid-translation"/>
          <w:rFonts w:cstheme="minorHAnsi"/>
        </w:rPr>
        <w:t>P</w:t>
      </w:r>
      <w:r w:rsidR="00EA592D">
        <w:rPr>
          <w:rStyle w:val="tlid-translation"/>
          <w:rFonts w:cstheme="minorHAnsi"/>
        </w:rPr>
        <w:t>rojektem,</w:t>
      </w:r>
      <w:r w:rsidRPr="00AE25C3">
        <w:rPr>
          <w:rStyle w:val="tlid-translation"/>
          <w:rFonts w:cstheme="minorHAnsi"/>
        </w:rPr>
        <w:t xml:space="preserve"> do roku „i”</w:t>
      </w:r>
      <w:r w:rsidR="00700857" w:rsidRPr="00AE25C3">
        <w:rPr>
          <w:rStyle w:val="tlid-translation"/>
          <w:rFonts w:cstheme="minorHAnsi"/>
        </w:rPr>
        <w:t xml:space="preserve"> włącznie</w:t>
      </w:r>
      <w:r w:rsidR="0045423C" w:rsidRPr="00AE25C3">
        <w:rPr>
          <w:rStyle w:val="tlid-translation"/>
          <w:rFonts w:cstheme="minorHAnsi"/>
        </w:rPr>
        <w:t>.</w:t>
      </w:r>
    </w:p>
    <w:p w14:paraId="38063BDF" w14:textId="77777777" w:rsidR="0045423C" w:rsidRPr="00AE25C3" w:rsidRDefault="003809F6" w:rsidP="004A0786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 xml:space="preserve">Wyliczenie </w:t>
      </w:r>
      <w:r w:rsidR="00181A19" w:rsidRPr="00AE25C3">
        <w:rPr>
          <w:rFonts w:eastAsia="Times New Roman" w:cstheme="minorHAnsi"/>
          <w:b/>
          <w:bCs/>
          <w:iCs/>
        </w:rPr>
        <w:t>Kwoty Podlegającej Wycofaniu</w:t>
      </w:r>
    </w:p>
    <w:p w14:paraId="6233B57F" w14:textId="01C8DCD6" w:rsidR="0045423C" w:rsidRPr="00AE25C3" w:rsidRDefault="0045423C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14" w:name="_Ref51202242"/>
      <w:r w:rsidRPr="00AE25C3">
        <w:rPr>
          <w:rFonts w:eastAsia="Times New Roman" w:cstheme="minorHAnsi"/>
          <w:iCs/>
        </w:rPr>
        <w:t xml:space="preserve">Jeśli wartość Nadwyżki wyliczona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466534">
        <w:rPr>
          <w:rFonts w:eastAsia="Times New Roman" w:cstheme="minorHAnsi"/>
          <w:iCs/>
        </w:rPr>
        <w:t>10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jest większa od „0”, to NCBR niezwłocznie po jej wyliczeniu oblicza </w:t>
      </w:r>
      <w:r w:rsidR="0092243A" w:rsidRPr="00AE25C3">
        <w:rPr>
          <w:rFonts w:eastAsia="Times New Roman" w:cstheme="minorHAnsi"/>
          <w:iCs/>
        </w:rPr>
        <w:t xml:space="preserve">bieżącą </w:t>
      </w:r>
      <w:r w:rsidRPr="00AE25C3">
        <w:rPr>
          <w:rFonts w:eastAsia="Times New Roman" w:cstheme="minorHAnsi"/>
          <w:iCs/>
        </w:rPr>
        <w:t xml:space="preserve">część </w:t>
      </w:r>
      <w:r w:rsidR="003809F6" w:rsidRPr="00AE25C3">
        <w:rPr>
          <w:rFonts w:eastAsia="Times New Roman" w:cstheme="minorHAnsi"/>
          <w:iCs/>
        </w:rPr>
        <w:t>N</w:t>
      </w:r>
      <w:r w:rsidRPr="00AE25C3">
        <w:rPr>
          <w:rFonts w:eastAsia="Times New Roman" w:cstheme="minorHAnsi"/>
          <w:iCs/>
        </w:rPr>
        <w:t>adwyżki podlegającej wycofaniu</w:t>
      </w:r>
      <w:r w:rsidR="001237A9" w:rsidRPr="00AE25C3">
        <w:rPr>
          <w:rFonts w:eastAsia="Times New Roman" w:cstheme="minorHAnsi"/>
          <w:iCs/>
        </w:rPr>
        <w:t xml:space="preserve"> („</w:t>
      </w:r>
      <w:r w:rsidR="001237A9" w:rsidRPr="00AE25C3">
        <w:rPr>
          <w:rFonts w:eastAsia="Times New Roman" w:cstheme="minorHAnsi"/>
          <w:b/>
          <w:iCs/>
        </w:rPr>
        <w:t>Kwota Podlegająca Wycofaniu</w:t>
      </w:r>
      <w:r w:rsidR="001237A9" w:rsidRPr="00AE25C3">
        <w:rPr>
          <w:rFonts w:eastAsia="Times New Roman" w:cstheme="minorHAnsi"/>
          <w:iCs/>
        </w:rPr>
        <w:t>”)</w:t>
      </w:r>
      <w:r w:rsidRPr="00AE25C3">
        <w:rPr>
          <w:rFonts w:eastAsia="Times New Roman" w:cstheme="minorHAnsi"/>
          <w:iCs/>
        </w:rPr>
        <w:t>, zgodnie z poniższym wzorem:</w:t>
      </w:r>
      <w:bookmarkEnd w:id="14"/>
    </w:p>
    <w:p w14:paraId="74C6C105" w14:textId="77777777" w:rsidR="0045423C" w:rsidRPr="00AE25C3" w:rsidRDefault="00E5238D" w:rsidP="004A0786">
      <w:pPr>
        <w:jc w:val="both"/>
        <w:rPr>
          <w:rFonts w:eastAsia="Times New Roman" w:cstheme="minorHAnsi"/>
          <w:iCs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</w:rPr>
                <m:t>N</m:t>
              </m:r>
            </m:e>
            <m:sub>
              <m:r>
                <w:rPr>
                  <w:rFonts w:ascii="Cambria Math" w:eastAsia="Times New Roman" w:hAnsi="Cambria Math" w:cstheme="minorHAnsi"/>
                </w:rPr>
                <m:t>zw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i</m:t>
                  </m:r>
                </m:e>
              </m:d>
            </m:sub>
          </m:sSub>
          <m:r>
            <w:rPr>
              <w:rFonts w:ascii="Cambria Math" w:eastAsia="Times New Roman" w:hAnsi="Cambria Math" w:cstheme="minorHAnsi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</w:rPr>
                <m:t>N</m:t>
              </m:r>
            </m:e>
            <m:sub>
              <m:r>
                <w:rPr>
                  <w:rFonts w:ascii="Cambria Math" w:eastAsia="Times New Roman" w:hAnsi="Cambria Math" w:cstheme="minorHAnsi"/>
                </w:rPr>
                <m:t>i</m:t>
              </m:r>
            </m:sub>
          </m:sSub>
          <m:r>
            <w:rPr>
              <w:rFonts w:ascii="Cambria Math" w:eastAsia="Times New Roman" w:hAnsi="Cambria Math" w:cstheme="minorHAnsi"/>
            </w:rPr>
            <m:t>*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 xml:space="preserve">60%; 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net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</w:rPr>
                                <m:t>i</m:t>
                              </m:r>
                            </m:e>
                          </m:d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net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</w:rPr>
                                <m:t>i</m:t>
                              </m:r>
                            </m:e>
                          </m:d>
                        </m:sub>
                      </m:sSub>
                    </m:den>
                  </m:f>
                </m:e>
              </m:d>
            </m:e>
          </m:func>
        </m:oMath>
      </m:oMathPara>
    </w:p>
    <w:p w14:paraId="07E7CEA3" w14:textId="77777777" w:rsidR="003809F6" w:rsidRPr="00AE25C3" w:rsidRDefault="003809F6" w:rsidP="004A0786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Gdzie:</w:t>
      </w:r>
    </w:p>
    <w:p w14:paraId="62EEF364" w14:textId="0F627125" w:rsidR="003809F6" w:rsidRPr="00AE25C3" w:rsidRDefault="003809F6" w:rsidP="004A0786">
      <w:pPr>
        <w:ind w:left="709"/>
        <w:jc w:val="both"/>
        <w:rPr>
          <w:rFonts w:eastAsia="Times New Roman" w:cstheme="minorHAnsi"/>
          <w:iCs/>
        </w:rPr>
      </w:pPr>
      <w:proofErr w:type="spellStart"/>
      <w:r w:rsidRPr="00AE25C3">
        <w:rPr>
          <w:rFonts w:eastAsia="Times New Roman" w:cstheme="minorHAnsi"/>
          <w:iCs/>
        </w:rPr>
        <w:t>N</w:t>
      </w:r>
      <w:r w:rsidRPr="00AE25C3">
        <w:rPr>
          <w:rFonts w:eastAsia="Times New Roman" w:cstheme="minorHAnsi"/>
          <w:iCs/>
          <w:vertAlign w:val="subscript"/>
        </w:rPr>
        <w:t>zw</w:t>
      </w:r>
      <w:proofErr w:type="spellEnd"/>
      <w:r w:rsidRPr="00AE25C3">
        <w:rPr>
          <w:rFonts w:eastAsia="Times New Roman" w:cstheme="minorHAnsi"/>
          <w:iCs/>
          <w:vertAlign w:val="subscript"/>
        </w:rPr>
        <w:t>(i)</w:t>
      </w:r>
      <w:r w:rsidRPr="00AE25C3">
        <w:rPr>
          <w:rFonts w:eastAsia="Times New Roman" w:cstheme="minorHAnsi"/>
          <w:iCs/>
        </w:rPr>
        <w:t xml:space="preserve"> – oznacza część nadwyżki podlegającą wycofaniu wyliczoną dla roku (i)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466534">
        <w:rPr>
          <w:rFonts w:eastAsia="Times New Roman" w:cstheme="minorHAnsi"/>
          <w:iCs/>
        </w:rPr>
        <w:t>10</w:t>
      </w:r>
      <w:r w:rsidRPr="00AE25C3">
        <w:rPr>
          <w:rFonts w:eastAsia="Times New Roman" w:cstheme="minorHAnsi"/>
          <w:iCs/>
        </w:rPr>
        <w:fldChar w:fldCharType="end"/>
      </w:r>
      <w:r w:rsidR="001237A9" w:rsidRPr="00AE25C3">
        <w:rPr>
          <w:rFonts w:eastAsia="Times New Roman" w:cstheme="minorHAnsi"/>
          <w:iCs/>
        </w:rPr>
        <w:t xml:space="preserve"> (Kwota Podlegająca Wycofaniu)</w:t>
      </w:r>
      <w:r w:rsidRPr="00AE25C3">
        <w:rPr>
          <w:rFonts w:eastAsia="Times New Roman" w:cstheme="minorHAnsi"/>
          <w:iCs/>
        </w:rPr>
        <w:t>;</w:t>
      </w:r>
    </w:p>
    <w:p w14:paraId="03FC3BAB" w14:textId="77777777" w:rsidR="003809F6" w:rsidRPr="00AE25C3" w:rsidRDefault="003809F6" w:rsidP="004A0786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N</w:t>
      </w:r>
      <w:r w:rsidRPr="00AE25C3">
        <w:rPr>
          <w:rFonts w:eastAsia="Times New Roman" w:cstheme="minorHAnsi"/>
          <w:iCs/>
          <w:vertAlign w:val="subscript"/>
        </w:rPr>
        <w:t>i</w:t>
      </w:r>
      <w:r w:rsidRPr="00AE25C3">
        <w:rPr>
          <w:rFonts w:eastAsia="Times New Roman" w:cstheme="minorHAnsi"/>
          <w:iCs/>
        </w:rPr>
        <w:t xml:space="preserve"> – oznacza wartość nadwyżki dla roku (i);</w:t>
      </w:r>
    </w:p>
    <w:p w14:paraId="7E89B7A7" w14:textId="77777777" w:rsidR="003809F6" w:rsidRPr="00AE25C3" w:rsidRDefault="003809F6" w:rsidP="004A0786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min</w:t>
      </w:r>
      <w:r w:rsidR="00B30D27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(60%;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den>
        </m:f>
        <m:r>
          <w:rPr>
            <w:rFonts w:ascii="Cambria Math" w:eastAsia="Times New Roman" w:hAnsi="Cambria Math" w:cstheme="minorHAnsi"/>
          </w:rPr>
          <m:t>)</m:t>
        </m:r>
      </m:oMath>
      <w:r w:rsidRPr="00AE25C3">
        <w:rPr>
          <w:rFonts w:eastAsia="Times New Roman" w:cstheme="minorHAnsi"/>
          <w:iCs/>
        </w:rPr>
        <w:t xml:space="preserve"> – oznacza mniejszą z dwóch wartości: 60% albo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den>
        </m:f>
      </m:oMath>
      <w:r w:rsidR="001B2B3D" w:rsidRPr="00AE25C3">
        <w:rPr>
          <w:rFonts w:eastAsia="Times New Roman" w:cstheme="minorHAnsi"/>
          <w:iCs/>
        </w:rPr>
        <w:t xml:space="preserve"> zwaną „Udziałem Państwa”;</w:t>
      </w:r>
    </w:p>
    <w:p w14:paraId="04578C24" w14:textId="665F0D21" w:rsidR="003809F6" w:rsidRPr="00AE25C3" w:rsidRDefault="003809F6" w:rsidP="004A0786">
      <w:pPr>
        <w:ind w:left="709"/>
        <w:jc w:val="both"/>
        <w:rPr>
          <w:rFonts w:eastAsia="Times New Roman" w:cstheme="minorHAnsi"/>
          <w:iCs/>
        </w:rPr>
      </w:pPr>
      <w:proofErr w:type="spellStart"/>
      <w:r w:rsidRPr="00AE25C3">
        <w:rPr>
          <w:rFonts w:eastAsia="Times New Roman" w:cstheme="minorHAnsi"/>
          <w:iCs/>
        </w:rPr>
        <w:t>P</w:t>
      </w:r>
      <w:r w:rsidRPr="00AE25C3">
        <w:rPr>
          <w:rFonts w:eastAsia="Times New Roman" w:cstheme="minorHAnsi"/>
          <w:iCs/>
          <w:vertAlign w:val="subscript"/>
        </w:rPr>
        <w:t>net</w:t>
      </w:r>
      <w:proofErr w:type="spellEnd"/>
      <w:r w:rsidRPr="00AE25C3">
        <w:rPr>
          <w:rFonts w:eastAsia="Times New Roman" w:cstheme="minorHAnsi"/>
          <w:iCs/>
          <w:vertAlign w:val="subscript"/>
        </w:rPr>
        <w:t xml:space="preserve">(i) </w:t>
      </w:r>
      <w:r w:rsidRPr="00AE25C3">
        <w:rPr>
          <w:rFonts w:eastAsia="Times New Roman" w:cstheme="minorHAnsi"/>
          <w:iCs/>
        </w:rPr>
        <w:t>– oznacza sumę, wyrażoną jako wartość nominalna, pomocy państwa</w:t>
      </w:r>
      <w:r w:rsidR="00901A00" w:rsidRPr="00AE25C3">
        <w:rPr>
          <w:rStyle w:val="tlid-translation"/>
          <w:rFonts w:eastAsia="Times New Roman" w:cstheme="minorHAnsi"/>
          <w:iCs/>
        </w:rPr>
        <w:t xml:space="preserve"> na realizację Projektu, zarówno w ramach Umowy jak i innych umów zawartych przez Beneficjenta z</w:t>
      </w:r>
      <w:r w:rsidR="003E29C7">
        <w:rPr>
          <w:rStyle w:val="tlid-translation"/>
          <w:rFonts w:eastAsia="Times New Roman" w:cstheme="minorHAnsi"/>
          <w:iCs/>
        </w:rPr>
        <w:t> </w:t>
      </w:r>
      <w:r w:rsidR="00901A00" w:rsidRPr="00AE25C3">
        <w:rPr>
          <w:rStyle w:val="tlid-translation"/>
          <w:rFonts w:eastAsia="Times New Roman" w:cstheme="minorHAnsi"/>
          <w:iCs/>
        </w:rPr>
        <w:t>organami działającymi w imieniu Rzeczypospolitej Polskiej,</w:t>
      </w:r>
      <w:r w:rsidRPr="00AE25C3">
        <w:rPr>
          <w:rFonts w:eastAsia="Times New Roman" w:cstheme="minorHAnsi"/>
          <w:iCs/>
        </w:rPr>
        <w:t xml:space="preserve"> netto związanej z Projektem i</w:t>
      </w:r>
      <w:r w:rsidR="003E29C7">
        <w:rPr>
          <w:rFonts w:eastAsia="Times New Roman" w:cstheme="minorHAnsi"/>
          <w:iCs/>
        </w:rPr>
        <w:t> </w:t>
      </w:r>
      <w:r w:rsidRPr="00AE25C3">
        <w:rPr>
          <w:rFonts w:eastAsia="Times New Roman" w:cstheme="minorHAnsi"/>
          <w:iCs/>
        </w:rPr>
        <w:t xml:space="preserve">przekazanej Beneficjentowi od </w:t>
      </w:r>
      <w:r w:rsidR="00676564">
        <w:rPr>
          <w:rStyle w:val="tlid-translation"/>
          <w:rFonts w:cstheme="minorHAnsi"/>
        </w:rPr>
        <w:t xml:space="preserve">roku, w którym miało miejsce rozpoczęcie prac nad Projektem, </w:t>
      </w:r>
      <w:r w:rsidRPr="00AE25C3">
        <w:rPr>
          <w:rFonts w:eastAsia="Times New Roman" w:cstheme="minorHAnsi"/>
          <w:iCs/>
        </w:rPr>
        <w:t>do roku (i);</w:t>
      </w:r>
    </w:p>
    <w:p w14:paraId="2DA7E7F8" w14:textId="338CDAC6" w:rsidR="003809F6" w:rsidRPr="00AE25C3" w:rsidRDefault="003809F6" w:rsidP="004A0786">
      <w:pPr>
        <w:ind w:left="709"/>
        <w:jc w:val="both"/>
        <w:rPr>
          <w:rFonts w:eastAsia="Times New Roman" w:cstheme="minorHAnsi"/>
          <w:iCs/>
        </w:rPr>
      </w:pPr>
      <w:proofErr w:type="spellStart"/>
      <w:r w:rsidRPr="00AE25C3">
        <w:rPr>
          <w:rFonts w:eastAsia="Times New Roman" w:cstheme="minorHAnsi"/>
          <w:iCs/>
        </w:rPr>
        <w:t>K</w:t>
      </w:r>
      <w:r w:rsidRPr="00AE25C3">
        <w:rPr>
          <w:rFonts w:eastAsia="Times New Roman" w:cstheme="minorHAnsi"/>
          <w:iCs/>
          <w:vertAlign w:val="subscript"/>
        </w:rPr>
        <w:t>net</w:t>
      </w:r>
      <w:proofErr w:type="spellEnd"/>
      <w:r w:rsidRPr="00AE25C3">
        <w:rPr>
          <w:rFonts w:eastAsia="Times New Roman" w:cstheme="minorHAnsi"/>
          <w:iCs/>
          <w:vertAlign w:val="subscript"/>
        </w:rPr>
        <w:t xml:space="preserve">(i) </w:t>
      </w:r>
      <w:r w:rsidRPr="00AE25C3">
        <w:rPr>
          <w:rFonts w:eastAsia="Times New Roman" w:cstheme="minorHAnsi"/>
          <w:iCs/>
        </w:rPr>
        <w:t>– oznacza sumę, wyrażoną jako wartość nominalna, zweryfikowanych kosztów kwalifikowanych poniesionych przez Beneficjenta</w:t>
      </w:r>
      <w:r w:rsidR="00C9051B" w:rsidRPr="00AE25C3">
        <w:rPr>
          <w:rFonts w:eastAsia="Times New Roman" w:cstheme="minorHAnsi"/>
          <w:iCs/>
        </w:rPr>
        <w:t xml:space="preserve"> w związku z Projektem</w:t>
      </w:r>
      <w:r w:rsidRPr="00AE25C3">
        <w:rPr>
          <w:rFonts w:eastAsia="Times New Roman" w:cstheme="minorHAnsi"/>
          <w:iCs/>
        </w:rPr>
        <w:t xml:space="preserve"> od </w:t>
      </w:r>
      <w:r w:rsidR="00676564">
        <w:rPr>
          <w:rStyle w:val="tlid-translation"/>
          <w:rFonts w:cstheme="minorHAnsi"/>
        </w:rPr>
        <w:t xml:space="preserve">roku, w którym miało miejsce rozpoczęcie prac nad Projektem, </w:t>
      </w:r>
      <w:r w:rsidRPr="00AE25C3">
        <w:rPr>
          <w:rFonts w:eastAsia="Times New Roman" w:cstheme="minorHAnsi"/>
          <w:iCs/>
        </w:rPr>
        <w:t>do roku (i).</w:t>
      </w:r>
    </w:p>
    <w:p w14:paraId="1D7AD2FD" w14:textId="5BA68C07" w:rsidR="003809F6" w:rsidRPr="00AE25C3" w:rsidRDefault="003809F6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NCBR w terminie </w:t>
      </w:r>
      <w:r w:rsidR="00BB22EB" w:rsidRPr="00AE25C3">
        <w:rPr>
          <w:rFonts w:eastAsia="Times New Roman" w:cstheme="minorHAnsi"/>
          <w:iCs/>
        </w:rPr>
        <w:t>10</w:t>
      </w:r>
      <w:r w:rsidRPr="00AE25C3">
        <w:rPr>
          <w:rFonts w:eastAsia="Times New Roman" w:cstheme="minorHAnsi"/>
          <w:iCs/>
        </w:rPr>
        <w:t xml:space="preserve"> dni od wyliczenia </w:t>
      </w:r>
      <w:r w:rsidR="00BB22EB" w:rsidRPr="00AE25C3">
        <w:rPr>
          <w:rFonts w:eastAsia="Times New Roman" w:cstheme="minorHAnsi"/>
          <w:iCs/>
        </w:rPr>
        <w:t>Kwoty Podlegającej Wycofaniu</w:t>
      </w:r>
      <w:r w:rsidRPr="00AE25C3">
        <w:rPr>
          <w:rFonts w:eastAsia="Times New Roman" w:cstheme="minorHAnsi"/>
          <w:iCs/>
        </w:rPr>
        <w:t xml:space="preserve">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466534">
        <w:rPr>
          <w:rFonts w:eastAsia="Times New Roman" w:cstheme="minorHAnsi"/>
          <w:iCs/>
        </w:rPr>
        <w:t>11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informuje o wyniku wyliczenia Beneficjenta. Beneficjent w terminie </w:t>
      </w:r>
      <w:r w:rsidR="00BB22EB" w:rsidRPr="00AE25C3">
        <w:rPr>
          <w:rFonts w:eastAsia="Times New Roman" w:cstheme="minorHAnsi"/>
          <w:iCs/>
        </w:rPr>
        <w:t xml:space="preserve">10 </w:t>
      </w:r>
      <w:r w:rsidRPr="00AE25C3">
        <w:rPr>
          <w:rFonts w:eastAsia="Times New Roman" w:cstheme="minorHAnsi"/>
          <w:iCs/>
        </w:rPr>
        <w:t xml:space="preserve">dni od otrzymania </w:t>
      </w:r>
      <w:r w:rsidRPr="00AE25C3">
        <w:rPr>
          <w:rFonts w:eastAsia="Times New Roman" w:cstheme="minorHAnsi"/>
          <w:iCs/>
        </w:rPr>
        <w:lastRenderedPageBreak/>
        <w:t>wyliczenia NCBR jest uprawniony do zgłoszenia uwag do wyliczenia.</w:t>
      </w:r>
      <w:r w:rsidR="00B95A2D" w:rsidRPr="00AE25C3">
        <w:rPr>
          <w:rFonts w:eastAsia="Times New Roman" w:cstheme="minorHAnsi"/>
          <w:iCs/>
        </w:rPr>
        <w:t xml:space="preserve"> NCBR w terminie </w:t>
      </w:r>
      <w:r w:rsidR="00BB22EB" w:rsidRPr="00AE25C3">
        <w:rPr>
          <w:rFonts w:eastAsia="Times New Roman" w:cstheme="minorHAnsi"/>
          <w:iCs/>
        </w:rPr>
        <w:t xml:space="preserve">10 </w:t>
      </w:r>
      <w:r w:rsidR="00B95A2D" w:rsidRPr="00AE25C3">
        <w:rPr>
          <w:rFonts w:eastAsia="Times New Roman" w:cstheme="minorHAnsi"/>
          <w:iCs/>
        </w:rPr>
        <w:t>dni od otrzymania uwag Beneficjenta może dokonać korekty wyliczenia</w:t>
      </w:r>
      <w:r w:rsidR="00BB22EB" w:rsidRPr="00AE25C3">
        <w:rPr>
          <w:rFonts w:eastAsia="Times New Roman" w:cstheme="minorHAnsi"/>
          <w:iCs/>
        </w:rPr>
        <w:t>.</w:t>
      </w:r>
    </w:p>
    <w:p w14:paraId="0BFCE8BD" w14:textId="4FCF049F" w:rsidR="003809F6" w:rsidRPr="00AE25C3" w:rsidRDefault="006B76F5" w:rsidP="004A0786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Style w:val="tlid-translation"/>
          <w:rFonts w:eastAsia="Times New Roman" w:cstheme="minorHAnsi"/>
          <w:b/>
          <w:bCs/>
          <w:iCs/>
        </w:rPr>
        <w:t xml:space="preserve">Zapłata </w:t>
      </w:r>
      <w:bookmarkStart w:id="15" w:name="_Hlk51203393"/>
      <w:r w:rsidRPr="00AE25C3">
        <w:rPr>
          <w:rStyle w:val="tlid-translation"/>
          <w:rFonts w:eastAsia="Times New Roman" w:cstheme="minorHAnsi"/>
          <w:b/>
          <w:bCs/>
          <w:iCs/>
        </w:rPr>
        <w:t>Kwoty Podlegającej Wycofaniu</w:t>
      </w:r>
      <w:bookmarkEnd w:id="15"/>
    </w:p>
    <w:p w14:paraId="00795050" w14:textId="5FFB894C" w:rsidR="00B95A2D" w:rsidRPr="00AE25C3" w:rsidRDefault="003809F6" w:rsidP="00762F80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16" w:name="_Ref51204056"/>
      <w:r w:rsidRPr="00AE25C3">
        <w:rPr>
          <w:rFonts w:eastAsia="Times New Roman" w:cstheme="minorHAnsi"/>
          <w:iCs/>
        </w:rPr>
        <w:t xml:space="preserve">Beneficjent jest </w:t>
      </w:r>
      <w:r w:rsidRPr="00AE25C3">
        <w:rPr>
          <w:rFonts w:eastAsia="Times New Roman" w:cstheme="minorHAnsi"/>
          <w:b/>
          <w:iCs/>
        </w:rPr>
        <w:t>zobowiązany do zapłaty Instytucji Pośredniczącej</w:t>
      </w:r>
      <w:r w:rsidR="007C4385" w:rsidRPr="00AE25C3">
        <w:rPr>
          <w:rFonts w:eastAsia="Times New Roman" w:cstheme="minorHAnsi"/>
          <w:b/>
          <w:iCs/>
        </w:rPr>
        <w:t xml:space="preserve"> ostatniej wyliczonej przez Instytucję Pośredniczącą</w:t>
      </w:r>
      <w:r w:rsidRPr="00AE25C3">
        <w:rPr>
          <w:rFonts w:eastAsia="Times New Roman" w:cstheme="minorHAnsi"/>
          <w:b/>
          <w:iCs/>
        </w:rPr>
        <w:t xml:space="preserve"> </w:t>
      </w:r>
      <w:r w:rsidR="006C04F7" w:rsidRPr="00AE25C3">
        <w:rPr>
          <w:rFonts w:eastAsia="Times New Roman" w:cstheme="minorHAnsi"/>
          <w:b/>
          <w:iCs/>
        </w:rPr>
        <w:t xml:space="preserve">całkowitej </w:t>
      </w:r>
      <w:r w:rsidR="001237A9" w:rsidRPr="00AE25C3">
        <w:rPr>
          <w:rFonts w:eastAsia="Times New Roman" w:cstheme="minorHAnsi"/>
          <w:b/>
          <w:iCs/>
        </w:rPr>
        <w:t xml:space="preserve">Kwoty Podlegającej Wycofaniu wyliczonej </w:t>
      </w:r>
      <w:r w:rsidR="00B95A2D" w:rsidRPr="00AE25C3">
        <w:rPr>
          <w:rFonts w:eastAsia="Times New Roman" w:cstheme="minorHAnsi"/>
          <w:b/>
          <w:iCs/>
        </w:rPr>
        <w:t xml:space="preserve">zgodnie z pkt </w:t>
      </w:r>
      <w:r w:rsidR="00B95A2D" w:rsidRPr="00AE25C3">
        <w:rPr>
          <w:rFonts w:eastAsia="Times New Roman" w:cstheme="minorHAnsi"/>
          <w:b/>
          <w:iCs/>
        </w:rPr>
        <w:fldChar w:fldCharType="begin"/>
      </w:r>
      <w:r w:rsidR="00B95A2D" w:rsidRPr="00AE25C3">
        <w:rPr>
          <w:rFonts w:eastAsia="Times New Roman" w:cstheme="minorHAnsi"/>
          <w:b/>
          <w:iCs/>
        </w:rPr>
        <w:instrText xml:space="preserve"> REF _Ref51202242 \n \h </w:instrText>
      </w:r>
      <w:r w:rsidR="004C4CBE" w:rsidRPr="00AE25C3">
        <w:rPr>
          <w:rFonts w:eastAsia="Times New Roman" w:cstheme="minorHAnsi"/>
          <w:b/>
          <w:iCs/>
        </w:rPr>
        <w:instrText xml:space="preserve"> \* MERGEFORMAT </w:instrText>
      </w:r>
      <w:r w:rsidR="00B95A2D" w:rsidRPr="00AE25C3">
        <w:rPr>
          <w:rFonts w:eastAsia="Times New Roman" w:cstheme="minorHAnsi"/>
          <w:b/>
          <w:iCs/>
        </w:rPr>
      </w:r>
      <w:r w:rsidR="00B95A2D" w:rsidRPr="00AE25C3">
        <w:rPr>
          <w:rFonts w:eastAsia="Times New Roman" w:cstheme="minorHAnsi"/>
          <w:b/>
          <w:iCs/>
        </w:rPr>
        <w:fldChar w:fldCharType="separate"/>
      </w:r>
      <w:r w:rsidR="00997906" w:rsidRPr="00AE25C3">
        <w:rPr>
          <w:rFonts w:eastAsia="Times New Roman" w:cstheme="minorHAnsi"/>
          <w:b/>
          <w:iCs/>
        </w:rPr>
        <w:t>12</w:t>
      </w:r>
      <w:r w:rsidR="00B95A2D" w:rsidRPr="00AE25C3">
        <w:rPr>
          <w:rFonts w:eastAsia="Times New Roman" w:cstheme="minorHAnsi"/>
          <w:b/>
          <w:iCs/>
        </w:rPr>
        <w:fldChar w:fldCharType="end"/>
      </w:r>
      <w:r w:rsidR="00901A00" w:rsidRPr="00AE25C3">
        <w:rPr>
          <w:rFonts w:eastAsia="Times New Roman" w:cstheme="minorHAnsi"/>
          <w:b/>
          <w:iCs/>
        </w:rPr>
        <w:t xml:space="preserve"> dla okresu od </w:t>
      </w:r>
      <w:r w:rsidR="00FC1CB5">
        <w:rPr>
          <w:rFonts w:eastAsia="Times New Roman" w:cstheme="minorHAnsi"/>
          <w:b/>
          <w:iCs/>
        </w:rPr>
        <w:t>2023</w:t>
      </w:r>
      <w:r w:rsidR="00326802" w:rsidRPr="00AE25C3">
        <w:rPr>
          <w:rFonts w:eastAsia="Times New Roman" w:cstheme="minorHAnsi"/>
          <w:b/>
          <w:iCs/>
        </w:rPr>
        <w:t xml:space="preserve"> </w:t>
      </w:r>
      <w:r w:rsidR="00901A00" w:rsidRPr="00AE25C3">
        <w:rPr>
          <w:rFonts w:eastAsia="Times New Roman" w:cstheme="minorHAnsi"/>
          <w:b/>
          <w:iCs/>
        </w:rPr>
        <w:t xml:space="preserve">r. do </w:t>
      </w:r>
      <w:r w:rsidR="003E6B09" w:rsidRPr="00AE25C3">
        <w:rPr>
          <w:rFonts w:eastAsia="Times New Roman" w:cstheme="minorHAnsi"/>
          <w:b/>
          <w:iCs/>
        </w:rPr>
        <w:t xml:space="preserve">roku w którym upływa </w:t>
      </w:r>
      <w:r w:rsidR="006C04F7" w:rsidRPr="00AE25C3">
        <w:rPr>
          <w:rFonts w:eastAsia="Times New Roman" w:cstheme="minorHAnsi"/>
          <w:b/>
          <w:iCs/>
        </w:rPr>
        <w:t>Dat</w:t>
      </w:r>
      <w:r w:rsidR="003E6B09" w:rsidRPr="00AE25C3">
        <w:rPr>
          <w:rFonts w:eastAsia="Times New Roman" w:cstheme="minorHAnsi"/>
          <w:b/>
          <w:iCs/>
        </w:rPr>
        <w:t>a</w:t>
      </w:r>
      <w:r w:rsidR="006C04F7" w:rsidRPr="00AE25C3">
        <w:rPr>
          <w:rFonts w:eastAsia="Times New Roman" w:cstheme="minorHAnsi"/>
          <w:b/>
          <w:iCs/>
        </w:rPr>
        <w:t xml:space="preserve"> Końcow</w:t>
      </w:r>
      <w:r w:rsidR="003E6B09" w:rsidRPr="00AE25C3">
        <w:rPr>
          <w:rFonts w:eastAsia="Times New Roman" w:cstheme="minorHAnsi"/>
          <w:b/>
          <w:iCs/>
        </w:rPr>
        <w:t>a</w:t>
      </w:r>
      <w:r w:rsidR="00901A00" w:rsidRPr="00AE25C3">
        <w:rPr>
          <w:rFonts w:eastAsia="Times New Roman" w:cstheme="minorHAnsi"/>
          <w:b/>
          <w:iCs/>
        </w:rPr>
        <w:t xml:space="preserve"> włącznie</w:t>
      </w:r>
      <w:r w:rsidR="001237A9" w:rsidRPr="00AE25C3">
        <w:rPr>
          <w:rFonts w:eastAsia="Times New Roman" w:cstheme="minorHAnsi"/>
          <w:iCs/>
        </w:rPr>
        <w:t>,</w:t>
      </w:r>
      <w:r w:rsidR="00B95A2D" w:rsidRPr="00AE25C3">
        <w:rPr>
          <w:rFonts w:eastAsia="Times New Roman" w:cstheme="minorHAnsi"/>
          <w:iCs/>
        </w:rPr>
        <w:t xml:space="preserve"> w terminie </w:t>
      </w:r>
      <w:r w:rsidR="006C04F7" w:rsidRPr="00AE25C3">
        <w:rPr>
          <w:rFonts w:eastAsia="Times New Roman" w:cstheme="minorHAnsi"/>
          <w:iCs/>
        </w:rPr>
        <w:t xml:space="preserve">90 dni po </w:t>
      </w:r>
      <w:r w:rsidR="003E6B09" w:rsidRPr="00AE25C3">
        <w:rPr>
          <w:rFonts w:eastAsia="Times New Roman" w:cstheme="minorHAnsi"/>
          <w:iCs/>
        </w:rPr>
        <w:t xml:space="preserve">wyliczeniu przez Instytucję Pośredniczącą Kwoty Podlegającej Wycofaniu dla okresu od </w:t>
      </w:r>
      <w:r w:rsidR="00FC1CB5">
        <w:rPr>
          <w:rFonts w:eastAsia="Times New Roman" w:cstheme="minorHAnsi"/>
          <w:iCs/>
        </w:rPr>
        <w:t>2023</w:t>
      </w:r>
      <w:r w:rsidR="00326802" w:rsidRPr="00AE25C3">
        <w:rPr>
          <w:rFonts w:eastAsia="Times New Roman" w:cstheme="minorHAnsi"/>
          <w:iCs/>
        </w:rPr>
        <w:t xml:space="preserve"> </w:t>
      </w:r>
      <w:r w:rsidR="003E6B09" w:rsidRPr="00AE25C3">
        <w:rPr>
          <w:rFonts w:eastAsia="Times New Roman" w:cstheme="minorHAnsi"/>
          <w:iCs/>
        </w:rPr>
        <w:t xml:space="preserve">r. do </w:t>
      </w:r>
      <w:r w:rsidR="006C04F7" w:rsidRPr="00AE25C3">
        <w:rPr>
          <w:rFonts w:eastAsia="Times New Roman" w:cstheme="minorHAnsi"/>
          <w:iCs/>
        </w:rPr>
        <w:t>Daty Końcowej</w:t>
      </w:r>
      <w:r w:rsidR="00B95A2D" w:rsidRPr="00AE25C3">
        <w:rPr>
          <w:rFonts w:eastAsia="Times New Roman" w:cstheme="minorHAnsi"/>
          <w:iCs/>
        </w:rPr>
        <w:t>, z zastrzeżeniem kolejnych punktów.</w:t>
      </w:r>
      <w:bookmarkEnd w:id="16"/>
    </w:p>
    <w:p w14:paraId="490AC2A3" w14:textId="77777777" w:rsidR="00390F49" w:rsidRPr="00AE25C3" w:rsidRDefault="00145A8F" w:rsidP="00762F80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J</w:t>
      </w:r>
      <w:r w:rsidR="00B95A2D" w:rsidRPr="00AE25C3">
        <w:rPr>
          <w:rFonts w:eastAsia="Times New Roman" w:cstheme="minorHAnsi"/>
          <w:iCs/>
        </w:rPr>
        <w:t>eśli</w:t>
      </w:r>
      <w:r w:rsidR="00390F49" w:rsidRPr="00AE25C3">
        <w:rPr>
          <w:rFonts w:eastAsia="Times New Roman" w:cstheme="minorHAnsi"/>
          <w:iCs/>
        </w:rPr>
        <w:t>:</w:t>
      </w:r>
    </w:p>
    <w:p w14:paraId="3CD9BC2F" w14:textId="1D9F1C7D" w:rsidR="00390F49" w:rsidRPr="00AE25C3" w:rsidRDefault="00B95A2D" w:rsidP="00762F80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łączna wartość pomocy </w:t>
      </w:r>
      <w:r w:rsidR="00901A00" w:rsidRPr="00AE25C3">
        <w:rPr>
          <w:rFonts w:eastAsia="Times New Roman" w:cstheme="minorHAnsi"/>
          <w:iCs/>
        </w:rPr>
        <w:t xml:space="preserve">państwa </w:t>
      </w:r>
      <w:r w:rsidR="00901A00" w:rsidRPr="00AE25C3">
        <w:rPr>
          <w:rStyle w:val="tlid-translation"/>
          <w:rFonts w:eastAsia="Times New Roman" w:cstheme="minorHAnsi"/>
          <w:iCs/>
        </w:rPr>
        <w:t>na realizację Projektu, zarówno w ramach Umowy jak i innych umów zawartych przez Beneficjenta z organami działającymi w</w:t>
      </w:r>
      <w:r w:rsidR="00762F80">
        <w:rPr>
          <w:rStyle w:val="tlid-translation"/>
          <w:rFonts w:eastAsia="Times New Roman" w:cstheme="minorHAnsi"/>
          <w:iCs/>
        </w:rPr>
        <w:t> </w:t>
      </w:r>
      <w:r w:rsidR="00901A00" w:rsidRPr="00AE25C3">
        <w:rPr>
          <w:rStyle w:val="tlid-translation"/>
          <w:rFonts w:eastAsia="Times New Roman" w:cstheme="minorHAnsi"/>
          <w:iCs/>
        </w:rPr>
        <w:t xml:space="preserve">imieniu Rzeczypospolitej Polskiej, </w:t>
      </w:r>
      <w:r w:rsidRPr="00AE25C3">
        <w:rPr>
          <w:rFonts w:eastAsia="Times New Roman" w:cstheme="minorHAnsi"/>
          <w:iCs/>
        </w:rPr>
        <w:t xml:space="preserve">przekazanej Beneficjentowi nie przekroczyła równowartości 50 000 000 (pięćdziesięciu milionów) </w:t>
      </w:r>
      <w:r w:rsidR="001237A9" w:rsidRPr="00AE25C3">
        <w:rPr>
          <w:rFonts w:eastAsia="Times New Roman" w:cstheme="minorHAnsi"/>
          <w:iCs/>
        </w:rPr>
        <w:t>euro</w:t>
      </w:r>
      <w:r w:rsidR="00390F49" w:rsidRPr="00AE25C3">
        <w:rPr>
          <w:rFonts w:eastAsia="Times New Roman" w:cstheme="minorHAnsi"/>
          <w:iCs/>
        </w:rPr>
        <w:t>, lub</w:t>
      </w:r>
    </w:p>
    <w:p w14:paraId="08153BA2" w14:textId="6DF8EC99" w:rsidR="00390F49" w:rsidRPr="00AE25C3" w:rsidRDefault="00390F49" w:rsidP="00762F80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Projekt został uznany przez Instytucję Pośredniczącą i Beneficjenta przed zakończeniem Projektu</w:t>
      </w:r>
      <w:r w:rsidR="0089525B" w:rsidRPr="00AE25C3">
        <w:rPr>
          <w:rFonts w:eastAsia="Times New Roman" w:cstheme="minorHAnsi"/>
          <w:iCs/>
        </w:rPr>
        <w:t xml:space="preserve"> za nierokujący powodzenia z przyczynach </w:t>
      </w:r>
      <w:r w:rsidR="00C46D9A">
        <w:rPr>
          <w:rFonts w:eastAsia="Times New Roman" w:cstheme="minorHAnsi"/>
          <w:iCs/>
        </w:rPr>
        <w:t xml:space="preserve">finansowych, </w:t>
      </w:r>
      <w:r w:rsidR="0089525B" w:rsidRPr="00AE25C3">
        <w:rPr>
          <w:rFonts w:eastAsia="Times New Roman" w:cstheme="minorHAnsi"/>
          <w:iCs/>
        </w:rPr>
        <w:t>technicznych lub badawczych</w:t>
      </w:r>
      <w:r w:rsidRPr="00AE25C3">
        <w:rPr>
          <w:rFonts w:eastAsia="Times New Roman" w:cstheme="minorHAnsi"/>
          <w:iCs/>
        </w:rPr>
        <w:t>,</w:t>
      </w:r>
    </w:p>
    <w:p w14:paraId="319D6030" w14:textId="77777777" w:rsidR="00B95A2D" w:rsidRPr="00AE25C3" w:rsidRDefault="001237A9" w:rsidP="00762F80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to</w:t>
      </w:r>
      <w:r w:rsidR="00B95A2D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Instytucja Pośrednicząca</w:t>
      </w:r>
      <w:r w:rsidR="00B95A2D" w:rsidRPr="00AE25C3">
        <w:rPr>
          <w:rFonts w:eastAsia="Times New Roman" w:cstheme="minorHAnsi"/>
          <w:iCs/>
        </w:rPr>
        <w:t>, na wniosek Beneficjenta</w:t>
      </w:r>
      <w:r w:rsidR="00EE2CCA" w:rsidRPr="00AE25C3">
        <w:rPr>
          <w:rFonts w:eastAsia="Times New Roman" w:cstheme="minorHAnsi"/>
          <w:iCs/>
        </w:rPr>
        <w:t xml:space="preserve">, może </w:t>
      </w:r>
      <w:r w:rsidRPr="00AE25C3">
        <w:rPr>
          <w:rFonts w:eastAsia="Times New Roman" w:cstheme="minorHAnsi"/>
          <w:iCs/>
        </w:rPr>
        <w:t>zwolnić Beneficjenta z obowiązku zapłaty Kwoty Podlegającej Wycofaniu.</w:t>
      </w:r>
    </w:p>
    <w:p w14:paraId="7D7FDCF6" w14:textId="77777777" w:rsidR="001237A9" w:rsidRPr="00AE25C3" w:rsidRDefault="00145A8F" w:rsidP="00762F80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J</w:t>
      </w:r>
      <w:r w:rsidR="001237A9" w:rsidRPr="00AE25C3">
        <w:rPr>
          <w:rFonts w:eastAsia="Times New Roman" w:cstheme="minorHAnsi"/>
          <w:iCs/>
        </w:rPr>
        <w:t>eśli:</w:t>
      </w:r>
    </w:p>
    <w:p w14:paraId="2D4CCD2B" w14:textId="77777777" w:rsidR="001237A9" w:rsidRPr="00AE25C3" w:rsidRDefault="001237A9" w:rsidP="00762F80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Instytucja Pośrednicząca wypowiedziała Umowę z winy Beneficjenta,</w:t>
      </w:r>
    </w:p>
    <w:p w14:paraId="7667B193" w14:textId="77777777" w:rsidR="001237A9" w:rsidRPr="00AE25C3" w:rsidRDefault="001237A9" w:rsidP="00762F80">
      <w:pPr>
        <w:pStyle w:val="Akapitzlist"/>
        <w:numPr>
          <w:ilvl w:val="1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Beneficjent narusza postanowienia dot. zabezpieczenia zapłaty Kwoty Podlegającej Wycofaniu,</w:t>
      </w:r>
    </w:p>
    <w:p w14:paraId="03145522" w14:textId="7ED30230" w:rsidR="001237A9" w:rsidRPr="00AE25C3" w:rsidRDefault="006912E5" w:rsidP="00762F80">
      <w:pPr>
        <w:ind w:left="708"/>
        <w:jc w:val="both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t</w:t>
      </w:r>
      <w:r w:rsidR="001237A9" w:rsidRPr="00AE25C3">
        <w:rPr>
          <w:rFonts w:eastAsia="Times New Roman" w:cstheme="minorHAnsi"/>
          <w:iCs/>
        </w:rPr>
        <w:t>o</w:t>
      </w:r>
      <w:r>
        <w:rPr>
          <w:rFonts w:eastAsia="Times New Roman" w:cstheme="minorHAnsi"/>
          <w:iCs/>
        </w:rPr>
        <w:t xml:space="preserve"> </w:t>
      </w:r>
      <w:r w:rsidR="00762F80">
        <w:rPr>
          <w:rFonts w:eastAsia="Times New Roman" w:cstheme="minorHAnsi"/>
          <w:iCs/>
        </w:rPr>
        <w:t>bez uszczerbku dla</w:t>
      </w:r>
      <w:r>
        <w:rPr>
          <w:rFonts w:eastAsia="Times New Roman" w:cstheme="minorHAnsi"/>
          <w:iCs/>
        </w:rPr>
        <w:t xml:space="preserve"> § 10 Umowy</w:t>
      </w:r>
      <w:r w:rsidR="001237A9" w:rsidRPr="00AE25C3">
        <w:rPr>
          <w:rFonts w:eastAsia="Times New Roman" w:cstheme="minorHAnsi"/>
          <w:iCs/>
        </w:rPr>
        <w:t xml:space="preserve"> Instytucja Pośrednicząca może żądać od Beneficjenta zapłaty </w:t>
      </w:r>
      <w:r w:rsidR="001237A9" w:rsidRPr="00AE25C3">
        <w:rPr>
          <w:rFonts w:eastAsia="Times New Roman" w:cstheme="minorHAnsi"/>
          <w:b/>
          <w:iCs/>
        </w:rPr>
        <w:t>ostatniej wyliczonej przez NCBR Kwoty Podlegającej Wycofaniu</w:t>
      </w:r>
      <w:r w:rsidR="001237A9" w:rsidRPr="00AE25C3">
        <w:rPr>
          <w:rFonts w:eastAsia="Times New Roman" w:cstheme="minorHAnsi"/>
          <w:iCs/>
        </w:rPr>
        <w:t>, w terminie 30 dni od przedstawienia żądania przez Instytucję Pośredniczącą.</w:t>
      </w:r>
    </w:p>
    <w:p w14:paraId="3E12AF3A" w14:textId="3E46856B" w:rsidR="001B2B3D" w:rsidRPr="00AE25C3" w:rsidRDefault="001B2B3D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bookmarkStart w:id="17" w:name="_Ref51204144"/>
      <w:r w:rsidRPr="00AE25C3">
        <w:rPr>
          <w:rFonts w:eastAsia="Times New Roman" w:cstheme="minorHAnsi"/>
          <w:iCs/>
        </w:rPr>
        <w:t>Jeśli termin realizacji Projektu zostanie wydłużony ponad termin 31.12.202</w:t>
      </w:r>
      <w:r w:rsidR="006912E5">
        <w:rPr>
          <w:rFonts w:eastAsia="Times New Roman" w:cstheme="minorHAnsi"/>
          <w:iCs/>
        </w:rPr>
        <w:t>9</w:t>
      </w:r>
      <w:r w:rsidRPr="00AE25C3">
        <w:rPr>
          <w:rFonts w:eastAsia="Times New Roman" w:cstheme="minorHAnsi"/>
          <w:iCs/>
        </w:rPr>
        <w:t xml:space="preserve"> r., termin wskazany w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_Ref51204056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6912E5">
        <w:rPr>
          <w:rFonts w:eastAsia="Times New Roman" w:cstheme="minorHAnsi"/>
          <w:iCs/>
        </w:rPr>
        <w:t>13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ulega </w:t>
      </w:r>
      <w:r w:rsidR="00D54FA7" w:rsidRPr="00AE25C3">
        <w:rPr>
          <w:rFonts w:eastAsia="Times New Roman" w:cstheme="minorHAnsi"/>
          <w:iCs/>
        </w:rPr>
        <w:t xml:space="preserve">bez dodatkowych oświadczeń stron </w:t>
      </w:r>
      <w:r w:rsidRPr="00AE25C3">
        <w:rPr>
          <w:rFonts w:eastAsia="Times New Roman" w:cstheme="minorHAnsi"/>
          <w:iCs/>
        </w:rPr>
        <w:t>przedłużeniu o czas o jaki nastąpiło wydłużenie Projektu.</w:t>
      </w:r>
      <w:bookmarkEnd w:id="17"/>
    </w:p>
    <w:p w14:paraId="6DD90E8D" w14:textId="77777777" w:rsidR="00DF3A0B" w:rsidRPr="00AE25C3" w:rsidRDefault="00DF3A0B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W razie opóźnienia w zapłacie Kwoty Podlegającej Wycofaniu, Instytucji Pośredniczącej przysługują odsetki </w:t>
      </w:r>
      <w:r w:rsidRPr="00AE25C3">
        <w:t>jak dla zaległości podatkowych, liczone od terminu wymagalności Kwoty Podlegającej Wycofaniu.</w:t>
      </w:r>
    </w:p>
    <w:p w14:paraId="3B1016D5" w14:textId="77777777" w:rsidR="003809F6" w:rsidRPr="00AE25C3" w:rsidRDefault="003809F6" w:rsidP="004A0786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 xml:space="preserve">Zabezpieczenie </w:t>
      </w:r>
      <w:r w:rsidR="00181A19" w:rsidRPr="00AE25C3">
        <w:rPr>
          <w:rFonts w:eastAsia="Times New Roman" w:cstheme="minorHAnsi"/>
          <w:b/>
          <w:bCs/>
          <w:iCs/>
        </w:rPr>
        <w:t xml:space="preserve">zapłaty </w:t>
      </w:r>
      <w:r w:rsidR="00181A19" w:rsidRPr="00AE25C3">
        <w:rPr>
          <w:rStyle w:val="tlid-translation"/>
          <w:rFonts w:eastAsia="Times New Roman" w:cstheme="minorHAnsi"/>
          <w:b/>
          <w:bCs/>
          <w:iCs/>
        </w:rPr>
        <w:t>Kwoty Podlegającej Wycofaniu</w:t>
      </w:r>
    </w:p>
    <w:p w14:paraId="7348BA86" w14:textId="0007E041" w:rsidR="00181A19" w:rsidRPr="00AE25C3" w:rsidRDefault="00F2010A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bookmarkStart w:id="18" w:name="_Ref51204397"/>
      <w:r w:rsidRPr="00AE25C3">
        <w:rPr>
          <w:rStyle w:val="tlid-translation"/>
          <w:rFonts w:eastAsia="Times New Roman" w:cstheme="minorHAnsi"/>
          <w:iCs/>
        </w:rPr>
        <w:t xml:space="preserve">Beneficjent zobowiązany jest zapewnić </w:t>
      </w:r>
      <w:r w:rsidR="00181A19" w:rsidRPr="00AE25C3">
        <w:rPr>
          <w:rStyle w:val="tlid-translation"/>
          <w:rFonts w:eastAsia="Times New Roman" w:cstheme="minorHAnsi"/>
          <w:iCs/>
        </w:rPr>
        <w:t>na rzecz Instytucji Pośredniczącej</w:t>
      </w:r>
      <w:r w:rsidR="001B543C" w:rsidRPr="00AE25C3">
        <w:rPr>
          <w:rStyle w:val="tlid-translation"/>
          <w:rFonts w:eastAsia="Times New Roman" w:cstheme="minorHAnsi"/>
          <w:iCs/>
        </w:rPr>
        <w:t>,</w:t>
      </w:r>
      <w:r w:rsidR="00181A19" w:rsidRPr="00AE25C3">
        <w:rPr>
          <w:rStyle w:val="tlid-translation"/>
          <w:rFonts w:eastAsia="Times New Roman" w:cstheme="minorHAnsi"/>
          <w:iCs/>
        </w:rPr>
        <w:t xml:space="preserve"> </w:t>
      </w:r>
      <w:r w:rsidR="001B2B3D" w:rsidRPr="00AE25C3">
        <w:rPr>
          <w:rStyle w:val="tlid-translation"/>
          <w:rFonts w:eastAsia="Times New Roman" w:cstheme="minorHAnsi"/>
          <w:iCs/>
        </w:rPr>
        <w:t xml:space="preserve">nie później niż </w:t>
      </w:r>
      <w:r w:rsidR="004C4CBE" w:rsidRPr="00AE25C3">
        <w:rPr>
          <w:rStyle w:val="tlid-translation"/>
          <w:rFonts w:eastAsia="Times New Roman" w:cstheme="minorHAnsi"/>
          <w:iCs/>
        </w:rPr>
        <w:br/>
      </w:r>
      <w:r w:rsidR="001B2B3D" w:rsidRPr="00AE25C3">
        <w:rPr>
          <w:rStyle w:val="tlid-translation"/>
          <w:rFonts w:eastAsia="Times New Roman" w:cstheme="minorHAnsi"/>
          <w:iCs/>
        </w:rPr>
        <w:t>w terminie 30 dni od wyliczenia przez Instytucj</w:t>
      </w:r>
      <w:r w:rsidR="008933CE">
        <w:rPr>
          <w:rStyle w:val="tlid-translation"/>
          <w:rFonts w:eastAsia="Times New Roman" w:cstheme="minorHAnsi"/>
          <w:iCs/>
        </w:rPr>
        <w:t>ę</w:t>
      </w:r>
      <w:r w:rsidR="001B2B3D" w:rsidRPr="00AE25C3">
        <w:rPr>
          <w:rStyle w:val="tlid-translation"/>
          <w:rFonts w:eastAsia="Times New Roman" w:cstheme="minorHAnsi"/>
          <w:iCs/>
        </w:rPr>
        <w:t xml:space="preserve"> Pośredniczącą </w:t>
      </w:r>
      <w:r w:rsidR="001B2B3D" w:rsidRPr="00AE25C3">
        <w:rPr>
          <w:rStyle w:val="tlid-translation"/>
          <w:rFonts w:eastAsia="Times New Roman" w:cstheme="minorHAnsi"/>
          <w:b/>
          <w:iCs/>
        </w:rPr>
        <w:t>Kwoty Podlegającej Wycofaniu</w:t>
      </w:r>
      <w:r w:rsidR="006C04F7" w:rsidRPr="00AE25C3">
        <w:rPr>
          <w:rStyle w:val="tlid-translation"/>
          <w:rFonts w:eastAsia="Times New Roman" w:cstheme="minorHAnsi"/>
          <w:iCs/>
        </w:rPr>
        <w:t xml:space="preserve"> </w:t>
      </w:r>
      <w:r w:rsidR="00FE2885">
        <w:rPr>
          <w:rStyle w:val="tlid-translation"/>
          <w:rFonts w:eastAsia="Times New Roman" w:cstheme="minorHAnsi"/>
          <w:iCs/>
        </w:rPr>
        <w:t xml:space="preserve">zgodnie z pkt 10, z uwzględnieniem pkt 12, </w:t>
      </w:r>
      <w:r w:rsidR="006C04F7" w:rsidRPr="00AE25C3">
        <w:rPr>
          <w:rStyle w:val="tlid-translation"/>
          <w:rFonts w:eastAsia="Times New Roman" w:cstheme="minorHAnsi"/>
          <w:iCs/>
        </w:rPr>
        <w:t xml:space="preserve">wg stanu dla roku </w:t>
      </w:r>
      <w:r w:rsidR="00FE2885" w:rsidRPr="00AE25C3">
        <w:rPr>
          <w:rFonts w:eastAsia="Times New Roman" w:cstheme="minorHAnsi"/>
          <w:iCs/>
        </w:rPr>
        <w:t xml:space="preserve"> </w:t>
      </w:r>
      <w:r w:rsidR="00FE2885">
        <w:rPr>
          <w:rFonts w:eastAsia="Times New Roman" w:cstheme="minorHAnsi"/>
          <w:iCs/>
        </w:rPr>
        <w:t xml:space="preserve">następującego po dwóch latach od zakończenia realizacji Projektu w rozumieniu Umowy, </w:t>
      </w:r>
      <w:r w:rsidRPr="00AE25C3">
        <w:rPr>
          <w:rStyle w:val="tlid-translation"/>
          <w:rFonts w:eastAsia="Times New Roman" w:cstheme="minorHAnsi"/>
          <w:iCs/>
        </w:rPr>
        <w:t>akredytywę wystawioną przez renomowaną instytucję finansową posiadającą rating inwestycyjny nadany przez agen</w:t>
      </w:r>
      <w:r w:rsidR="00D0170A" w:rsidRPr="00AE25C3">
        <w:rPr>
          <w:rStyle w:val="tlid-translation"/>
          <w:rFonts w:eastAsia="Times New Roman" w:cstheme="minorHAnsi"/>
          <w:iCs/>
        </w:rPr>
        <w:t xml:space="preserve">cję ratingową najwyższej rangi), która </w:t>
      </w:r>
      <w:r w:rsidRPr="00AE25C3">
        <w:rPr>
          <w:rStyle w:val="tlid-translation"/>
          <w:rFonts w:eastAsia="Times New Roman" w:cstheme="minorHAnsi"/>
          <w:iCs/>
        </w:rPr>
        <w:t xml:space="preserve">powinna pokrywać zobowiązanie do </w:t>
      </w:r>
      <w:r w:rsidR="00181A19" w:rsidRPr="00AE25C3">
        <w:rPr>
          <w:rStyle w:val="tlid-translation"/>
          <w:rFonts w:eastAsia="Times New Roman" w:cstheme="minorHAnsi"/>
          <w:iCs/>
        </w:rPr>
        <w:t>zapłaty przez Beneficjenta Kwoty Podlegającej Wycofaniu</w:t>
      </w:r>
      <w:r w:rsidR="001B2B3D" w:rsidRPr="00AE25C3">
        <w:rPr>
          <w:rStyle w:val="tlid-translation"/>
          <w:rFonts w:eastAsia="Times New Roman" w:cstheme="minorHAnsi"/>
          <w:iCs/>
        </w:rPr>
        <w:t>. Akredytywa</w:t>
      </w:r>
      <w:r w:rsidR="00D81E1F" w:rsidRPr="00AE25C3">
        <w:rPr>
          <w:rStyle w:val="tlid-translation"/>
          <w:rFonts w:eastAsia="Times New Roman" w:cstheme="minorHAnsi"/>
          <w:iCs/>
        </w:rPr>
        <w:t xml:space="preserve"> powinna umożliwiać jej </w:t>
      </w:r>
      <w:r w:rsidR="00D81E1F" w:rsidRPr="00AE25C3">
        <w:rPr>
          <w:rStyle w:val="tlid-translation"/>
          <w:rFonts w:eastAsia="Times New Roman" w:cstheme="minorHAnsi"/>
          <w:iCs/>
        </w:rPr>
        <w:lastRenderedPageBreak/>
        <w:t xml:space="preserve">wykorzystanie w terminie 30 dni od upływu terminu wskazanego w pkt </w:t>
      </w:r>
      <w:r w:rsidR="00D81E1F" w:rsidRPr="00AE25C3">
        <w:rPr>
          <w:rFonts w:eastAsia="Times New Roman" w:cstheme="minorHAnsi"/>
          <w:iCs/>
        </w:rPr>
        <w:fldChar w:fldCharType="begin"/>
      </w:r>
      <w:r w:rsidR="00D81E1F" w:rsidRPr="00AE25C3">
        <w:rPr>
          <w:rFonts w:eastAsia="Times New Roman" w:cstheme="minorHAnsi"/>
          <w:iCs/>
        </w:rPr>
        <w:instrText xml:space="preserve"> REF _Ref51204056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81E1F" w:rsidRPr="00AE25C3">
        <w:rPr>
          <w:rFonts w:eastAsia="Times New Roman" w:cstheme="minorHAnsi"/>
          <w:iCs/>
        </w:rPr>
      </w:r>
      <w:r w:rsidR="00D81E1F" w:rsidRPr="00AE25C3">
        <w:rPr>
          <w:rFonts w:eastAsia="Times New Roman" w:cstheme="minorHAnsi"/>
          <w:iCs/>
        </w:rPr>
        <w:fldChar w:fldCharType="separate"/>
      </w:r>
      <w:r w:rsidR="00E16B49">
        <w:rPr>
          <w:rFonts w:eastAsia="Times New Roman" w:cstheme="minorHAnsi"/>
          <w:iCs/>
        </w:rPr>
        <w:t>13</w:t>
      </w:r>
      <w:r w:rsidR="00D81E1F" w:rsidRPr="00AE25C3">
        <w:rPr>
          <w:rFonts w:eastAsia="Times New Roman" w:cstheme="minorHAnsi"/>
          <w:iCs/>
        </w:rPr>
        <w:fldChar w:fldCharType="end"/>
      </w:r>
      <w:r w:rsidR="00D81E1F" w:rsidRPr="00AE25C3">
        <w:rPr>
          <w:rFonts w:eastAsia="Times New Roman" w:cstheme="minorHAnsi"/>
          <w:iCs/>
        </w:rPr>
        <w:t>, z zastrzeżeniem pkt</w:t>
      </w:r>
      <w:r w:rsidR="002A7978">
        <w:rPr>
          <w:rFonts w:eastAsia="Times New Roman" w:cstheme="minorHAnsi"/>
          <w:iCs/>
        </w:rPr>
        <w:t> </w:t>
      </w:r>
      <w:r w:rsidR="00D81E1F" w:rsidRPr="00AE25C3">
        <w:rPr>
          <w:rFonts w:eastAsia="Times New Roman" w:cstheme="minorHAnsi"/>
          <w:iCs/>
        </w:rPr>
        <w:fldChar w:fldCharType="begin"/>
      </w:r>
      <w:r w:rsidR="00D81E1F" w:rsidRPr="00AE25C3">
        <w:rPr>
          <w:rFonts w:eastAsia="Times New Roman" w:cstheme="minorHAnsi"/>
          <w:iCs/>
        </w:rPr>
        <w:instrText xml:space="preserve"> REF _Ref51204144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81E1F" w:rsidRPr="00AE25C3">
        <w:rPr>
          <w:rFonts w:eastAsia="Times New Roman" w:cstheme="minorHAnsi"/>
          <w:iCs/>
        </w:rPr>
      </w:r>
      <w:r w:rsidR="00D81E1F" w:rsidRPr="00AE25C3">
        <w:rPr>
          <w:rFonts w:eastAsia="Times New Roman" w:cstheme="minorHAnsi"/>
          <w:iCs/>
        </w:rPr>
        <w:fldChar w:fldCharType="separate"/>
      </w:r>
      <w:r w:rsidR="00E16B49">
        <w:rPr>
          <w:rFonts w:eastAsia="Times New Roman" w:cstheme="minorHAnsi"/>
          <w:iCs/>
        </w:rPr>
        <w:t>16</w:t>
      </w:r>
      <w:r w:rsidR="00D81E1F" w:rsidRPr="00AE25C3">
        <w:rPr>
          <w:rFonts w:eastAsia="Times New Roman" w:cstheme="minorHAnsi"/>
          <w:iCs/>
        </w:rPr>
        <w:fldChar w:fldCharType="end"/>
      </w:r>
      <w:r w:rsidR="00D81E1F" w:rsidRPr="00AE25C3">
        <w:rPr>
          <w:rFonts w:eastAsia="Times New Roman" w:cstheme="minorHAnsi"/>
          <w:iCs/>
        </w:rPr>
        <w:t>.</w:t>
      </w:r>
      <w:bookmarkEnd w:id="18"/>
    </w:p>
    <w:p w14:paraId="48289C04" w14:textId="77777777" w:rsidR="00181A19" w:rsidRPr="00AE25C3" w:rsidRDefault="00181A19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bookmarkStart w:id="19" w:name="_Ref51204653"/>
      <w:r w:rsidRPr="00AE25C3">
        <w:rPr>
          <w:rStyle w:val="tlid-translation"/>
          <w:rFonts w:eastAsia="Times New Roman" w:cstheme="minorHAnsi"/>
          <w:iCs/>
        </w:rPr>
        <w:t>Kwota z</w:t>
      </w:r>
      <w:r w:rsidR="00F2010A" w:rsidRPr="00AE25C3">
        <w:rPr>
          <w:rStyle w:val="tlid-translation"/>
          <w:rFonts w:eastAsia="Times New Roman" w:cstheme="minorHAnsi"/>
          <w:iCs/>
        </w:rPr>
        <w:t>abezpieczona ww. akredytywą:</w:t>
      </w:r>
      <w:bookmarkEnd w:id="19"/>
    </w:p>
    <w:p w14:paraId="58F630AD" w14:textId="026D4EDD" w:rsidR="001B2B3D" w:rsidRPr="00AE25C3" w:rsidRDefault="00F2010A" w:rsidP="004A0786">
      <w:pPr>
        <w:pStyle w:val="Akapitzlist"/>
        <w:numPr>
          <w:ilvl w:val="1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nigdy nie może być ujemna (saldo początkowe </w:t>
      </w:r>
      <w:r w:rsidR="00181A19" w:rsidRPr="00AE25C3">
        <w:rPr>
          <w:rStyle w:val="tlid-translation"/>
          <w:rFonts w:eastAsia="Times New Roman" w:cstheme="minorHAnsi"/>
          <w:iCs/>
        </w:rPr>
        <w:t xml:space="preserve">musi wynosić co najmniej </w:t>
      </w:r>
      <w:r w:rsidRPr="00AE25C3">
        <w:rPr>
          <w:rStyle w:val="tlid-translation"/>
          <w:rFonts w:eastAsia="Times New Roman" w:cstheme="minorHAnsi"/>
          <w:iCs/>
        </w:rPr>
        <w:t>zero)</w:t>
      </w:r>
      <w:r w:rsidR="001B2B3D" w:rsidRPr="00AE25C3">
        <w:rPr>
          <w:rStyle w:val="tlid-translation"/>
          <w:rFonts w:eastAsia="Times New Roman" w:cstheme="minorHAnsi"/>
          <w:iCs/>
        </w:rPr>
        <w:t xml:space="preserve"> oraz</w:t>
      </w:r>
    </w:p>
    <w:p w14:paraId="77B633E9" w14:textId="77777777" w:rsidR="00F2010A" w:rsidRPr="00AE25C3" w:rsidRDefault="00F2010A" w:rsidP="004A0786">
      <w:pPr>
        <w:pStyle w:val="Akapitzlist"/>
        <w:numPr>
          <w:ilvl w:val="1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musi</w:t>
      </w:r>
      <w:r w:rsidR="001B2B3D" w:rsidRPr="00AE25C3">
        <w:rPr>
          <w:rStyle w:val="tlid-translation"/>
          <w:rFonts w:eastAsia="Times New Roman" w:cstheme="minorHAnsi"/>
          <w:iCs/>
        </w:rPr>
        <w:t xml:space="preserve"> </w:t>
      </w:r>
      <w:r w:rsidRPr="00AE25C3">
        <w:rPr>
          <w:rStyle w:val="tlid-translation"/>
          <w:rFonts w:eastAsia="Times New Roman" w:cstheme="minorHAnsi"/>
          <w:iCs/>
        </w:rPr>
        <w:t xml:space="preserve">odpowiadać </w:t>
      </w:r>
      <w:r w:rsidR="001B543C" w:rsidRPr="00AE25C3">
        <w:rPr>
          <w:rStyle w:val="tlid-translation"/>
          <w:rFonts w:eastAsia="Times New Roman" w:cstheme="minorHAnsi"/>
          <w:iCs/>
        </w:rPr>
        <w:t xml:space="preserve">co najmniej </w:t>
      </w:r>
      <w:r w:rsidRPr="00AE25C3">
        <w:rPr>
          <w:rStyle w:val="tlid-translation"/>
          <w:rFonts w:eastAsia="Times New Roman" w:cstheme="minorHAnsi"/>
          <w:iCs/>
        </w:rPr>
        <w:t>niższej z następujących wartości, jeśli jest dodatnia:</w:t>
      </w:r>
    </w:p>
    <w:p w14:paraId="23F27465" w14:textId="77777777" w:rsidR="00D0170A" w:rsidRPr="00AE25C3" w:rsidRDefault="001B2B3D" w:rsidP="004A0786">
      <w:pPr>
        <w:pStyle w:val="Akapitzlist"/>
        <w:numPr>
          <w:ilvl w:val="0"/>
          <w:numId w:val="3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ostatniej wyliczonej przez Instytucję Pośredniczącą Kwocie Podlegającej Wycofaniu, albo </w:t>
      </w:r>
    </w:p>
    <w:p w14:paraId="27681F2F" w14:textId="4E673412" w:rsidR="00F2010A" w:rsidRPr="00AE25C3" w:rsidRDefault="001B2B3D" w:rsidP="004A0786">
      <w:pPr>
        <w:pStyle w:val="Akapitzlist"/>
        <w:numPr>
          <w:ilvl w:val="0"/>
          <w:numId w:val="3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s</w:t>
      </w:r>
      <w:r w:rsidR="00F2010A" w:rsidRPr="00AE25C3">
        <w:rPr>
          <w:rStyle w:val="tlid-translation"/>
          <w:rFonts w:eastAsia="Times New Roman" w:cstheme="minorHAnsi"/>
          <w:iCs/>
        </w:rPr>
        <w:t xml:space="preserve">umie faktycznych wypłat pomocy państwa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na realizację Projektu, zarówno w ramach Umowy jak i innych umów zawartych przez Beneficjenta z organami działającymi w imieniu Rzeczypospolitej Polskiej, </w:t>
      </w:r>
      <w:r w:rsidR="00F2010A" w:rsidRPr="00AE25C3">
        <w:rPr>
          <w:rStyle w:val="tlid-translation"/>
          <w:rFonts w:eastAsia="Times New Roman" w:cstheme="minorHAnsi"/>
          <w:iCs/>
        </w:rPr>
        <w:t xml:space="preserve">między </w:t>
      </w:r>
      <w:r w:rsidR="00630349">
        <w:rPr>
          <w:rStyle w:val="tlid-translation"/>
          <w:rFonts w:eastAsia="Times New Roman" w:cstheme="minorHAnsi"/>
          <w:iCs/>
        </w:rPr>
        <w:t>2023</w:t>
      </w:r>
      <w:r w:rsidR="003B2E77" w:rsidRPr="00AE25C3">
        <w:rPr>
          <w:rStyle w:val="tlid-translation"/>
          <w:rFonts w:eastAsia="Times New Roman" w:cstheme="minorHAnsi"/>
          <w:iCs/>
        </w:rPr>
        <w:t xml:space="preserve"> </w:t>
      </w:r>
      <w:r w:rsidR="00F2010A" w:rsidRPr="00AE25C3">
        <w:rPr>
          <w:rStyle w:val="tlid-translation"/>
          <w:rFonts w:eastAsia="Times New Roman" w:cstheme="minorHAnsi"/>
          <w:iCs/>
        </w:rPr>
        <w:t xml:space="preserve">r. a </w:t>
      </w:r>
      <w:r w:rsidR="00D81E1F" w:rsidRPr="00AE25C3">
        <w:rPr>
          <w:rStyle w:val="tlid-translation"/>
          <w:rFonts w:eastAsia="Times New Roman" w:cstheme="minorHAnsi"/>
          <w:iCs/>
        </w:rPr>
        <w:t>ostatnim dniem wyliczenia przez Instytucję Pośredniczącą Kwoty Podlegającej Wycofaniu</w:t>
      </w:r>
      <w:r w:rsidR="00F2010A" w:rsidRPr="00AE25C3">
        <w:rPr>
          <w:rStyle w:val="tlid-translation"/>
          <w:rFonts w:eastAsia="Times New Roman" w:cstheme="minorHAnsi"/>
          <w:iCs/>
        </w:rPr>
        <w:t>, wyrażon</w:t>
      </w:r>
      <w:r w:rsidR="00EA678A" w:rsidRPr="00AE25C3">
        <w:rPr>
          <w:rStyle w:val="tlid-translation"/>
          <w:rFonts w:eastAsia="Times New Roman" w:cstheme="minorHAnsi"/>
          <w:iCs/>
        </w:rPr>
        <w:t>ych</w:t>
      </w:r>
      <w:r w:rsidR="00F2010A" w:rsidRPr="00AE25C3">
        <w:rPr>
          <w:rStyle w:val="tlid-translation"/>
          <w:rFonts w:eastAsia="Times New Roman" w:cstheme="minorHAnsi"/>
          <w:iCs/>
        </w:rPr>
        <w:t xml:space="preserve"> w </w:t>
      </w:r>
      <w:r w:rsidR="00EA678A" w:rsidRPr="00AE25C3">
        <w:rPr>
          <w:rStyle w:val="tlid-translation"/>
          <w:rFonts w:eastAsia="Times New Roman" w:cstheme="minorHAnsi"/>
          <w:iCs/>
        </w:rPr>
        <w:t>wartościach</w:t>
      </w:r>
      <w:r w:rsidR="00F2010A" w:rsidRPr="00AE25C3">
        <w:rPr>
          <w:rStyle w:val="tlid-translation"/>
          <w:rFonts w:eastAsia="Times New Roman" w:cstheme="minorHAnsi"/>
          <w:iCs/>
        </w:rPr>
        <w:t xml:space="preserve"> </w:t>
      </w:r>
      <w:r w:rsidR="00EA678A" w:rsidRPr="00AE25C3">
        <w:rPr>
          <w:rStyle w:val="tlid-translation"/>
          <w:rFonts w:eastAsia="Times New Roman" w:cstheme="minorHAnsi"/>
          <w:iCs/>
        </w:rPr>
        <w:t>bieżących dla</w:t>
      </w:r>
      <w:r w:rsidR="00F2010A" w:rsidRPr="00AE25C3">
        <w:rPr>
          <w:rStyle w:val="tlid-translation"/>
          <w:rFonts w:eastAsia="Times New Roman" w:cstheme="minorHAnsi"/>
          <w:iCs/>
        </w:rPr>
        <w:t xml:space="preserve"> roku „i”. Dla wszystkich wypłat przed </w:t>
      </w:r>
      <w:r w:rsidR="00EA678A" w:rsidRPr="00AE25C3">
        <w:rPr>
          <w:rStyle w:val="tlid-translation"/>
          <w:rFonts w:eastAsia="Times New Roman" w:cstheme="minorHAnsi"/>
          <w:iCs/>
        </w:rPr>
        <w:t>dniem wskazanym w zdaniu poprzedzającym</w:t>
      </w:r>
      <w:r w:rsidR="00C7678E" w:rsidRPr="00AE25C3">
        <w:rPr>
          <w:rStyle w:val="tlid-translation"/>
          <w:rFonts w:eastAsia="Times New Roman" w:cstheme="minorHAnsi"/>
          <w:iCs/>
        </w:rPr>
        <w:t>,</w:t>
      </w:r>
      <w:r w:rsidR="00EA678A" w:rsidRPr="00AE25C3">
        <w:rPr>
          <w:rStyle w:val="tlid-translation"/>
          <w:rFonts w:eastAsia="Times New Roman" w:cstheme="minorHAnsi"/>
          <w:iCs/>
        </w:rPr>
        <w:t xml:space="preserve"> </w:t>
      </w:r>
      <w:r w:rsidR="00F2010A" w:rsidRPr="00AE25C3">
        <w:rPr>
          <w:rStyle w:val="tlid-translation"/>
          <w:rFonts w:eastAsia="Times New Roman" w:cstheme="minorHAnsi"/>
          <w:iCs/>
        </w:rPr>
        <w:t xml:space="preserve">współczynnikiem dyskonta będzie stopa referencyjna UE mająca zastosowanie do </w:t>
      </w:r>
      <w:r w:rsidR="00EA678A" w:rsidRPr="00AE25C3">
        <w:rPr>
          <w:rStyle w:val="tlid-translation"/>
          <w:rFonts w:eastAsia="Times New Roman" w:cstheme="minorHAnsi"/>
          <w:iCs/>
        </w:rPr>
        <w:t>Polski</w:t>
      </w:r>
      <w:r w:rsidR="00F2010A" w:rsidRPr="00AE25C3">
        <w:rPr>
          <w:rStyle w:val="tlid-translation"/>
          <w:rFonts w:eastAsia="Times New Roman" w:cstheme="minorHAnsi"/>
          <w:iCs/>
        </w:rPr>
        <w:t>, zgodnie z Komunikatem Komisji w sprawie ustalenia stóp referencyjnych i dyskontowych</w:t>
      </w:r>
      <w:r w:rsidR="00EA678A" w:rsidRPr="00AE25C3">
        <w:rPr>
          <w:rStyle w:val="tlid-translation"/>
          <w:rFonts w:eastAsia="Times New Roman" w:cstheme="minorHAnsi"/>
          <w:iCs/>
        </w:rPr>
        <w:t xml:space="preserve"> (</w:t>
      </w:r>
      <w:proofErr w:type="spellStart"/>
      <w:r w:rsidR="00EA678A" w:rsidRPr="00AE25C3">
        <w:rPr>
          <w:rStyle w:val="tlid-translation"/>
          <w:rFonts w:eastAsia="Times New Roman" w:cstheme="minorHAnsi"/>
          <w:iCs/>
        </w:rPr>
        <w:t>Dz.Urz.UE</w:t>
      </w:r>
      <w:proofErr w:type="spellEnd"/>
      <w:r w:rsidR="00EA678A" w:rsidRPr="00AE25C3">
        <w:rPr>
          <w:rStyle w:val="tlid-translation"/>
          <w:rFonts w:eastAsia="Times New Roman" w:cstheme="minorHAnsi"/>
          <w:iCs/>
        </w:rPr>
        <w:t xml:space="preserve"> </w:t>
      </w:r>
      <w:r w:rsidR="003B2E77">
        <w:rPr>
          <w:rStyle w:val="tlid-translation"/>
          <w:rFonts w:eastAsia="Times New Roman" w:cstheme="minorHAnsi"/>
          <w:iCs/>
        </w:rPr>
        <w:t>C</w:t>
      </w:r>
      <w:r w:rsidR="003B2E77" w:rsidRPr="00AE25C3">
        <w:rPr>
          <w:rStyle w:val="tlid-translation"/>
          <w:rFonts w:eastAsia="Times New Roman" w:cstheme="minorHAnsi"/>
          <w:iCs/>
        </w:rPr>
        <w:t xml:space="preserve"> </w:t>
      </w:r>
      <w:r w:rsidR="003B2E77">
        <w:rPr>
          <w:rStyle w:val="tlid-translation"/>
          <w:rFonts w:eastAsia="Times New Roman" w:cstheme="minorHAnsi"/>
          <w:iCs/>
        </w:rPr>
        <w:t>14</w:t>
      </w:r>
      <w:r w:rsidR="003B2E77" w:rsidRPr="00AE25C3">
        <w:rPr>
          <w:rStyle w:val="tlid-translation"/>
          <w:rFonts w:eastAsia="Times New Roman" w:cstheme="minorHAnsi"/>
          <w:iCs/>
        </w:rPr>
        <w:t xml:space="preserve"> </w:t>
      </w:r>
      <w:r w:rsidR="00EA678A" w:rsidRPr="00AE25C3">
        <w:rPr>
          <w:rStyle w:val="tlid-translation"/>
          <w:rFonts w:eastAsia="Times New Roman" w:cstheme="minorHAnsi"/>
          <w:iCs/>
        </w:rPr>
        <w:t>z</w:t>
      </w:r>
      <w:r w:rsidR="002A7978">
        <w:rPr>
          <w:rStyle w:val="tlid-translation"/>
          <w:rFonts w:eastAsia="Times New Roman" w:cstheme="minorHAnsi"/>
          <w:iCs/>
        </w:rPr>
        <w:t> </w:t>
      </w:r>
      <w:r w:rsidR="00EA678A" w:rsidRPr="00AE25C3">
        <w:rPr>
          <w:rStyle w:val="tlid-translation"/>
          <w:rFonts w:eastAsia="Times New Roman" w:cstheme="minorHAnsi"/>
          <w:iCs/>
        </w:rPr>
        <w:t>19.01.2008 r., s. 6)</w:t>
      </w:r>
      <w:r w:rsidR="00F2010A" w:rsidRPr="00AE25C3">
        <w:rPr>
          <w:rStyle w:val="tlid-translation"/>
          <w:rFonts w:eastAsia="Times New Roman" w:cstheme="minorHAnsi"/>
          <w:iCs/>
        </w:rPr>
        <w:t>, stosowana w roku „i”, powiększona o 100 punktów bazowych między odpowiednią wypłatą i rokiem „i”.</w:t>
      </w:r>
    </w:p>
    <w:p w14:paraId="60811567" w14:textId="77777777" w:rsidR="001B2B3D" w:rsidRPr="00AE25C3" w:rsidRDefault="001B2B3D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bookmarkStart w:id="20" w:name="_Ref51206566"/>
      <w:r w:rsidRPr="00AE25C3">
        <w:rPr>
          <w:rStyle w:val="tlid-translation"/>
          <w:rFonts w:eastAsia="Times New Roman" w:cstheme="minorHAnsi"/>
          <w:iCs/>
        </w:rPr>
        <w:t xml:space="preserve">Beneficjent jest zobowiązany aktualizować wartość akredytywy </w:t>
      </w:r>
      <w:r w:rsidR="00B5240D" w:rsidRPr="00AE25C3">
        <w:rPr>
          <w:rStyle w:val="tlid-translation"/>
          <w:rFonts w:eastAsia="Times New Roman" w:cstheme="minorHAnsi"/>
          <w:iCs/>
        </w:rPr>
        <w:t xml:space="preserve">każdego roku, </w:t>
      </w:r>
      <w:r w:rsidR="00EA678A" w:rsidRPr="00AE25C3">
        <w:rPr>
          <w:rStyle w:val="tlid-translation"/>
          <w:rFonts w:eastAsia="Times New Roman" w:cstheme="minorHAnsi"/>
          <w:iCs/>
        </w:rPr>
        <w:t xml:space="preserve">w terminie </w:t>
      </w:r>
      <w:r w:rsidR="004C4CBE" w:rsidRPr="00AE25C3">
        <w:rPr>
          <w:rStyle w:val="tlid-translation"/>
          <w:rFonts w:eastAsia="Times New Roman" w:cstheme="minorHAnsi"/>
          <w:iCs/>
        </w:rPr>
        <w:br/>
      </w:r>
      <w:r w:rsidR="00EA678A" w:rsidRPr="00AE25C3">
        <w:rPr>
          <w:rStyle w:val="tlid-translation"/>
          <w:rFonts w:eastAsia="Times New Roman" w:cstheme="minorHAnsi"/>
          <w:iCs/>
        </w:rPr>
        <w:t>30 dni od kolejnego wyliczenia przez Instytucję Pośredniczącą Kwoty Podlegającej Wycofaniu.</w:t>
      </w:r>
      <w:bookmarkEnd w:id="20"/>
    </w:p>
    <w:p w14:paraId="531F0D9F" w14:textId="30677F21" w:rsidR="00EA678A" w:rsidRPr="00AE25C3" w:rsidRDefault="00EA678A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Alternatywnie wobec akredytywy wskazanej w pkt </w:t>
      </w:r>
      <w:r w:rsidRPr="00AE25C3">
        <w:rPr>
          <w:rStyle w:val="tlid-translation"/>
          <w:rFonts w:eastAsia="Times New Roman" w:cstheme="minorHAnsi"/>
          <w:iCs/>
        </w:rPr>
        <w:fldChar w:fldCharType="begin"/>
      </w:r>
      <w:r w:rsidRPr="00AE25C3">
        <w:rPr>
          <w:rStyle w:val="tlid-translation"/>
          <w:rFonts w:eastAsia="Times New Roman" w:cstheme="minorHAnsi"/>
          <w:iCs/>
        </w:rPr>
        <w:instrText xml:space="preserve"> REF _Ref51204397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iCs/>
        </w:rPr>
      </w:r>
      <w:r w:rsidRPr="00AE25C3">
        <w:rPr>
          <w:rStyle w:val="tlid-translation"/>
          <w:rFonts w:eastAsia="Times New Roman" w:cstheme="minorHAnsi"/>
          <w:iCs/>
        </w:rPr>
        <w:fldChar w:fldCharType="separate"/>
      </w:r>
      <w:r w:rsidR="00E16B49">
        <w:rPr>
          <w:rStyle w:val="tlid-translation"/>
          <w:rFonts w:eastAsia="Times New Roman" w:cstheme="minorHAnsi"/>
          <w:iCs/>
        </w:rPr>
        <w:t>18</w:t>
      </w:r>
      <w:r w:rsidRPr="00AE25C3">
        <w:rPr>
          <w:rStyle w:val="tlid-translation"/>
          <w:rFonts w:eastAsia="Times New Roman" w:cstheme="minorHAnsi"/>
          <w:iCs/>
        </w:rPr>
        <w:fldChar w:fldCharType="end"/>
      </w:r>
      <w:r w:rsidRPr="00AE25C3">
        <w:rPr>
          <w:rStyle w:val="tlid-translation"/>
          <w:rFonts w:eastAsia="Times New Roman" w:cstheme="minorHAnsi"/>
          <w:iCs/>
        </w:rPr>
        <w:t>, Instytucja Pośrednicząca może, na uzasadniony wniosek Beneficjenta, wyrazić zgodę na zabezpieczenie zapłaty Kwoty Podlegającej Wycofaniu w oparciu o rachunek bankowy.</w:t>
      </w:r>
    </w:p>
    <w:p w14:paraId="695A7A9B" w14:textId="77777777" w:rsidR="00EA678A" w:rsidRPr="00AE25C3" w:rsidRDefault="00EA678A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iCs/>
        </w:rPr>
      </w:pPr>
      <w:bookmarkStart w:id="21" w:name="_Ref51204590"/>
      <w:r w:rsidRPr="00AE25C3">
        <w:rPr>
          <w:rStyle w:val="tlid-translation"/>
          <w:rFonts w:eastAsia="Times New Roman" w:cstheme="minorHAnsi"/>
          <w:iCs/>
        </w:rPr>
        <w:t>Rachunek bankowy może być zastosowany o ile</w:t>
      </w:r>
      <w:bookmarkEnd w:id="21"/>
      <w:r w:rsidR="00973B10" w:rsidRPr="00AE25C3">
        <w:rPr>
          <w:rStyle w:val="tlid-translation"/>
          <w:rFonts w:eastAsia="Times New Roman" w:cstheme="minorHAnsi"/>
          <w:iCs/>
        </w:rPr>
        <w:t>:</w:t>
      </w:r>
    </w:p>
    <w:p w14:paraId="4F1E7116" w14:textId="77777777" w:rsidR="00EA678A" w:rsidRPr="00AE25C3" w:rsidRDefault="00F75DD3" w:rsidP="004A0786">
      <w:pPr>
        <w:pStyle w:val="Akapitzlist"/>
        <w:numPr>
          <w:ilvl w:val="1"/>
          <w:numId w:val="1"/>
        </w:numPr>
        <w:contextualSpacing w:val="0"/>
        <w:jc w:val="both"/>
        <w:rPr>
          <w:rStyle w:val="tlid-translation"/>
          <w:rFonts w:eastAsia="Times New Roman" w:cstheme="minorHAnsi"/>
          <w:bCs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rachunek, który ma być wykorzystywany do </w:t>
      </w:r>
      <w:r w:rsidR="00EA678A" w:rsidRPr="00AE25C3">
        <w:rPr>
          <w:rStyle w:val="tlid-translation"/>
          <w:rFonts w:eastAsia="Times New Roman" w:cstheme="minorHAnsi"/>
          <w:bCs/>
          <w:iCs/>
        </w:rPr>
        <w:t>zabezpieczenia Kwoty Podlegającej Wycofaniu</w:t>
      </w:r>
      <w:r w:rsidRPr="00AE25C3">
        <w:rPr>
          <w:rStyle w:val="tlid-translation"/>
          <w:rFonts w:eastAsia="Times New Roman" w:cstheme="minorHAnsi"/>
          <w:bCs/>
          <w:iCs/>
        </w:rPr>
        <w:t xml:space="preserve">, nie jest kontrolowany przez </w:t>
      </w:r>
      <w:r w:rsidR="00901A00" w:rsidRPr="00AE25C3">
        <w:rPr>
          <w:rStyle w:val="tlid-translation"/>
          <w:rFonts w:eastAsia="Times New Roman" w:cstheme="minorHAnsi"/>
          <w:bCs/>
          <w:iCs/>
        </w:rPr>
        <w:t xml:space="preserve">Beneficjenta </w:t>
      </w:r>
      <w:r w:rsidRPr="00AE25C3">
        <w:rPr>
          <w:rStyle w:val="tlid-translation"/>
          <w:rFonts w:eastAsia="Times New Roman" w:cstheme="minorHAnsi"/>
          <w:bCs/>
          <w:iCs/>
        </w:rPr>
        <w:t>pomocy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 (jest to np. rachunek </w:t>
      </w:r>
      <w:proofErr w:type="spellStart"/>
      <w:r w:rsidR="00EA678A" w:rsidRPr="00AE25C3">
        <w:rPr>
          <w:rStyle w:val="tlid-translation"/>
          <w:rFonts w:eastAsia="Times New Roman" w:cstheme="minorHAnsi"/>
          <w:bCs/>
          <w:iCs/>
        </w:rPr>
        <w:t>escrow</w:t>
      </w:r>
      <w:proofErr w:type="spellEnd"/>
      <w:r w:rsidR="00EA678A" w:rsidRPr="00AE25C3">
        <w:rPr>
          <w:rStyle w:val="tlid-translation"/>
          <w:rFonts w:eastAsia="Times New Roman" w:cstheme="minorHAnsi"/>
          <w:bCs/>
          <w:iCs/>
        </w:rPr>
        <w:t>), oraz</w:t>
      </w:r>
    </w:p>
    <w:p w14:paraId="5DE53E98" w14:textId="77777777" w:rsidR="00EA678A" w:rsidRPr="00AE25C3" w:rsidRDefault="00F75DD3" w:rsidP="004A0786">
      <w:pPr>
        <w:pStyle w:val="Akapitzlist"/>
        <w:numPr>
          <w:ilvl w:val="1"/>
          <w:numId w:val="1"/>
        </w:numPr>
        <w:contextualSpacing w:val="0"/>
        <w:jc w:val="both"/>
        <w:rPr>
          <w:rStyle w:val="tlid-translation"/>
          <w:rFonts w:eastAsia="Times New Roman" w:cstheme="minorHAnsi"/>
          <w:bCs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obliczenia i przelewy na / z rachunku przez </w:t>
      </w:r>
      <w:r w:rsidR="00EA678A" w:rsidRPr="00AE25C3">
        <w:rPr>
          <w:rStyle w:val="tlid-translation"/>
          <w:rFonts w:eastAsia="Times New Roman" w:cstheme="minorHAnsi"/>
          <w:bCs/>
          <w:iCs/>
        </w:rPr>
        <w:t>B</w:t>
      </w:r>
      <w:r w:rsidRPr="00AE25C3">
        <w:rPr>
          <w:rStyle w:val="tlid-translation"/>
          <w:rFonts w:eastAsia="Times New Roman" w:cstheme="minorHAnsi"/>
          <w:bCs/>
          <w:iCs/>
        </w:rPr>
        <w:t xml:space="preserve">eneficjenta muszą mieć miejsce raz </w:t>
      </w:r>
      <w:r w:rsidR="004C4CBE" w:rsidRPr="00AE25C3">
        <w:rPr>
          <w:rStyle w:val="tlid-translation"/>
          <w:rFonts w:eastAsia="Times New Roman" w:cstheme="minorHAnsi"/>
          <w:bCs/>
          <w:iCs/>
        </w:rPr>
        <w:br/>
      </w:r>
      <w:r w:rsidRPr="00AE25C3">
        <w:rPr>
          <w:rStyle w:val="tlid-translation"/>
          <w:rFonts w:eastAsia="Times New Roman" w:cstheme="minorHAnsi"/>
          <w:bCs/>
          <w:iCs/>
        </w:rPr>
        <w:t>w roku.</w:t>
      </w:r>
    </w:p>
    <w:p w14:paraId="3E9F32BF" w14:textId="1E7D0911" w:rsidR="00F75DD3" w:rsidRPr="00AE25C3" w:rsidRDefault="00F75DD3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bCs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Saldo 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rachunku wskazanego w pkt </w:t>
      </w:r>
      <w:r w:rsidR="00EA678A"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="00EA678A" w:rsidRPr="00AE25C3">
        <w:rPr>
          <w:rStyle w:val="tlid-translation"/>
          <w:rFonts w:eastAsia="Times New Roman" w:cstheme="minorHAnsi"/>
          <w:bCs/>
          <w:iCs/>
        </w:rPr>
        <w:instrText xml:space="preserve"> REF _Ref51204590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="00EA678A" w:rsidRPr="00AE25C3">
        <w:rPr>
          <w:rStyle w:val="tlid-translation"/>
          <w:rFonts w:eastAsia="Times New Roman" w:cstheme="minorHAnsi"/>
          <w:bCs/>
          <w:iCs/>
        </w:rPr>
      </w:r>
      <w:r w:rsidR="00EA678A"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047D99">
        <w:rPr>
          <w:rStyle w:val="tlid-translation"/>
          <w:rFonts w:eastAsia="Times New Roman" w:cstheme="minorHAnsi"/>
          <w:bCs/>
          <w:iCs/>
        </w:rPr>
        <w:t>22</w:t>
      </w:r>
      <w:r w:rsidR="00EA678A"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 </w:t>
      </w:r>
      <w:r w:rsidRPr="00AE25C3">
        <w:rPr>
          <w:rStyle w:val="tlid-translation"/>
          <w:rFonts w:eastAsia="Times New Roman" w:cstheme="minorHAnsi"/>
          <w:bCs/>
          <w:iCs/>
        </w:rPr>
        <w:t xml:space="preserve">nigdy nie 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może </w:t>
      </w:r>
      <w:r w:rsidRPr="00AE25C3">
        <w:rPr>
          <w:rStyle w:val="tlid-translation"/>
          <w:rFonts w:eastAsia="Times New Roman" w:cstheme="minorHAnsi"/>
          <w:bCs/>
          <w:iCs/>
        </w:rPr>
        <w:t xml:space="preserve">być ujemne i 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Instytucja Pośrednicząca nie może </w:t>
      </w:r>
      <w:r w:rsidRPr="00AE25C3">
        <w:rPr>
          <w:rStyle w:val="tlid-translation"/>
          <w:rFonts w:eastAsia="Times New Roman" w:cstheme="minorHAnsi"/>
          <w:bCs/>
          <w:iCs/>
        </w:rPr>
        <w:t>dokonać jakiegokolwiek przelewu na ten rachunek.</w:t>
      </w:r>
    </w:p>
    <w:p w14:paraId="7C6AA7F1" w14:textId="5DAAB99A" w:rsidR="00AE6AD3" w:rsidRPr="00AE25C3" w:rsidRDefault="00EA678A" w:rsidP="004A0786">
      <w:pPr>
        <w:pStyle w:val="Akapitzlist"/>
        <w:numPr>
          <w:ilvl w:val="0"/>
          <w:numId w:val="1"/>
        </w:numPr>
        <w:contextualSpacing w:val="0"/>
        <w:jc w:val="both"/>
        <w:rPr>
          <w:rStyle w:val="tlid-translation"/>
          <w:rFonts w:eastAsia="Times New Roman" w:cstheme="minorHAnsi"/>
          <w:b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Do wartości środków na rachunku w pkt </w:t>
      </w:r>
      <w:r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Pr="00AE25C3">
        <w:rPr>
          <w:rStyle w:val="tlid-translation"/>
          <w:rFonts w:eastAsia="Times New Roman" w:cstheme="minorHAnsi"/>
          <w:bCs/>
          <w:iCs/>
        </w:rPr>
        <w:instrText xml:space="preserve"> REF _Ref51204590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bCs/>
          <w:iCs/>
        </w:rPr>
      </w:r>
      <w:r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047D99">
        <w:rPr>
          <w:rStyle w:val="tlid-translation"/>
          <w:rFonts w:eastAsia="Times New Roman" w:cstheme="minorHAnsi"/>
          <w:bCs/>
          <w:iCs/>
        </w:rPr>
        <w:t>22</w:t>
      </w:r>
      <w:r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Pr="00AE25C3">
        <w:rPr>
          <w:rStyle w:val="tlid-translation"/>
          <w:rFonts w:eastAsia="Times New Roman" w:cstheme="minorHAnsi"/>
          <w:bCs/>
          <w:iCs/>
        </w:rPr>
        <w:t xml:space="preserve"> stosuje się odpowiednio pkt </w:t>
      </w:r>
      <w:r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Pr="00AE25C3">
        <w:rPr>
          <w:rStyle w:val="tlid-translation"/>
          <w:rFonts w:eastAsia="Times New Roman" w:cstheme="minorHAnsi"/>
          <w:bCs/>
          <w:iCs/>
        </w:rPr>
        <w:instrText xml:space="preserve"> REF _Ref51204653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bCs/>
          <w:iCs/>
        </w:rPr>
      </w:r>
      <w:r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047D99">
        <w:rPr>
          <w:rStyle w:val="tlid-translation"/>
          <w:rFonts w:eastAsia="Times New Roman" w:cstheme="minorHAnsi"/>
          <w:bCs/>
          <w:iCs/>
        </w:rPr>
        <w:t>19</w:t>
      </w:r>
      <w:r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="007346DD" w:rsidRPr="00AE25C3">
        <w:rPr>
          <w:rStyle w:val="tlid-translation"/>
          <w:rFonts w:eastAsia="Times New Roman" w:cstheme="minorHAnsi"/>
          <w:bCs/>
          <w:iCs/>
        </w:rPr>
        <w:t xml:space="preserve"> i pkt </w:t>
      </w:r>
      <w:r w:rsidR="007346DD"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="007346DD" w:rsidRPr="00AE25C3">
        <w:rPr>
          <w:rStyle w:val="tlid-translation"/>
          <w:rFonts w:eastAsia="Times New Roman" w:cstheme="minorHAnsi"/>
          <w:bCs/>
          <w:iCs/>
        </w:rPr>
        <w:instrText xml:space="preserve"> REF _Ref51206566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="007346DD" w:rsidRPr="00AE25C3">
        <w:rPr>
          <w:rStyle w:val="tlid-translation"/>
          <w:rFonts w:eastAsia="Times New Roman" w:cstheme="minorHAnsi"/>
          <w:bCs/>
          <w:iCs/>
        </w:rPr>
      </w:r>
      <w:r w:rsidR="007346DD"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047D99">
        <w:rPr>
          <w:rStyle w:val="tlid-translation"/>
          <w:rFonts w:eastAsia="Times New Roman" w:cstheme="minorHAnsi"/>
          <w:bCs/>
          <w:iCs/>
        </w:rPr>
        <w:t>20</w:t>
      </w:r>
      <w:r w:rsidR="007346DD"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Pr="00AE25C3">
        <w:rPr>
          <w:rStyle w:val="tlid-translation"/>
          <w:rFonts w:eastAsia="Times New Roman" w:cstheme="minorHAnsi"/>
          <w:bCs/>
          <w:iCs/>
        </w:rPr>
        <w:t>.</w:t>
      </w:r>
    </w:p>
    <w:p w14:paraId="22B9D199" w14:textId="77777777" w:rsidR="003748FA" w:rsidRPr="00AE25C3" w:rsidRDefault="00C5578C" w:rsidP="004A0786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>Możliwość przekazywania danych Komisji Europejskiej i k</w:t>
      </w:r>
      <w:r w:rsidR="003748FA" w:rsidRPr="00AE25C3">
        <w:rPr>
          <w:rFonts w:eastAsia="Times New Roman" w:cstheme="minorHAnsi"/>
          <w:b/>
          <w:bCs/>
          <w:iCs/>
        </w:rPr>
        <w:t>lauzula rewizyjna</w:t>
      </w:r>
    </w:p>
    <w:p w14:paraId="4DAA9699" w14:textId="0B1604B5" w:rsidR="00C5578C" w:rsidRPr="00AE25C3" w:rsidRDefault="00C5578C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Beneficjent wyraża zgodę, aby Instytucja Pośrednicząca przekazywała wszelkie informacje i</w:t>
      </w:r>
      <w:r w:rsidR="002A7978">
        <w:rPr>
          <w:rFonts w:eastAsia="Times New Roman" w:cstheme="minorHAnsi"/>
          <w:iCs/>
        </w:rPr>
        <w:t> </w:t>
      </w:r>
      <w:r w:rsidRPr="00AE25C3">
        <w:rPr>
          <w:rFonts w:eastAsia="Times New Roman" w:cstheme="minorHAnsi"/>
          <w:iCs/>
        </w:rPr>
        <w:t>dane objęte niniejszym załącznikiem Komisji Europejskiej.</w:t>
      </w:r>
    </w:p>
    <w:p w14:paraId="1F2B5130" w14:textId="08BE4F91" w:rsidR="00CE64FF" w:rsidRPr="002A7978" w:rsidRDefault="003748FA" w:rsidP="004A0786">
      <w:pPr>
        <w:pStyle w:val="Akapitzlist"/>
        <w:numPr>
          <w:ilvl w:val="0"/>
          <w:numId w:val="1"/>
        </w:numPr>
        <w:contextualSpacing w:val="0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W przypadku zmiany przez Komisję Europejską Decyzji Komisji w zakresie wpływającym na treść niniejszego załącznika, Strony zobowiązują się dokonać w terminie 30 dni, w drodze aneksu do umowy, zmiany jego brzmienia, w sposób zapewniający zgodność ze zmianą wprowadzoną do Decyzji Komisji przez Komisję Europejską.</w:t>
      </w:r>
    </w:p>
    <w:sectPr w:rsidR="00CE64FF" w:rsidRPr="002A79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C6B1" w14:textId="77777777" w:rsidR="000676BA" w:rsidRDefault="000676BA" w:rsidP="00F2010A">
      <w:pPr>
        <w:spacing w:after="0" w:line="240" w:lineRule="auto"/>
      </w:pPr>
      <w:r>
        <w:separator/>
      </w:r>
    </w:p>
  </w:endnote>
  <w:endnote w:type="continuationSeparator" w:id="0">
    <w:p w14:paraId="24CD8354" w14:textId="77777777" w:rsidR="000676BA" w:rsidRDefault="000676BA" w:rsidP="00F2010A">
      <w:pPr>
        <w:spacing w:after="0" w:line="240" w:lineRule="auto"/>
      </w:pPr>
      <w:r>
        <w:continuationSeparator/>
      </w:r>
    </w:p>
  </w:endnote>
  <w:endnote w:type="continuationNotice" w:id="1">
    <w:p w14:paraId="1222ACBD" w14:textId="77777777" w:rsidR="000676BA" w:rsidRDefault="00067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EB0" w14:textId="3B1B5F5A" w:rsidR="006043A0" w:rsidRDefault="00E5238D">
    <w:pPr>
      <w:pStyle w:val="Stopka"/>
      <w:jc w:val="center"/>
    </w:pPr>
    <w:sdt>
      <w:sdtPr>
        <w:id w:val="-683510765"/>
        <w:docPartObj>
          <w:docPartGallery w:val="Page Numbers (Bottom of Page)"/>
          <w:docPartUnique/>
        </w:docPartObj>
      </w:sdtPr>
      <w:sdtEndPr/>
      <w:sdtContent>
        <w:r w:rsidR="006043A0">
          <w:fldChar w:fldCharType="begin"/>
        </w:r>
        <w:r w:rsidR="006043A0">
          <w:instrText>PAGE   \* MERGEFORMAT</w:instrText>
        </w:r>
        <w:r w:rsidR="006043A0">
          <w:fldChar w:fldCharType="separate"/>
        </w:r>
        <w:r w:rsidR="00173B36">
          <w:rPr>
            <w:noProof/>
          </w:rPr>
          <w:t>1</w:t>
        </w:r>
        <w:r w:rsidR="006043A0">
          <w:fldChar w:fldCharType="end"/>
        </w:r>
      </w:sdtContent>
    </w:sdt>
  </w:p>
  <w:p w14:paraId="7645BD3A" w14:textId="77777777" w:rsidR="006043A0" w:rsidRDefault="00604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6A2C" w14:textId="77777777" w:rsidR="000676BA" w:rsidRDefault="000676BA" w:rsidP="00F2010A">
      <w:pPr>
        <w:spacing w:after="0" w:line="240" w:lineRule="auto"/>
      </w:pPr>
      <w:r>
        <w:separator/>
      </w:r>
    </w:p>
  </w:footnote>
  <w:footnote w:type="continuationSeparator" w:id="0">
    <w:p w14:paraId="52454C88" w14:textId="77777777" w:rsidR="000676BA" w:rsidRDefault="000676BA" w:rsidP="00F2010A">
      <w:pPr>
        <w:spacing w:after="0" w:line="240" w:lineRule="auto"/>
      </w:pPr>
      <w:r>
        <w:continuationSeparator/>
      </w:r>
    </w:p>
  </w:footnote>
  <w:footnote w:type="continuationNotice" w:id="1">
    <w:p w14:paraId="5DEA7577" w14:textId="77777777" w:rsidR="000676BA" w:rsidRDefault="000676BA">
      <w:pPr>
        <w:spacing w:after="0" w:line="240" w:lineRule="auto"/>
      </w:pPr>
    </w:p>
  </w:footnote>
  <w:footnote w:id="2">
    <w:p w14:paraId="183FCBAC" w14:textId="6A4AEB08" w:rsidR="00831F3F" w:rsidRDefault="00831F3F" w:rsidP="00831F3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 </w:t>
      </w:r>
      <w:r w:rsidR="00997906">
        <w:t xml:space="preserve"> </w:t>
      </w:r>
      <w:r w:rsidR="00997906" w:rsidRPr="00997906">
        <w:rPr>
          <w:b/>
        </w:rPr>
        <w:t>Mechanizm oparty na określeniu luki</w:t>
      </w:r>
      <w:r w:rsidRPr="00997906">
        <w:rPr>
          <w:rFonts w:eastAsia="Times New Roman" w:cstheme="minorHAnsi"/>
          <w:b/>
          <w:iCs/>
        </w:rPr>
        <w:t xml:space="preserve"> w finansowaniu</w:t>
      </w:r>
      <w:r w:rsidR="00997906">
        <w:rPr>
          <w:rFonts w:eastAsia="Times New Roman" w:cstheme="minorHAnsi"/>
          <w:iCs/>
        </w:rPr>
        <w:t xml:space="preserve"> stanowi </w:t>
      </w:r>
      <w:r w:rsidRPr="00831F3F">
        <w:rPr>
          <w:rFonts w:eastAsia="Times New Roman" w:cstheme="minorHAnsi"/>
          <w:iCs/>
        </w:rPr>
        <w:t xml:space="preserve">mechanizm pozwalający na określenie </w:t>
      </w:r>
      <w:r w:rsidR="008E6BEC">
        <w:rPr>
          <w:rFonts w:eastAsia="Times New Roman" w:cstheme="minorHAnsi"/>
          <w:iCs/>
        </w:rPr>
        <w:t xml:space="preserve">wielkości lub </w:t>
      </w:r>
      <w:r w:rsidRPr="00831F3F">
        <w:rPr>
          <w:rFonts w:eastAsia="Times New Roman" w:cstheme="minorHAnsi"/>
          <w:iCs/>
        </w:rPr>
        <w:t xml:space="preserve">poziomu intensywności pomocy adekwatnego dla </w:t>
      </w:r>
      <w:r w:rsidR="008E6BEC">
        <w:rPr>
          <w:rFonts w:eastAsia="Times New Roman" w:cstheme="minorHAnsi"/>
          <w:iCs/>
        </w:rPr>
        <w:t xml:space="preserve">danego </w:t>
      </w:r>
      <w:r w:rsidRPr="00831F3F">
        <w:rPr>
          <w:rFonts w:eastAsia="Times New Roman" w:cstheme="minorHAnsi"/>
          <w:iCs/>
        </w:rPr>
        <w:t>pr</w:t>
      </w:r>
      <w:r w:rsidR="008E6BEC">
        <w:rPr>
          <w:rFonts w:eastAsia="Times New Roman" w:cstheme="minorHAnsi"/>
          <w:iCs/>
        </w:rPr>
        <w:t>ojektu, na który pomoc państwa będzie przeznaczona</w:t>
      </w:r>
      <w:r w:rsidRPr="00831F3F">
        <w:rPr>
          <w:rFonts w:eastAsia="Times New Roman" w:cstheme="minorHAnsi"/>
          <w:iCs/>
        </w:rPr>
        <w:t xml:space="preserve"> i w konsekwencji stanowiącego podstawę ustalenia poziomu dofinansowania tego projektu. </w:t>
      </w:r>
      <w:r w:rsidR="00135E1F">
        <w:t xml:space="preserve">Luka w finansowaniu odnosi się do różnicy pomiędzy dodatnimi i ujemnymi przepływami pieniężnymi w okresie istnienia inwestycji, zdyskontowanymi do swojej bieżącej wartości w oparciu o odpowiedni </w:t>
      </w:r>
      <w:r w:rsidR="00082105">
        <w:t>współczynnik dyskonta</w:t>
      </w:r>
      <w:r w:rsidR="00135E1F">
        <w:t xml:space="preserve"> odzwierciedlający stopę zwrotu, jaką beneficjent musi uzyskać, aby zrealizować projekt, w szczególności pod kątem istniejącego ryzyka. </w:t>
      </w:r>
      <w:r w:rsidRPr="00831F3F">
        <w:rPr>
          <w:rFonts w:eastAsia="Times New Roman" w:cstheme="minorHAnsi"/>
          <w:iCs/>
        </w:rPr>
        <w:t xml:space="preserve">Mechanizm ten ma z jednej strony zagwarantować, że wykonanie projektu będzie możliwe dzięki wystarczającym zasobom finansowym na ten cel, </w:t>
      </w:r>
      <w:r w:rsidR="00082105">
        <w:rPr>
          <w:rFonts w:eastAsia="Times New Roman" w:cstheme="minorHAnsi"/>
          <w:iCs/>
        </w:rPr>
        <w:t xml:space="preserve">a </w:t>
      </w:r>
      <w:r w:rsidRPr="00831F3F">
        <w:rPr>
          <w:rFonts w:eastAsia="Times New Roman" w:cstheme="minorHAnsi"/>
          <w:iCs/>
        </w:rPr>
        <w:t>z drugiej strony pozwala uniknąć przyznania beneficjentowi pomocy nienależnych korzyści przez udzielenie dofinansowania wyższego niż jest to konieczne.</w:t>
      </w:r>
    </w:p>
  </w:footnote>
  <w:footnote w:id="3">
    <w:p w14:paraId="6275367C" w14:textId="6BE61865" w:rsidR="00831F3F" w:rsidRDefault="00831F3F" w:rsidP="005A57E9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   </w:t>
      </w:r>
      <w:r w:rsidRPr="00AE25C3">
        <w:t xml:space="preserve">Zgodnie z </w:t>
      </w:r>
      <w:r w:rsidR="00082105">
        <w:t>z</w:t>
      </w:r>
      <w:r w:rsidRPr="00AE25C3">
        <w:t xml:space="preserve">ałącznikiem I do Decyzji Komisji – </w:t>
      </w:r>
      <w:r w:rsidR="008E6BEC" w:rsidRPr="00AE25C3">
        <w:t>(</w:t>
      </w:r>
      <w:r w:rsidRPr="00AE25C3">
        <w:t>przypis</w:t>
      </w:r>
      <w:r w:rsidR="008E6BEC" w:rsidRPr="00AE25C3">
        <w:t xml:space="preserve"> dolny</w:t>
      </w:r>
      <w:r w:rsidRPr="00AE25C3">
        <w:t xml:space="preserve"> nr </w:t>
      </w:r>
      <w:r w:rsidR="005A57E9">
        <w:t>56</w:t>
      </w:r>
      <w:r w:rsidR="008E6BEC" w:rsidRPr="00AE25C3">
        <w:t>)</w:t>
      </w:r>
      <w:r w:rsidRPr="00AE25C3">
        <w:t xml:space="preserve"> </w:t>
      </w:r>
      <w:r w:rsidR="004A0786">
        <w:t>–</w:t>
      </w:r>
      <w:r w:rsidRPr="00AE25C3">
        <w:t xml:space="preserve"> </w:t>
      </w:r>
      <w:r w:rsidRPr="00AE25C3">
        <w:rPr>
          <w:b/>
        </w:rPr>
        <w:t>Dat</w:t>
      </w:r>
      <w:r w:rsidR="005A57E9">
        <w:rPr>
          <w:b/>
        </w:rPr>
        <w:t>ę</w:t>
      </w:r>
      <w:r w:rsidRPr="00AE25C3">
        <w:rPr>
          <w:b/>
        </w:rPr>
        <w:t xml:space="preserve"> Końcow</w:t>
      </w:r>
      <w:r w:rsidR="005A57E9">
        <w:rPr>
          <w:b/>
        </w:rPr>
        <w:t>ą</w:t>
      </w:r>
      <w:r w:rsidRPr="00AE25C3">
        <w:t xml:space="preserve"> (wyłącznie do celów mechanizmu monitorowania i wycofania) </w:t>
      </w:r>
      <w:r w:rsidR="005A57E9" w:rsidRPr="005A57E9">
        <w:t xml:space="preserve">ustala się na rok odpowiadający ostatniemu rokowi uwzględnionemu w </w:t>
      </w:r>
      <w:r w:rsidR="005A57E9">
        <w:t>przedstawionej w notyfikacji</w:t>
      </w:r>
      <w:r w:rsidR="005A57E9" w:rsidRPr="005A57E9">
        <w:t xml:space="preserve"> analizie luki w finansowaniu dla projektu, niezależnie od </w:t>
      </w:r>
      <w:r w:rsidR="005A57E9">
        <w:t xml:space="preserve">jego </w:t>
      </w:r>
      <w:r w:rsidR="005A57E9" w:rsidRPr="005A57E9">
        <w:t xml:space="preserve">kategorii (B+R+I i/lub FID). </w:t>
      </w:r>
      <w:r w:rsidR="004348AE">
        <w:t>Dla</w:t>
      </w:r>
      <w:r w:rsidR="004348AE" w:rsidRPr="004348AE">
        <w:t xml:space="preserve"> projektów, </w:t>
      </w:r>
      <w:r w:rsidR="004348AE">
        <w:t xml:space="preserve">dla </w:t>
      </w:r>
      <w:r w:rsidR="004348AE" w:rsidRPr="004348AE">
        <w:t xml:space="preserve">których przewidywana faza produkcji </w:t>
      </w:r>
      <w:r w:rsidR="004348AE">
        <w:t>seryjnej</w:t>
      </w:r>
      <w:r w:rsidR="004348AE" w:rsidRPr="004348AE">
        <w:t xml:space="preserve"> przekracza dziesięć lat, </w:t>
      </w:r>
      <w:r w:rsidR="004348AE">
        <w:t>„D</w:t>
      </w:r>
      <w:r w:rsidR="004348AE" w:rsidRPr="004348AE">
        <w:t xml:space="preserve">ata </w:t>
      </w:r>
      <w:r w:rsidR="004348AE">
        <w:t>K</w:t>
      </w:r>
      <w:r w:rsidR="004348AE" w:rsidRPr="004348AE">
        <w:t>ońcowa</w:t>
      </w:r>
      <w:r w:rsidR="004348AE">
        <w:t>”</w:t>
      </w:r>
      <w:r w:rsidR="004348AE" w:rsidRPr="004348AE">
        <w:t xml:space="preserve"> jest ustalana na koniec dziesiątego roku. </w:t>
      </w:r>
      <w:r w:rsidR="005A57E9" w:rsidRPr="005A57E9">
        <w:t xml:space="preserve">W przypadku </w:t>
      </w:r>
      <w:r w:rsidR="005A57E9">
        <w:t>opóźnienia</w:t>
      </w:r>
      <w:r w:rsidR="005A57E9" w:rsidRPr="005A57E9">
        <w:t xml:space="preserve"> w realizacji projekt</w:t>
      </w:r>
      <w:r w:rsidR="005A57E9">
        <w:t>u</w:t>
      </w:r>
      <w:r w:rsidR="005A57E9" w:rsidRPr="005A57E9">
        <w:t xml:space="preserve"> w </w:t>
      </w:r>
      <w:r w:rsidR="005A57E9">
        <w:t>porównaniu z harmonogramem przewidzianym w notyfikacji</w:t>
      </w:r>
      <w:r w:rsidR="005A57E9" w:rsidRPr="005A57E9">
        <w:t>, "Data końcowa" zostanie odpowiednio przedłużona</w:t>
      </w:r>
      <w:r w:rsidR="005A57E9">
        <w:t>.</w:t>
      </w:r>
    </w:p>
  </w:footnote>
  <w:footnote w:id="4">
    <w:p w14:paraId="4D07066D" w14:textId="6222A72B" w:rsidR="009737F7" w:rsidRDefault="009737F7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jeżeli planowany okres produkcji seryjnej wynosi cztery lata lub mniej.</w:t>
      </w:r>
    </w:p>
  </w:footnote>
  <w:footnote w:id="5">
    <w:p w14:paraId="4B3A1B2D" w14:textId="4A9913B8" w:rsidR="00222388" w:rsidRDefault="00222388" w:rsidP="00EA59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22388">
        <w:t xml:space="preserve">Oznacza to, że na przykład w przypadku </w:t>
      </w:r>
      <w:r>
        <w:t>wyliczenia Nadwyżki</w:t>
      </w:r>
      <w:r w:rsidRPr="00222388">
        <w:t xml:space="preserve"> </w:t>
      </w:r>
      <w:r>
        <w:t>za</w:t>
      </w:r>
      <w:r w:rsidRPr="00222388">
        <w:t xml:space="preserve"> 2028 r.</w:t>
      </w:r>
      <w:r>
        <w:t>,</w:t>
      </w:r>
      <w:r w:rsidRPr="00222388">
        <w:t xml:space="preserve"> przepływy pieniężne w 2023 r. zostaną pomnożone przez (1+WACC)^(5)</w:t>
      </w:r>
      <w:r w:rsidR="00EA592D">
        <w:t>.</w:t>
      </w:r>
    </w:p>
  </w:footnote>
  <w:footnote w:id="6">
    <w:p w14:paraId="1486623A" w14:textId="2E0EB8F5" w:rsidR="00222388" w:rsidRDefault="00222388" w:rsidP="00EA59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A592D">
        <w:t>D</w:t>
      </w:r>
      <w:r w:rsidR="00EA592D" w:rsidRPr="00AE25C3">
        <w:t>o celów mechanizmu monitorowania i wycofania</w:t>
      </w:r>
      <w:r w:rsidR="00EA592D">
        <w:t xml:space="preserve"> </w:t>
      </w:r>
      <w:r w:rsidR="00EA592D" w:rsidRPr="00EA592D">
        <w:t>"dodatkowe korzyści" oznaczają dodatkowe publiczne wkłady finansowe</w:t>
      </w:r>
      <w:r w:rsidR="00EA592D">
        <w:t>,</w:t>
      </w:r>
      <w:r w:rsidR="00EA592D" w:rsidRPr="00EA592D">
        <w:t xml:space="preserve"> w tym wszelką inną otrzymaną pomoc </w:t>
      </w:r>
      <w:r w:rsidR="00EA592D">
        <w:t>publiczną</w:t>
      </w:r>
      <w:r w:rsidR="00EA592D" w:rsidRPr="00EA592D">
        <w:t xml:space="preserve"> lub finansowanie publiczne</w:t>
      </w:r>
      <w:r w:rsidR="00EA592D">
        <w:t xml:space="preserve">, które nie zostały uwzględnione w notyfikacji, a które odnoszą się </w:t>
      </w:r>
      <w:r w:rsidR="00EA592D" w:rsidRPr="00EA592D">
        <w:t>do tych samych kosztów kwalifikowalnych</w:t>
      </w:r>
      <w:r w:rsidR="00EA592D">
        <w:t>, które zostały przedstawione w notyfikacji.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86A"/>
    <w:multiLevelType w:val="hybridMultilevel"/>
    <w:tmpl w:val="8F6EF530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B35662"/>
    <w:multiLevelType w:val="hybridMultilevel"/>
    <w:tmpl w:val="D294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97"/>
    <w:multiLevelType w:val="hybridMultilevel"/>
    <w:tmpl w:val="1BB0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5E0F"/>
    <w:multiLevelType w:val="hybridMultilevel"/>
    <w:tmpl w:val="FD64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1A24"/>
    <w:multiLevelType w:val="hybridMultilevel"/>
    <w:tmpl w:val="5AFA8E82"/>
    <w:lvl w:ilvl="0" w:tplc="AFF2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4451"/>
    <w:multiLevelType w:val="hybridMultilevel"/>
    <w:tmpl w:val="837A5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51C8"/>
    <w:multiLevelType w:val="hybridMultilevel"/>
    <w:tmpl w:val="FE2C6214"/>
    <w:lvl w:ilvl="0" w:tplc="3CBE9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27BBE"/>
    <w:multiLevelType w:val="hybridMultilevel"/>
    <w:tmpl w:val="DC902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5030">
    <w:abstractNumId w:val="4"/>
  </w:num>
  <w:num w:numId="2" w16cid:durableId="1651204379">
    <w:abstractNumId w:val="6"/>
  </w:num>
  <w:num w:numId="3" w16cid:durableId="218366391">
    <w:abstractNumId w:val="0"/>
  </w:num>
  <w:num w:numId="4" w16cid:durableId="25065191">
    <w:abstractNumId w:val="1"/>
  </w:num>
  <w:num w:numId="5" w16cid:durableId="1674911814">
    <w:abstractNumId w:val="2"/>
  </w:num>
  <w:num w:numId="6" w16cid:durableId="928075853">
    <w:abstractNumId w:val="7"/>
  </w:num>
  <w:num w:numId="7" w16cid:durableId="1239828924">
    <w:abstractNumId w:val="3"/>
  </w:num>
  <w:num w:numId="8" w16cid:durableId="235669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0A"/>
    <w:rsid w:val="0002247A"/>
    <w:rsid w:val="000404B9"/>
    <w:rsid w:val="00040B8C"/>
    <w:rsid w:val="0004501B"/>
    <w:rsid w:val="00047D99"/>
    <w:rsid w:val="000676BA"/>
    <w:rsid w:val="00082105"/>
    <w:rsid w:val="00093DEF"/>
    <w:rsid w:val="000B0653"/>
    <w:rsid w:val="000D78E9"/>
    <w:rsid w:val="00101DAE"/>
    <w:rsid w:val="001036B4"/>
    <w:rsid w:val="00122109"/>
    <w:rsid w:val="001237A9"/>
    <w:rsid w:val="00123C0B"/>
    <w:rsid w:val="00135369"/>
    <w:rsid w:val="00135E1F"/>
    <w:rsid w:val="0013618C"/>
    <w:rsid w:val="00145A8F"/>
    <w:rsid w:val="00173B36"/>
    <w:rsid w:val="00181A19"/>
    <w:rsid w:val="001B2B3D"/>
    <w:rsid w:val="001B543C"/>
    <w:rsid w:val="001E2872"/>
    <w:rsid w:val="001E2A36"/>
    <w:rsid w:val="001E7104"/>
    <w:rsid w:val="00201C5D"/>
    <w:rsid w:val="00212C26"/>
    <w:rsid w:val="00215B96"/>
    <w:rsid w:val="00217610"/>
    <w:rsid w:val="00222388"/>
    <w:rsid w:val="00227654"/>
    <w:rsid w:val="00241D16"/>
    <w:rsid w:val="00262D10"/>
    <w:rsid w:val="002A7978"/>
    <w:rsid w:val="002C60F0"/>
    <w:rsid w:val="002C6BB0"/>
    <w:rsid w:val="00326802"/>
    <w:rsid w:val="003748FA"/>
    <w:rsid w:val="003809F6"/>
    <w:rsid w:val="00383DF8"/>
    <w:rsid w:val="00390F49"/>
    <w:rsid w:val="003A4D92"/>
    <w:rsid w:val="003B2E77"/>
    <w:rsid w:val="003B5D63"/>
    <w:rsid w:val="003C24A8"/>
    <w:rsid w:val="003C5FF2"/>
    <w:rsid w:val="003D5E33"/>
    <w:rsid w:val="003E29C7"/>
    <w:rsid w:val="003E6B09"/>
    <w:rsid w:val="004038C3"/>
    <w:rsid w:val="00420751"/>
    <w:rsid w:val="004235A2"/>
    <w:rsid w:val="004348AE"/>
    <w:rsid w:val="00442E60"/>
    <w:rsid w:val="0044305D"/>
    <w:rsid w:val="004536F3"/>
    <w:rsid w:val="00453FD0"/>
    <w:rsid w:val="0045423C"/>
    <w:rsid w:val="00466534"/>
    <w:rsid w:val="00473CC8"/>
    <w:rsid w:val="00473D89"/>
    <w:rsid w:val="00490817"/>
    <w:rsid w:val="00495392"/>
    <w:rsid w:val="004A0786"/>
    <w:rsid w:val="004B4288"/>
    <w:rsid w:val="004C4CBE"/>
    <w:rsid w:val="004F2C1B"/>
    <w:rsid w:val="0050267E"/>
    <w:rsid w:val="00504D42"/>
    <w:rsid w:val="00546CD6"/>
    <w:rsid w:val="00547ACB"/>
    <w:rsid w:val="00550197"/>
    <w:rsid w:val="005A57E9"/>
    <w:rsid w:val="005B3597"/>
    <w:rsid w:val="005C5F3C"/>
    <w:rsid w:val="005F2519"/>
    <w:rsid w:val="005F4B5D"/>
    <w:rsid w:val="00600B8C"/>
    <w:rsid w:val="006043A0"/>
    <w:rsid w:val="0061197B"/>
    <w:rsid w:val="00612C77"/>
    <w:rsid w:val="00613A94"/>
    <w:rsid w:val="006170DD"/>
    <w:rsid w:val="00630349"/>
    <w:rsid w:val="006711CB"/>
    <w:rsid w:val="00676564"/>
    <w:rsid w:val="006912E5"/>
    <w:rsid w:val="006A36BB"/>
    <w:rsid w:val="006A3C64"/>
    <w:rsid w:val="006B76F5"/>
    <w:rsid w:val="006C04F7"/>
    <w:rsid w:val="006C30FD"/>
    <w:rsid w:val="006C5908"/>
    <w:rsid w:val="006C6FF8"/>
    <w:rsid w:val="00700857"/>
    <w:rsid w:val="007346DD"/>
    <w:rsid w:val="007530F8"/>
    <w:rsid w:val="0076207B"/>
    <w:rsid w:val="00762F80"/>
    <w:rsid w:val="007863B2"/>
    <w:rsid w:val="00797C7C"/>
    <w:rsid w:val="00797E03"/>
    <w:rsid w:val="007C4385"/>
    <w:rsid w:val="007D191B"/>
    <w:rsid w:val="007E7219"/>
    <w:rsid w:val="007F134D"/>
    <w:rsid w:val="00805FFA"/>
    <w:rsid w:val="00813046"/>
    <w:rsid w:val="00831F3F"/>
    <w:rsid w:val="00835F07"/>
    <w:rsid w:val="00836479"/>
    <w:rsid w:val="00841F7A"/>
    <w:rsid w:val="00865549"/>
    <w:rsid w:val="00880847"/>
    <w:rsid w:val="00890B9A"/>
    <w:rsid w:val="00891F1E"/>
    <w:rsid w:val="008933CE"/>
    <w:rsid w:val="0089525B"/>
    <w:rsid w:val="008A4D02"/>
    <w:rsid w:val="008D5754"/>
    <w:rsid w:val="008E6BEC"/>
    <w:rsid w:val="00901A00"/>
    <w:rsid w:val="0091651B"/>
    <w:rsid w:val="0092243A"/>
    <w:rsid w:val="00934396"/>
    <w:rsid w:val="00943B67"/>
    <w:rsid w:val="00952447"/>
    <w:rsid w:val="00960695"/>
    <w:rsid w:val="00965CC8"/>
    <w:rsid w:val="009737F7"/>
    <w:rsid w:val="00973B10"/>
    <w:rsid w:val="00992417"/>
    <w:rsid w:val="00997906"/>
    <w:rsid w:val="009A0BD1"/>
    <w:rsid w:val="009A79EF"/>
    <w:rsid w:val="009D3E4C"/>
    <w:rsid w:val="009D65AB"/>
    <w:rsid w:val="009E4356"/>
    <w:rsid w:val="00A330D6"/>
    <w:rsid w:val="00A5020A"/>
    <w:rsid w:val="00A56FEC"/>
    <w:rsid w:val="00A5786C"/>
    <w:rsid w:val="00A57999"/>
    <w:rsid w:val="00A6753A"/>
    <w:rsid w:val="00A71734"/>
    <w:rsid w:val="00AE22F1"/>
    <w:rsid w:val="00AE25C3"/>
    <w:rsid w:val="00AE6AD3"/>
    <w:rsid w:val="00AE7EEA"/>
    <w:rsid w:val="00AF4C59"/>
    <w:rsid w:val="00B0030E"/>
    <w:rsid w:val="00B00C2E"/>
    <w:rsid w:val="00B25664"/>
    <w:rsid w:val="00B30D27"/>
    <w:rsid w:val="00B36A0E"/>
    <w:rsid w:val="00B454E4"/>
    <w:rsid w:val="00B51911"/>
    <w:rsid w:val="00B5240D"/>
    <w:rsid w:val="00B53CD4"/>
    <w:rsid w:val="00B639AD"/>
    <w:rsid w:val="00B84FDF"/>
    <w:rsid w:val="00B87355"/>
    <w:rsid w:val="00B95A2D"/>
    <w:rsid w:val="00B97A64"/>
    <w:rsid w:val="00BB22EB"/>
    <w:rsid w:val="00BB2BF3"/>
    <w:rsid w:val="00BB3AEB"/>
    <w:rsid w:val="00BB3ED6"/>
    <w:rsid w:val="00BD3401"/>
    <w:rsid w:val="00BD452D"/>
    <w:rsid w:val="00C260B9"/>
    <w:rsid w:val="00C442EC"/>
    <w:rsid w:val="00C46D9A"/>
    <w:rsid w:val="00C5578C"/>
    <w:rsid w:val="00C602E9"/>
    <w:rsid w:val="00C7678E"/>
    <w:rsid w:val="00C9051B"/>
    <w:rsid w:val="00C91FAE"/>
    <w:rsid w:val="00CB179C"/>
    <w:rsid w:val="00CB4C5B"/>
    <w:rsid w:val="00CE4935"/>
    <w:rsid w:val="00CE64FF"/>
    <w:rsid w:val="00CF0F71"/>
    <w:rsid w:val="00CF4474"/>
    <w:rsid w:val="00CF70D1"/>
    <w:rsid w:val="00D0145C"/>
    <w:rsid w:val="00D0170A"/>
    <w:rsid w:val="00D11AAE"/>
    <w:rsid w:val="00D17E90"/>
    <w:rsid w:val="00D30D66"/>
    <w:rsid w:val="00D347B2"/>
    <w:rsid w:val="00D37F7B"/>
    <w:rsid w:val="00D54FA7"/>
    <w:rsid w:val="00D5689D"/>
    <w:rsid w:val="00D619A1"/>
    <w:rsid w:val="00D7129E"/>
    <w:rsid w:val="00D81E1F"/>
    <w:rsid w:val="00D94269"/>
    <w:rsid w:val="00D95320"/>
    <w:rsid w:val="00DB6797"/>
    <w:rsid w:val="00DB722D"/>
    <w:rsid w:val="00DC0A72"/>
    <w:rsid w:val="00DC24CF"/>
    <w:rsid w:val="00DC7C30"/>
    <w:rsid w:val="00DD2156"/>
    <w:rsid w:val="00DF3A0B"/>
    <w:rsid w:val="00E07644"/>
    <w:rsid w:val="00E16B49"/>
    <w:rsid w:val="00E2240A"/>
    <w:rsid w:val="00E327C0"/>
    <w:rsid w:val="00E424D6"/>
    <w:rsid w:val="00E5238D"/>
    <w:rsid w:val="00E617BD"/>
    <w:rsid w:val="00E9451A"/>
    <w:rsid w:val="00EA39C9"/>
    <w:rsid w:val="00EA4E22"/>
    <w:rsid w:val="00EA592D"/>
    <w:rsid w:val="00EA62BC"/>
    <w:rsid w:val="00EA678A"/>
    <w:rsid w:val="00ED2F45"/>
    <w:rsid w:val="00EE2CCA"/>
    <w:rsid w:val="00F01062"/>
    <w:rsid w:val="00F2010A"/>
    <w:rsid w:val="00F20CFD"/>
    <w:rsid w:val="00F340FB"/>
    <w:rsid w:val="00F53BA0"/>
    <w:rsid w:val="00F75DD3"/>
    <w:rsid w:val="00F96045"/>
    <w:rsid w:val="00FA4C0C"/>
    <w:rsid w:val="00FA7C4B"/>
    <w:rsid w:val="00FC10D7"/>
    <w:rsid w:val="00FC1CB5"/>
    <w:rsid w:val="00FD2D7E"/>
    <w:rsid w:val="00FE2885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331B6"/>
  <w15:docId w15:val="{9B9F3686-AAD3-44F2-8C18-E65EF28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F2010A"/>
  </w:style>
  <w:style w:type="paragraph" w:styleId="Akapitzlist">
    <w:name w:val="List Paragraph"/>
    <w:basedOn w:val="Normalny"/>
    <w:uiPriority w:val="34"/>
    <w:qFormat/>
    <w:rsid w:val="00F201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1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010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0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45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C590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A0"/>
  </w:style>
  <w:style w:type="paragraph" w:styleId="Stopka">
    <w:name w:val="footer"/>
    <w:basedOn w:val="Normalny"/>
    <w:link w:val="StopkaZnak"/>
    <w:uiPriority w:val="99"/>
    <w:unhideWhenUsed/>
    <w:rsid w:val="0060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A0"/>
  </w:style>
  <w:style w:type="paragraph" w:styleId="Poprawka">
    <w:name w:val="Revision"/>
    <w:hidden/>
    <w:uiPriority w:val="99"/>
    <w:semiHidden/>
    <w:rsid w:val="00135E1F"/>
    <w:pPr>
      <w:spacing w:after="0" w:line="240" w:lineRule="auto"/>
    </w:pPr>
  </w:style>
  <w:style w:type="paragraph" w:customStyle="1" w:styleId="Default">
    <w:name w:val="Default"/>
    <w:rsid w:val="00466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2B8F-7B75-4C4D-80A2-B65DC755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2314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Zys</dc:creator>
  <cp:lastModifiedBy>Milena Piątkowska</cp:lastModifiedBy>
  <cp:revision>5</cp:revision>
  <cp:lastPrinted>2020-09-17T09:35:00Z</cp:lastPrinted>
  <dcterms:created xsi:type="dcterms:W3CDTF">2023-08-07T13:54:00Z</dcterms:created>
  <dcterms:modified xsi:type="dcterms:W3CDTF">2023-08-21T09:05:00Z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2023-08-21T09:04:53Z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1e2fb222-a828-4546-a0e2-68edf28a92b5</vt:lpwstr>
  </property>
  <property fmtid="{D5CDD505-2E9C-101B-9397-08002B2CF9AE}" pid="8" name="MSIP_Label_91e939cc-945f-447d-b5c0-f5a8e3aaa77b_ContentBits">
    <vt:lpwstr>0</vt:lpwstr>
  </property>
</Properties>
</file>