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079FF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7BB505FF" w14:textId="77777777"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AB40A16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54694B5" wp14:editId="0FC3BCD9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D0FA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FA4B845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6D3E2AC5" w14:textId="77777777" w:rsidR="00E06CB1" w:rsidRDefault="00E06CB1">
      <w:pPr>
        <w:jc w:val="center"/>
        <w:rPr>
          <w:rFonts w:ascii="Arial" w:hAnsi="Arial" w:cs="Arial"/>
          <w:i/>
          <w:iCs/>
        </w:rPr>
      </w:pPr>
    </w:p>
    <w:p w14:paraId="04FBC394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240F6" w:rsidRPr="008240F6">
          <w:rPr>
            <w:rStyle w:val="Hipercze"/>
            <w:rFonts w:ascii="Arial" w:hAnsi="Arial" w:cs="Arial"/>
            <w:b/>
            <w:bCs/>
            <w:color w:val="auto"/>
            <w:sz w:val="16"/>
            <w:szCs w:val="16"/>
            <w:u w:val="none"/>
          </w:rPr>
          <w:t>Poczty</w:t>
        </w:r>
      </w:hyperlink>
      <w:r w:rsidR="008240F6" w:rsidRPr="008240F6">
        <w:rPr>
          <w:rStyle w:val="Hipercze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Polskiej S.A. w zakładce „Sprzedaż Nieruchomości”</w:t>
      </w:r>
      <w:r w:rsidR="008F2B76" w:rsidRPr="008240F6">
        <w:rPr>
          <w:rFonts w:ascii="Arial" w:hAnsi="Arial" w:cs="Arial"/>
          <w:b/>
          <w:bCs/>
          <w:sz w:val="16"/>
          <w:szCs w:val="16"/>
        </w:rPr>
        <w:t>,</w:t>
      </w:r>
      <w:r w:rsidR="008F2B7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14:paraId="498AA98E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67978D8B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3C1DE8FC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627FDD11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14:paraId="5E50C6FE" w14:textId="77777777"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5BEED4BD" w14:textId="77777777" w:rsidR="00CC714D" w:rsidRDefault="00CC714D" w:rsidP="00F177EE">
      <w:pPr>
        <w:spacing w:line="360" w:lineRule="auto"/>
        <w:ind w:left="340"/>
        <w:jc w:val="both"/>
        <w:rPr>
          <w:rFonts w:ascii="Arial" w:hAnsi="Arial" w:cs="Arial"/>
          <w:sz w:val="16"/>
          <w:szCs w:val="16"/>
        </w:rPr>
      </w:pPr>
    </w:p>
    <w:p w14:paraId="74644806" w14:textId="77777777" w:rsidR="00CC714D" w:rsidRPr="0097084E" w:rsidRDefault="0060697F" w:rsidP="00CC714D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Miłosław, ul. Władysława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Wiewiórowskiego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4</w:t>
      </w:r>
      <w:r w:rsidR="00CC714D" w:rsidRPr="0097084E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>
        <w:rPr>
          <w:rFonts w:ascii="Arial" w:hAnsi="Arial" w:cs="Arial"/>
          <w:b/>
          <w:sz w:val="16"/>
          <w:szCs w:val="16"/>
          <w:u w:val="single"/>
        </w:rPr>
        <w:t>Miłosław</w:t>
      </w:r>
      <w:r w:rsidR="00CC714D" w:rsidRPr="0097084E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>
        <w:rPr>
          <w:rFonts w:ascii="Arial" w:hAnsi="Arial" w:cs="Arial"/>
          <w:b/>
          <w:sz w:val="16"/>
          <w:szCs w:val="16"/>
          <w:u w:val="single"/>
        </w:rPr>
        <w:t>wrzesiński</w:t>
      </w:r>
      <w:r w:rsidR="00CC714D" w:rsidRPr="0097084E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>
        <w:rPr>
          <w:rFonts w:ascii="Arial" w:hAnsi="Arial" w:cs="Arial"/>
          <w:b/>
          <w:sz w:val="16"/>
          <w:szCs w:val="16"/>
          <w:u w:val="single"/>
        </w:rPr>
        <w:t>wielkopolskie</w:t>
      </w:r>
    </w:p>
    <w:p w14:paraId="462C0790" w14:textId="77777777" w:rsidR="00E06CB1" w:rsidRDefault="00CC714D" w:rsidP="00CC714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97084E" w:rsidRPr="0097084E">
        <w:rPr>
          <w:rFonts w:ascii="Arial" w:hAnsi="Arial" w:cs="Arial"/>
          <w:sz w:val="16"/>
          <w:szCs w:val="16"/>
        </w:rPr>
        <w:t xml:space="preserve">rawo użytkowania wieczystego </w:t>
      </w:r>
      <w:r w:rsidR="0060697F">
        <w:rPr>
          <w:rFonts w:ascii="Arial" w:hAnsi="Arial" w:cs="Arial"/>
          <w:sz w:val="16"/>
          <w:szCs w:val="16"/>
        </w:rPr>
        <w:t>nieruchomości, stanowiącej działkę oznaczoną</w:t>
      </w:r>
      <w:r w:rsidR="0097084E">
        <w:rPr>
          <w:rFonts w:ascii="Arial" w:hAnsi="Arial" w:cs="Arial"/>
          <w:sz w:val="16"/>
          <w:szCs w:val="16"/>
        </w:rPr>
        <w:t xml:space="preserve"> </w:t>
      </w:r>
      <w:r w:rsidR="0097084E" w:rsidRPr="0097084E">
        <w:rPr>
          <w:rFonts w:ascii="Arial" w:hAnsi="Arial" w:cs="Arial"/>
          <w:sz w:val="16"/>
          <w:szCs w:val="16"/>
        </w:rPr>
        <w:t xml:space="preserve">w ewidencji gruntów </w:t>
      </w:r>
      <w:r w:rsidR="0060697F">
        <w:rPr>
          <w:rFonts w:ascii="Arial" w:hAnsi="Arial" w:cs="Arial"/>
          <w:sz w:val="16"/>
          <w:szCs w:val="16"/>
        </w:rPr>
        <w:t>numerem 670</w:t>
      </w:r>
      <w:r>
        <w:rPr>
          <w:rFonts w:ascii="Arial" w:hAnsi="Arial" w:cs="Arial"/>
          <w:sz w:val="16"/>
          <w:szCs w:val="16"/>
        </w:rPr>
        <w:t xml:space="preserve"> </w:t>
      </w:r>
      <w:r w:rsidR="00BD5DEB">
        <w:rPr>
          <w:rFonts w:ascii="Arial" w:hAnsi="Arial" w:cs="Arial"/>
          <w:sz w:val="16"/>
          <w:szCs w:val="16"/>
        </w:rPr>
        <w:t xml:space="preserve">o powierzchni </w:t>
      </w:r>
      <w:r w:rsidR="0060697F">
        <w:rPr>
          <w:rFonts w:ascii="Arial" w:hAnsi="Arial" w:cs="Arial"/>
          <w:sz w:val="16"/>
          <w:szCs w:val="16"/>
        </w:rPr>
        <w:t xml:space="preserve">0,0321 ha wraz z posadowionymi na niej, stanowiącymi odrębną nieruchomość dwoma budynkami biurowymi o łącznej powierzchni zabudowy 188 m², położonej w miejscowości Miłosław przy ulicy Władysława </w:t>
      </w:r>
      <w:proofErr w:type="spellStart"/>
      <w:r w:rsidR="0060697F">
        <w:rPr>
          <w:rFonts w:ascii="Arial" w:hAnsi="Arial" w:cs="Arial"/>
          <w:sz w:val="16"/>
          <w:szCs w:val="16"/>
        </w:rPr>
        <w:t>Wiewiórowskiego</w:t>
      </w:r>
      <w:proofErr w:type="spellEnd"/>
      <w:r w:rsidR="0060697F">
        <w:rPr>
          <w:rFonts w:ascii="Arial" w:hAnsi="Arial" w:cs="Arial"/>
          <w:sz w:val="16"/>
          <w:szCs w:val="16"/>
        </w:rPr>
        <w:t xml:space="preserve"> 4, w gminie Miłosław, w powiecie wrzesińskim, w województwie wielkopolskim, objętej księgą wieczystą nr PO1F/00009569/3</w:t>
      </w:r>
      <w:r>
        <w:rPr>
          <w:rFonts w:ascii="Arial" w:hAnsi="Arial" w:cs="Arial"/>
          <w:sz w:val="16"/>
          <w:szCs w:val="16"/>
        </w:rPr>
        <w:t xml:space="preserve"> </w:t>
      </w:r>
      <w:r w:rsidR="0097084E">
        <w:rPr>
          <w:rFonts w:ascii="Arial" w:hAnsi="Arial" w:cs="Arial"/>
          <w:sz w:val="16"/>
          <w:szCs w:val="16"/>
        </w:rPr>
        <w:t>prowadzoną przez Sąd Rejonowy w</w:t>
      </w:r>
      <w:r w:rsidR="0060697F">
        <w:rPr>
          <w:rFonts w:ascii="Arial" w:hAnsi="Arial" w:cs="Arial"/>
          <w:sz w:val="16"/>
          <w:szCs w:val="16"/>
        </w:rPr>
        <w:t>e Wrześni</w:t>
      </w:r>
      <w:r>
        <w:rPr>
          <w:rFonts w:ascii="Arial" w:hAnsi="Arial" w:cs="Arial"/>
          <w:sz w:val="16"/>
          <w:szCs w:val="16"/>
        </w:rPr>
        <w:t xml:space="preserve"> </w:t>
      </w:r>
      <w:r w:rsidR="0060697F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V Wydział Ksiąg Wieczystych</w:t>
      </w:r>
      <w:r w:rsidR="0060697F">
        <w:rPr>
          <w:rFonts w:ascii="Arial" w:hAnsi="Arial" w:cs="Arial"/>
          <w:sz w:val="16"/>
          <w:szCs w:val="16"/>
        </w:rPr>
        <w:t>.</w:t>
      </w:r>
    </w:p>
    <w:p w14:paraId="222B030B" w14:textId="77777777"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7208DC4" w14:textId="77777777" w:rsidR="00FA1426" w:rsidRPr="00FA1426" w:rsidRDefault="000870AD" w:rsidP="00FA142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Prowadzący </w:t>
      </w:r>
      <w:r w:rsidRPr="00FA1426">
        <w:rPr>
          <w:rFonts w:ascii="Arial" w:hAnsi="Arial" w:cs="Arial"/>
          <w:sz w:val="16"/>
          <w:szCs w:val="16"/>
        </w:rPr>
        <w:t>aukcję informuje:</w:t>
      </w:r>
    </w:p>
    <w:p w14:paraId="66EB910F" w14:textId="77777777" w:rsidR="007C0A7C" w:rsidRPr="007C0A7C" w:rsidRDefault="00FA1426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sz w:val="16"/>
          <w:szCs w:val="16"/>
        </w:rPr>
      </w:pPr>
      <w:r w:rsidRPr="007C0A7C">
        <w:rPr>
          <w:rFonts w:ascii="Arial" w:hAnsi="Arial" w:cs="Arial"/>
          <w:sz w:val="16"/>
          <w:szCs w:val="16"/>
        </w:rPr>
        <w:t xml:space="preserve">nieruchomość nie jest objęta miejscowym planem zagospodarowania przestrzennego gminy; w </w:t>
      </w:r>
      <w:r w:rsidR="007C0A7C">
        <w:rPr>
          <w:rFonts w:ascii="Arial" w:hAnsi="Arial" w:cs="Arial"/>
          <w:sz w:val="16"/>
          <w:szCs w:val="16"/>
        </w:rPr>
        <w:t xml:space="preserve"> </w:t>
      </w:r>
      <w:r w:rsidR="00C66478" w:rsidRPr="007C0A7C">
        <w:rPr>
          <w:rFonts w:ascii="Arial" w:hAnsi="Arial" w:cs="Arial"/>
          <w:sz w:val="16"/>
          <w:szCs w:val="16"/>
        </w:rPr>
        <w:t>obowiązującym studium uwarunkowań i kierunków zagospodarowania przestrzennego gminy Miłosław zatwierdzonym Uchwałą nr XI/60/99 Rady Miejskiej                        w Miłosławiu z dnia 07.12.1999r.,</w:t>
      </w:r>
      <w:r w:rsidR="008A00B8">
        <w:rPr>
          <w:rFonts w:ascii="Arial" w:hAnsi="Arial" w:cs="Arial"/>
          <w:sz w:val="16"/>
          <w:szCs w:val="16"/>
        </w:rPr>
        <w:t xml:space="preserve"> </w:t>
      </w:r>
      <w:r w:rsidR="00C66478" w:rsidRPr="007C0A7C">
        <w:rPr>
          <w:rFonts w:ascii="Arial" w:hAnsi="Arial" w:cs="Arial"/>
          <w:sz w:val="16"/>
          <w:szCs w:val="16"/>
        </w:rPr>
        <w:t>zmienionym Uchwałą nr X/56/11 Rady Miejskiej w Miłosławiu z dnia 12.07.2011r., Uchwałą XII/54/15 Rady Miejskiej w Miłosławiu z dnia 28.09.2015r. oraz Uchwałą XL/158/18 Rady Miejskiej w Miłosławiu z dnia 17.04.2018r.                    w sprawie ustalenia zmiany studium uwarunkowań i kierunków zagospodarowania przestrzennego, obszar ten wskazany jest jako tereny adaptowanej tradycyjnej tkanki zabudowy (zwarte „kwartały mi</w:t>
      </w:r>
      <w:r w:rsidR="007C0A7C">
        <w:rPr>
          <w:rFonts w:ascii="Arial" w:hAnsi="Arial" w:cs="Arial"/>
          <w:sz w:val="16"/>
          <w:szCs w:val="16"/>
        </w:rPr>
        <w:t>ejskie”) oznaczone symbolem MZ;</w:t>
      </w:r>
      <w:r w:rsidR="00C66478" w:rsidRPr="007C0A7C">
        <w:rPr>
          <w:rFonts w:ascii="Arial" w:hAnsi="Arial" w:cs="Arial"/>
          <w:sz w:val="16"/>
          <w:szCs w:val="16"/>
        </w:rPr>
        <w:t xml:space="preserve"> </w:t>
      </w:r>
    </w:p>
    <w:p w14:paraId="7628EC20" w14:textId="77777777" w:rsidR="007C0A7C" w:rsidRPr="007C0A7C" w:rsidRDefault="00CC2F9A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pismem </w:t>
      </w:r>
      <w:r w:rsidR="007C0A7C" w:rsidRPr="007C0A7C">
        <w:rPr>
          <w:rFonts w:ascii="Arial" w:hAnsi="Arial" w:cs="Arial"/>
          <w:sz w:val="16"/>
          <w:szCs w:val="16"/>
        </w:rPr>
        <w:t>Starostw</w:t>
      </w:r>
      <w:r>
        <w:rPr>
          <w:rFonts w:ascii="Arial" w:hAnsi="Arial" w:cs="Arial"/>
          <w:sz w:val="16"/>
          <w:szCs w:val="16"/>
        </w:rPr>
        <w:t xml:space="preserve">a Powiatowego </w:t>
      </w:r>
      <w:r w:rsidR="007C0A7C" w:rsidRPr="007C0A7C">
        <w:rPr>
          <w:rFonts w:ascii="Arial" w:hAnsi="Arial" w:cs="Arial"/>
          <w:sz w:val="16"/>
          <w:szCs w:val="16"/>
        </w:rPr>
        <w:t>we Wrześni nr NG.680.1.22.2019 nieruchomość nie uległa przekształceniu w trybie ustawy z dnia 20.07.2018r. o przekształceniu prawa użytkowania wieczystego gruntów zabudowanych na cele mieszkaniowe</w:t>
      </w:r>
      <w:r w:rsidR="007C0A7C">
        <w:rPr>
          <w:rFonts w:ascii="Arial" w:hAnsi="Arial" w:cs="Arial"/>
          <w:sz w:val="16"/>
          <w:szCs w:val="16"/>
        </w:rPr>
        <w:t xml:space="preserve"> w prawo własności tych gruntów;</w:t>
      </w:r>
    </w:p>
    <w:p w14:paraId="1AF7753F" w14:textId="77777777" w:rsidR="00043C3D" w:rsidRDefault="00C66478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bCs/>
          <w:sz w:val="16"/>
          <w:szCs w:val="16"/>
        </w:rPr>
      </w:pPr>
      <w:r w:rsidRPr="007C0A7C">
        <w:rPr>
          <w:rFonts w:ascii="Arial" w:hAnsi="Arial" w:cs="Arial"/>
          <w:bCs/>
          <w:sz w:val="16"/>
          <w:szCs w:val="16"/>
        </w:rPr>
        <w:t>budynki biurowe posadowione na działce nr 670 stanowi</w:t>
      </w:r>
      <w:r w:rsidR="007C0A7C">
        <w:rPr>
          <w:rFonts w:ascii="Arial" w:hAnsi="Arial" w:cs="Arial"/>
          <w:bCs/>
          <w:sz w:val="16"/>
          <w:szCs w:val="16"/>
        </w:rPr>
        <w:t>ą zwartą bryłę architektoniczną;</w:t>
      </w:r>
      <w:r w:rsidRPr="007C0A7C">
        <w:rPr>
          <w:rFonts w:ascii="Arial" w:hAnsi="Arial" w:cs="Arial"/>
          <w:bCs/>
          <w:sz w:val="16"/>
          <w:szCs w:val="16"/>
        </w:rPr>
        <w:t xml:space="preserve"> </w:t>
      </w:r>
      <w:r w:rsidR="007C0A7C">
        <w:rPr>
          <w:rFonts w:ascii="Arial" w:hAnsi="Arial" w:cs="Arial"/>
          <w:bCs/>
          <w:sz w:val="16"/>
          <w:szCs w:val="16"/>
        </w:rPr>
        <w:t>b</w:t>
      </w:r>
      <w:r w:rsidRPr="007C0A7C">
        <w:rPr>
          <w:rFonts w:ascii="Arial" w:hAnsi="Arial" w:cs="Arial"/>
          <w:bCs/>
          <w:sz w:val="16"/>
          <w:szCs w:val="16"/>
        </w:rPr>
        <w:t>udynek biurowy o nr id: 303002_4.0400.1285_BUD posiada trzy kondygnacje nadziemne</w:t>
      </w:r>
      <w:r w:rsidR="007C0A7C">
        <w:rPr>
          <w:rFonts w:ascii="Arial" w:hAnsi="Arial" w:cs="Arial"/>
          <w:bCs/>
          <w:sz w:val="16"/>
          <w:szCs w:val="16"/>
        </w:rPr>
        <w:t xml:space="preserve"> i jest podpiwniczony</w:t>
      </w:r>
      <w:r w:rsidR="00043C3D">
        <w:rPr>
          <w:rFonts w:ascii="Arial" w:hAnsi="Arial" w:cs="Arial"/>
          <w:bCs/>
          <w:sz w:val="16"/>
          <w:szCs w:val="16"/>
        </w:rPr>
        <w:t>,</w:t>
      </w:r>
      <w:r w:rsidRPr="007C0A7C">
        <w:rPr>
          <w:rFonts w:ascii="Arial" w:hAnsi="Arial" w:cs="Arial"/>
          <w:bCs/>
          <w:sz w:val="16"/>
          <w:szCs w:val="16"/>
        </w:rPr>
        <w:t xml:space="preserve"> </w:t>
      </w:r>
      <w:r w:rsidR="007C0A7C">
        <w:rPr>
          <w:rFonts w:ascii="Arial" w:hAnsi="Arial" w:cs="Arial"/>
          <w:bCs/>
          <w:sz w:val="16"/>
          <w:szCs w:val="16"/>
        </w:rPr>
        <w:t>p</w:t>
      </w:r>
      <w:r w:rsidRPr="007C0A7C">
        <w:rPr>
          <w:rFonts w:ascii="Arial" w:hAnsi="Arial" w:cs="Arial"/>
          <w:bCs/>
          <w:sz w:val="16"/>
          <w:szCs w:val="16"/>
        </w:rPr>
        <w:t xml:space="preserve">owierzchnia zabudowy, zgodnie z wypisem </w:t>
      </w:r>
      <w:r w:rsidR="00043C3D">
        <w:rPr>
          <w:rFonts w:ascii="Arial" w:hAnsi="Arial" w:cs="Arial"/>
          <w:bCs/>
          <w:sz w:val="16"/>
          <w:szCs w:val="16"/>
        </w:rPr>
        <w:t xml:space="preserve">                    </w:t>
      </w:r>
      <w:r w:rsidRPr="007C0A7C">
        <w:rPr>
          <w:rFonts w:ascii="Arial" w:hAnsi="Arial" w:cs="Arial"/>
          <w:bCs/>
          <w:sz w:val="16"/>
          <w:szCs w:val="16"/>
        </w:rPr>
        <w:t xml:space="preserve">z rejestru budynków wynosi 148,00 </w:t>
      </w:r>
      <w:r w:rsidR="007C0A7C">
        <w:rPr>
          <w:rFonts w:ascii="Arial" w:hAnsi="Arial" w:cs="Arial"/>
          <w:bCs/>
          <w:sz w:val="16"/>
          <w:szCs w:val="16"/>
        </w:rPr>
        <w:t>m²;</w:t>
      </w:r>
      <w:r w:rsidRPr="007C0A7C">
        <w:rPr>
          <w:rFonts w:ascii="Arial" w:hAnsi="Arial" w:cs="Arial"/>
          <w:bCs/>
          <w:sz w:val="16"/>
          <w:szCs w:val="16"/>
        </w:rPr>
        <w:t xml:space="preserve"> </w:t>
      </w:r>
      <w:r w:rsidR="007C0A7C">
        <w:rPr>
          <w:rFonts w:ascii="Arial" w:hAnsi="Arial" w:cs="Arial"/>
          <w:bCs/>
          <w:sz w:val="16"/>
          <w:szCs w:val="16"/>
        </w:rPr>
        <w:t>d</w:t>
      </w:r>
      <w:r w:rsidRPr="007C0A7C">
        <w:rPr>
          <w:rFonts w:ascii="Arial" w:hAnsi="Arial" w:cs="Arial"/>
          <w:bCs/>
          <w:sz w:val="16"/>
          <w:szCs w:val="16"/>
        </w:rPr>
        <w:t>rugi budynek (dobudówka) o nr id: 303002_4.0400.12</w:t>
      </w:r>
      <w:r w:rsidR="00043C3D">
        <w:rPr>
          <w:rFonts w:ascii="Arial" w:hAnsi="Arial" w:cs="Arial"/>
          <w:bCs/>
          <w:sz w:val="16"/>
          <w:szCs w:val="16"/>
        </w:rPr>
        <w:t xml:space="preserve">87_BUD jest jednokondygnacyjny,             </w:t>
      </w:r>
      <w:r w:rsidR="007C0A7C">
        <w:rPr>
          <w:rFonts w:ascii="Arial" w:hAnsi="Arial" w:cs="Arial"/>
          <w:bCs/>
          <w:sz w:val="16"/>
          <w:szCs w:val="16"/>
        </w:rPr>
        <w:t>p</w:t>
      </w:r>
      <w:r w:rsidRPr="007C0A7C">
        <w:rPr>
          <w:rFonts w:ascii="Arial" w:hAnsi="Arial" w:cs="Arial"/>
          <w:bCs/>
          <w:sz w:val="16"/>
          <w:szCs w:val="16"/>
        </w:rPr>
        <w:t>owierzch</w:t>
      </w:r>
      <w:r w:rsidR="00043C3D">
        <w:rPr>
          <w:rFonts w:ascii="Arial" w:hAnsi="Arial" w:cs="Arial"/>
          <w:bCs/>
          <w:sz w:val="16"/>
          <w:szCs w:val="16"/>
        </w:rPr>
        <w:t>nia zabudowy, zgodnie z wypisem</w:t>
      </w:r>
      <w:r w:rsidRPr="007C0A7C">
        <w:rPr>
          <w:rFonts w:ascii="Arial" w:hAnsi="Arial" w:cs="Arial"/>
          <w:bCs/>
          <w:sz w:val="16"/>
          <w:szCs w:val="16"/>
        </w:rPr>
        <w:t xml:space="preserve"> z rejestru budynków, wynosi 40,00 m²; </w:t>
      </w:r>
    </w:p>
    <w:p w14:paraId="2259C1D6" w14:textId="77777777" w:rsidR="008628B5" w:rsidRDefault="008628B5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bCs/>
          <w:sz w:val="16"/>
          <w:szCs w:val="16"/>
        </w:rPr>
      </w:pPr>
      <w:r w:rsidRPr="007C0A7C">
        <w:rPr>
          <w:rFonts w:ascii="Arial" w:hAnsi="Arial" w:cs="Arial"/>
          <w:bCs/>
          <w:sz w:val="16"/>
          <w:szCs w:val="16"/>
        </w:rPr>
        <w:t>b</w:t>
      </w:r>
      <w:r w:rsidR="00234387" w:rsidRPr="007C0A7C">
        <w:rPr>
          <w:rFonts w:ascii="Arial" w:hAnsi="Arial" w:cs="Arial"/>
          <w:bCs/>
          <w:sz w:val="16"/>
          <w:szCs w:val="16"/>
        </w:rPr>
        <w:t>udynki nie posiadają świadectwa charakterystyki energetycznej</w:t>
      </w:r>
      <w:r w:rsidR="00C66478" w:rsidRPr="007C0A7C">
        <w:rPr>
          <w:rFonts w:ascii="Arial" w:hAnsi="Arial" w:cs="Arial"/>
          <w:bCs/>
          <w:sz w:val="16"/>
          <w:szCs w:val="16"/>
        </w:rPr>
        <w:t>;</w:t>
      </w:r>
    </w:p>
    <w:p w14:paraId="686E0150" w14:textId="77777777" w:rsidR="00043C3D" w:rsidRDefault="008A00B8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przy sprzedaży nieruchomości zostanie ustanowione, w trybie określonym w art. 305</w:t>
      </w:r>
      <w:r w:rsidRPr="008A00B8">
        <w:rPr>
          <w:rFonts w:ascii="Arial" w:hAnsi="Arial" w:cs="Arial"/>
          <w:bCs/>
          <w:sz w:val="16"/>
          <w:szCs w:val="16"/>
          <w:vertAlign w:val="superscript"/>
        </w:rPr>
        <w:t>1</w:t>
      </w:r>
      <w:r>
        <w:rPr>
          <w:rFonts w:ascii="Arial" w:hAnsi="Arial" w:cs="Arial"/>
          <w:bCs/>
          <w:sz w:val="16"/>
          <w:szCs w:val="16"/>
        </w:rPr>
        <w:t xml:space="preserve"> Kodeksu cywilnego</w:t>
      </w:r>
      <w:r w:rsidR="00043C3D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na rzecz Orange Polska S.A.</w:t>
      </w:r>
      <w:r w:rsidR="00043C3D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nieodpłatne, nieograniczone w czasie ograniczone prawo rzeczowe w postaci służebności przesyłu</w:t>
      </w:r>
      <w:r w:rsidR="00E87771">
        <w:rPr>
          <w:rFonts w:ascii="Arial" w:hAnsi="Arial" w:cs="Arial"/>
          <w:bCs/>
          <w:sz w:val="16"/>
          <w:szCs w:val="16"/>
        </w:rPr>
        <w:t xml:space="preserve"> o powierzchni 0,15 m² dla infrastruktury teletechnicznej znajdującej się </w:t>
      </w:r>
      <w:r>
        <w:rPr>
          <w:rFonts w:ascii="Arial" w:hAnsi="Arial" w:cs="Arial"/>
          <w:bCs/>
          <w:sz w:val="16"/>
          <w:szCs w:val="16"/>
        </w:rPr>
        <w:t>n</w:t>
      </w:r>
      <w:r w:rsidRPr="008A00B8">
        <w:rPr>
          <w:rFonts w:ascii="Arial" w:hAnsi="Arial" w:cs="Arial"/>
          <w:bCs/>
          <w:sz w:val="16"/>
          <w:szCs w:val="16"/>
        </w:rPr>
        <w:t>a elewacji budynku</w:t>
      </w:r>
      <w:r w:rsidR="00043C3D">
        <w:rPr>
          <w:rFonts w:ascii="Arial" w:hAnsi="Arial" w:cs="Arial"/>
          <w:bCs/>
          <w:sz w:val="16"/>
          <w:szCs w:val="16"/>
        </w:rPr>
        <w:t xml:space="preserve"> biurowego</w:t>
      </w:r>
      <w:r w:rsidR="00E87771">
        <w:rPr>
          <w:rFonts w:ascii="Arial" w:hAnsi="Arial" w:cs="Arial"/>
          <w:bCs/>
          <w:sz w:val="16"/>
          <w:szCs w:val="16"/>
        </w:rPr>
        <w:t xml:space="preserve">; </w:t>
      </w:r>
    </w:p>
    <w:p w14:paraId="5F353A58" w14:textId="77777777" w:rsidR="008A00B8" w:rsidRPr="007C0A7C" w:rsidRDefault="00E87771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ustanowieniem ograniczonego prawa rzeczowego</w:t>
      </w:r>
      <w:r w:rsidR="00043C3D">
        <w:rPr>
          <w:rFonts w:ascii="Arial" w:hAnsi="Arial" w:cs="Arial"/>
          <w:bCs/>
          <w:sz w:val="16"/>
          <w:szCs w:val="16"/>
        </w:rPr>
        <w:t xml:space="preserve"> wiąże się prawo nieograniczonego i bezzwłocznego dostępu przez Orange Polska S.A. oraz pracowników służb technicznych działających na zlecenie Orange Polska S.A. oraz innych operatorów telekomunikacyjnych w trybie 24 h na dobę, przez 7 dni w tygodniu, przez wszystkie dni w roku, do infrastruktury teletechnicznej użytkowanej przez Orange Polska S.A. na terenie nieruchomości; koszty wszystkich czynności związanych z ustanowieniem ograniczonego prawa rzeczowego poniesie Orange Polska S.A.;</w:t>
      </w:r>
    </w:p>
    <w:p w14:paraId="180C2B78" w14:textId="77777777" w:rsidR="007C0A7C" w:rsidRPr="007C0A7C" w:rsidRDefault="007C0A7C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bCs/>
          <w:sz w:val="16"/>
          <w:szCs w:val="16"/>
        </w:rPr>
      </w:pPr>
      <w:r w:rsidRPr="007C0A7C">
        <w:rPr>
          <w:rFonts w:ascii="Arial" w:hAnsi="Arial" w:cs="Arial"/>
          <w:bCs/>
          <w:sz w:val="16"/>
          <w:szCs w:val="16"/>
        </w:rPr>
        <w:t>nieruchomość została wpisana do gminnej ewidencji zabytków pod numerem M 072;</w:t>
      </w:r>
    </w:p>
    <w:p w14:paraId="25EC6AD8" w14:textId="77777777" w:rsidR="00E06CB1" w:rsidRPr="007C0A7C" w:rsidRDefault="000870AD" w:rsidP="007C0A7C">
      <w:pPr>
        <w:pStyle w:val="Akapitzlist"/>
        <w:numPr>
          <w:ilvl w:val="0"/>
          <w:numId w:val="6"/>
        </w:numPr>
        <w:spacing w:line="276" w:lineRule="auto"/>
        <w:ind w:left="697" w:hanging="357"/>
        <w:jc w:val="both"/>
        <w:rPr>
          <w:rFonts w:ascii="Arial" w:hAnsi="Arial" w:cs="Arial"/>
          <w:bCs/>
          <w:sz w:val="16"/>
          <w:szCs w:val="16"/>
        </w:rPr>
      </w:pPr>
      <w:r w:rsidRPr="007C0A7C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79CBA88C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50DF906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171FE3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60697F">
        <w:rPr>
          <w:rFonts w:ascii="Arial" w:hAnsi="Arial" w:cs="Arial"/>
          <w:b/>
          <w:sz w:val="16"/>
          <w:szCs w:val="16"/>
        </w:rPr>
        <w:t>347</w:t>
      </w:r>
      <w:r w:rsidR="00E37FCB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60697F">
        <w:rPr>
          <w:rFonts w:ascii="Arial" w:hAnsi="Arial" w:cs="Arial"/>
          <w:b/>
          <w:sz w:val="16"/>
          <w:szCs w:val="16"/>
        </w:rPr>
        <w:t>3</w:t>
      </w:r>
      <w:r w:rsidR="00E37FCB">
        <w:rPr>
          <w:rFonts w:ascii="Arial" w:hAnsi="Arial" w:cs="Arial"/>
          <w:b/>
          <w:sz w:val="16"/>
          <w:szCs w:val="16"/>
        </w:rPr>
        <w:t>.500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 w:rsidR="00E37FCB">
        <w:rPr>
          <w:rFonts w:ascii="Arial" w:hAnsi="Arial" w:cs="Arial"/>
          <w:b/>
          <w:sz w:val="16"/>
          <w:szCs w:val="16"/>
        </w:rPr>
        <w:tab/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Wadium</w:t>
      </w:r>
      <w:r w:rsidR="00E37FCB">
        <w:rPr>
          <w:rFonts w:ascii="Arial" w:hAnsi="Arial" w:cs="Arial"/>
          <w:b/>
          <w:sz w:val="16"/>
          <w:szCs w:val="16"/>
          <w:u w:val="single"/>
        </w:rPr>
        <w:t>:</w:t>
      </w:r>
      <w:r w:rsidR="00E37FCB" w:rsidRPr="00E37FCB">
        <w:rPr>
          <w:rFonts w:ascii="Arial" w:hAnsi="Arial" w:cs="Arial"/>
          <w:b/>
          <w:sz w:val="16"/>
          <w:szCs w:val="16"/>
        </w:rPr>
        <w:t xml:space="preserve">   </w:t>
      </w:r>
      <w:r w:rsidR="003670A4">
        <w:rPr>
          <w:rFonts w:ascii="Arial" w:hAnsi="Arial" w:cs="Arial"/>
          <w:b/>
          <w:sz w:val="16"/>
          <w:szCs w:val="16"/>
        </w:rPr>
        <w:t>35.000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162F36F6" w14:textId="77777777"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37FCB">
        <w:rPr>
          <w:rFonts w:ascii="Arial" w:hAnsi="Arial" w:cs="Arial"/>
          <w:color w:val="000000" w:themeColor="text1"/>
          <w:sz w:val="16"/>
          <w:szCs w:val="16"/>
        </w:rPr>
        <w:t>zwolniona z podatku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VAT)</w:t>
      </w:r>
    </w:p>
    <w:p w14:paraId="2C5C39A2" w14:textId="77777777"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691BD384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14:paraId="6B8E5CB9" w14:textId="77777777" w:rsidR="00043C3D" w:rsidRDefault="00043C3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F880304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60697F">
        <w:rPr>
          <w:rFonts w:ascii="Arial" w:hAnsi="Arial" w:cs="Arial"/>
          <w:b/>
          <w:sz w:val="16"/>
          <w:szCs w:val="16"/>
        </w:rPr>
        <w:t>14 września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14:paraId="2FE89A2E" w14:textId="77777777"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Składanie i analiza dokumentów odbędzie się o godzinie </w:t>
      </w:r>
      <w:r w:rsidR="00AD52C6">
        <w:rPr>
          <w:rFonts w:ascii="Arial" w:hAnsi="Arial" w:cs="Arial"/>
          <w:sz w:val="16"/>
          <w:szCs w:val="16"/>
        </w:rPr>
        <w:t>1</w:t>
      </w:r>
      <w:r w:rsidR="0060697F">
        <w:rPr>
          <w:rFonts w:ascii="Arial" w:hAnsi="Arial" w:cs="Arial"/>
          <w:sz w:val="16"/>
          <w:szCs w:val="16"/>
        </w:rPr>
        <w:t>0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AD52C6">
        <w:rPr>
          <w:rFonts w:ascii="Arial" w:hAnsi="Arial" w:cs="Arial"/>
          <w:b/>
          <w:sz w:val="16"/>
          <w:szCs w:val="16"/>
        </w:rPr>
        <w:t>1</w:t>
      </w:r>
      <w:r w:rsidR="0060697F">
        <w:rPr>
          <w:rFonts w:ascii="Arial" w:hAnsi="Arial" w:cs="Arial"/>
          <w:b/>
          <w:sz w:val="16"/>
          <w:szCs w:val="16"/>
        </w:rPr>
        <w:t>0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AD52C6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14:paraId="096F9581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0697F">
        <w:rPr>
          <w:rFonts w:ascii="Arial" w:hAnsi="Arial" w:cs="Arial"/>
          <w:b/>
          <w:sz w:val="16"/>
          <w:szCs w:val="16"/>
        </w:rPr>
        <w:t>10 września</w:t>
      </w:r>
      <w:r w:rsidR="008674F0">
        <w:rPr>
          <w:rFonts w:ascii="Arial" w:hAnsi="Arial" w:cs="Arial"/>
          <w:b/>
          <w:sz w:val="16"/>
          <w:szCs w:val="16"/>
        </w:rPr>
        <w:t xml:space="preserve"> 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18C73195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2CC5F20E" w14:textId="77777777"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E37FCB">
        <w:rPr>
          <w:rFonts w:ascii="Arial" w:hAnsi="Arial" w:cs="Arial"/>
          <w:b/>
          <w:sz w:val="16"/>
          <w:szCs w:val="16"/>
        </w:rPr>
        <w:t>M</w:t>
      </w:r>
      <w:r w:rsidR="0060697F">
        <w:rPr>
          <w:rFonts w:ascii="Arial" w:hAnsi="Arial" w:cs="Arial"/>
          <w:b/>
          <w:sz w:val="16"/>
          <w:szCs w:val="16"/>
        </w:rPr>
        <w:t>iłosław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40E3BD28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7BDC789A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540B9A50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C2BDE54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60697F" w:rsidRPr="0060697F">
        <w:rPr>
          <w:rStyle w:val="unitinfoval"/>
          <w:rFonts w:ascii="Arial" w:hAnsi="Arial" w:cs="Arial"/>
          <w:b/>
          <w:sz w:val="16"/>
          <w:szCs w:val="16"/>
        </w:rPr>
        <w:t>519 034 625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60697F">
        <w:rPr>
          <w:rStyle w:val="Numerstrony"/>
          <w:rFonts w:ascii="Arial" w:hAnsi="Arial" w:cs="Arial"/>
          <w:b/>
          <w:sz w:val="16"/>
          <w:szCs w:val="16"/>
        </w:rPr>
        <w:t>10 września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14:paraId="19FD329B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18B21FA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71A33A1A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1DF8DFD3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6FAF562D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3489E2DA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14:paraId="28D08B41" w14:textId="77777777"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240F6" w:rsidRPr="008240F6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Poczty</w:t>
        </w:r>
      </w:hyperlink>
      <w:r w:rsidR="008240F6" w:rsidRPr="008240F6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 Polskiej S.A. w zakładce „Sprzedaż Nieruchomości”</w:t>
      </w:r>
      <w:r w:rsidR="008240F6" w:rsidRPr="008240F6">
        <w:rPr>
          <w:rFonts w:ascii="Arial" w:hAnsi="Arial" w:cs="Arial"/>
          <w:sz w:val="16"/>
          <w:szCs w:val="16"/>
        </w:rPr>
        <w:t xml:space="preserve">, </w:t>
      </w:r>
      <w:r w:rsidR="008674F0">
        <w:rPr>
          <w:rFonts w:ascii="Arial" w:hAnsi="Arial" w:cs="Arial"/>
          <w:sz w:val="16"/>
          <w:szCs w:val="16"/>
        </w:rPr>
        <w:t>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bookmarkStart w:id="1" w:name="_GoBack"/>
      <w:r w:rsidR="008674F0" w:rsidRPr="008240F6">
        <w:rPr>
          <w:rFonts w:ascii="Arial" w:hAnsi="Arial" w:cs="Arial"/>
          <w:b/>
          <w:bCs/>
          <w:sz w:val="16"/>
          <w:szCs w:val="16"/>
        </w:rPr>
        <w:t>61 886 56 21.</w:t>
      </w:r>
      <w:bookmarkEnd w:id="1"/>
    </w:p>
    <w:p w14:paraId="637B1015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0324DCCF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3837A93F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A64AAA2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12F2E40B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B232FA6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FE7A8E0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F82FA" w14:textId="77777777" w:rsidR="00E42399" w:rsidRDefault="00E42399">
      <w:r>
        <w:separator/>
      </w:r>
    </w:p>
  </w:endnote>
  <w:endnote w:type="continuationSeparator" w:id="0">
    <w:p w14:paraId="0A10029E" w14:textId="77777777" w:rsidR="00E42399" w:rsidRDefault="00E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14:paraId="5321DC1E" w14:textId="77777777" w:rsidR="008A00B8" w:rsidRDefault="00E4239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670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065525" w14:textId="77777777" w:rsidR="008A00B8" w:rsidRDefault="008A0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4A26" w14:textId="77777777" w:rsidR="00E42399" w:rsidRDefault="00E42399">
      <w:r>
        <w:separator/>
      </w:r>
    </w:p>
  </w:footnote>
  <w:footnote w:type="continuationSeparator" w:id="0">
    <w:p w14:paraId="29D43D81" w14:textId="77777777" w:rsidR="00E42399" w:rsidRDefault="00E4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2F0"/>
    <w:multiLevelType w:val="hybridMultilevel"/>
    <w:tmpl w:val="EB443DC0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DFA1CEA"/>
    <w:multiLevelType w:val="hybridMultilevel"/>
    <w:tmpl w:val="DB829EFC"/>
    <w:lvl w:ilvl="0" w:tplc="A70641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EEE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A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8B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80D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04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1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B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43C3D"/>
    <w:rsid w:val="000870AD"/>
    <w:rsid w:val="000A71BA"/>
    <w:rsid w:val="00131B9D"/>
    <w:rsid w:val="00134064"/>
    <w:rsid w:val="001847D6"/>
    <w:rsid w:val="001A079C"/>
    <w:rsid w:val="001F53BB"/>
    <w:rsid w:val="002018FC"/>
    <w:rsid w:val="0021406A"/>
    <w:rsid w:val="00234387"/>
    <w:rsid w:val="002C70C2"/>
    <w:rsid w:val="003670A4"/>
    <w:rsid w:val="003E41B9"/>
    <w:rsid w:val="004971F5"/>
    <w:rsid w:val="004C0FFC"/>
    <w:rsid w:val="004F5BD5"/>
    <w:rsid w:val="00565582"/>
    <w:rsid w:val="005A3840"/>
    <w:rsid w:val="0060697F"/>
    <w:rsid w:val="006803E5"/>
    <w:rsid w:val="006B0AFB"/>
    <w:rsid w:val="006B1ABF"/>
    <w:rsid w:val="0072328C"/>
    <w:rsid w:val="00724FF5"/>
    <w:rsid w:val="007C0A7C"/>
    <w:rsid w:val="008023F4"/>
    <w:rsid w:val="008066BF"/>
    <w:rsid w:val="008240F6"/>
    <w:rsid w:val="008628B5"/>
    <w:rsid w:val="008674F0"/>
    <w:rsid w:val="0087085B"/>
    <w:rsid w:val="008853B6"/>
    <w:rsid w:val="008A00B8"/>
    <w:rsid w:val="008F2B76"/>
    <w:rsid w:val="0097084E"/>
    <w:rsid w:val="00AA0A98"/>
    <w:rsid w:val="00AD52C6"/>
    <w:rsid w:val="00B12826"/>
    <w:rsid w:val="00B239EC"/>
    <w:rsid w:val="00BC7EE6"/>
    <w:rsid w:val="00BD5DEB"/>
    <w:rsid w:val="00C609AD"/>
    <w:rsid w:val="00C66478"/>
    <w:rsid w:val="00C73CFF"/>
    <w:rsid w:val="00C767BF"/>
    <w:rsid w:val="00CB4E50"/>
    <w:rsid w:val="00CB6ED1"/>
    <w:rsid w:val="00CC2F9A"/>
    <w:rsid w:val="00CC714D"/>
    <w:rsid w:val="00D67E95"/>
    <w:rsid w:val="00DF10F2"/>
    <w:rsid w:val="00E06CB1"/>
    <w:rsid w:val="00E37FCB"/>
    <w:rsid w:val="00E42399"/>
    <w:rsid w:val="00E5624F"/>
    <w:rsid w:val="00E87771"/>
    <w:rsid w:val="00EB5FD8"/>
    <w:rsid w:val="00EF10E3"/>
    <w:rsid w:val="00F177EE"/>
    <w:rsid w:val="00F875A0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B5CE"/>
  <w15:docId w15:val="{3077FF53-3F3D-46E2-8E5D-AFACA6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Weronika Wójcik</cp:lastModifiedBy>
  <cp:revision>6</cp:revision>
  <cp:lastPrinted>2020-08-12T12:35:00Z</cp:lastPrinted>
  <dcterms:created xsi:type="dcterms:W3CDTF">2020-08-11T13:35:00Z</dcterms:created>
  <dcterms:modified xsi:type="dcterms:W3CDTF">2020-08-12T12:35:00Z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