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1BC1" w14:textId="75761BDB" w:rsidR="007E12C5" w:rsidRPr="007E12C5" w:rsidRDefault="007E12C5" w:rsidP="007E12C5">
      <w:pPr>
        <w:jc w:val="right"/>
        <w:rPr>
          <w:rFonts w:asciiTheme="minorHAnsi" w:hAnsiTheme="minorHAnsi"/>
          <w:b/>
          <w:noProof/>
        </w:rPr>
      </w:pPr>
      <w:r w:rsidRPr="007E12C5">
        <w:rPr>
          <w:rFonts w:asciiTheme="minorHAnsi" w:hAnsiTheme="minorHAnsi"/>
          <w:noProof/>
        </w:rPr>
        <w:drawing>
          <wp:inline distT="0" distB="0" distL="0" distR="0" wp14:anchorId="54ACDE97" wp14:editId="7385F788">
            <wp:extent cx="5761355" cy="623570"/>
            <wp:effectExtent l="0" t="0" r="0" b="5080"/>
            <wp:docPr id="1" name="Obraz 1" descr="POIR_grafika_new-26.05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grafika_new-26.05.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3E9131B1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6E0D0A">
        <w:rPr>
          <w:rFonts w:asciiTheme="minorHAnsi" w:hAnsiTheme="minorHAnsi"/>
          <w:b/>
        </w:rPr>
        <w:t>8</w:t>
      </w:r>
      <w:bookmarkStart w:id="0" w:name="_GoBack"/>
      <w:bookmarkEnd w:id="0"/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262EF6F1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585B03C4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jeśli wdrożenie wyników </w:t>
      </w:r>
      <w:r w:rsidR="009F1319">
        <w:rPr>
          <w:rFonts w:asciiTheme="minorHAnsi" w:hAnsiTheme="minorHAnsi"/>
          <w:sz w:val="24"/>
          <w:szCs w:val="24"/>
        </w:rPr>
        <w:t>badań przemysłowych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2DA3FB3A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</w:t>
      </w:r>
      <w:r w:rsidRPr="006417E5">
        <w:rPr>
          <w:rFonts w:asciiTheme="minorHAnsi" w:hAnsiTheme="minorHAnsi"/>
          <w:sz w:val="24"/>
          <w:szCs w:val="24"/>
        </w:rPr>
        <w:lastRenderedPageBreak/>
        <w:t xml:space="preserve">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prac oraz aneksów do zawartych umów (jeśli wdrożenie wyników przyjmuje formę sprzedaży praw do 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Pr="006417E5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Pr="006417E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o wykluczeniu z możliwości otrzymania środków przeznaczonych na realizację programów 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="00B349F9" w:rsidRPr="00FB43F6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zobowiązanie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 xml:space="preserve">trwałości, kopii sprawozdań o działalności badawczej i rozwojowej za rok poprzedni (w wersji elektronicznej, w  formacie </w:t>
      </w:r>
      <w:proofErr w:type="spellStart"/>
      <w:r w:rsidRPr="006417E5">
        <w:rPr>
          <w:rFonts w:asciiTheme="minorHAnsi" w:hAnsiTheme="minorHAnsi"/>
          <w:sz w:val="24"/>
          <w:szCs w:val="24"/>
        </w:rPr>
        <w:t>xml</w:t>
      </w:r>
      <w:proofErr w:type="spellEnd"/>
      <w:r w:rsidRPr="006417E5">
        <w:rPr>
          <w:rFonts w:asciiTheme="minorHAnsi" w:hAnsiTheme="minorHAnsi"/>
          <w:sz w:val="24"/>
          <w:szCs w:val="24"/>
        </w:rPr>
        <w:t>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43C2" w14:textId="77777777" w:rsidR="00896C68" w:rsidRDefault="00896C68" w:rsidP="0019282E">
      <w:r>
        <w:separator/>
      </w:r>
    </w:p>
  </w:endnote>
  <w:endnote w:type="continuationSeparator" w:id="0">
    <w:p w14:paraId="074A9BF0" w14:textId="77777777" w:rsidR="00896C68" w:rsidRDefault="00896C68" w:rsidP="0019282E">
      <w:r>
        <w:continuationSeparator/>
      </w:r>
    </w:p>
  </w:endnote>
  <w:endnote w:type="continuationNotice" w:id="1">
    <w:p w14:paraId="258BFD88" w14:textId="77777777" w:rsidR="00896C68" w:rsidRDefault="00896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4ADD320C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0A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B2C74" w14:textId="77777777" w:rsidR="00896C68" w:rsidRDefault="00896C68" w:rsidP="0019282E">
      <w:r>
        <w:separator/>
      </w:r>
    </w:p>
  </w:footnote>
  <w:footnote w:type="continuationSeparator" w:id="0">
    <w:p w14:paraId="0217043E" w14:textId="77777777" w:rsidR="00896C68" w:rsidRDefault="00896C68" w:rsidP="0019282E">
      <w:r>
        <w:continuationSeparator/>
      </w:r>
    </w:p>
  </w:footnote>
  <w:footnote w:type="continuationNotice" w:id="1">
    <w:p w14:paraId="53348224" w14:textId="77777777" w:rsidR="00896C68" w:rsidRDefault="00896C68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DEEC" w14:textId="77777777" w:rsidR="00FB6F92" w:rsidRDefault="00FB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60EE2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0D0A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E12C5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96C68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B1EE7"/>
    <w:rsid w:val="009C2B52"/>
    <w:rsid w:val="009C3E6F"/>
    <w:rsid w:val="009C4F65"/>
    <w:rsid w:val="009C6631"/>
    <w:rsid w:val="009F1319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27D0E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9251-E1E4-4E11-ABB5-9BEAE749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Mateusz Składanowski</cp:lastModifiedBy>
  <cp:revision>73</cp:revision>
  <cp:lastPrinted>2017-11-28T13:28:00Z</cp:lastPrinted>
  <dcterms:created xsi:type="dcterms:W3CDTF">2017-08-18T11:36:00Z</dcterms:created>
  <dcterms:modified xsi:type="dcterms:W3CDTF">2020-07-29T07:58:00Z</dcterms:modified>
</cp:coreProperties>
</file>