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4.0 -->
  <w:body>
    <w:p w:rsidR="00A77B3E">
      <w:pPr>
        <w:spacing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Zarządzenie</w:t>
      </w:r>
      <w:r>
        <w:rPr>
          <w:rFonts w:ascii="Times New Roman" w:eastAsia="Times New Roman" w:hAnsi="Times New Roman" w:cs="Times New Roman"/>
          <w:b/>
          <w:caps/>
          <w:sz w:val="24"/>
        </w:rPr>
        <w:br/>
      </w:r>
      <w:r>
        <w:rPr>
          <w:rFonts w:ascii="Times New Roman" w:eastAsia="Times New Roman" w:hAnsi="Times New Roman" w:cs="Times New Roman"/>
          <w:b/>
          <w:caps/>
          <w:sz w:val="24"/>
        </w:rPr>
        <w:t>Regionalnego Dyrektora Ochrony Środowiska w Bydgoszczy</w:t>
      </w:r>
    </w:p>
    <w:p w:rsidR="00A77B3E">
      <w:pPr>
        <w:spacing w:before="280" w:after="280"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val="0"/>
          <w:caps w:val="0"/>
          <w:sz w:val="24"/>
        </w:rPr>
        <w:t>z dnia 20 grudnia 2024 r.</w:t>
      </w:r>
    </w:p>
    <w:p w:rsidR="00A77B3E">
      <w:pPr>
        <w:spacing w:before="280" w:after="280" w:line="240" w:lineRule="auto"/>
        <w:ind w:left="0"/>
        <w:jc w:val="center"/>
        <w:rPr>
          <w:rFonts w:ascii="Times New Roman" w:eastAsia="Times New Roman" w:hAnsi="Times New Roman" w:cs="Times New Roman"/>
          <w:b w:val="0"/>
          <w:caps w:val="0"/>
          <w:sz w:val="22"/>
        </w:rPr>
      </w:pP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uznania za rezerwat przyrody „Bruchniewska Ostoja”</w:t>
      </w:r>
    </w:p>
    <w:p w:rsidR="00A77B3E">
      <w:pPr>
        <w:keepNext w:val="0"/>
        <w:keepLines/>
        <w:spacing w:before="120" w:after="120" w:line="240" w:lineRule="auto"/>
        <w:ind w:left="0" w:right="0" w:firstLine="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16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kwietnia 2004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roku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ochronie przyrody</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(t.j. Dz. U. z 2024 r. poz. 1478) zarządza się, co następuje: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auto"/>
          <w:sz w:val="24"/>
          <w:u w:val="none"/>
          <w:vertAlign w:val="baseline"/>
        </w:rPr>
        <w:t xml:space="preserve">Uznaje  się  za  rezerwat  przyrody  pod  nazwą  „Bruchniewska  Ostoja”,  zwany  dalej „rezerwatem”,  obszar  o powierzchni  43,30  ha,  położony  na  terenie  gminy  Lubiewo,  w powiecie tucholskim, w województwie kujawsko-pomorskim. </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 obszarach graniczących z rezerwatem wyznacza się otulinę o powierzchni 32,88 ha, położoną na terenie gminy Lubiewo, w powiecie tucholskim, w województwie kujawsko-pomorskim.</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Położenie i przebieg granicy rezerwatu oraz jego otuliny w postaci mapy są określone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załączniku nr 1 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Położenie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 granicy rezerwatu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wykazu współrzędnych punktów załamania granicy są określone w załączniku nr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Położenie i przebieg granicy otuliny rezerwatu w postaci wykazu współrzędnych punktów załamania granicy są określone w załączniku nr 3 do zarządzenia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2. </w:t>
      </w:r>
      <w:r>
        <w:rPr>
          <w:rFonts w:ascii="Times New Roman" w:eastAsia="Times New Roman" w:hAnsi="Times New Roman" w:cs="Times New Roman"/>
          <w:b w:val="0"/>
          <w:i w:val="0"/>
          <w:caps w:val="0"/>
          <w:strike w:val="0"/>
          <w:color w:val="000000"/>
          <w:sz w:val="24"/>
          <w:u w:val="none" w:color="000000"/>
          <w:vertAlign w:val="baseline"/>
        </w:rPr>
        <w:t>Celem  ochrony  rezerwatu  jest  zachowanie  kompleksu  złożonych  ekosystemów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leśnych, stanowiących ostoję zwierząt.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rezerwatu określa się rodzaj - Leśny (L).</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rezerwatu określa się typ i podtyp:</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ze  względu  na  dominujący  przedmiot  ochrony:  typ  -  Biocenotyczny  i fizjocenotyczny (PBf), podtyp - biocenoz naturalnych i półnaturalnych (bp);</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ze  względu  na  główny  typ  ekosystemu:  typ  –  Leśny  i borowy  (EL),  podtyp  –  lasów nizinnych (lni). ze względu na główny typ ekosystemu: typ – Różnych ekosystemów (EE), podtyp - mozaiki różnych ekosystemów (me).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4. </w:t>
      </w:r>
      <w:r>
        <w:rPr>
          <w:rFonts w:ascii="Times New Roman" w:eastAsia="Times New Roman" w:hAnsi="Times New Roman" w:cs="Times New Roman"/>
          <w:b w:val="0"/>
          <w:i w:val="0"/>
          <w:caps w:val="0"/>
          <w:strike w:val="0"/>
          <w:color w:val="000000"/>
          <w:sz w:val="24"/>
          <w:u w:val="none" w:color="000000"/>
          <w:vertAlign w:val="baseline"/>
        </w:rPr>
        <w:t>Nadzór nad rezerwatem sprawuje Regionalny Dyrektor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Bydgoszczy.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5. </w:t>
      </w:r>
      <w:r>
        <w:rPr>
          <w:rFonts w:ascii="Times New Roman" w:eastAsia="Times New Roman" w:hAnsi="Times New Roman" w:cs="Times New Roman"/>
          <w:b w:val="0"/>
          <w:i w:val="0"/>
          <w:caps w:val="0"/>
          <w:strike w:val="0"/>
          <w:color w:val="000000"/>
          <w:sz w:val="24"/>
          <w:u w:val="none" w:color="000000"/>
          <w:vertAlign w:val="baseline"/>
        </w:rPr>
        <w:t>Zarządzenie wchodzi w życie po upływie 14 dni od dnia ogłoszenia.</w:t>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2639568" cy="1042416"/>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2639568" cy="1042416"/>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sectPr>
          <w:footerReference w:type="default" r:id="rId7"/>
          <w:endnotePr>
            <w:numFmt w:val="decimal"/>
          </w:endnotePr>
          <w:pgSz w:w="11906" w:h="16838"/>
          <w:pgMar w:top="992" w:right="1020" w:bottom="992" w:left="1020" w:header="708" w:footer="708" w:gutter="0"/>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grudnia 2024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jego otuliny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mapy</w:t>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166485" cy="7592485"/>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r:link="rId9"/>
                    <a:stretch>
                      <a:fillRect/>
                    </a:stretch>
                  </pic:blipFill>
                  <pic:spPr>
                    <a:xfrm>
                      <a:off x="0" y="0"/>
                      <a:ext cx="6166485" cy="7592485"/>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166485" cy="7592485"/>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r:link="rId11"/>
                    <a:stretch>
                      <a:fillRect/>
                    </a:stretch>
                  </pic:blipFill>
                  <pic:spPr>
                    <a:xfrm>
                      <a:off x="0" y="0"/>
                      <a:ext cx="6166485" cy="7592485"/>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166485" cy="7592485"/>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r:link="rId13"/>
                    <a:stretch>
                      <a:fillRect/>
                    </a:stretch>
                  </pic:blipFill>
                  <pic:spPr>
                    <a:xfrm>
                      <a:off x="0" y="0"/>
                      <a:ext cx="6166485" cy="7592485"/>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5818315" cy="7163800"/>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r:link="rId15"/>
                    <a:stretch>
                      <a:fillRect/>
                    </a:stretch>
                  </pic:blipFill>
                  <pic:spPr>
                    <a:xfrm>
                      <a:off x="0" y="0"/>
                      <a:ext cx="5818315" cy="71638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041"/>
        <w:gridCol w:w="504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105"/>
        </w:trPr>
        <w:tc>
          <w:tcPr>
            <w:tcW w:w="5040" w:type="dxa"/>
            <w:tcBorders>
              <w:top w:val="nil"/>
              <w:left w:val="nil"/>
              <w:bottom w:val="nil"/>
              <w:right w:val="nil"/>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p>
        </w:tc>
        <w:tc>
          <w:tcPr>
            <w:tcW w:w="5040" w:type="dxa"/>
            <w:tcBorders>
              <w:top w:val="nil"/>
              <w:left w:val="nil"/>
              <w:bottom w:val="nil"/>
              <w:right w:val="nil"/>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39568" cy="1042416"/>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5" r:link="rId16"/>
                    <a:stretch>
                      <a:fillRect/>
                    </a:stretch>
                  </pic:blipFill>
                  <pic:spPr>
                    <a:xfrm>
                      <a:off x="0" y="0"/>
                      <a:ext cx="2639568" cy="1042416"/>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1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grudnia 2024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r>
        <w:rPr>
          <w:rStyle w:val="FootnoteReference"/>
          <w:rFonts w:ascii="Times New Roman" w:eastAsia="Times New Roman" w:hAnsi="Times New Roman" w:cs="Times New Roman"/>
          <w:b/>
          <w:i w:val="0"/>
          <w:caps w:val="0"/>
          <w:strike w:val="0"/>
          <w:color w:val="000000"/>
          <w:sz w:val="20"/>
          <w:u w:val="none" w:color="000000"/>
          <w:vertAlign w:val="superscript"/>
        </w:rPr>
        <w:footnoteReference w:customMarkFollows="1" w:id="2"/>
        <w:t xml:space="preserve">1)</w:t>
      </w:r>
      <w:r>
        <w:rPr>
          <w:rFonts w:ascii="Times New Roman" w:eastAsia="Times New Roman" w:hAnsi="Times New Roman" w:cs="Times New Roman"/>
          <w:b w:val="0"/>
          <w:i w:val="0"/>
          <w:caps w:val="0"/>
          <w:strike w:val="0"/>
          <w:color w:val="000000"/>
          <w:sz w:val="22"/>
          <w:u w:val="none" w:color="000000"/>
          <w:vertAlign w:val="baseline"/>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360"/>
        <w:gridCol w:w="3361"/>
        <w:gridCol w:w="33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0"/>
              </w:rPr>
              <w:t>Nr</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0"/>
              </w:rPr>
              <w:t>X</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20"/>
              </w:rPr>
              <w:t>Y</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617910,19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435003,40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618000,29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434901,74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618010,95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434906,06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618052,62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434900,34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618091,60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434896,77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618128,24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434901,77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618160,01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434913,23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618191,39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434918,03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618233,86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434933,55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618228,71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434954,32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618231,77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434956,20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618260,72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434973,98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618291,96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434983,88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618319,76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435024,98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618363,30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435058,85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618403,81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435083,33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618453,78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435087,54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618506,57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435069,71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618580,12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435037,28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618599,97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435042,96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618604,17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435087,74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618597,99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435128,03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618590,29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435178,88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618601,02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435224,10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618599,14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435282,75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618603,62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435304,94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618565,87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435329,22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618536,01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435359,59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618319,11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435486,51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618221,18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435543,81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618092,02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435616,72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618046,10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435595,08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618005,23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435576,51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617911,83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435547,85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617855,05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435516,01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617773,32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435461,88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617758,89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435450,10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617727,61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435419,06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39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617671,59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435363,48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617643,88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435336,00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617630,97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435314,70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617635,91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435310,71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617711,98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435225,67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617743,30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435190,60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617786,10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435142,69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617861,02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435057,95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617910,19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20"/>
              </w:rPr>
              <w:t>435003,40</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39568" cy="1042416"/>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 r:link="rId18"/>
                    <a:stretch>
                      <a:fillRect/>
                    </a:stretch>
                  </pic:blipFill>
                  <pic:spPr>
                    <a:xfrm>
                      <a:off x="0" y="0"/>
                      <a:ext cx="2639568" cy="1042416"/>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19"/>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grudnia 2024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otuliny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520"/>
        <w:gridCol w:w="2520"/>
        <w:gridCol w:w="2521"/>
        <w:gridCol w:w="25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18"/>
              </w:rPr>
              <w:t>Obiekt</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18"/>
              </w:rPr>
              <w:t>Nr</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18"/>
              </w:rPr>
              <w:t>X</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sz w:val="18"/>
              </w:rPr>
              <w:t>Y</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618092,02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435616,72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618221,18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435543,81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618319,11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435486,51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618536,01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435359,59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618565,87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435329,22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618603,62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435304,94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618610,65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435326,96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618646,63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435344,32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618662,51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435337,23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618679,08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435484,81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618685,69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435543,68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618683,05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435546,36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618638,85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435608,42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618647,83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435609,34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618694,54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435596,08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618703,85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435623,35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618699,75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435643,96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618656,07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435674,34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618602,27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435636,36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618453,51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435706,63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618351,40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435770,10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618326,87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435727,45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618310,45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435698,94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618202,93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435761,70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618187,89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435761,18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618132,38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435793,86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618095,55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435733,69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618056,65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435675,07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618031,09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435651,11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617771,25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435797,78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617750,99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435721,62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617750,76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435720,80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617735,73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435666,62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617721,84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435616,53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617704,49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435548,80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617689,54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435489,48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617665,60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435405,86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617650,71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435355,80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617643,88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435336,00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617671,59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435363,48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617727,61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435419,06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617758,89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435450,10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617773,32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435461,88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617855,05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435516,01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617911,83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435547,85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618005,23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435576,51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618046,10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435595,08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618092,02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435616,72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617570,83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435220,34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617566,55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435213,61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617557,95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435200,13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617516,82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435135,63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617566,81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435098,09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617594,65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435067,25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617624,68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435026,34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617649,70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435006,27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617674,72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434986,19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617689,48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434971,21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617701,56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434954,05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617725,80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434894,43</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617741,46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434869,35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617763,80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434854,58</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617781,88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434848,76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617842,69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434853,62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617915,06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434806,20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617941,31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434847,94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617953,39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434869,24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617957,50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434876,49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617970,95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434884,42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617974,07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434886,27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617976,48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434887,69</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617978,90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434889,11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618000,29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434901,74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618000,29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434901,74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618000,29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434901,74</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617910,19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435003,40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617861,02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435057,95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617803,80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435122,67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617802,42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435124,20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617786,89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435141,32</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617781,64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435147,25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617747,34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435186,05</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35</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617744,84</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435188,87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617743,30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435190,60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37</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617711,98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435225,67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38</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617635,91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435310,71</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39</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617631,46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435314,30</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40</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617630,96</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435314,67</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41</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617583,73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435240,56</w:t>
            </w:r>
          </w:p>
        </w:tc>
      </w:tr>
      <w:tr>
        <w:tblPrEx>
          <w:tblW w:w="5000" w:type="pct"/>
          <w:tblLayout w:type="fixed"/>
          <w:tblCellMar>
            <w:left w:w="108" w:type="dxa"/>
            <w:right w:w="108" w:type="dxa"/>
          </w:tblCellMar>
        </w:tblPrEx>
        <w:trPr>
          <w:trHeight w:val="264"/>
        </w:trPr>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42</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617570,83</w:t>
            </w:r>
          </w:p>
        </w:tc>
        <w:tc>
          <w:tcPr>
            <w:tcW w:w="162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rPr>
                <w:sz w:val="18"/>
              </w:rPr>
              <w:t>435220,34</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39568" cy="1042416"/>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5" r:link="rId20"/>
                    <a:stretch>
                      <a:fillRect/>
                    </a:stretch>
                  </pic:blipFill>
                  <pic:spPr>
                    <a:xfrm>
                      <a:off x="0" y="0"/>
                      <a:ext cx="2639568" cy="1042416"/>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21"/>
          <w:endnotePr>
            <w:numFmt w:val="decimal"/>
          </w:endnotePr>
          <w:type w:val="nextPage"/>
          <w:pgSz w:w="11906" w:h="16838"/>
          <w:pgMar w:top="992" w:right="1020" w:bottom="992" w:left="102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 w:val="22"/>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w:t>
      </w:r>
      <w:r>
        <w:rPr>
          <w:b/>
          <w:caps/>
          <w:color w:val="000000"/>
          <w:szCs w:val="20"/>
          <w:shd w:val="clear" w:color="auto" w:fill="FFFFFF"/>
        </w:rPr>
        <w:t>ZASADNIENIE</w:t>
      </w:r>
    </w:p>
    <w:p>
      <w:pPr>
        <w:keepNext w:val="0"/>
        <w:keepLines w:val="0"/>
        <w:widowControl/>
        <w:suppressLineNumbers w:val="0"/>
        <w:shd w:val="clear" w:color="auto" w:fill="auto"/>
        <w:suppressAutoHyphens w:val="0"/>
        <w:spacing w:before="0" w:beforeAutospacing="0" w:after="0" w:afterAutospacing="0" w:line="276" w:lineRule="auto"/>
        <w:ind w:left="0" w:right="0" w:firstLine="0"/>
        <w:contextualSpacing w:val="0"/>
        <w:jc w:val="center"/>
        <w:rPr>
          <w:b/>
          <w:caps/>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Na  podstawie  art.  13  ust. 3 ustawy  z dnia  16 kwietnia  2004 roku  o ochronie  przyrody  </w:t>
      </w:r>
    </w:p>
    <w:p>
      <w:pPr>
        <w:keepNext w:val="0"/>
        <w:keepLines w:val="0"/>
        <w:widowControl/>
        <w:suppressLineNumbers w:val="0"/>
        <w:shd w:val="clear" w:color="auto" w:fill="auto"/>
        <w:suppressAutoHyphens w:val="0"/>
        <w:spacing w:before="0" w:beforeAutospacing="0" w:after="0" w:afterAutospacing="0" w:line="276" w:lineRule="auto"/>
        <w:ind w:left="0" w:right="0" w:firstLine="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w:t>
      </w:r>
      <w:r>
        <w:rPr>
          <w:color w:val="000000"/>
          <w:szCs w:val="20"/>
          <w:u w:color="000000"/>
          <w:shd w:val="clear" w:color="auto" w:fill="FFFFFF"/>
        </w:rPr>
        <w:t xml:space="preserve">t.j. </w:t>
      </w:r>
      <w:r>
        <w:rPr>
          <w:color w:val="000000"/>
          <w:szCs w:val="20"/>
          <w:u w:color="000000"/>
          <w:shd w:val="clear" w:color="auto" w:fill="FFFFFF"/>
          <w:lang w:val="x-none" w:eastAsia="en-US" w:bidi="ar-SA"/>
        </w:rPr>
        <w:t>Dz. U. z 202</w:t>
      </w:r>
      <w:r>
        <w:rPr>
          <w:color w:val="000000"/>
          <w:szCs w:val="20"/>
          <w:u w:color="000000"/>
          <w:shd w:val="clear" w:color="auto" w:fill="FFFFFF"/>
        </w:rPr>
        <w:t>4</w:t>
      </w:r>
      <w:r>
        <w:rPr>
          <w:color w:val="000000"/>
          <w:szCs w:val="20"/>
          <w:u w:color="000000"/>
          <w:shd w:val="clear" w:color="auto" w:fill="FFFFFF"/>
          <w:lang w:val="x-none" w:eastAsia="en-US" w:bidi="ar-SA"/>
        </w:rPr>
        <w:t xml:space="preserve"> r. poz. </w:t>
      </w:r>
      <w:r>
        <w:rPr>
          <w:color w:val="000000"/>
          <w:szCs w:val="20"/>
          <w:u w:color="000000"/>
          <w:shd w:val="clear" w:color="auto" w:fill="FFFFFF"/>
        </w:rPr>
        <w:t>1478</w:t>
      </w:r>
      <w:r>
        <w:rPr>
          <w:color w:val="000000"/>
          <w:szCs w:val="20"/>
          <w:u w:color="000000"/>
          <w:shd w:val="clear" w:color="auto" w:fill="FFFFFF"/>
          <w:lang w:val="x-none" w:eastAsia="en-US" w:bidi="ar-SA"/>
        </w:rPr>
        <w:t xml:space="preserve">) uznanie za rezerwat przyrody następuje w drodze aktu prawa miejscowego w formie zarządzenia regionalnego dyrektora ochrony środowiska, które określa jego nazwę,  położenie  lub  przebieg  granicy  i  otulinę,  jeżeli  została  wyznaczona,  cele  ochrony  </w:t>
      </w:r>
      <w:r>
        <w:rPr>
          <w:color w:val="000000"/>
          <w:szCs w:val="20"/>
          <w:u w:color="000000"/>
          <w:shd w:val="clear" w:color="auto" w:fill="FFFFFF"/>
        </w:rPr>
        <w:br/>
        <w:t>o</w:t>
      </w:r>
      <w:r>
        <w:rPr>
          <w:color w:val="000000"/>
          <w:szCs w:val="20"/>
          <w:u w:color="000000"/>
          <w:shd w:val="clear" w:color="auto" w:fill="FFFFFF"/>
          <w:lang w:val="x-none" w:eastAsia="en-US" w:bidi="ar-SA"/>
        </w:rPr>
        <w:t xml:space="preserve">raz rodzaj, typ i podtyp rezerwatu przyrody, a także sprawującego nadzór nad rezerwatem.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Rezerwat przyrody „Bruchniewska Ostoja” o powierzchni 43,30 ha zlokalizowany jest </w:t>
      </w:r>
      <w:r>
        <w:rPr>
          <w:color w:val="000000"/>
          <w:szCs w:val="20"/>
          <w:u w:color="000000"/>
          <w:shd w:val="clear" w:color="auto" w:fill="FFFFFF"/>
        </w:rPr>
        <w:br/>
      </w:r>
      <w:r>
        <w:rPr>
          <w:color w:val="000000"/>
          <w:szCs w:val="20"/>
          <w:u w:color="000000"/>
          <w:shd w:val="clear" w:color="auto" w:fill="FFFFFF"/>
          <w:lang w:val="x-none" w:eastAsia="en-US" w:bidi="ar-SA"/>
        </w:rPr>
        <w:t>na terenie gminy Lubiewo, w powiecie tucholskim, w województwie kujawsko-pomorskim. W dniu</w:t>
      </w:r>
      <w:r>
        <w:rPr>
          <w:color w:val="000000"/>
          <w:szCs w:val="20"/>
          <w:u w:color="000000"/>
          <w:shd w:val="clear" w:color="auto" w:fill="FFFFFF"/>
        </w:rPr>
        <w:t xml:space="preserve"> </w:t>
      </w:r>
      <w:r>
        <w:rPr>
          <w:color w:val="000000"/>
          <w:szCs w:val="20"/>
          <w:u w:color="000000"/>
          <w:shd w:val="clear" w:color="auto" w:fill="FFFFFF"/>
          <w:lang w:val="x-none" w:eastAsia="en-US" w:bidi="ar-SA"/>
        </w:rPr>
        <w:t xml:space="preserve">17 czerwca  2024 r.  do  Regionalnej  Dyrekcji  Ochrony  Środowiska  w  Bydgoszczy,  wpłynął wniosek  Nadleśnictwa  Zamrzenica,  o  utworzenie  powyższego  rezerwatu  przyrody.  Zgodnie  z otrzymanym wnioskiem proponowany do objęcia ochroną rezerwatową obszar stanowi mozaikę różnych zróżnicowanych wiekowo i gatunkowo lasów, pozostających w mniejszym lub większym stopniu pod wpływem wód Jeziora Suskiego Wielkiego. Na obszarach graniczących z rezerwatem wyznacza się otulinę o powierzchni </w:t>
      </w:r>
      <w:r>
        <w:rPr>
          <w:color w:val="000000"/>
          <w:szCs w:val="20"/>
          <w:u w:color="000000"/>
          <w:shd w:val="clear" w:color="auto" w:fill="FFFFFF"/>
        </w:rPr>
        <w:t>32,88</w:t>
      </w:r>
      <w:r>
        <w:rPr>
          <w:color w:val="000000"/>
          <w:szCs w:val="20"/>
          <w:u w:color="000000"/>
          <w:shd w:val="clear" w:color="auto" w:fill="FFFFFF"/>
          <w:lang w:val="x-none" w:eastAsia="en-US" w:bidi="ar-SA"/>
        </w:rPr>
        <w:t xml:space="preserve"> ha.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Dane  o  proponowanym  rezerwacie  pochodzą,  między  innymi,  z  dokumentacji  związanej z Planem  Urządzenia  Lasu,  opracowanego  dla  Nadleśnictwa  Zamrzenica  na  lata  2016-2025, lustracji terenowej oraz wizji terenowych przeprowadzonych w kwietniu 2024 r.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W    kontekście    siedliskowym,    największy    udział    w    powierzchni    proponowanego rezerwatu  ma  siedlisko  lasu  mieszanego  świeżego,  obecny  jest  także  większy  fragment siedliska  lasu  świeżego  oraz  płaty  olsów,  związanych  z  lokalnymi  zagłębieniami terenu. Drzewostany przedmiotowego obszaru zbudowane są z głównie sosny w wieku do 159 lat, dębu szypułkowego do 159 lat, buka pospolitego do 134 lat, modrzewia europejskiego do 134 lat, brzozy do  63  lat,  olszy  czarnej  do  134  lat,  grabu  pospolitego  do  101  lat,  jawora  do  63  lat. </w:t>
      </w:r>
      <w:r>
        <w:rPr>
          <w:color w:val="000000"/>
          <w:szCs w:val="20"/>
          <w:u w:color="000000"/>
          <w:shd w:val="clear" w:color="auto" w:fill="FFFFFF"/>
        </w:rPr>
        <w:br/>
      </w:r>
      <w:r>
        <w:rPr>
          <w:color w:val="000000"/>
          <w:szCs w:val="20"/>
          <w:u w:color="000000"/>
          <w:shd w:val="clear" w:color="auto" w:fill="FFFFFF"/>
          <w:lang w:val="x-none" w:eastAsia="en-US" w:bidi="ar-SA"/>
        </w:rPr>
        <w:t xml:space="preserve">W runie obecne są m.in. konwalijka dwulistna </w:t>
      </w:r>
      <w:r>
        <w:rPr>
          <w:i/>
          <w:color w:val="000000"/>
          <w:szCs w:val="20"/>
          <w:u w:color="000000"/>
          <w:shd w:val="clear" w:color="auto" w:fill="FFFFFF"/>
          <w:lang w:val="x-none" w:eastAsia="en-US" w:bidi="ar-SA"/>
        </w:rPr>
        <w:t>Maianthemum bifolium</w:t>
      </w:r>
      <w:r>
        <w:rPr>
          <w:color w:val="000000"/>
          <w:szCs w:val="20"/>
          <w:u w:color="000000"/>
          <w:shd w:val="clear" w:color="auto" w:fill="FFFFFF"/>
          <w:lang w:val="x-none" w:eastAsia="en-US" w:bidi="ar-SA"/>
        </w:rPr>
        <w:t xml:space="preserve">, zawilec gajowy </w:t>
      </w:r>
      <w:r>
        <w:rPr>
          <w:i/>
          <w:color w:val="000000"/>
          <w:szCs w:val="20"/>
          <w:u w:color="000000"/>
          <w:shd w:val="clear" w:color="auto" w:fill="FFFFFF"/>
          <w:lang w:val="x-none" w:eastAsia="en-US" w:bidi="ar-SA"/>
        </w:rPr>
        <w:t>Anemone nemorosa</w:t>
      </w:r>
      <w:r>
        <w:rPr>
          <w:color w:val="000000"/>
          <w:szCs w:val="20"/>
          <w:u w:color="000000"/>
          <w:shd w:val="clear" w:color="auto" w:fill="FFFFFF"/>
          <w:lang w:val="x-none" w:eastAsia="en-US" w:bidi="ar-SA"/>
        </w:rPr>
        <w:t xml:space="preserve">, ziarnopłon wiosenny </w:t>
      </w:r>
      <w:r>
        <w:rPr>
          <w:i/>
          <w:color w:val="000000"/>
          <w:szCs w:val="20"/>
          <w:u w:color="000000"/>
          <w:shd w:val="clear" w:color="auto" w:fill="FFFFFF"/>
          <w:lang w:val="x-none" w:eastAsia="en-US" w:bidi="ar-SA"/>
        </w:rPr>
        <w:t>Ficaria verna</w:t>
      </w:r>
      <w:r>
        <w:rPr>
          <w:color w:val="000000"/>
          <w:szCs w:val="20"/>
          <w:u w:color="000000"/>
          <w:shd w:val="clear" w:color="auto" w:fill="FFFFFF"/>
          <w:lang w:val="x-none" w:eastAsia="en-US" w:bidi="ar-SA"/>
        </w:rPr>
        <w:t xml:space="preserve">, czosnaczek pospolity </w:t>
      </w:r>
      <w:r>
        <w:rPr>
          <w:i/>
          <w:color w:val="000000"/>
          <w:szCs w:val="20"/>
          <w:u w:color="000000"/>
          <w:shd w:val="clear" w:color="auto" w:fill="FFFFFF"/>
          <w:lang w:val="x-none" w:eastAsia="en-US" w:bidi="ar-SA"/>
        </w:rPr>
        <w:t>Alliaria petiolata</w:t>
      </w:r>
      <w:r>
        <w:rPr>
          <w:color w:val="000000"/>
          <w:szCs w:val="20"/>
          <w:u w:color="000000"/>
          <w:shd w:val="clear" w:color="auto" w:fill="FFFFFF"/>
          <w:lang w:val="x-none" w:eastAsia="en-US" w:bidi="ar-SA"/>
        </w:rPr>
        <w:t xml:space="preserve">, pokrzywa zwyczajna </w:t>
      </w:r>
      <w:r>
        <w:rPr>
          <w:i/>
          <w:color w:val="000000"/>
          <w:szCs w:val="20"/>
          <w:u w:color="000000"/>
          <w:shd w:val="clear" w:color="auto" w:fill="FFFFFF"/>
          <w:lang w:val="x-none" w:eastAsia="en-US" w:bidi="ar-SA"/>
        </w:rPr>
        <w:t>Urtica dioica</w:t>
      </w:r>
      <w:r>
        <w:rPr>
          <w:color w:val="000000"/>
          <w:szCs w:val="20"/>
          <w:u w:color="000000"/>
          <w:shd w:val="clear" w:color="auto" w:fill="FFFFFF"/>
          <w:lang w:val="x-none" w:eastAsia="en-US" w:bidi="ar-SA"/>
        </w:rPr>
        <w:t xml:space="preserve">, podagrycznik pospolity </w:t>
      </w:r>
      <w:r>
        <w:rPr>
          <w:i/>
          <w:color w:val="000000"/>
          <w:szCs w:val="20"/>
          <w:u w:color="000000"/>
          <w:shd w:val="clear" w:color="auto" w:fill="FFFFFF"/>
          <w:lang w:val="x-none" w:eastAsia="en-US" w:bidi="ar-SA"/>
        </w:rPr>
        <w:t>Aegopodium podagraria,</w:t>
      </w:r>
      <w:r>
        <w:rPr>
          <w:color w:val="000000"/>
          <w:szCs w:val="20"/>
          <w:u w:color="000000"/>
          <w:shd w:val="clear" w:color="auto" w:fill="FFFFFF"/>
          <w:lang w:val="x-none" w:eastAsia="en-US" w:bidi="ar-SA"/>
        </w:rPr>
        <w:t xml:space="preserve"> wiechlina gajowa </w:t>
      </w:r>
      <w:r>
        <w:rPr>
          <w:color w:val="000000"/>
          <w:szCs w:val="20"/>
          <w:u w:color="000000"/>
          <w:shd w:val="clear" w:color="auto" w:fill="FFFFFF"/>
          <w:lang w:val="x-none" w:eastAsia="en-US" w:bidi="ar-SA"/>
        </w:rPr>
        <w:t>Poa nemoralis,</w:t>
      </w:r>
      <w:r>
        <w:rPr>
          <w:color w:val="000000"/>
          <w:szCs w:val="20"/>
          <w:u w:color="000000"/>
          <w:shd w:val="clear" w:color="auto" w:fill="FFFFFF"/>
          <w:lang w:val="x-none" w:eastAsia="en-US" w:bidi="ar-SA"/>
        </w:rPr>
        <w:t xml:space="preserve">  orlica  pospolita  </w:t>
      </w:r>
      <w:r>
        <w:rPr>
          <w:i/>
          <w:color w:val="000000"/>
          <w:szCs w:val="20"/>
          <w:u w:color="000000"/>
          <w:shd w:val="clear" w:color="auto" w:fill="FFFFFF"/>
          <w:lang w:val="x-none" w:eastAsia="en-US" w:bidi="ar-SA"/>
        </w:rPr>
        <w:t>Pteridium  aquilinum</w:t>
      </w:r>
      <w:r>
        <w:rPr>
          <w:color w:val="000000"/>
          <w:szCs w:val="20"/>
          <w:u w:color="000000"/>
          <w:shd w:val="clear" w:color="auto" w:fill="FFFFFF"/>
          <w:lang w:val="x-none" w:eastAsia="en-US" w:bidi="ar-SA"/>
        </w:rPr>
        <w:t xml:space="preserve">,  przytulia  czepna  </w:t>
      </w:r>
      <w:r>
        <w:rPr>
          <w:i/>
          <w:color w:val="000000"/>
          <w:szCs w:val="20"/>
          <w:u w:color="000000"/>
          <w:shd w:val="clear" w:color="auto" w:fill="FFFFFF"/>
          <w:lang w:val="x-none" w:eastAsia="en-US" w:bidi="ar-SA"/>
        </w:rPr>
        <w:t>Galium  aparine</w:t>
      </w:r>
      <w:r>
        <w:rPr>
          <w:color w:val="000000"/>
          <w:szCs w:val="20"/>
          <w:u w:color="000000"/>
          <w:shd w:val="clear" w:color="auto" w:fill="FFFFFF"/>
          <w:lang w:val="x-none" w:eastAsia="en-US" w:bidi="ar-SA"/>
        </w:rPr>
        <w:t xml:space="preserve">,  barwinek  pospolity  </w:t>
      </w:r>
      <w:r>
        <w:rPr>
          <w:i/>
          <w:color w:val="000000"/>
          <w:szCs w:val="20"/>
          <w:u w:color="000000"/>
          <w:shd w:val="clear" w:color="auto" w:fill="FFFFFF"/>
          <w:lang w:val="x-none" w:eastAsia="en-US" w:bidi="ar-SA"/>
        </w:rPr>
        <w:t>Vinca  minor</w:t>
      </w:r>
      <w:r>
        <w:rPr>
          <w:color w:val="000000"/>
          <w:szCs w:val="20"/>
          <w:u w:color="000000"/>
          <w:shd w:val="clear" w:color="auto" w:fill="FFFFFF"/>
          <w:lang w:val="x-none" w:eastAsia="en-US" w:bidi="ar-SA"/>
        </w:rPr>
        <w:t xml:space="preserve">,  </w:t>
      </w:r>
      <w:r>
        <w:rPr>
          <w:color w:val="000000"/>
          <w:szCs w:val="20"/>
          <w:u w:color="000000"/>
          <w:shd w:val="clear" w:color="auto" w:fill="FFFFFF"/>
        </w:rPr>
        <w:t>j</w:t>
      </w:r>
      <w:r>
        <w:rPr>
          <w:color w:val="000000"/>
          <w:szCs w:val="20"/>
          <w:u w:color="000000"/>
          <w:shd w:val="clear" w:color="auto" w:fill="FFFFFF"/>
          <w:lang w:val="x-none" w:eastAsia="en-US" w:bidi="ar-SA"/>
        </w:rPr>
        <w:t xml:space="preserve">eżyny  </w:t>
      </w:r>
      <w:r>
        <w:rPr>
          <w:i/>
          <w:color w:val="000000"/>
          <w:szCs w:val="20"/>
          <w:u w:color="000000"/>
          <w:shd w:val="clear" w:color="auto" w:fill="FFFFFF"/>
          <w:lang w:val="x-none" w:eastAsia="en-US" w:bidi="ar-SA"/>
        </w:rPr>
        <w:t>Rubus  sp</w:t>
      </w:r>
      <w:r>
        <w:rPr>
          <w:color w:val="000000"/>
          <w:szCs w:val="20"/>
          <w:u w:color="000000"/>
          <w:shd w:val="clear" w:color="auto" w:fill="FFFFFF"/>
          <w:lang w:val="x-none" w:eastAsia="en-US" w:bidi="ar-SA"/>
        </w:rPr>
        <w:t xml:space="preserve">.,  konwalia  majowa  </w:t>
      </w:r>
      <w:r>
        <w:rPr>
          <w:i/>
          <w:color w:val="000000"/>
          <w:szCs w:val="20"/>
          <w:u w:color="000000"/>
          <w:shd w:val="clear" w:color="auto" w:fill="FFFFFF"/>
          <w:lang w:val="x-none" w:eastAsia="en-US" w:bidi="ar-SA"/>
        </w:rPr>
        <w:t>Convallaria  majalis</w:t>
      </w:r>
      <w:r>
        <w:rPr>
          <w:color w:val="000000"/>
          <w:szCs w:val="20"/>
          <w:u w:color="000000"/>
          <w:shd w:val="clear" w:color="auto" w:fill="FFFFFF"/>
          <w:lang w:val="x-none" w:eastAsia="en-US" w:bidi="ar-SA"/>
        </w:rPr>
        <w:t xml:space="preserve">, perłówka zwisła </w:t>
      </w:r>
      <w:r>
        <w:rPr>
          <w:i/>
          <w:color w:val="000000"/>
          <w:szCs w:val="20"/>
          <w:u w:color="000000"/>
          <w:shd w:val="clear" w:color="auto" w:fill="FFFFFF"/>
          <w:lang w:val="x-none" w:eastAsia="en-US" w:bidi="ar-SA"/>
        </w:rPr>
        <w:t>Melica nutans</w:t>
      </w:r>
      <w:r>
        <w:rPr>
          <w:color w:val="000000"/>
          <w:szCs w:val="20"/>
          <w:u w:color="00000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Wspomniane wyżej zróżnicowane pod względem struktury gatunkowej oraz wiekowej lasy,  tworzą  bardzo  dobre  warunki  siedliskowe  dla  różnych  gatunków  zwierząt,  w  tym dziuplaków związanych ze środowiskiem wodnym,  bielika (cały rezerwat znajduje się w strefie</w:t>
      </w:r>
      <w:r>
        <w:rPr>
          <w:color w:val="000000"/>
          <w:szCs w:val="20"/>
          <w:u w:color="000000"/>
          <w:shd w:val="clear" w:color="auto" w:fill="FFFFFF"/>
        </w:rPr>
        <w:t xml:space="preserve"> </w:t>
      </w:r>
      <w:r>
        <w:rPr>
          <w:color w:val="000000"/>
          <w:szCs w:val="20"/>
          <w:u w:color="000000"/>
          <w:shd w:val="clear" w:color="auto" w:fill="FFFFFF"/>
          <w:lang w:val="x-none" w:eastAsia="en-US" w:bidi="ar-SA"/>
        </w:rPr>
        <w:t xml:space="preserve">ochrony dla </w:t>
      </w:r>
      <w:r>
        <w:rPr>
          <w:color w:val="000000"/>
          <w:szCs w:val="20"/>
          <w:u w:color="000000"/>
          <w:shd w:val="clear" w:color="auto" w:fill="FFFFFF"/>
        </w:rPr>
        <w:t xml:space="preserve">gatunku) </w:t>
      </w:r>
      <w:r>
        <w:rPr>
          <w:color w:val="000000"/>
          <w:szCs w:val="20"/>
          <w:u w:color="000000"/>
          <w:shd w:val="clear" w:color="auto" w:fill="FFFFFF"/>
          <w:lang w:val="x-none" w:eastAsia="en-US" w:bidi="ar-SA"/>
        </w:rPr>
        <w:t xml:space="preserve">oraz  wilka,  dla  których  zidentyfikowano  także  miejsca  rozrodu.  </w:t>
      </w:r>
      <w:r>
        <w:rPr>
          <w:color w:val="000000"/>
          <w:szCs w:val="20"/>
          <w:u w:color="000000"/>
          <w:shd w:val="clear" w:color="auto" w:fill="FFFFFF"/>
        </w:rPr>
        <w:br/>
      </w:r>
      <w:r>
        <w:rPr>
          <w:color w:val="000000"/>
          <w:szCs w:val="20"/>
          <w:u w:color="000000"/>
          <w:shd w:val="clear" w:color="auto" w:fill="FFFFFF"/>
          <w:lang w:val="x-none" w:eastAsia="en-US" w:bidi="ar-SA"/>
        </w:rPr>
        <w:t xml:space="preserve">Na  terenie proponowanego  rezerwatu  znajduje  się  pomnik  przyrody  –  wyróżniający  </w:t>
      </w:r>
      <w:r>
        <w:rPr>
          <w:color w:val="000000"/>
          <w:szCs w:val="20"/>
          <w:u w:color="000000"/>
          <w:shd w:val="clear" w:color="auto" w:fill="FFFFFF"/>
        </w:rPr>
        <w:br/>
      </w:r>
      <w:r>
        <w:rPr>
          <w:color w:val="000000"/>
          <w:szCs w:val="20"/>
          <w:u w:color="000000"/>
          <w:shd w:val="clear" w:color="auto" w:fill="FFFFFF"/>
          <w:lang w:val="x-none" w:eastAsia="en-US" w:bidi="ar-SA"/>
        </w:rPr>
        <w:t xml:space="preserve">się  szczególnymi wartościami  wiąz  szypułkowy </w:t>
      </w:r>
      <w:r>
        <w:rPr>
          <w:i/>
          <w:color w:val="000000"/>
          <w:szCs w:val="20"/>
          <w:u w:color="000000"/>
          <w:shd w:val="clear" w:color="auto" w:fill="FFFFFF"/>
          <w:lang w:val="x-none" w:eastAsia="en-US" w:bidi="ar-SA"/>
        </w:rPr>
        <w:t xml:space="preserve"> Ulmus  laevis</w:t>
      </w:r>
      <w:r>
        <w:rPr>
          <w:color w:val="000000"/>
          <w:szCs w:val="20"/>
          <w:u w:color="000000"/>
          <w:shd w:val="clear" w:color="auto" w:fill="FFFFFF"/>
          <w:lang w:val="x-none" w:eastAsia="en-US" w:bidi="ar-SA"/>
        </w:rPr>
        <w:t xml:space="preserve">.  Na  przedmiotowym  obszarze  znajdują  się  również dwa  użytki  ekologiczne  oraz  powierzchnie  podokapowe  reintrodukcji  cisa  pospolitego  </w:t>
      </w:r>
      <w:r>
        <w:rPr>
          <w:i/>
          <w:color w:val="000000"/>
          <w:szCs w:val="20"/>
          <w:u w:color="000000"/>
          <w:shd w:val="clear" w:color="auto" w:fill="FFFFFF"/>
          <w:lang w:val="x-none" w:eastAsia="en-US" w:bidi="ar-SA"/>
        </w:rPr>
        <w:t>Taxus baccata</w:t>
      </w:r>
      <w:r>
        <w:rPr>
          <w:color w:val="000000"/>
          <w:szCs w:val="20"/>
          <w:u w:color="00000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Z  powyższych  względów,  warto  zachować  przedmiotowy  teren  dla  przyszłych  pokoleń,  a ochrona w formie rezerwatu przyrody zapewni trwanie terenów leśnych. Dodatkowo, tak duża powierzchnia  pozwoli  na  stworzenie  przestrzeni  i  warunków  do  obserwacji  zachodzących procesów  naturalnych  oraz  powolnego  ustępowania  sztucznie  wprowadzonej  na  te  tereny  sosny pospolitej na rzecz gatunków grądowych.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Ze względu na powyższe walory przyrodnicze, celem ochrony rezerwatu jest zachowanie mozaiki ekosystemów leśnych, stanowiących ostoję zwierząt.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Zgodnie  z  rozporządzeniem  Ministra  Środowiska  z  dnia  30  marca  2005  r.  w  sprawie rodzajów, typów i podtypów rezerwatów przyrody (Dz. U. z 2005 r., Nr 60, poz. 533) dla rezerwatu przyrody  „Bruchniewska  Ostoja”  określono  rodzaj  rezerwatu  Leśny  (L)  </w:t>
      </w:r>
      <w:r>
        <w:rPr>
          <w:color w:val="000000"/>
          <w:szCs w:val="20"/>
          <w:u w:color="000000"/>
          <w:shd w:val="clear" w:color="auto" w:fill="FFFFFF"/>
        </w:rPr>
        <w:br/>
      </w:r>
      <w:r>
        <w:rPr>
          <w:color w:val="000000"/>
          <w:szCs w:val="20"/>
          <w:u w:color="000000"/>
          <w:shd w:val="clear" w:color="auto" w:fill="FFFFFF"/>
          <w:lang w:val="x-none" w:eastAsia="en-US" w:bidi="ar-SA"/>
        </w:rPr>
        <w:t xml:space="preserve">oraz  określono  typ  i podtyp: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1) ze względu na dominujący przedmiot ochrony: typ - Biocenotyczny i fizjocenotyczny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(PBf), podtyp - biocenoz naturalnych i półnaturalnych (bp);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2) ze względu na główny typ ekosystemu: typ - Leśny i borowy (EL), lasów nizinnych (lni).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W  niniejszym  akcie  prawnym,  wykorzystując  dane  systemu  informacji  przestrzennej, </w:t>
      </w:r>
    </w:p>
    <w:p>
      <w:pPr>
        <w:keepNext w:val="0"/>
        <w:keepLines w:val="0"/>
        <w:widowControl/>
        <w:suppressLineNumbers w:val="0"/>
        <w:shd w:val="clear" w:color="auto" w:fill="auto"/>
        <w:suppressAutoHyphens w:val="0"/>
        <w:spacing w:before="0" w:beforeAutospacing="0" w:after="0" w:afterAutospacing="0" w:line="276" w:lineRule="auto"/>
        <w:ind w:left="0" w:right="0" w:firstLine="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wprowadzono załączniki w postaci mapy obszaru rezerwatu oraz wykaz współrzędnych punktów załamania granic rezerwatu, sporządzonych w układzie współrzędnych płaskich prostokątnych </w:t>
      </w:r>
      <w:r>
        <w:rPr>
          <w:color w:val="000000"/>
          <w:szCs w:val="20"/>
          <w:u w:color="000000"/>
          <w:shd w:val="clear" w:color="auto" w:fill="FFFFFF"/>
        </w:rPr>
        <w:br/>
      </w:r>
      <w:r>
        <w:rPr>
          <w:color w:val="000000"/>
          <w:szCs w:val="20"/>
          <w:u w:color="000000"/>
          <w:shd w:val="clear" w:color="auto" w:fill="FFFFFF"/>
          <w:lang w:val="x-none" w:eastAsia="en-US" w:bidi="ar-SA"/>
        </w:rPr>
        <w:t xml:space="preserve">PL-1992, o których mowa w rozporządzeniu Rady Ministrów z dnia 15 października 2012 r. </w:t>
      </w:r>
      <w:r>
        <w:rPr>
          <w:color w:val="000000"/>
          <w:szCs w:val="20"/>
          <w:u w:color="000000"/>
          <w:shd w:val="clear" w:color="auto" w:fill="FFFFFF"/>
        </w:rPr>
        <w:br/>
      </w:r>
      <w:r>
        <w:rPr>
          <w:color w:val="000000"/>
          <w:szCs w:val="20"/>
          <w:u w:color="000000"/>
          <w:shd w:val="clear" w:color="auto" w:fill="FFFFFF"/>
          <w:lang w:val="x-none" w:eastAsia="en-US" w:bidi="ar-SA"/>
        </w:rPr>
        <w:t xml:space="preserve">w sprawie państwowego systemu odniesień przestrzennych </w:t>
      </w:r>
      <w:r>
        <w:rPr>
          <w:color w:val="000000"/>
          <w:szCs w:val="20"/>
          <w:shd w:val="clear" w:color="auto" w:fill="FFFFFF"/>
          <w:lang w:val="x-none" w:eastAsia="en-US" w:bidi="ar-SA"/>
        </w:rPr>
        <w:t>(</w:t>
      </w:r>
      <w:r>
        <w:rPr>
          <w:color w:val="000000"/>
          <w:szCs w:val="20"/>
          <w:shd w:val="clear" w:color="auto" w:fill="FFFFFF"/>
        </w:rPr>
        <w:t xml:space="preserve">t.j. </w:t>
      </w:r>
      <w:r>
        <w:rPr>
          <w:color w:val="000000"/>
          <w:szCs w:val="20"/>
          <w:shd w:val="clear" w:color="auto" w:fill="FFFFFF"/>
          <w:lang w:val="x-none" w:eastAsia="en-US" w:bidi="ar-SA"/>
        </w:rPr>
        <w:t>Dz.U z 20</w:t>
      </w:r>
      <w:r>
        <w:rPr>
          <w:color w:val="000000"/>
          <w:szCs w:val="20"/>
          <w:shd w:val="clear" w:color="auto" w:fill="FFFFFF"/>
        </w:rPr>
        <w:t>24</w:t>
      </w:r>
      <w:r>
        <w:rPr>
          <w:color w:val="000000"/>
          <w:szCs w:val="20"/>
          <w:shd w:val="clear" w:color="auto" w:fill="FFFFFF"/>
          <w:lang w:val="x-none" w:eastAsia="en-US" w:bidi="ar-SA"/>
        </w:rPr>
        <w:t xml:space="preserve"> r., poz. </w:t>
      </w:r>
      <w:r>
        <w:rPr>
          <w:color w:val="000000"/>
          <w:szCs w:val="20"/>
          <w:shd w:val="clear" w:color="auto" w:fill="FFFFFF"/>
        </w:rPr>
        <w:t>342</w:t>
      </w:r>
      <w:r>
        <w:rPr>
          <w:color w:val="000000"/>
          <w:szCs w:val="20"/>
          <w:shd w:val="clear" w:color="auto" w:fill="FFFFFF"/>
          <w:lang w:val="x-none" w:eastAsia="en-US" w:bidi="ar-SA"/>
        </w:rPr>
        <w:t>)</w:t>
      </w:r>
      <w:r>
        <w:rPr>
          <w:color w:val="000000"/>
          <w:szCs w:val="20"/>
          <w:u w:color="00000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 xml:space="preserve">Rezerwat  przyrody  „Bruchniewska  Ostoja”  położony  jest  na  gruntach  należących  </w:t>
      </w:r>
      <w:r>
        <w:rPr>
          <w:color w:val="000000"/>
          <w:szCs w:val="20"/>
          <w:u w:color="000000"/>
          <w:shd w:val="clear" w:color="auto" w:fill="FFFFFF"/>
        </w:rPr>
        <w:br/>
      </w:r>
      <w:r>
        <w:rPr>
          <w:color w:val="000000"/>
          <w:szCs w:val="20"/>
          <w:u w:color="000000"/>
          <w:shd w:val="clear" w:color="auto" w:fill="FFFFFF"/>
          <w:lang w:val="x-none" w:eastAsia="en-US" w:bidi="ar-SA"/>
        </w:rPr>
        <w:t xml:space="preserve">do  Skarbu  Państwa,  zarządzanych  przez  Państwowe  Gospodarstwo  Leśne  Lasy  Państwowe Nadleśnictwo Zamrzenica.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shd w:val="clear" w:color="auto" w:fill="FFFFFF"/>
        </w:rPr>
      </w:pPr>
      <w:r>
        <w:rPr>
          <w:color w:val="000000"/>
          <w:szCs w:val="20"/>
          <w:u w:color="000000"/>
          <w:shd w:val="clear" w:color="auto" w:fill="FFFFFF"/>
          <w:lang w:val="x-none" w:eastAsia="en-US" w:bidi="ar-SA"/>
        </w:rPr>
        <w:t xml:space="preserve">Państwowe Gospodarstwo Leśne Lasy Państwowe Nadleśnictwo </w:t>
      </w:r>
      <w:r>
        <w:rPr>
          <w:color w:val="000000"/>
          <w:szCs w:val="20"/>
          <w:u w:color="000000"/>
          <w:shd w:val="clear" w:color="auto" w:fill="FFFFFF"/>
        </w:rPr>
        <w:t>Zamrzenica, wyraziło zgodę na utworzenie rezerwatu przyrody „Bruchniewska Ostoja” i zaopiniowało projekt niniejszego zarządzenia pozytywnie pismem z dnia 10 czerwca 2024 r., znak ZG.7212.12.2024.</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Regionalna  Dyrekcja  Lasów  Państwowych</w:t>
      </w:r>
      <w:r>
        <w:rPr>
          <w:color w:val="000000"/>
          <w:szCs w:val="20"/>
          <w:shd w:val="clear" w:color="auto" w:fill="FFFFFF"/>
        </w:rPr>
        <w:t xml:space="preserve"> w Toruniu</w:t>
      </w:r>
      <w:r>
        <w:rPr>
          <w:color w:val="000000"/>
          <w:szCs w:val="20"/>
          <w:shd w:val="clear" w:color="auto" w:fill="FFFFFF"/>
          <w:lang w:val="x-none" w:eastAsia="en-US" w:bidi="ar-SA"/>
        </w:rPr>
        <w:t xml:space="preserve">  wyraziła  zgodę  na  utworzenie  rezerwatu przyrody „</w:t>
      </w:r>
      <w:r>
        <w:rPr>
          <w:color w:val="000000"/>
          <w:szCs w:val="20"/>
          <w:shd w:val="clear" w:color="auto" w:fill="FFFFFF"/>
        </w:rPr>
        <w:t>Bruchniewska Ostoja</w:t>
      </w:r>
      <w:r>
        <w:rPr>
          <w:color w:val="000000"/>
          <w:szCs w:val="20"/>
          <w:shd w:val="clear" w:color="auto" w:fill="FFFFFF"/>
          <w:lang w:val="x-none" w:eastAsia="en-US" w:bidi="ar-SA"/>
        </w:rPr>
        <w:t xml:space="preserve">”  pismem z dnia </w:t>
      </w:r>
      <w:r>
        <w:rPr>
          <w:color w:val="000000"/>
          <w:szCs w:val="20"/>
          <w:shd w:val="clear" w:color="auto" w:fill="FFFFFF"/>
        </w:rPr>
        <w:t xml:space="preserve">14 czerwca </w:t>
      </w:r>
      <w:r>
        <w:rPr>
          <w:color w:val="000000"/>
          <w:szCs w:val="20"/>
          <w:shd w:val="clear" w:color="auto" w:fill="FFFFFF"/>
          <w:lang w:val="x-none" w:eastAsia="en-US" w:bidi="ar-SA"/>
        </w:rPr>
        <w:t xml:space="preserve">2024 r., znak </w:t>
      </w:r>
      <w:r>
        <w:rPr>
          <w:color w:val="000000"/>
          <w:szCs w:val="20"/>
          <w:shd w:val="clear" w:color="auto" w:fill="FFFFFF"/>
        </w:rPr>
        <w:t>1ZO.7212.4.2024.</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Nadzór nad rezerwatem powierzony został </w:t>
      </w:r>
      <w:r>
        <w:rPr>
          <w:color w:val="000000"/>
          <w:szCs w:val="20"/>
          <w:shd w:val="clear" w:color="auto" w:fill="FFFFFF"/>
          <w:lang w:val="x-none" w:eastAsia="en-US" w:bidi="ar-SA"/>
        </w:rPr>
        <w:t>Regionaln</w:t>
      </w:r>
      <w:r>
        <w:rPr>
          <w:color w:val="000000"/>
          <w:szCs w:val="20"/>
          <w:shd w:val="clear" w:color="auto" w:fill="FFFFFF"/>
        </w:rPr>
        <w:t>emu</w:t>
      </w:r>
      <w:r>
        <w:rPr>
          <w:color w:val="000000"/>
          <w:szCs w:val="20"/>
          <w:shd w:val="clear" w:color="auto" w:fill="FFFFFF"/>
          <w:lang w:val="x-none" w:eastAsia="en-US" w:bidi="ar-SA"/>
        </w:rPr>
        <w:t xml:space="preserve"> Dyrektor</w:t>
      </w:r>
      <w:r>
        <w:rPr>
          <w:color w:val="000000"/>
          <w:szCs w:val="20"/>
          <w:shd w:val="clear" w:color="auto" w:fill="FFFFFF"/>
        </w:rPr>
        <w:t>owi</w:t>
      </w:r>
      <w:r>
        <w:rPr>
          <w:color w:val="000000"/>
          <w:szCs w:val="20"/>
          <w:shd w:val="clear" w:color="auto" w:fill="FFFFFF"/>
          <w:lang w:val="x-none" w:eastAsia="en-US" w:bidi="ar-SA"/>
        </w:rPr>
        <w:t xml:space="preserve"> Ochrony Środowiska w Bydgoszczy</w:t>
      </w:r>
      <w:r>
        <w:rPr>
          <w:color w:val="000000"/>
          <w:szCs w:val="20"/>
          <w:shd w:val="clear" w:color="auto" w:fill="FFFFFF"/>
          <w:lang w:val="x-none" w:eastAsia="en-US" w:bidi="ar-SA"/>
        </w:rPr>
        <w:t>.</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shd w:val="clear" w:color="auto" w:fill="FFFFFF"/>
        </w:rPr>
      </w:pPr>
      <w:r>
        <w:rPr>
          <w:color w:val="000000"/>
          <w:szCs w:val="20"/>
          <w:shd w:val="clear" w:color="auto" w:fill="FFFFFF"/>
        </w:rPr>
        <w:t xml:space="preserve">Projekt zarządzenia został zaopiniowany pozytywnie przez Regionalną Radę Ochrony Przyrody w Bydgoszczy  uchwałą nr 32/2024, z dnia 9 grudnia 2024 r. </w:t>
      </w:r>
    </w:p>
    <w:p>
      <w:pPr>
        <w:keepNext w:val="0"/>
        <w:keepLines w:val="0"/>
        <w:widowControl/>
        <w:suppressLineNumbers w:val="0"/>
        <w:shd w:val="clear" w:color="auto" w:fill="auto"/>
        <w:suppressAutoHyphens w:val="0"/>
        <w:spacing w:before="0" w:beforeAutospacing="0" w:after="0" w:afterAutospacing="0" w:line="276" w:lineRule="auto"/>
        <w:ind w:left="0" w:right="0" w:firstLine="720"/>
        <w:contextualSpacing w:val="0"/>
        <w:rPr>
          <w:color w:val="000000"/>
          <w:szCs w:val="20"/>
          <w:shd w:val="clear" w:color="auto" w:fill="FFFFFF"/>
        </w:rPr>
      </w:pPr>
      <w:r>
        <w:rPr>
          <w:color w:val="000000"/>
          <w:szCs w:val="20"/>
          <w:shd w:val="clear" w:color="auto" w:fill="FFFFFF"/>
          <w:lang w:val="en-US" w:eastAsia="en-US" w:bidi="en-US"/>
        </w:rPr>
        <w:t>Na podstawie art. 59 ust. 2 ustawy z dnia 23 stycznia 2009 r. o wojewodzie i administracji</w:t>
      </w:r>
      <w:r>
        <w:rPr>
          <w:color w:val="000000"/>
          <w:szCs w:val="20"/>
          <w:shd w:val="clear" w:color="auto" w:fill="FFFFFF"/>
        </w:rPr>
        <w:t xml:space="preserve"> </w:t>
      </w:r>
      <w:r>
        <w:rPr>
          <w:color w:val="000000"/>
          <w:szCs w:val="20"/>
          <w:shd w:val="clear" w:color="auto" w:fill="FFFFFF"/>
          <w:lang w:val="en-US" w:eastAsia="en-US" w:bidi="en-US"/>
        </w:rPr>
        <w:t xml:space="preserve">rządowej w województwie </w:t>
      </w:r>
      <w:r>
        <w:rPr>
          <w:color w:val="000000"/>
          <w:szCs w:val="20"/>
          <w:shd w:val="clear" w:color="auto" w:fill="FFFFFF"/>
        </w:rPr>
        <w:t>( t.j. Dz. U. z 2023 r. poz. 190)</w:t>
      </w:r>
      <w:r>
        <w:rPr>
          <w:color w:val="000000"/>
          <w:szCs w:val="20"/>
          <w:shd w:val="clear" w:color="auto" w:fill="FFFFFF"/>
          <w:lang w:val="en-US" w:eastAsia="en-US" w:bidi="en-US"/>
        </w:rPr>
        <w:t xml:space="preserve">, </w:t>
      </w:r>
      <w:r>
        <w:rPr>
          <w:color w:val="000000"/>
          <w:szCs w:val="20"/>
          <w:shd w:val="clear" w:color="auto" w:fill="FFFFFF"/>
        </w:rPr>
        <w:t xml:space="preserve">projekt zarządzenia </w:t>
      </w:r>
      <w:r>
        <w:rPr>
          <w:color w:val="000000"/>
          <w:szCs w:val="20"/>
          <w:shd w:val="clear" w:color="auto" w:fill="FFFFFF"/>
          <w:lang w:val="en-US" w:eastAsia="en-US" w:bidi="en-US"/>
        </w:rPr>
        <w:t xml:space="preserve">został uzgodniony </w:t>
      </w:r>
      <w:r>
        <w:rPr>
          <w:color w:val="000000"/>
          <w:szCs w:val="20"/>
          <w:shd w:val="clear" w:color="auto" w:fill="FFFFFF"/>
        </w:rPr>
        <w:br/>
      </w:r>
      <w:r>
        <w:rPr>
          <w:color w:val="000000"/>
          <w:szCs w:val="20"/>
          <w:shd w:val="clear" w:color="auto" w:fill="FFFFFF"/>
          <w:lang w:val="en-US" w:eastAsia="en-US" w:bidi="en-US"/>
        </w:rPr>
        <w:t xml:space="preserve">przez Wojewodę Kujawsko-Pomorskiego </w:t>
      </w:r>
      <w:r>
        <w:rPr>
          <w:color w:val="000000"/>
          <w:szCs w:val="20"/>
          <w:shd w:val="clear" w:color="auto" w:fill="FFFFFF"/>
        </w:rPr>
        <w:t xml:space="preserve">pismem znak: WRS.II.710.4.2.2024, z dnia 12 grudnia 2024 r. </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rPr>
          <w:color w:val="000000"/>
          <w:szCs w:val="20"/>
          <w:shd w:val="clear" w:color="auto" w:fill="FFFFFF"/>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right"/>
        <w:rPr>
          <w:color w:val="000000"/>
          <w:szCs w:val="20"/>
          <w:shd w:val="clear" w:color="auto" w:fill="FFFFFF"/>
          <w:lang w:val="x-none" w:eastAsia="en-US" w:bidi="ar-SA"/>
        </w:rPr>
      </w:pPr>
      <w:r>
        <w:drawing>
          <wp:inline>
            <wp:extent cx="2639060" cy="104203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2"/>
                    <a:stretch>
                      <a:fillRect/>
                    </a:stretch>
                  </pic:blipFill>
                  <pic:spPr>
                    <a:xfrm>
                      <a:off x="0" y="0"/>
                      <a:ext cx="2639060" cy="1042035"/>
                    </a:xfrm>
                    <a:prstGeom prst="rect">
                      <a:avLst/>
                    </a:prstGeom>
                    <a:noFill/>
                  </pic:spPr>
                </pic:pic>
              </a:graphicData>
            </a:graphic>
          </wp:inline>
        </w:drawing>
      </w:r>
      <w:r>
        <w:rPr>
          <w:color w:val="000000"/>
          <w:szCs w:val="20"/>
          <w:shd w:val="clear" w:color="auto" w:fill="FFFFFF"/>
        </w:rPr>
        <w:t xml:space="preserve"> </w:t>
      </w:r>
    </w:p>
    <w:sectPr>
      <w:footerReference w:type="default" r:id="rId23"/>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B78BD6FD-195C-438A-87B0-0B96B4F41394.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B78BD6FD-195C-438A-87B0-0B96B4F41394.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B78BD6FD-195C-438A-87B0-0B96B4F41394.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B78BD6FD-195C-438A-87B0-0B96B4F41394.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403"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B78BD6FD-195C-438A-87B0-0B96B4F41394. Uchwalony</w:t>
          </w:r>
        </w:p>
      </w:tc>
      <w:tc>
        <w:tcPr>
          <w:tcW w:w="3202"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pPr>
      <w:r>
        <w:separator/>
      </w:r>
    </w:p>
  </w:footnote>
  <w:footnote w:type="continuationSeparator" w:id="1">
    <w:p>
      <w:pPr>
        <w:spacing w:after="0" w:line="240" w:lineRule="auto"/>
      </w:pPr>
      <w:r>
        <w:continuationSeparator/>
      </w:r>
    </w:p>
  </w:footnote>
  <w:footnote w:id="2">
    <w:p>
      <w:pPr>
        <w:pStyle w:val="FootnoteText"/>
        <w:keepNext w:val="0"/>
        <w:keepLines/>
        <w:spacing w:before="0" w:after="0" w:line="240" w:lineRule="auto"/>
        <w:ind w:left="170" w:right="0" w:hanging="170"/>
        <w:jc w:val="both"/>
        <w:rPr>
          <w:rFonts w:ascii="Times New Roman" w:eastAsia="Times New Roman" w:hAnsi="Times New Roman" w:cs="Times New Roman"/>
          <w:sz w:val="20"/>
        </w:rPr>
      </w:pPr>
      <w:r>
        <w:rPr>
          <w:rStyle w:val="FootnoteReference"/>
          <w:b w:val="0"/>
          <w:caps w:val="0"/>
        </w:rPr>
        <w:t>1) </w:t>
      </w:r>
      <w:r>
        <w:rPr>
          <w:rFonts w:ascii="Times New Roman" w:eastAsia="Times New Roman" w:hAnsi="Times New Roman" w:cs="Times New Roman"/>
          <w:b w:val="0"/>
          <w:caps w:val="0"/>
          <w:sz w:val="20"/>
        </w:rPr>
        <w:t>Układ współrzędnych płaskich prostokątnych PL-1992 jest jednym z układów tworzących państwowy system odniesień przestrzennych, o którym mowa w przepisach wydanych na podstawie art. 3 ust. 5 ustawy z dnia 17 maja 1989 r. – Prawo geodezyjne i kartograficzne (Dz. U. z 2024 r. poz. 1151 ze zm.).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footnotePr>
    <w:footnote w:id="0"/>
    <w:footnote w:id="1"/>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rsid w:val="00805BCE"/>
    <w:rPr>
      <w:vertAlign w:val="superscript"/>
    </w:rPr>
  </w:style>
  <w:style w:type="paragraph" w:styleId="FootnoteText">
    <w:name w:val="footnote text"/>
    <w:basedOn w:val="Normal"/>
    <w:rsid w:val="00805BCE"/>
    <w:rPr>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Zalacznik66981847-8E5B-48B6-9496-8C4A74A5BC75.png" TargetMode="External" /><Relationship Id="rId12" Type="http://schemas.openxmlformats.org/officeDocument/2006/relationships/image" Target="media/image4.png" /><Relationship Id="rId13" Type="http://schemas.openxmlformats.org/officeDocument/2006/relationships/image" Target="ZalacznikB8FAEF9B-CA3E-4193-BCCF-971B2572ADFB.png" TargetMode="External" /><Relationship Id="rId14" Type="http://schemas.openxmlformats.org/officeDocument/2006/relationships/image" Target="media/image5.png" /><Relationship Id="rId15" Type="http://schemas.openxmlformats.org/officeDocument/2006/relationships/image" Target="Zalacznik540CCA29-D6C5-4F88-B47D-50C33A9333EE.png" TargetMode="External" /><Relationship Id="rId16" Type="http://schemas.openxmlformats.org/officeDocument/2006/relationships/image" Target="ZalacznikC4819B9B-6592-4F8D-A548-0FD57C8E6EF1.jpg" TargetMode="External" /><Relationship Id="rId17" Type="http://schemas.openxmlformats.org/officeDocument/2006/relationships/footer" Target="footer2.xml" /><Relationship Id="rId18" Type="http://schemas.openxmlformats.org/officeDocument/2006/relationships/image" Target="Zalacznik12526797-CFE1-4B45-B0B2-BE3A0BD2BF25.jpg" TargetMode="External" /><Relationship Id="rId19" Type="http://schemas.openxmlformats.org/officeDocument/2006/relationships/footer" Target="footer3.xml" /><Relationship Id="rId2" Type="http://schemas.openxmlformats.org/officeDocument/2006/relationships/settings" Target="settings.xml" /><Relationship Id="rId20" Type="http://schemas.openxmlformats.org/officeDocument/2006/relationships/image" Target="Zalacznik648230BF-87AC-40BE-A727-9FFD2CFE9799.jpg" TargetMode="External" /><Relationship Id="rId21" Type="http://schemas.openxmlformats.org/officeDocument/2006/relationships/footer" Target="footer4.xml" /><Relationship Id="rId22" Type="http://schemas.openxmlformats.org/officeDocument/2006/relationships/image" Target="media/image6.jpeg" /><Relationship Id="rId23" Type="http://schemas.openxmlformats.org/officeDocument/2006/relationships/footer" Target="footer5.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jpeg" /><Relationship Id="rId6" Type="http://schemas.openxmlformats.org/officeDocument/2006/relationships/image" Target="Zalacznik3CF07BF9-A5CF-4290-B150-D87F349AE68F.jpg" TargetMode="External" /><Relationship Id="rId7" Type="http://schemas.openxmlformats.org/officeDocument/2006/relationships/footer" Target="footer1.xml" /><Relationship Id="rId8" Type="http://schemas.openxmlformats.org/officeDocument/2006/relationships/image" Target="media/image2.png" /><Relationship Id="rId9" Type="http://schemas.openxmlformats.org/officeDocument/2006/relationships/image" Target="Zalacznik14B2ACB1-6690-4E61-B711-5079D0549375.png" TargetMode="Externa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Regionalny Dyrektor Ochrony Środowiska w Bydgoszczy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z dnia 20 grudnia 2024 r.</dc:title>
  <dc:subject>w^sprawie uznania za rezerwat przyrody „Bruchniewska Ostoja”</dc:subject>
  <dc:creator>kleszczynska</dc:creator>
  <cp:lastModifiedBy>kleszczynska</cp:lastModifiedBy>
  <cp:revision>1</cp:revision>
  <dcterms:created xsi:type="dcterms:W3CDTF">2024-12-23T12:58:09Z</dcterms:created>
  <dcterms:modified xsi:type="dcterms:W3CDTF">2024-12-23T12:58:09Z</dcterms:modified>
  <cp:category>Akt prawny</cp:category>
</cp:coreProperties>
</file>