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F4010" w14:textId="755514D3" w:rsidR="00361EFB" w:rsidRPr="00361EFB" w:rsidRDefault="00361EFB" w:rsidP="004B6AAE">
      <w:pPr>
        <w:pStyle w:val="OZNPROJEKTUwskazaniedatylubwersjiprojektu"/>
        <w:keepNext/>
      </w:pPr>
      <w:bookmarkStart w:id="0" w:name="_GoBack"/>
      <w:bookmarkEnd w:id="0"/>
      <w:r w:rsidRPr="00361EFB">
        <w:t xml:space="preserve">Projekt z dnia </w:t>
      </w:r>
      <w:r w:rsidR="00762E03">
        <w:t>11</w:t>
      </w:r>
      <w:r w:rsidRPr="00361EFB">
        <w:t>.</w:t>
      </w:r>
      <w:r w:rsidR="00C14E77">
        <w:t>1</w:t>
      </w:r>
      <w:r w:rsidR="00762E03">
        <w:t>2</w:t>
      </w:r>
      <w:r w:rsidR="004C5FA6">
        <w:t>.</w:t>
      </w:r>
      <w:r w:rsidRPr="00361EFB">
        <w:t>2018 r.</w:t>
      </w:r>
    </w:p>
    <w:p w14:paraId="5DC9A0D8" w14:textId="77777777" w:rsidR="00A45A68" w:rsidRDefault="00A45A68" w:rsidP="00361EFB">
      <w:pPr>
        <w:pStyle w:val="OZNRODZAKTUtznustawalubrozporzdzenieiorganwydajcy"/>
        <w:rPr>
          <w:highlight w:val="lightGray"/>
        </w:rPr>
      </w:pPr>
    </w:p>
    <w:p w14:paraId="1B2C620D" w14:textId="77777777" w:rsidR="00361EFB" w:rsidRPr="00A62985" w:rsidRDefault="00361EFB" w:rsidP="00361EFB">
      <w:pPr>
        <w:pStyle w:val="OZNRODZAKTUtznustawalubrozporzdzenieiorganwydajcy"/>
      </w:pPr>
      <w:r w:rsidRPr="00A62985">
        <w:t>USTAWA</w:t>
      </w:r>
    </w:p>
    <w:p w14:paraId="10BA4F90" w14:textId="77777777" w:rsidR="00361EFB" w:rsidRPr="00A62985" w:rsidRDefault="00361EFB" w:rsidP="00361EFB">
      <w:pPr>
        <w:pStyle w:val="DATAAKTUdatauchwalenialubwydaniaaktu"/>
      </w:pPr>
      <w:r w:rsidRPr="00A62985">
        <w:t>z dnia …………….2018 r.</w:t>
      </w:r>
    </w:p>
    <w:p w14:paraId="568AFBB0" w14:textId="77777777" w:rsidR="00361EFB" w:rsidRPr="00650013" w:rsidRDefault="00361EFB" w:rsidP="009E02BB">
      <w:pPr>
        <w:pStyle w:val="TYTUAKTUprzedmiotregulacjiustawylubrozporzdzenia"/>
      </w:pPr>
      <w:r w:rsidRPr="00A62985">
        <w:t xml:space="preserve">o zmianie ustawy </w:t>
      </w:r>
      <w:r w:rsidR="00932386" w:rsidRPr="00A62985">
        <w:rPr>
          <w:rFonts w:cs="Times"/>
        </w:rPr>
        <w:t xml:space="preserve">− </w:t>
      </w:r>
      <w:r w:rsidRPr="00A62985">
        <w:t>Prawo telekomunikacyjne</w:t>
      </w:r>
      <w:r w:rsidR="004B6AAE" w:rsidRPr="00A62985">
        <w:t xml:space="preserve"> oraz </w:t>
      </w:r>
      <w:r w:rsidR="008D04D3">
        <w:t>niektórych innych ustaw</w:t>
      </w:r>
      <w:r w:rsidR="007378F6">
        <w:rPr>
          <w:rStyle w:val="Odwoanieprzypisudolnego"/>
        </w:rPr>
        <w:footnoteReference w:id="1"/>
      </w:r>
      <w:r w:rsidR="007378F6">
        <w:rPr>
          <w:rStyle w:val="Odwoanieprzypisudolnego"/>
        </w:rPr>
        <w:t>)</w:t>
      </w:r>
    </w:p>
    <w:p w14:paraId="2CE66781" w14:textId="705A5096" w:rsidR="00361EFB" w:rsidRPr="00B8289A" w:rsidRDefault="00BD2E16" w:rsidP="004B6AAE">
      <w:pPr>
        <w:pStyle w:val="ARTartustawynprozporzdzenia"/>
        <w:keepNext/>
      </w:pPr>
      <w:r>
        <w:rPr>
          <w:rStyle w:val="Ppogrubienie"/>
        </w:rPr>
        <w:t xml:space="preserve">Art. </w:t>
      </w:r>
      <w:r w:rsidR="00361EFB" w:rsidRPr="00B8289A">
        <w:rPr>
          <w:rStyle w:val="Ppogrubienie"/>
        </w:rPr>
        <w:t>1.</w:t>
      </w:r>
      <w:r w:rsidR="00361EFB" w:rsidRPr="00B8289A">
        <w:t xml:space="preserve"> W ustawie z dnia 16 lipca 2004 r. </w:t>
      </w:r>
      <w:r w:rsidR="00361EFB" w:rsidRPr="00650013">
        <w:sym w:font="Symbol" w:char="F02D"/>
      </w:r>
      <w:r w:rsidR="00361EFB" w:rsidRPr="00650013">
        <w:t xml:space="preserve"> Prawo telekomunikacyjne (Dz. U. z</w:t>
      </w:r>
      <w:r w:rsidR="004A7D40">
        <w:t xml:space="preserve"> 2018</w:t>
      </w:r>
      <w:r w:rsidR="00361EFB" w:rsidRPr="00650013">
        <w:t xml:space="preserve"> r. poz. </w:t>
      </w:r>
      <w:r w:rsidR="004A7D40">
        <w:t>1954</w:t>
      </w:r>
      <w:r w:rsidR="00361EFB" w:rsidRPr="00650013">
        <w:t xml:space="preserve"> i 22</w:t>
      </w:r>
      <w:r w:rsidR="004A7D40">
        <w:t>45</w:t>
      </w:r>
      <w:r w:rsidR="00361EFB" w:rsidRPr="00650013">
        <w:t>):</w:t>
      </w:r>
    </w:p>
    <w:p w14:paraId="58BD8852" w14:textId="2CC55511" w:rsidR="001E4029" w:rsidRPr="001E4029" w:rsidRDefault="00361EFB" w:rsidP="001E4029">
      <w:pPr>
        <w:pStyle w:val="PKTpunkt"/>
      </w:pPr>
      <w:r w:rsidRPr="00650013">
        <w:t>1)</w:t>
      </w:r>
      <w:r w:rsidR="001338A1">
        <w:tab/>
      </w:r>
      <w:r w:rsidR="00571CBF">
        <w:t>w</w:t>
      </w:r>
      <w:r w:rsidR="001E4029" w:rsidRPr="001E4029">
        <w:t xml:space="preserve"> art. 111 po ust. 3 dodaje się ust. 4 w brzmieniu:</w:t>
      </w:r>
    </w:p>
    <w:p w14:paraId="7A23A88C" w14:textId="6EF5EB1A" w:rsidR="001E4029" w:rsidRPr="001E4029" w:rsidRDefault="001E4029" w:rsidP="001E4029">
      <w:pPr>
        <w:pStyle w:val="PKTpunkt"/>
      </w:pPr>
      <w:r w:rsidRPr="001E4029">
        <w:t>„4. Minister właściwy do spraw informatyzacji, mając na uwadze politykę państwa w zakresie gospodarki zasobami częstotliwości, może określić, w drodze rozporządzenia, harmonogram rozdysponowania określonych zasobów częstotliwości użytkowanych jako cywilne</w:t>
      </w:r>
      <w:r w:rsidR="00433977">
        <w:t xml:space="preserve"> w użytkowaniu cywilnym lub cywilno - rządowym</w:t>
      </w:r>
      <w:r w:rsidRPr="001E4029">
        <w:t>, z uwzględnieniem:</w:t>
      </w:r>
    </w:p>
    <w:p w14:paraId="4505FF3E" w14:textId="7253388E" w:rsidR="001E4029" w:rsidRPr="001E4029" w:rsidRDefault="001E4029" w:rsidP="001E4029">
      <w:pPr>
        <w:pStyle w:val="PKTpunkt"/>
      </w:pPr>
      <w:r>
        <w:t xml:space="preserve">1) </w:t>
      </w:r>
      <w:r w:rsidRPr="001E4029">
        <w:t>przeznaczeń częstotliwości określonych w Krajowej Tablicy Przeznaczeń Częstotliwości;</w:t>
      </w:r>
    </w:p>
    <w:p w14:paraId="6EE3B3FA" w14:textId="40F01E6E" w:rsidR="00EB3390" w:rsidRDefault="001E4029" w:rsidP="0016587F">
      <w:pPr>
        <w:pStyle w:val="PKTpunkt"/>
      </w:pPr>
      <w:r>
        <w:t xml:space="preserve">2) </w:t>
      </w:r>
      <w:r w:rsidRPr="001E4029">
        <w:t>wymagań stosowanych przy określaniu Krajowej Tablicy Przeznaczeń Częstotliwości.</w:t>
      </w:r>
      <w:r w:rsidR="009D4478" w:rsidRPr="009D4478">
        <w:t>”</w:t>
      </w:r>
      <w:r w:rsidR="00EB3390">
        <w:t>;</w:t>
      </w:r>
    </w:p>
    <w:p w14:paraId="307C6C0B" w14:textId="40142706" w:rsidR="00361EFB" w:rsidRPr="00650013" w:rsidRDefault="00BE5377" w:rsidP="004B6AAE">
      <w:pPr>
        <w:pStyle w:val="PKTpunkt"/>
        <w:keepNext/>
      </w:pPr>
      <w:r>
        <w:t>2</w:t>
      </w:r>
      <w:r w:rsidR="001338A1">
        <w:t>)</w:t>
      </w:r>
      <w:r w:rsidR="001338A1">
        <w:tab/>
      </w:r>
      <w:r w:rsidR="00361EFB" w:rsidRPr="00650013">
        <w:t>w art. 112:</w:t>
      </w:r>
    </w:p>
    <w:p w14:paraId="30499CF7" w14:textId="77777777" w:rsidR="00361EFB" w:rsidRPr="00650013" w:rsidRDefault="00361EFB" w:rsidP="00361EFB">
      <w:pPr>
        <w:pStyle w:val="LITlitera"/>
      </w:pPr>
      <w:r w:rsidRPr="00650013">
        <w:t>a)</w:t>
      </w:r>
      <w:r w:rsidRPr="00650013">
        <w:tab/>
        <w:t>uchyla się ust. 3,</w:t>
      </w:r>
    </w:p>
    <w:p w14:paraId="131787B3" w14:textId="77777777" w:rsidR="00361EFB" w:rsidRPr="00650013" w:rsidRDefault="00361EFB" w:rsidP="004B6AAE">
      <w:pPr>
        <w:pStyle w:val="LITlitera"/>
        <w:keepNext/>
      </w:pPr>
      <w:r w:rsidRPr="00650013">
        <w:t>b)</w:t>
      </w:r>
      <w:r w:rsidRPr="00650013">
        <w:tab/>
        <w:t>ust. 7 i 8 otrzymują brzmienie:</w:t>
      </w:r>
    </w:p>
    <w:p w14:paraId="08BD9AF3" w14:textId="3B28C96B" w:rsidR="00361EFB" w:rsidRPr="00361EFB" w:rsidRDefault="00C54224" w:rsidP="00361EFB">
      <w:pPr>
        <w:pStyle w:val="ZLITUSTzmustliter"/>
      </w:pPr>
      <w:r>
        <w:t>„</w:t>
      </w:r>
      <w:r w:rsidR="00361EFB" w:rsidRPr="00361EFB">
        <w:t xml:space="preserve">7. Prezes UKE publikuje na stronie podmiotowej BIP UKE informację </w:t>
      </w:r>
      <w:r w:rsidR="00361EFB" w:rsidRPr="00361EFB">
        <w:br/>
        <w:t>o przystąpieniu do opracowania planu zagospodarowania określonego zakresu częstotliwości lub do opracowania jego zmiany, w tym projekt planu zagospodarowania określonego zakresu częstotliwości lub projekt jego zmiany. Przepisy o postępowaniu konsultacyjnym stosuje się, z wyjątkiem art. 16 ust. 1 zdanie drugie.</w:t>
      </w:r>
    </w:p>
    <w:p w14:paraId="6CEE033D" w14:textId="428EFA75" w:rsidR="00361EFB" w:rsidRPr="00361EFB" w:rsidRDefault="00361EFB" w:rsidP="00361EFB">
      <w:pPr>
        <w:pStyle w:val="ZLITUSTzmustliter"/>
      </w:pPr>
      <w:r w:rsidRPr="00361EFB">
        <w:lastRenderedPageBreak/>
        <w:t>8.</w:t>
      </w:r>
      <w:r w:rsidR="00035DB0">
        <w:t xml:space="preserve"> </w:t>
      </w:r>
      <w:r w:rsidRPr="00361EFB">
        <w:t>Przepisu ust. 7 nie stosuje się do planu zagospodarowania częstotliwości przeznaczonych do rozpowszechniania lub rozprowadzania programów radiofonicznych w sposób analogowy.</w:t>
      </w:r>
      <w:r w:rsidR="00C54224">
        <w:t>”</w:t>
      </w:r>
      <w:r w:rsidRPr="00361EFB">
        <w:t>;</w:t>
      </w:r>
    </w:p>
    <w:p w14:paraId="01FF2663" w14:textId="77777777" w:rsidR="00361EFB" w:rsidRPr="00361EFB" w:rsidRDefault="00BE5377" w:rsidP="00361EFB">
      <w:pPr>
        <w:pStyle w:val="PKTpunkt"/>
      </w:pPr>
      <w:r>
        <w:t>3</w:t>
      </w:r>
      <w:r w:rsidR="00361EFB" w:rsidRPr="00361EFB">
        <w:t>)</w:t>
      </w:r>
      <w:r w:rsidR="00361EFB" w:rsidRPr="00361EFB">
        <w:tab/>
        <w:t>w art. 114:</w:t>
      </w:r>
    </w:p>
    <w:p w14:paraId="347054BF" w14:textId="77777777" w:rsidR="00361EFB" w:rsidRPr="00361EFB" w:rsidRDefault="004844BD" w:rsidP="004B6AAE">
      <w:pPr>
        <w:pStyle w:val="LITlitera"/>
      </w:pPr>
      <w:r>
        <w:t>a)</w:t>
      </w:r>
      <w:r>
        <w:tab/>
      </w:r>
      <w:r w:rsidR="00361EFB" w:rsidRPr="00361EFB">
        <w:t>ust. 2a otrzymuje brzmienie:</w:t>
      </w:r>
    </w:p>
    <w:p w14:paraId="546FE061" w14:textId="117D63A0" w:rsidR="00361EFB" w:rsidRPr="00361EFB" w:rsidRDefault="00C54224" w:rsidP="00361EFB">
      <w:pPr>
        <w:pStyle w:val="ZLITUSTzmustliter"/>
      </w:pPr>
      <w:r>
        <w:t>„</w:t>
      </w:r>
      <w:r w:rsidR="00361EFB" w:rsidRPr="00361EFB">
        <w:t>2a.</w:t>
      </w:r>
      <w:r w:rsidR="00035DB0">
        <w:t xml:space="preserve"> </w:t>
      </w:r>
      <w:r w:rsidR="00361EFB" w:rsidRPr="00361EFB">
        <w:t>Porozumienie, o którym mowa w ust. 2, nie jest wymagane w przypadku dokonania zmiany lub cofnięcia rezerwacji częstotliwości na cele rozpowszechniania programów radiofonicznych w sposób analogowy, na które Przewodniczący KRRiT odpowiednio: udzielił, zmienił lub cofnął koncesję.</w:t>
      </w:r>
      <w:r>
        <w:t>”</w:t>
      </w:r>
      <w:r w:rsidR="00361EFB" w:rsidRPr="00361EFB">
        <w:t>,</w:t>
      </w:r>
    </w:p>
    <w:p w14:paraId="62FFD489" w14:textId="77777777" w:rsidR="00361EFB" w:rsidRPr="00361EFB" w:rsidRDefault="00361EFB" w:rsidP="004B6AAE">
      <w:pPr>
        <w:pStyle w:val="LITlitera"/>
      </w:pPr>
      <w:r w:rsidRPr="00361EFB">
        <w:t>b)</w:t>
      </w:r>
      <w:r w:rsidR="00035DB0">
        <w:tab/>
      </w:r>
      <w:r w:rsidRPr="00361EFB">
        <w:t>po ust. 2a dodaje się ust. 2b – 2c w brzmieniu:</w:t>
      </w:r>
    </w:p>
    <w:p w14:paraId="0B8969CF" w14:textId="13BFB8D8" w:rsidR="00361EFB" w:rsidRPr="00361EFB" w:rsidRDefault="00C54224" w:rsidP="004B6AAE">
      <w:pPr>
        <w:pStyle w:val="ZLITUSTzmustliter"/>
      </w:pPr>
      <w:r>
        <w:t>„</w:t>
      </w:r>
      <w:r w:rsidR="00361EFB" w:rsidRPr="00361EFB">
        <w:t xml:space="preserve">2b. Zmiana rezerwacji częstotliwości nie może polegać na: </w:t>
      </w:r>
    </w:p>
    <w:p w14:paraId="31ACDC1A" w14:textId="77777777" w:rsidR="00361EFB" w:rsidRDefault="00361EFB" w:rsidP="004B6AAE">
      <w:pPr>
        <w:pStyle w:val="ZLITLITzmlitliter"/>
      </w:pPr>
      <w:r w:rsidRPr="00361EFB">
        <w:t>1)</w:t>
      </w:r>
      <w:r w:rsidRPr="00361EFB">
        <w:tab/>
        <w:t>zwiększeniu zasobów częstotliwości posiadanych przez podmiot</w:t>
      </w:r>
      <w:r w:rsidR="00706228" w:rsidRPr="00706228">
        <w:t xml:space="preserve"> </w:t>
      </w:r>
      <w:r w:rsidR="00706228">
        <w:t>wyrażonych w MHz</w:t>
      </w:r>
      <w:r w:rsidRPr="00361EFB">
        <w:t>;</w:t>
      </w:r>
    </w:p>
    <w:p w14:paraId="4F84AA3C" w14:textId="28535E38" w:rsidR="00F35EF4" w:rsidRPr="00361EFB" w:rsidRDefault="00A109FB" w:rsidP="004B6AAE">
      <w:pPr>
        <w:pStyle w:val="ZLITLITzmlitliter"/>
      </w:pPr>
      <w:r>
        <w:t>2)</w:t>
      </w:r>
      <w:r>
        <w:tab/>
      </w:r>
      <w:r w:rsidR="00F35EF4">
        <w:t xml:space="preserve">zamianie zasobów częstotliwości na </w:t>
      </w:r>
      <w:r w:rsidR="00685971">
        <w:t xml:space="preserve">inne </w:t>
      </w:r>
      <w:r w:rsidR="00F35EF4">
        <w:t>zasoby</w:t>
      </w:r>
      <w:r w:rsidR="00685971">
        <w:t xml:space="preserve">, </w:t>
      </w:r>
      <w:r w:rsidR="00933ECB">
        <w:t xml:space="preserve">chyba że </w:t>
      </w:r>
      <w:r w:rsidR="00467860">
        <w:t>dokonywan</w:t>
      </w:r>
      <w:r w:rsidR="00933ECB">
        <w:t>a jest</w:t>
      </w:r>
      <w:r w:rsidR="00467860">
        <w:t xml:space="preserve"> na podstawie</w:t>
      </w:r>
      <w:r w:rsidR="00685971">
        <w:t xml:space="preserve"> art. 123 ust. 1 pkt 9 lub ust. 2c;</w:t>
      </w:r>
    </w:p>
    <w:p w14:paraId="2F83A301" w14:textId="77777777" w:rsidR="00361EFB" w:rsidRPr="00361EFB" w:rsidRDefault="00F35EF4" w:rsidP="004B6AAE">
      <w:pPr>
        <w:pStyle w:val="ZLITLITzmlitliter"/>
      </w:pPr>
      <w:r>
        <w:t>3</w:t>
      </w:r>
      <w:r w:rsidR="00361EFB" w:rsidRPr="00361EFB">
        <w:t>)</w:t>
      </w:r>
      <w:r w:rsidR="00361EFB" w:rsidRPr="00361EFB">
        <w:tab/>
        <w:t>rozszerzeniu obszaru</w:t>
      </w:r>
      <w:r w:rsidR="006144F6">
        <w:t>, na którym mogą być wykorzystywane częstotliwości</w:t>
      </w:r>
      <w:r w:rsidR="00361EFB" w:rsidRPr="00361EFB">
        <w:t>.</w:t>
      </w:r>
    </w:p>
    <w:p w14:paraId="681123B8" w14:textId="016FA3D4" w:rsidR="00361EFB" w:rsidRPr="00361EFB" w:rsidRDefault="00361EFB" w:rsidP="00361EFB">
      <w:pPr>
        <w:pStyle w:val="ZLITUSTzmustliter"/>
      </w:pPr>
      <w:r w:rsidRPr="00361EFB">
        <w:t xml:space="preserve">2c. Przepisu ust. 2b pkt </w:t>
      </w:r>
      <w:r w:rsidR="00710926">
        <w:t>3</w:t>
      </w:r>
      <w:r w:rsidRPr="00361EFB">
        <w:t xml:space="preserve"> nie stosuje się do rezerwacji na cele rozpowszechniania programów radiofonicznych w sposób analogowy drogą rozsiewczą naziemną.</w:t>
      </w:r>
      <w:r w:rsidR="00C54224">
        <w:t>”</w:t>
      </w:r>
      <w:r w:rsidRPr="00361EFB">
        <w:t>,</w:t>
      </w:r>
    </w:p>
    <w:p w14:paraId="7494392F" w14:textId="77777777" w:rsidR="00361EFB" w:rsidRPr="00361EFB" w:rsidRDefault="00361EFB" w:rsidP="004B6AAE">
      <w:pPr>
        <w:pStyle w:val="LITlitera"/>
      </w:pPr>
      <w:r w:rsidRPr="00035DB0">
        <w:t>c)</w:t>
      </w:r>
      <w:r w:rsidR="004844BD" w:rsidRPr="00035DB0">
        <w:tab/>
      </w:r>
      <w:r w:rsidRPr="00035DB0">
        <w:t xml:space="preserve">w ust. </w:t>
      </w:r>
      <w:r w:rsidRPr="00361EFB">
        <w:t>3:</w:t>
      </w:r>
    </w:p>
    <w:p w14:paraId="7562BD20" w14:textId="77777777" w:rsidR="00361EFB" w:rsidRPr="00361EFB" w:rsidRDefault="004844BD" w:rsidP="004B6AAE">
      <w:pPr>
        <w:pStyle w:val="TIRtiret"/>
      </w:pPr>
      <w:r>
        <w:rPr>
          <w:rFonts w:cs="Times"/>
        </w:rPr>
        <w:t>−</w:t>
      </w:r>
      <w:r>
        <w:rPr>
          <w:rFonts w:cs="Times"/>
        </w:rPr>
        <w:tab/>
      </w:r>
      <w:r w:rsidR="00361EFB" w:rsidRPr="00361EFB">
        <w:t>zdanie wprowadzające do wyliczenia otrzymuje brzmienie:</w:t>
      </w:r>
    </w:p>
    <w:p w14:paraId="67FE7AF8" w14:textId="56FF7DC3" w:rsidR="00361EFB" w:rsidRPr="00361EFB" w:rsidRDefault="00C54224" w:rsidP="004B6AAE">
      <w:pPr>
        <w:pStyle w:val="ZTIRUSTzmusttiret"/>
      </w:pPr>
      <w:r>
        <w:t>„</w:t>
      </w:r>
      <w:r w:rsidR="00361EFB" w:rsidRPr="00361EFB">
        <w:t>3. Rezerwacji częstotliwości dokonuje się dla podmiotu, który spełnia wymagania określone ustawą oraz jeżeli częstotliwości:</w:t>
      </w:r>
      <w:r>
        <w:t>”</w:t>
      </w:r>
      <w:r w:rsidR="00361EFB" w:rsidRPr="00361EFB">
        <w:t>,</w:t>
      </w:r>
    </w:p>
    <w:p w14:paraId="28C07029" w14:textId="77777777" w:rsidR="00361EFB" w:rsidRPr="00361EFB" w:rsidRDefault="004844BD" w:rsidP="004B6AAE">
      <w:pPr>
        <w:pStyle w:val="TIRtiret"/>
      </w:pPr>
      <w:r>
        <w:rPr>
          <w:rFonts w:cs="Times"/>
        </w:rPr>
        <w:t>−</w:t>
      </w:r>
      <w:r>
        <w:rPr>
          <w:rFonts w:cs="Times"/>
        </w:rPr>
        <w:tab/>
      </w:r>
      <w:r w:rsidR="00361EFB" w:rsidRPr="00361EFB">
        <w:t>pkt 1 otrzymuje brzmienie:</w:t>
      </w:r>
    </w:p>
    <w:p w14:paraId="799B963B" w14:textId="3BB65D69" w:rsidR="00361EFB" w:rsidRPr="004559A1" w:rsidRDefault="00C54224" w:rsidP="00361EFB">
      <w:pPr>
        <w:pStyle w:val="ZPKTzmpktartykuempunktem"/>
      </w:pPr>
      <w:r>
        <w:t>„</w:t>
      </w:r>
      <w:r w:rsidR="001F017C" w:rsidRPr="004B6AAE">
        <w:t>1)</w:t>
      </w:r>
      <w:r w:rsidR="001F017C" w:rsidRPr="004B6AAE">
        <w:tab/>
      </w:r>
      <w:r w:rsidR="00361EFB" w:rsidRPr="004559A1">
        <w:t>są dostępne, z zastrzeżeniem art. 116 ust. 12;</w:t>
      </w:r>
      <w:r>
        <w:t>”</w:t>
      </w:r>
      <w:r w:rsidR="001F017C" w:rsidRPr="004559A1">
        <w:t>;</w:t>
      </w:r>
    </w:p>
    <w:p w14:paraId="60DF3E42" w14:textId="77777777" w:rsidR="00361EFB" w:rsidRPr="004559A1" w:rsidRDefault="00BE5377" w:rsidP="004B6AAE">
      <w:pPr>
        <w:pStyle w:val="PKTpunkt"/>
      </w:pPr>
      <w:r>
        <w:t>4</w:t>
      </w:r>
      <w:r w:rsidR="00361EFB" w:rsidRPr="004559A1">
        <w:t>)</w:t>
      </w:r>
      <w:r w:rsidR="004844BD" w:rsidRPr="004559A1">
        <w:tab/>
      </w:r>
      <w:r w:rsidR="00361EFB" w:rsidRPr="004559A1">
        <w:t>po art. 114 dodaje się art. 114</w:t>
      </w:r>
      <w:r w:rsidR="00361EFB" w:rsidRPr="004B6AAE">
        <w:rPr>
          <w:rStyle w:val="IGindeksgrny"/>
        </w:rPr>
        <w:t xml:space="preserve">1 </w:t>
      </w:r>
      <w:r w:rsidR="00361EFB" w:rsidRPr="004559A1">
        <w:t>w brzmieniu:</w:t>
      </w:r>
    </w:p>
    <w:p w14:paraId="6F64484F" w14:textId="1A963AB4" w:rsidR="00361EFB" w:rsidRPr="00361EFB" w:rsidRDefault="00C54224" w:rsidP="004B6AAE">
      <w:pPr>
        <w:pStyle w:val="ZARTzmartartykuempunktem"/>
      </w:pPr>
      <w:r>
        <w:t>„</w:t>
      </w:r>
      <w:r w:rsidR="00361EFB" w:rsidRPr="00686602">
        <w:t xml:space="preserve">Art. </w:t>
      </w:r>
      <w:r w:rsidR="008D6706" w:rsidRPr="00686602">
        <w:t>114</w:t>
      </w:r>
      <w:r w:rsidR="008D6706" w:rsidRPr="00686602">
        <w:rPr>
          <w:rStyle w:val="IGindeksgrny"/>
        </w:rPr>
        <w:t>1</w:t>
      </w:r>
      <w:r w:rsidR="00361EFB" w:rsidRPr="00686602">
        <w:t xml:space="preserve">.1. Prezes </w:t>
      </w:r>
      <w:r w:rsidR="00361EFB" w:rsidRPr="00361EFB">
        <w:t xml:space="preserve">UKE </w:t>
      </w:r>
      <w:r w:rsidR="000F7B78">
        <w:t xml:space="preserve">niezwłocznie </w:t>
      </w:r>
      <w:r w:rsidR="00361EFB" w:rsidRPr="00361EFB">
        <w:t>informuje na stronie podmiotowej BIP UKE o wszczęciu postępowania w sprawie zmiany rezerwacji częstotliwości wyznaczając zainteresowanym podmiotom termin, nie krótszy niż trzydzieści dni, na wypowiedzenie się co do tej zmiany.</w:t>
      </w:r>
    </w:p>
    <w:p w14:paraId="7536F2D6" w14:textId="77777777" w:rsidR="00361EFB" w:rsidRPr="00361EFB" w:rsidRDefault="00361EFB" w:rsidP="004B6AAE">
      <w:pPr>
        <w:pStyle w:val="ZUSTzmustartykuempunktem"/>
      </w:pPr>
      <w:r w:rsidRPr="00361EFB">
        <w:t>2. Przepisu ust. 1 nie stosuje się:</w:t>
      </w:r>
    </w:p>
    <w:p w14:paraId="580EEA8F" w14:textId="77777777" w:rsidR="00361EFB" w:rsidRPr="00361EFB" w:rsidRDefault="00361EFB" w:rsidP="004B6AAE">
      <w:pPr>
        <w:pStyle w:val="ZPKTzmpktartykuempunktem"/>
      </w:pPr>
      <w:r w:rsidRPr="00361EFB">
        <w:t>1</w:t>
      </w:r>
      <w:r w:rsidR="004B6AAE">
        <w:t>)</w:t>
      </w:r>
      <w:r w:rsidR="004844BD">
        <w:tab/>
      </w:r>
      <w:r w:rsidRPr="00361EFB">
        <w:t>gdy zmiana ma charakter nieistotny i jest dokonywana na wniosek lub za zgodą podmiotu dysponującego rezerwacją częstotliwości;</w:t>
      </w:r>
    </w:p>
    <w:p w14:paraId="4F4962AA" w14:textId="77777777" w:rsidR="00361EFB" w:rsidRPr="00361EFB" w:rsidRDefault="00361EFB" w:rsidP="004B6AAE">
      <w:pPr>
        <w:pStyle w:val="ZPKTzmpktartykuempunktem"/>
      </w:pPr>
      <w:r w:rsidRPr="00361EFB">
        <w:lastRenderedPageBreak/>
        <w:t>2)</w:t>
      </w:r>
      <w:r w:rsidR="004844BD">
        <w:tab/>
      </w:r>
      <w:r w:rsidRPr="00361EFB">
        <w:t xml:space="preserve">w wyjątkowych przypadkach, wymagających pilnego działania ze względu </w:t>
      </w:r>
      <w:r w:rsidR="00C44030">
        <w:br/>
      </w:r>
      <w:r w:rsidRPr="00361EFB">
        <w:t>na wystąpienie przesłanek, o których mowa w art. 123 ust. 1 pkt 3.</w:t>
      </w:r>
    </w:p>
    <w:p w14:paraId="4D5AF11E" w14:textId="6E1B3755" w:rsidR="00361EFB" w:rsidRPr="00361EFB" w:rsidRDefault="00361EFB" w:rsidP="004B6AAE">
      <w:pPr>
        <w:pStyle w:val="ZUSTzmustartykuempunktem"/>
      </w:pPr>
      <w:r w:rsidRPr="00361EFB">
        <w:t>3. Za zmianę nieistotną nie można</w:t>
      </w:r>
      <w:r w:rsidR="009F14F2">
        <w:t xml:space="preserve"> w szczególności </w:t>
      </w:r>
      <w:r w:rsidRPr="00361EFB">
        <w:t>uznać zmiany, która prowadzi do rozszerzenia zakresu uprawnień wynikających z rezerwacji częstotliwości.</w:t>
      </w:r>
      <w:r w:rsidR="00C54224">
        <w:t>”</w:t>
      </w:r>
      <w:r w:rsidRPr="00361EFB">
        <w:t>;</w:t>
      </w:r>
    </w:p>
    <w:p w14:paraId="34E0F22D" w14:textId="77777777" w:rsidR="00650013" w:rsidRDefault="00BE5377" w:rsidP="004B6AAE">
      <w:pPr>
        <w:pStyle w:val="PKTpunkt"/>
      </w:pPr>
      <w:r>
        <w:t>5</w:t>
      </w:r>
      <w:r w:rsidR="00361EFB" w:rsidRPr="00361EFB">
        <w:t>)</w:t>
      </w:r>
      <w:r w:rsidR="00361EFB" w:rsidRPr="00361EFB">
        <w:tab/>
        <w:t>w art. 115</w:t>
      </w:r>
      <w:r w:rsidR="00870D15">
        <w:t>:</w:t>
      </w:r>
    </w:p>
    <w:p w14:paraId="34B77FDD" w14:textId="77777777" w:rsidR="00361EFB" w:rsidRPr="00650013" w:rsidRDefault="00650013" w:rsidP="004B6AAE">
      <w:pPr>
        <w:pStyle w:val="LITlitera"/>
      </w:pPr>
      <w:r w:rsidRPr="00650013">
        <w:t>a)</w:t>
      </w:r>
      <w:r w:rsidRPr="00650013">
        <w:tab/>
      </w:r>
      <w:r w:rsidR="00361EFB" w:rsidRPr="00650013">
        <w:t>po ust. 1 dodaje się ust. 1a w brzmieniu:</w:t>
      </w:r>
    </w:p>
    <w:p w14:paraId="7EB1211D" w14:textId="1B3ED9AA" w:rsidR="00361EFB" w:rsidRPr="00361EFB" w:rsidRDefault="00C54224" w:rsidP="004B6AAE">
      <w:pPr>
        <w:pStyle w:val="ZUSTzmustartykuempunktem"/>
      </w:pPr>
      <w:r>
        <w:t>„</w:t>
      </w:r>
      <w:r w:rsidR="00361EFB" w:rsidRPr="00361EFB">
        <w:t xml:space="preserve">1a. W rezerwacji dotyczącej zajętych zasobów częstotliwości, o których mowa </w:t>
      </w:r>
      <w:r w:rsidR="00C44030">
        <w:br/>
      </w:r>
      <w:r w:rsidR="00361EFB" w:rsidRPr="00361EFB">
        <w:t>w art. 116 ust. 12, dokonywanej dla podmiotu wyłonionego w drodze przetargu, aukcji albo konkursu, określa się okres rezerwacji rozpoczynający się nie wcześniej niż w dniu, w którym częstotliwości sta</w:t>
      </w:r>
      <w:r w:rsidR="0039478F">
        <w:t>ną</w:t>
      </w:r>
      <w:r w:rsidR="00361EFB" w:rsidRPr="00361EFB">
        <w:t xml:space="preserve"> się dostępne</w:t>
      </w:r>
      <w:r w:rsidR="001F017C">
        <w:t>.</w:t>
      </w:r>
      <w:r>
        <w:t>”</w:t>
      </w:r>
      <w:r w:rsidR="00650013">
        <w:t>,</w:t>
      </w:r>
    </w:p>
    <w:p w14:paraId="6C5061F3" w14:textId="77777777" w:rsidR="00361EFB" w:rsidRPr="00B8289A" w:rsidRDefault="00650013" w:rsidP="004B6AAE">
      <w:pPr>
        <w:pStyle w:val="LITlitera"/>
      </w:pPr>
      <w:r w:rsidRPr="00650013">
        <w:t>b</w:t>
      </w:r>
      <w:r w:rsidR="00361EFB" w:rsidRPr="00650013">
        <w:t>)</w:t>
      </w:r>
      <w:r w:rsidR="004844BD" w:rsidRPr="00650013">
        <w:tab/>
      </w:r>
      <w:r w:rsidR="00361EFB" w:rsidRPr="00650013">
        <w:t>w ust. 3 po pkt 4 średnik zastępuje się kropką i uchyla się pkt 5;</w:t>
      </w:r>
    </w:p>
    <w:p w14:paraId="62CA9066" w14:textId="77777777" w:rsidR="00361EFB" w:rsidRPr="00361EFB" w:rsidRDefault="00BE5377" w:rsidP="00361EFB">
      <w:pPr>
        <w:pStyle w:val="PKTpunkt"/>
      </w:pPr>
      <w:r>
        <w:t>6</w:t>
      </w:r>
      <w:r w:rsidR="00361EFB" w:rsidRPr="00361EFB">
        <w:t>)</w:t>
      </w:r>
      <w:r w:rsidR="00361EFB" w:rsidRPr="00361EFB">
        <w:tab/>
        <w:t>uchyla się art. 115b;</w:t>
      </w:r>
    </w:p>
    <w:p w14:paraId="10129344" w14:textId="77777777" w:rsidR="00361EFB" w:rsidRPr="00361EFB" w:rsidRDefault="00BE5377" w:rsidP="00361EFB">
      <w:pPr>
        <w:pStyle w:val="PKTpunkt"/>
      </w:pPr>
      <w:r>
        <w:t>7</w:t>
      </w:r>
      <w:r w:rsidR="00361EFB" w:rsidRPr="00361EFB">
        <w:t>)</w:t>
      </w:r>
      <w:r w:rsidR="00361EFB" w:rsidRPr="00361EFB">
        <w:tab/>
        <w:t>w art. 116:</w:t>
      </w:r>
    </w:p>
    <w:p w14:paraId="33A854FF" w14:textId="77777777" w:rsidR="00361EFB" w:rsidRPr="00361EFB" w:rsidRDefault="00361EFB" w:rsidP="00361EFB">
      <w:pPr>
        <w:pStyle w:val="LITlitera"/>
      </w:pPr>
      <w:r w:rsidRPr="00361EFB">
        <w:t>a)</w:t>
      </w:r>
      <w:r w:rsidRPr="00361EFB">
        <w:tab/>
        <w:t>ust. 2 i 3 otrzymują brzmienie:</w:t>
      </w:r>
    </w:p>
    <w:p w14:paraId="5BD18471" w14:textId="55185EFE" w:rsidR="00361EFB" w:rsidRDefault="00C54224" w:rsidP="00361EFB">
      <w:pPr>
        <w:pStyle w:val="ZLITUSTzmustliter"/>
      </w:pPr>
      <w:r>
        <w:t>„</w:t>
      </w:r>
      <w:r w:rsidR="00361EFB" w:rsidRPr="00361EFB">
        <w:t>2.</w:t>
      </w:r>
      <w:r w:rsidR="00A35445">
        <w:t xml:space="preserve"> </w:t>
      </w:r>
      <w:r w:rsidR="00361EFB" w:rsidRPr="00361EFB">
        <w:t xml:space="preserve">Prezes UKE ogłasza na stronie podmiotowej BIP UKE informację </w:t>
      </w:r>
      <w:r w:rsidR="00C44030">
        <w:br/>
      </w:r>
      <w:r w:rsidR="00361EFB" w:rsidRPr="00361EFB">
        <w:t>o zajętych zasobach częstotliwości oraz aktualizuje ją nie rzadziej niż raz w miesiącu. Prezes UKE może także ogłosić informację o dostępnym zasobie częstotliwości.</w:t>
      </w:r>
    </w:p>
    <w:p w14:paraId="0FD2B9AC" w14:textId="7C7A8731" w:rsidR="00361EFB" w:rsidRDefault="00870D15" w:rsidP="00361EFB">
      <w:pPr>
        <w:pStyle w:val="ZLITUSTzmustliter"/>
      </w:pPr>
      <w:r>
        <w:t xml:space="preserve">3. </w:t>
      </w:r>
      <w:r w:rsidR="00361EFB" w:rsidRPr="00361EFB">
        <w:t xml:space="preserve">W przypadku wpłynięcia wniosku o rezerwację </w:t>
      </w:r>
      <w:r w:rsidR="00466127">
        <w:t xml:space="preserve">dostępnego zasobu </w:t>
      </w:r>
      <w:r w:rsidR="00361EFB" w:rsidRPr="00361EFB">
        <w:t xml:space="preserve">częstotliwości, Prezes UKE ogłasza na stronie podmiotowej BIP UKE informację o </w:t>
      </w:r>
      <w:r w:rsidR="0061627D">
        <w:t xml:space="preserve">wpłynięciu wniosku </w:t>
      </w:r>
      <w:r w:rsidR="00361EFB" w:rsidRPr="00361EFB">
        <w:t xml:space="preserve">i wyznacza zainteresowanym podmiotom termin 14 dni na </w:t>
      </w:r>
      <w:r w:rsidR="00466127">
        <w:t>złożenie wniosku o</w:t>
      </w:r>
      <w:r w:rsidR="00361EFB" w:rsidRPr="00361EFB">
        <w:t xml:space="preserve"> rezerwacj</w:t>
      </w:r>
      <w:r w:rsidR="00466127">
        <w:t>ę</w:t>
      </w:r>
      <w:r w:rsidR="00361EFB" w:rsidRPr="00361EFB">
        <w:t xml:space="preserve"> częstotliwości. Jeżeli w terminie wyznaczonym przez Prezesa UKE </w:t>
      </w:r>
      <w:r w:rsidR="00466127">
        <w:t>zostanie złożony wniosek o rezerwację częstotliwości</w:t>
      </w:r>
      <w:r w:rsidR="0061627D">
        <w:t xml:space="preserve"> powodujący przekroczenie dostępnych zasobów częstotliwości</w:t>
      </w:r>
      <w:r w:rsidR="00361EFB" w:rsidRPr="00361EFB">
        <w:t>, oznacza to brak dostatecznych zasobów częstotliwości.</w:t>
      </w:r>
      <w:r w:rsidR="00C54224">
        <w:t>”</w:t>
      </w:r>
      <w:r w:rsidR="00361EFB" w:rsidRPr="00361EFB">
        <w:t>,</w:t>
      </w:r>
    </w:p>
    <w:p w14:paraId="2229AE10" w14:textId="77777777" w:rsidR="00042770" w:rsidRDefault="00361EFB" w:rsidP="00771AC6">
      <w:pPr>
        <w:pStyle w:val="LITlitera"/>
      </w:pPr>
      <w:r w:rsidRPr="00361EFB">
        <w:t>b)</w:t>
      </w:r>
      <w:r w:rsidRPr="00361EFB">
        <w:tab/>
      </w:r>
      <w:r w:rsidR="00042770">
        <w:t>uchyla się ust. 4</w:t>
      </w:r>
      <w:r w:rsidR="00BE5377">
        <w:t>,</w:t>
      </w:r>
    </w:p>
    <w:p w14:paraId="34076698" w14:textId="2F0E9010" w:rsidR="00361EFB" w:rsidRPr="00361EFB" w:rsidRDefault="001338A1" w:rsidP="00771AC6">
      <w:pPr>
        <w:pStyle w:val="LITlitera"/>
      </w:pPr>
      <w:r>
        <w:t>c)</w:t>
      </w:r>
      <w:r>
        <w:tab/>
      </w:r>
      <w:r w:rsidR="00361EFB" w:rsidRPr="00361EFB">
        <w:t>ust</w:t>
      </w:r>
      <w:r w:rsidR="00361EFB" w:rsidRPr="001B776B">
        <w:t xml:space="preserve">. 8 i 9 </w:t>
      </w:r>
      <w:r w:rsidR="00361EFB" w:rsidRPr="00361EFB">
        <w:t xml:space="preserve">otrzymują brzmienie: </w:t>
      </w:r>
    </w:p>
    <w:p w14:paraId="1AF79356" w14:textId="628241F9" w:rsidR="00361EFB" w:rsidRPr="00361EFB" w:rsidRDefault="00C54224" w:rsidP="00771AC6">
      <w:pPr>
        <w:pStyle w:val="ZLITUSTzmustliter"/>
      </w:pPr>
      <w:r>
        <w:t>„</w:t>
      </w:r>
      <w:r w:rsidR="00361EFB" w:rsidRPr="00361EFB">
        <w:t>8.</w:t>
      </w:r>
      <w:r w:rsidR="00421E1C">
        <w:t xml:space="preserve"> </w:t>
      </w:r>
      <w:r w:rsidR="00361EFB" w:rsidRPr="00361EFB">
        <w:t xml:space="preserve">Prezes UKE dokonuje rezerwacji częstotliwości na kolejny okres na wniosek podmiotu, który w czasie wykorzystywania przedmiotowych częstotliwości nie naruszył rażąco warunków wykorzystywania częstotliwości określonych </w:t>
      </w:r>
      <w:r w:rsidR="00C44030">
        <w:br/>
      </w:r>
      <w:r w:rsidR="00361EFB" w:rsidRPr="00361EFB">
        <w:t xml:space="preserve">w ustawie, przepisach wykonawczych i decyzji o rezerwacji częstotliwości, </w:t>
      </w:r>
      <w:r w:rsidR="00C44030">
        <w:br/>
      </w:r>
      <w:r w:rsidR="00361EFB" w:rsidRPr="00361EFB">
        <w:t xml:space="preserve">a w przypadku nadawcy - także jeżeli posiada koncesję na kolejny okres, </w:t>
      </w:r>
      <w:r w:rsidR="00C44030">
        <w:br/>
      </w:r>
      <w:r w:rsidR="00361EFB" w:rsidRPr="00361EFB">
        <w:t xml:space="preserve">po przeprowadzeniu postępowania konsultacyjnego w tej sprawie, z zastrzeżeniem </w:t>
      </w:r>
      <w:r w:rsidR="00361EFB" w:rsidRPr="00361EFB">
        <w:lastRenderedPageBreak/>
        <w:t>ust. 9, 9a, 9b i 9c, art. 114 ust. 3 oraz art. 124. Przy udzielaniu rezerwacji częstotliwości na kolejny okres, przetargu, aukcji ani konkursu nie przeprowadza się.</w:t>
      </w:r>
    </w:p>
    <w:p w14:paraId="26DC13F9" w14:textId="709B9719" w:rsidR="00361EFB" w:rsidRPr="00361EFB" w:rsidRDefault="00361EFB" w:rsidP="00771AC6">
      <w:pPr>
        <w:pStyle w:val="ZLITUSTzmustliter"/>
      </w:pPr>
      <w:r w:rsidRPr="00361EFB">
        <w:t>9.</w:t>
      </w:r>
      <w:r w:rsidR="00421E1C">
        <w:t xml:space="preserve"> </w:t>
      </w:r>
      <w:r w:rsidRPr="00361EFB">
        <w:t>Prezes UKE w porozumieniu z Prezesem UOKiK może, w drodze decyzji, odmówić rezerwacji częstotliwości na kolejny okres, jeżeli przemawia za tym potrzeba zapewnienia równoprawnej i skutecznej konkurencji, w szczególności w przypadku gdy dokonanie rezerwacji częstotliwości na kolejny okres mogłoby doprowadzić do nadmiernego skupienia częstotliwości przez dany podmiot lub grupę kapitałową, w której znajduje się dany podmiot.</w:t>
      </w:r>
      <w:r w:rsidR="00C54224">
        <w:t>”</w:t>
      </w:r>
      <w:r w:rsidRPr="00361EFB">
        <w:t>,</w:t>
      </w:r>
    </w:p>
    <w:p w14:paraId="63F7071B" w14:textId="77777777" w:rsidR="00361EFB" w:rsidRPr="00361EFB" w:rsidRDefault="00042770" w:rsidP="00771AC6">
      <w:pPr>
        <w:pStyle w:val="LITlitera"/>
      </w:pPr>
      <w:r>
        <w:t>d</w:t>
      </w:r>
      <w:r w:rsidR="00361EFB" w:rsidRPr="00361EFB">
        <w:t>)</w:t>
      </w:r>
      <w:r w:rsidR="00361EFB" w:rsidRPr="00361EFB">
        <w:tab/>
        <w:t>po ust. 9 dodaje się ust. 9a – 9c w brzmieniu:</w:t>
      </w:r>
    </w:p>
    <w:p w14:paraId="16D873DF" w14:textId="5A7FBE7B" w:rsidR="00361EFB" w:rsidRPr="00361EFB" w:rsidRDefault="00C54224" w:rsidP="00361EFB">
      <w:pPr>
        <w:pStyle w:val="ZLITUSTzmustliter"/>
      </w:pPr>
      <w:r>
        <w:t>„</w:t>
      </w:r>
      <w:r w:rsidR="00361EFB" w:rsidRPr="00361EFB">
        <w:t>9a. Prezes UKE może odmówić, w drodze decyzji, rezerwacji częstotliwości na kolejny okres, jeżeli przemawia za tym potrzeba istotnego zwiększenia efektywności wykorzystania częstotliwości.</w:t>
      </w:r>
    </w:p>
    <w:p w14:paraId="08E1FC6B" w14:textId="77777777" w:rsidR="00361EFB" w:rsidRPr="00361EFB" w:rsidRDefault="00361EFB" w:rsidP="00361EFB">
      <w:pPr>
        <w:pStyle w:val="ZLITUSTzmustliter"/>
      </w:pPr>
      <w:r w:rsidRPr="00361EFB">
        <w:t>9b. Prezes UKE odmawia, w drodze decyzji, rezerwacji częstotliwości na kolejny okres, w przypadku wystąpienia przesłanek</w:t>
      </w:r>
      <w:r w:rsidR="00BD2F74">
        <w:t>, o których mowa</w:t>
      </w:r>
      <w:r w:rsidR="00283A7E">
        <w:t xml:space="preserve"> </w:t>
      </w:r>
      <w:r w:rsidRPr="00361EFB">
        <w:t xml:space="preserve">w art. 123 </w:t>
      </w:r>
      <w:r w:rsidR="00C44030">
        <w:br/>
      </w:r>
      <w:r w:rsidRPr="00361EFB">
        <w:t xml:space="preserve">ust. 6 pkt 1, 2, 3 </w:t>
      </w:r>
      <w:r w:rsidR="000C38CA">
        <w:t xml:space="preserve">lub </w:t>
      </w:r>
      <w:r w:rsidRPr="00361EFB">
        <w:t>6. Przepisy art. 123 ust. 8-11 stosuje się.</w:t>
      </w:r>
    </w:p>
    <w:p w14:paraId="609D5682" w14:textId="3A69D4B9" w:rsidR="00361EFB" w:rsidRDefault="00361EFB" w:rsidP="00CD209C">
      <w:pPr>
        <w:pStyle w:val="ZLITUSTzmustliter"/>
      </w:pPr>
      <w:r w:rsidRPr="00361EFB">
        <w:t>9c. W przypadku wydania decyzji o odmowie rezerwacji częstotliwości na kolejny okres stosuje się ust. 1</w:t>
      </w:r>
      <w:r w:rsidR="00B65094">
        <w:rPr>
          <w:rFonts w:cs="Times"/>
        </w:rPr>
        <w:t>−</w:t>
      </w:r>
      <w:r w:rsidRPr="00361EFB">
        <w:t>7.</w:t>
      </w:r>
      <w:r w:rsidR="00C54224">
        <w:t>”</w:t>
      </w:r>
      <w:r w:rsidRPr="00361EFB">
        <w:t>,</w:t>
      </w:r>
    </w:p>
    <w:p w14:paraId="0F0C9791" w14:textId="6C930204" w:rsidR="00EE5F25" w:rsidRPr="00EE5F25" w:rsidRDefault="00042770" w:rsidP="00A109FB">
      <w:pPr>
        <w:pStyle w:val="LITlitera"/>
      </w:pPr>
      <w:r>
        <w:t>e</w:t>
      </w:r>
      <w:r w:rsidR="00A109FB">
        <w:t>)</w:t>
      </w:r>
      <w:r w:rsidR="00A109FB">
        <w:tab/>
      </w:r>
      <w:r w:rsidR="00EE5F25" w:rsidRPr="00EE5F25">
        <w:t>ust. 10 otrzymuje brzmienie:</w:t>
      </w:r>
    </w:p>
    <w:p w14:paraId="711F3D16" w14:textId="7EDBC7C8" w:rsidR="00EE5F25" w:rsidRPr="00EE5F25" w:rsidRDefault="00C54224" w:rsidP="00CD209C">
      <w:pPr>
        <w:pStyle w:val="ZLITUSTzmustliter"/>
      </w:pPr>
      <w:r>
        <w:t>„</w:t>
      </w:r>
      <w:r w:rsidR="00EE5F25" w:rsidRPr="00EE5F25">
        <w:t>10. Wniosek, o którym mowa w ust. 8, należy złożyć nie wcześniej niż 3 lata przed upływem okresu wykorzystywania częstotliwości i nie później niż 2 lata przed upływem tego okresu.</w:t>
      </w:r>
      <w:r w:rsidR="00C14E77">
        <w:t xml:space="preserve"> W przypadku rezerwacji wydanych na okres 2 lat lub krótszy, wniosek należy złożyć nie później niż 6 miesięcy przed upływem okresu wykorzystywania cz</w:t>
      </w:r>
      <w:r w:rsidR="004B2E32">
        <w:t>ęstotliwości</w:t>
      </w:r>
      <w:r w:rsidR="00094995">
        <w:t xml:space="preserve">. </w:t>
      </w:r>
      <w:r w:rsidR="00191B35" w:rsidRPr="00191B35">
        <w:t>W przypadku, gdy w dniu złożenia wniosku, o którym mowa w ust. 8 toczy się w zakresie rezerwacji objętej tym wnioskiem postępowanie, o którym mowa  w ust. 11a, postępowanie wszczęte na wniosek, o którym mowa w ust. 8 ulega zawieszeniu do czasu wydania ostatecznego rozstrzygnięcia na podstawie ust. 11a.</w:t>
      </w:r>
      <w:r>
        <w:t>”</w:t>
      </w:r>
      <w:r w:rsidR="00EE5F25" w:rsidRPr="00EE5F25">
        <w:t>,</w:t>
      </w:r>
    </w:p>
    <w:p w14:paraId="567763A9" w14:textId="77777777" w:rsidR="00361EFB" w:rsidRPr="00361EFB" w:rsidRDefault="00042770" w:rsidP="00BD2F74">
      <w:pPr>
        <w:pStyle w:val="LITlitera"/>
      </w:pPr>
      <w:r>
        <w:t>f</w:t>
      </w:r>
      <w:r w:rsidR="00361EFB" w:rsidRPr="00361EFB">
        <w:t>)</w:t>
      </w:r>
      <w:r w:rsidR="004844BD">
        <w:tab/>
      </w:r>
      <w:r w:rsidR="00361EFB" w:rsidRPr="00361EFB">
        <w:t>ust. 11 otrzymuje brzmienie:</w:t>
      </w:r>
    </w:p>
    <w:p w14:paraId="3D372F2C" w14:textId="1CCB693A" w:rsidR="00361EFB" w:rsidRDefault="00C54224" w:rsidP="00BD2F74">
      <w:pPr>
        <w:pStyle w:val="ZLITUSTzmustliter"/>
      </w:pPr>
      <w:r>
        <w:t>„</w:t>
      </w:r>
      <w:r w:rsidR="00361EFB" w:rsidRPr="00361EFB">
        <w:t>11. Wniosek złożony z niezachowaniem terminu, o którym mowa w ust. 10, Prezes UKE pozostawia bez rozpoznania.</w:t>
      </w:r>
      <w:r>
        <w:t>”</w:t>
      </w:r>
      <w:r w:rsidR="00421E1C">
        <w:t>,</w:t>
      </w:r>
    </w:p>
    <w:p w14:paraId="09199097" w14:textId="39378B44" w:rsidR="00CD209C" w:rsidRDefault="00042770" w:rsidP="00A109FB">
      <w:pPr>
        <w:pStyle w:val="LITlitera"/>
      </w:pPr>
      <w:r>
        <w:t>g</w:t>
      </w:r>
      <w:r w:rsidR="00A109FB">
        <w:t>)</w:t>
      </w:r>
      <w:r w:rsidR="00A109FB">
        <w:tab/>
      </w:r>
      <w:r w:rsidR="00CD209C">
        <w:t>po ust. 11 dodaje się ust. 11a w brzmieniu:</w:t>
      </w:r>
    </w:p>
    <w:p w14:paraId="34CCB005" w14:textId="70BD41AC" w:rsidR="00CD209C" w:rsidRPr="00CD209C" w:rsidRDefault="00C54224" w:rsidP="00CD209C">
      <w:pPr>
        <w:pStyle w:val="ZLITUSTzmustliter"/>
      </w:pPr>
      <w:r>
        <w:t>„</w:t>
      </w:r>
      <w:r w:rsidR="00CD209C">
        <w:t xml:space="preserve">11a. </w:t>
      </w:r>
      <w:r w:rsidR="00CD209C" w:rsidRPr="00CD209C">
        <w:t xml:space="preserve">Prezes UKE może z urzędu wydać decyzję, w której stwierdzi brak możliwości przedłużenia rezerwacji częstotliwości z przyczyn wskazanych w ust. </w:t>
      </w:r>
      <w:r w:rsidR="00832351">
        <w:t xml:space="preserve">9 </w:t>
      </w:r>
      <w:r w:rsidR="00832351">
        <w:lastRenderedPageBreak/>
        <w:t>-</w:t>
      </w:r>
      <w:r w:rsidR="00CD209C" w:rsidRPr="00CD209C">
        <w:t xml:space="preserve"> 9</w:t>
      </w:r>
      <w:r w:rsidR="00CD209C">
        <w:t>b</w:t>
      </w:r>
      <w:r w:rsidR="00CD209C" w:rsidRPr="00CD209C">
        <w:t xml:space="preserve">. Postępowanie w sprawie wszczyna się nie wcześniej niż </w:t>
      </w:r>
      <w:r w:rsidR="00CD209C">
        <w:t>3</w:t>
      </w:r>
      <w:r w:rsidR="00CD209C" w:rsidRPr="00CD209C">
        <w:t xml:space="preserve"> lata przed upływem okresu wykorzystywania częstotliwości.</w:t>
      </w:r>
      <w:r w:rsidR="00832351">
        <w:t xml:space="preserve"> W przypadkach, o których mowa w ust. 9 Prezes UKE wydaje decyzję w porozumieniu z Prezesem UOKiK</w:t>
      </w:r>
      <w:r w:rsidR="0005647B">
        <w:t xml:space="preserve">. </w:t>
      </w:r>
      <w:r w:rsidR="00191B35" w:rsidRPr="00191B35">
        <w:t xml:space="preserve">Postępowania nie wszczyna się w przypadku, gdy miałoby ono dotyczyć  rezerwacji częstotliwości, w zakresie której prowadzone jest postępowanie wszczęte na </w:t>
      </w:r>
      <w:r w:rsidR="00191B35">
        <w:t>wniosek, o którym mowa w ust. 8</w:t>
      </w:r>
      <w:r w:rsidR="0005647B">
        <w:t>.</w:t>
      </w:r>
      <w:r>
        <w:t>”</w:t>
      </w:r>
      <w:r w:rsidR="00CD209C">
        <w:t>,</w:t>
      </w:r>
    </w:p>
    <w:p w14:paraId="2B898E61" w14:textId="77777777" w:rsidR="00361EFB" w:rsidRPr="00361EFB" w:rsidRDefault="00042770" w:rsidP="00BD2F74">
      <w:pPr>
        <w:pStyle w:val="LITlitera"/>
      </w:pPr>
      <w:r>
        <w:t>h</w:t>
      </w:r>
      <w:r w:rsidR="00361EFB" w:rsidRPr="00361EFB">
        <w:t>)</w:t>
      </w:r>
      <w:r w:rsidR="00035DB0">
        <w:tab/>
      </w:r>
      <w:r w:rsidR="00361EFB" w:rsidRPr="00361EFB">
        <w:t>ust. 12 otrzymuje brzmienie:</w:t>
      </w:r>
    </w:p>
    <w:p w14:paraId="5727DB8E" w14:textId="1EED1B53" w:rsidR="00361EFB" w:rsidRPr="00361EFB" w:rsidRDefault="00C54224" w:rsidP="00361EFB">
      <w:pPr>
        <w:pStyle w:val="ZLITUSTzmustliter"/>
      </w:pPr>
      <w:r>
        <w:t>„</w:t>
      </w:r>
      <w:r w:rsidR="00361EFB" w:rsidRPr="00361EFB">
        <w:t>12.</w:t>
      </w:r>
      <w:r w:rsidR="00650013">
        <w:t xml:space="preserve"> </w:t>
      </w:r>
      <w:r w:rsidR="00361EFB" w:rsidRPr="00361EFB">
        <w:t>Prezes UKE może, z własnej inicjatywy, ogłosić przetarg, aukcję albo konkurs na rezerwację częstotliwości. Przetarg, aukcja albo konkurs, o których mowa w zdaniu poprzedzającym, mogą dotyczyć także zajętych zasobów częstotliwości</w:t>
      </w:r>
      <w:r w:rsidR="00C24CB7">
        <w:t>,</w:t>
      </w:r>
      <w:r w:rsidR="00C24CB7" w:rsidRPr="00C24CB7">
        <w:t xml:space="preserve"> których data dostępności będzie znana najpóźniej w dniu ogłoszenia przetargu, aukcji </w:t>
      </w:r>
      <w:r w:rsidR="009B7D27">
        <w:t>albo</w:t>
      </w:r>
      <w:r w:rsidR="00C24CB7" w:rsidRPr="00C24CB7">
        <w:t xml:space="preserve"> konkursu</w:t>
      </w:r>
      <w:r w:rsidR="00361EFB" w:rsidRPr="00361EFB">
        <w:t>.</w:t>
      </w:r>
      <w:r>
        <w:t>”</w:t>
      </w:r>
      <w:r w:rsidR="00361EFB" w:rsidRPr="00361EFB">
        <w:t>;</w:t>
      </w:r>
    </w:p>
    <w:p w14:paraId="2F1EB8E5" w14:textId="77777777" w:rsidR="00361EFB" w:rsidRPr="00361EFB" w:rsidRDefault="00BE5377" w:rsidP="00361EFB">
      <w:pPr>
        <w:pStyle w:val="PKTpunkt"/>
      </w:pPr>
      <w:r>
        <w:t>8</w:t>
      </w:r>
      <w:r w:rsidR="00361EFB" w:rsidRPr="00361EFB">
        <w:t>)</w:t>
      </w:r>
      <w:r w:rsidR="00361EFB" w:rsidRPr="00361EFB">
        <w:tab/>
        <w:t>uchyla się art. 116a</w:t>
      </w:r>
      <w:r w:rsidR="00421E1C">
        <w:t>;</w:t>
      </w:r>
    </w:p>
    <w:p w14:paraId="48A7E8A8" w14:textId="77777777" w:rsidR="00361EFB" w:rsidRPr="00361EFB" w:rsidRDefault="00BE5377" w:rsidP="00361EFB">
      <w:pPr>
        <w:pStyle w:val="PKTpunkt"/>
      </w:pPr>
      <w:r>
        <w:t>9</w:t>
      </w:r>
      <w:r w:rsidR="00361EFB" w:rsidRPr="00361EFB">
        <w:t>)</w:t>
      </w:r>
      <w:r w:rsidR="00361EFB" w:rsidRPr="00361EFB">
        <w:tab/>
        <w:t xml:space="preserve">po art. 116a dodaje się art. </w:t>
      </w:r>
      <w:r w:rsidR="00A32B08">
        <w:t xml:space="preserve">116aa </w:t>
      </w:r>
      <w:r w:rsidR="00261860">
        <w:t xml:space="preserve">i </w:t>
      </w:r>
      <w:r w:rsidR="00361EFB" w:rsidRPr="00361EFB">
        <w:t>116b w brzmieniu:</w:t>
      </w:r>
    </w:p>
    <w:p w14:paraId="6C954919" w14:textId="508C4F79" w:rsidR="00261860" w:rsidRDefault="00C54224" w:rsidP="00BD2F74">
      <w:pPr>
        <w:pStyle w:val="ZARTzmartartykuempunktem"/>
      </w:pPr>
      <w:r w:rsidRPr="004F3C4F">
        <w:t>„</w:t>
      </w:r>
      <w:r w:rsidR="00361EFB" w:rsidRPr="00361EFB">
        <w:t>Art.</w:t>
      </w:r>
      <w:r w:rsidR="00CB444B">
        <w:t xml:space="preserve"> </w:t>
      </w:r>
      <w:r w:rsidR="00A32B08">
        <w:t>116aa</w:t>
      </w:r>
      <w:r w:rsidR="004F3C4F">
        <w:t xml:space="preserve">. </w:t>
      </w:r>
      <w:r w:rsidR="00261860" w:rsidRPr="00261860">
        <w:t xml:space="preserve">Ilekroć w niniejszym rozdziale jest mowa o grupie kapitałowej rozumie się przez to </w:t>
      </w:r>
      <w:r w:rsidR="00261860">
        <w:t xml:space="preserve">grupę kapitałową w rozumieniu ustawy z dnia 16 lutego 2007 r. o ochronie konkurencji i konsumentów  </w:t>
      </w:r>
      <w:r w:rsidR="00E378F5">
        <w:t xml:space="preserve">(Dz. U. z 2018 r. poz. </w:t>
      </w:r>
      <w:r w:rsidR="00242CBA">
        <w:t>798</w:t>
      </w:r>
      <w:r w:rsidR="00E378F5">
        <w:t xml:space="preserve"> i 1637) </w:t>
      </w:r>
      <w:r w:rsidR="00261860" w:rsidRPr="00261860">
        <w:t>przy czym przez przedsiębiorcę rozumie się także:</w:t>
      </w:r>
    </w:p>
    <w:p w14:paraId="36223CA5" w14:textId="7EF5A529" w:rsidR="00261860" w:rsidRDefault="00A109FB" w:rsidP="00BD2F74">
      <w:pPr>
        <w:pStyle w:val="ZARTzmartartykuempunktem"/>
      </w:pPr>
      <w:r>
        <w:t>1)</w:t>
      </w:r>
      <w:r>
        <w:tab/>
      </w:r>
      <w:r w:rsidR="00261860" w:rsidRPr="00261860">
        <w:t xml:space="preserve">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przepisów ustawy z dnia 6 marca </w:t>
      </w:r>
      <w:r w:rsidR="00261860">
        <w:t>2018 r. - Prawo przedsiębiorców</w:t>
      </w:r>
      <w:r w:rsidR="005571A8">
        <w:t xml:space="preserve"> (Dz. U. poz. 646 i 1479)</w:t>
      </w:r>
      <w:r w:rsidR="00261860">
        <w:t>;</w:t>
      </w:r>
    </w:p>
    <w:p w14:paraId="5A7D4375" w14:textId="6AC88A8F" w:rsidR="00261860" w:rsidRDefault="00A109FB" w:rsidP="00BD2F74">
      <w:pPr>
        <w:pStyle w:val="ZARTzmartartykuempunktem"/>
      </w:pPr>
      <w:r>
        <w:t>2)</w:t>
      </w:r>
      <w:r>
        <w:tab/>
      </w:r>
      <w:r w:rsidR="00261860" w:rsidRPr="00261860">
        <w:t>osobę fizyczną wykonującą zawód we własnym imieniu i na własny rachunek lub prowadzącą działalność w ramach wykonywania takiego zawodu</w:t>
      </w:r>
      <w:r w:rsidR="00261860">
        <w:t>;</w:t>
      </w:r>
    </w:p>
    <w:p w14:paraId="1291BE37" w14:textId="68FAD6A4" w:rsidR="00261860" w:rsidRDefault="00A109FB" w:rsidP="00BD2F74">
      <w:pPr>
        <w:pStyle w:val="ZARTzmartartykuempunktem"/>
      </w:pPr>
      <w:r>
        <w:t>3)</w:t>
      </w:r>
      <w:r>
        <w:tab/>
      </w:r>
      <w:r w:rsidR="00261860" w:rsidRPr="00261860">
        <w:t xml:space="preserve">osobę fizyczną, która posiada kontrolę, w rozumieniu </w:t>
      </w:r>
      <w:r w:rsidR="00261860">
        <w:t xml:space="preserve">ustawy </w:t>
      </w:r>
      <w:r w:rsidR="00261860" w:rsidRPr="00261860">
        <w:t>z dnia 16 lutego 2007 r. o ochronie konkurencji i konsumentów, nad co najmniej jednym przedsiębiorcą, choćby nie prowadziła działalności gospodarczej w rozumieniu przepisów ustawy z dnia 6 marca 2018 r. - Prawo przedsiębiorców</w:t>
      </w:r>
      <w:r w:rsidR="00261860">
        <w:t>;</w:t>
      </w:r>
    </w:p>
    <w:p w14:paraId="7C3B0E3B" w14:textId="5109690C" w:rsidR="00261860" w:rsidRDefault="00A109FB" w:rsidP="00BD2F74">
      <w:pPr>
        <w:pStyle w:val="ZARTzmartartykuempunktem"/>
      </w:pPr>
      <w:r>
        <w:t>4)</w:t>
      </w:r>
      <w:r>
        <w:tab/>
      </w:r>
      <w:r w:rsidR="00261860" w:rsidRPr="00261860">
        <w:t>związek przedsiębiorców w rozumieniu ustawy</w:t>
      </w:r>
      <w:r w:rsidR="00261860">
        <w:t xml:space="preserve"> </w:t>
      </w:r>
      <w:r w:rsidR="00261860" w:rsidRPr="00261860">
        <w:t>z dnia 16 lutego 2007 r. o ochronie konkurencji i konsumentów</w:t>
      </w:r>
      <w:r w:rsidR="00261860">
        <w:t>.</w:t>
      </w:r>
    </w:p>
    <w:p w14:paraId="009DEDDD" w14:textId="7EEA38B4" w:rsidR="00361EFB" w:rsidRPr="00361EFB" w:rsidRDefault="00261860" w:rsidP="00BD2F74">
      <w:pPr>
        <w:pStyle w:val="ZARTzmartartykuempunktem"/>
      </w:pPr>
      <w:r>
        <w:t xml:space="preserve">Art. 116b. </w:t>
      </w:r>
      <w:r w:rsidR="00361EFB" w:rsidRPr="00361EFB">
        <w:t xml:space="preserve">Wniosek o dokonanie rezerwacji częstotliwości na cele rozpowszechniania programów radiofonicznych w sposób analogowy drogą rozsiewczą </w:t>
      </w:r>
      <w:r w:rsidR="00361EFB" w:rsidRPr="00361EFB">
        <w:lastRenderedPageBreak/>
        <w:t xml:space="preserve">naziemną, po udzieleniu koncesji na kolejny okres, składa się nie wcześniej niż </w:t>
      </w:r>
      <w:r w:rsidR="00C44030">
        <w:br/>
      </w:r>
      <w:r w:rsidR="00057456">
        <w:t>3 lata</w:t>
      </w:r>
      <w:r w:rsidR="00361EFB" w:rsidRPr="00361EFB">
        <w:t xml:space="preserve"> przed upływem okresu wykorzystywania częstotliwości </w:t>
      </w:r>
      <w:r w:rsidR="00BD2F74">
        <w:t>określon</w:t>
      </w:r>
      <w:r w:rsidR="00BD2F74" w:rsidRPr="00361EFB">
        <w:t xml:space="preserve">ego </w:t>
      </w:r>
      <w:r w:rsidR="00C44030">
        <w:br/>
      </w:r>
      <w:r w:rsidR="00361EFB" w:rsidRPr="00361EFB">
        <w:t xml:space="preserve">w rezerwacji. Wniosek złożony </w:t>
      </w:r>
      <w:r w:rsidR="00D11787">
        <w:t xml:space="preserve">z niezachowaniem tego terminu </w:t>
      </w:r>
      <w:r w:rsidR="00361EFB" w:rsidRPr="00361EFB">
        <w:t>Prezes UKE pozostawia bez rozpoznania.</w:t>
      </w:r>
      <w:r w:rsidR="00C54224">
        <w:t>”</w:t>
      </w:r>
      <w:r w:rsidR="00361EFB" w:rsidRPr="00361EFB">
        <w:t>;</w:t>
      </w:r>
    </w:p>
    <w:p w14:paraId="45BAF7A6" w14:textId="77777777" w:rsidR="00361EFB" w:rsidRPr="00361EFB" w:rsidRDefault="00BE5377" w:rsidP="00361EFB">
      <w:pPr>
        <w:pStyle w:val="PKTpunkt"/>
      </w:pPr>
      <w:r>
        <w:t>10</w:t>
      </w:r>
      <w:r w:rsidR="00361EFB" w:rsidRPr="00361EFB">
        <w:t>)</w:t>
      </w:r>
      <w:r w:rsidR="00361EFB" w:rsidRPr="00361EFB">
        <w:tab/>
        <w:t>w art. 118:</w:t>
      </w:r>
    </w:p>
    <w:p w14:paraId="30BB7645" w14:textId="77777777" w:rsidR="00361EFB" w:rsidRPr="00361EFB" w:rsidRDefault="00361EFB" w:rsidP="00361EFB">
      <w:pPr>
        <w:pStyle w:val="LITlitera"/>
      </w:pPr>
      <w:r w:rsidRPr="00361EFB">
        <w:t>a)</w:t>
      </w:r>
      <w:r w:rsidRPr="00361EFB">
        <w:tab/>
        <w:t>ust. 2 otrzymuje brzmienie:</w:t>
      </w:r>
    </w:p>
    <w:p w14:paraId="22B507A4" w14:textId="522D16BA" w:rsidR="00361EFB" w:rsidRPr="00361EFB" w:rsidRDefault="00C54224" w:rsidP="00361EFB">
      <w:pPr>
        <w:pStyle w:val="ZLITUSTzmustliter"/>
      </w:pPr>
      <w:r>
        <w:t>„</w:t>
      </w:r>
      <w:r w:rsidR="00361EFB" w:rsidRPr="00361EFB">
        <w:t>2.</w:t>
      </w:r>
      <w:r w:rsidR="00421E1C">
        <w:t xml:space="preserve"> </w:t>
      </w:r>
      <w:r w:rsidR="00361EFB" w:rsidRPr="00361EFB">
        <w:t xml:space="preserve">Ogłoszenie o przetargu, aukcji albo konkursie wraz z dokumentacją przetargową, aukcyjną albo konkursową, zwaną dalej </w:t>
      </w:r>
      <w:r>
        <w:t>„</w:t>
      </w:r>
      <w:r w:rsidR="00361EFB" w:rsidRPr="00361EFB">
        <w:t>dokumentacją</w:t>
      </w:r>
      <w:r>
        <w:t>”</w:t>
      </w:r>
      <w:r w:rsidR="00361EFB" w:rsidRPr="00361EFB">
        <w:t>, oraz projektem rozstrzygnięcia decyzji rezerwacyjnej, która zostanie wydana po przeprowadzeniu postępowania, o którym mowa w art. 118c ust. 3, publikuje się na stronie podmiotowej BIP UKE. W ogłoszeniu o przetargu, aukcji albo konkursie informuje się o rozpoczęciu przetargu, aukcji albo konkursu oraz terminie na złożenie ofert.</w:t>
      </w:r>
      <w:r>
        <w:t>”</w:t>
      </w:r>
      <w:r w:rsidR="00361EFB" w:rsidRPr="00361EFB">
        <w:t>,</w:t>
      </w:r>
    </w:p>
    <w:p w14:paraId="15F2D880" w14:textId="77777777" w:rsidR="00361EFB" w:rsidRPr="00361EFB" w:rsidRDefault="00361EFB" w:rsidP="00BD2F74">
      <w:pPr>
        <w:pStyle w:val="LITlitera"/>
      </w:pPr>
      <w:r w:rsidRPr="00361EFB">
        <w:t>b)</w:t>
      </w:r>
      <w:r w:rsidRPr="00361EFB">
        <w:tab/>
      </w:r>
      <w:r w:rsidR="004844BD">
        <w:tab/>
      </w:r>
      <w:r w:rsidRPr="00361EFB">
        <w:t>ust. 2a otrzymuje brzmienie:</w:t>
      </w:r>
    </w:p>
    <w:p w14:paraId="206869A3" w14:textId="380F053E" w:rsidR="00361EFB" w:rsidRDefault="00C54224" w:rsidP="00361EFB">
      <w:pPr>
        <w:pStyle w:val="ZLITUSTzmustliter"/>
      </w:pPr>
      <w:r>
        <w:t>„</w:t>
      </w:r>
      <w:r w:rsidR="00361EFB" w:rsidRPr="00361EFB">
        <w:t>2a. Prezes UKE może odwołać przetarg, aukcję albo konkurs w terminie</w:t>
      </w:r>
      <w:r w:rsidR="00BD2F74">
        <w:t xml:space="preserve"> wyznaczonym</w:t>
      </w:r>
      <w:r w:rsidR="00361EFB" w:rsidRPr="00361EFB">
        <w:t xml:space="preserve"> na złożenie ofert, jeżeli taka możliwość została zastrzeżona w treści dokumentacji. Informacje o odwołaniu przetargu, aukcji albo konkursu wraz ze wskazaniem przyczyn odwołania Prezes UKE zamieszcza na stronie podmiotowej BIP UKE. Prezes UKE nie udziela informacji o podmiotach, które złożyły oferty w odwołanym przetargu, aukcji albo konkursie.</w:t>
      </w:r>
      <w:r>
        <w:t>”</w:t>
      </w:r>
      <w:r w:rsidR="00361EFB" w:rsidRPr="00361EFB">
        <w:t>,</w:t>
      </w:r>
    </w:p>
    <w:p w14:paraId="60A96276" w14:textId="13579890" w:rsidR="009F6FFC" w:rsidRDefault="006F7062" w:rsidP="00C54224">
      <w:pPr>
        <w:pStyle w:val="LITlitera"/>
      </w:pPr>
      <w:r>
        <w:t>c</w:t>
      </w:r>
      <w:r w:rsidR="00C54224">
        <w:t>)</w:t>
      </w:r>
      <w:r w:rsidR="00C54224">
        <w:tab/>
      </w:r>
      <w:r w:rsidR="009F6FFC">
        <w:t>po ust. 2b dodaje się ust. 2c w brzmieniu:</w:t>
      </w:r>
    </w:p>
    <w:p w14:paraId="5D33374F" w14:textId="07679A44" w:rsidR="00A32B08" w:rsidRPr="00361EFB" w:rsidRDefault="00C54224" w:rsidP="00BD4521">
      <w:pPr>
        <w:pStyle w:val="ZLITUSTzmustliter"/>
      </w:pPr>
      <w:r>
        <w:t>„</w:t>
      </w:r>
      <w:r w:rsidR="009F6FFC">
        <w:t xml:space="preserve">2c. </w:t>
      </w:r>
      <w:r w:rsidR="00595EF6">
        <w:t>O</w:t>
      </w:r>
      <w:r w:rsidR="00C548C5">
        <w:t>fert</w:t>
      </w:r>
      <w:r w:rsidR="00595EF6">
        <w:t>a składana</w:t>
      </w:r>
      <w:r w:rsidR="00C548C5">
        <w:t xml:space="preserve"> w przetargu, aukcji albo konkursie </w:t>
      </w:r>
      <w:r w:rsidR="00595EF6">
        <w:t xml:space="preserve">zawiera również </w:t>
      </w:r>
      <w:r w:rsidR="00595EF6" w:rsidRPr="00595EF6">
        <w:t xml:space="preserve">podpisane przez osobę uprawnioną do reprezentowania </w:t>
      </w:r>
      <w:r w:rsidR="00595EF6">
        <w:t>uczestnika przetargu, aukcji albo konkursu</w:t>
      </w:r>
      <w:r w:rsidR="00BD4521" w:rsidRPr="00BD4521">
        <w:t xml:space="preserve"> oświadczenie, składane pod rygorem odpowiedzialności karnej za składanie fałszywych oświadczeń, że informacje zawarte w </w:t>
      </w:r>
      <w:r w:rsidR="00BD4521">
        <w:t xml:space="preserve">ofercie </w:t>
      </w:r>
      <w:r w:rsidR="00BD4521" w:rsidRPr="00BD4521">
        <w:t xml:space="preserve">są zgodne z prawdą. Oświadczenie zawiera klauzulę następującej treści: </w:t>
      </w:r>
      <w:r>
        <w:t>„</w:t>
      </w:r>
      <w:r w:rsidR="00BD4521" w:rsidRPr="00BD4521">
        <w:t xml:space="preserve">Świadomy odpowiedzialności karnej za złożenie fałszywego oświadczenia wynikającej z art. 233 § 6 Kodeksu karnego oświadczam, że informacje zawarte w </w:t>
      </w:r>
      <w:r w:rsidR="00BD4521">
        <w:t>ofercie</w:t>
      </w:r>
      <w:r w:rsidR="00BD4521" w:rsidRPr="00BD4521">
        <w:t xml:space="preserve"> są zgodne z prawdą</w:t>
      </w:r>
      <w:r w:rsidR="000913A7">
        <w:t>.</w:t>
      </w:r>
      <w:r>
        <w:t>”</w:t>
      </w:r>
      <w:r w:rsidR="000913A7">
        <w:t>.</w:t>
      </w:r>
      <w:r>
        <w:t>”</w:t>
      </w:r>
      <w:r w:rsidR="00BD4521">
        <w:t>,</w:t>
      </w:r>
    </w:p>
    <w:p w14:paraId="10DDC7DD" w14:textId="77777777" w:rsidR="00361EFB" w:rsidRPr="00361EFB" w:rsidRDefault="006F7062" w:rsidP="00361EFB">
      <w:pPr>
        <w:pStyle w:val="LITlitera"/>
      </w:pPr>
      <w:r>
        <w:t>d</w:t>
      </w:r>
      <w:r w:rsidR="00361EFB" w:rsidRPr="00361EFB">
        <w:t>)</w:t>
      </w:r>
      <w:r w:rsidR="00361EFB" w:rsidRPr="00361EFB">
        <w:tab/>
        <w:t>uchyla się ust. 3,</w:t>
      </w:r>
    </w:p>
    <w:p w14:paraId="27492DEC" w14:textId="77777777" w:rsidR="00361EFB" w:rsidRPr="00361EFB" w:rsidRDefault="006F7062" w:rsidP="00361EFB">
      <w:pPr>
        <w:pStyle w:val="LITlitera"/>
      </w:pPr>
      <w:r>
        <w:t>e</w:t>
      </w:r>
      <w:r w:rsidR="00361EFB" w:rsidRPr="00361EFB">
        <w:t>)</w:t>
      </w:r>
      <w:r w:rsidR="00361EFB" w:rsidRPr="00361EFB">
        <w:tab/>
        <w:t>ust. 4 otrzymuje brzmienie:</w:t>
      </w:r>
    </w:p>
    <w:p w14:paraId="3D7378E6" w14:textId="0AA85B80" w:rsidR="00361EFB" w:rsidRPr="00361EFB" w:rsidRDefault="00C54224" w:rsidP="00361EFB">
      <w:pPr>
        <w:pStyle w:val="ZLITUSTzmustliter"/>
      </w:pPr>
      <w:r>
        <w:t>„</w:t>
      </w:r>
      <w:r w:rsidR="00361EFB" w:rsidRPr="00361EFB">
        <w:t>4.</w:t>
      </w:r>
      <w:r w:rsidR="00035DB0">
        <w:t xml:space="preserve"> </w:t>
      </w:r>
      <w:r w:rsidR="00361EFB" w:rsidRPr="00361EFB">
        <w:t xml:space="preserve">Prezes UKE, z zastrzeżeniem ust. 5, określa w dokumentacji </w:t>
      </w:r>
      <w:r w:rsidR="00361EFB" w:rsidRPr="00361EFB">
        <w:br/>
        <w:t>w szczególności:</w:t>
      </w:r>
    </w:p>
    <w:p w14:paraId="11F1D1F2" w14:textId="77777777" w:rsidR="00361EFB" w:rsidRPr="00361EFB" w:rsidRDefault="00361EFB" w:rsidP="00361EFB">
      <w:pPr>
        <w:pStyle w:val="ZLITPKTzmpktliter"/>
      </w:pPr>
      <w:r w:rsidRPr="00361EFB">
        <w:lastRenderedPageBreak/>
        <w:t>1)</w:t>
      </w:r>
      <w:r w:rsidRPr="00361EFB">
        <w:tab/>
        <w:t>przedmiot i zakres przetargu, aukcji albo konkursu;</w:t>
      </w:r>
    </w:p>
    <w:p w14:paraId="050FE1D9" w14:textId="77777777" w:rsidR="00361EFB" w:rsidRPr="00361EFB" w:rsidRDefault="00361EFB" w:rsidP="00361EFB">
      <w:pPr>
        <w:pStyle w:val="ZLITPKTzmpktliter"/>
      </w:pPr>
      <w:r w:rsidRPr="00361EFB">
        <w:t>2)</w:t>
      </w:r>
      <w:r w:rsidRPr="00361EFB">
        <w:tab/>
        <w:t>warunki uczestnictwa w przetargu, aukcji albo konkursie;</w:t>
      </w:r>
    </w:p>
    <w:p w14:paraId="4D57E666" w14:textId="77777777" w:rsidR="00361EFB" w:rsidRPr="00361EFB" w:rsidRDefault="00361EFB" w:rsidP="00361EFB">
      <w:pPr>
        <w:pStyle w:val="ZLITPKTzmpktliter"/>
      </w:pPr>
      <w:r w:rsidRPr="00361EFB">
        <w:t>3)</w:t>
      </w:r>
      <w:r w:rsidRPr="00361EFB">
        <w:tab/>
        <w:t>kryteria oceny ofert;</w:t>
      </w:r>
    </w:p>
    <w:p w14:paraId="402EA31B" w14:textId="77777777" w:rsidR="00361EFB" w:rsidRPr="00361EFB" w:rsidRDefault="00361EFB" w:rsidP="00361EFB">
      <w:pPr>
        <w:pStyle w:val="ZLITPKTzmpktliter"/>
      </w:pPr>
      <w:r w:rsidRPr="00361EFB">
        <w:t>4)</w:t>
      </w:r>
      <w:r w:rsidRPr="00361EFB">
        <w:tab/>
        <w:t>wymagania, jakim powinna odpowiadać oferta;</w:t>
      </w:r>
    </w:p>
    <w:p w14:paraId="58342AA8" w14:textId="77777777" w:rsidR="00361EFB" w:rsidRPr="00361EFB" w:rsidRDefault="00361EFB" w:rsidP="00361EFB">
      <w:pPr>
        <w:pStyle w:val="ZLITPKTzmpktliter"/>
      </w:pPr>
      <w:r w:rsidRPr="00361EFB">
        <w:t>5)</w:t>
      </w:r>
      <w:r w:rsidRPr="00361EFB">
        <w:tab/>
        <w:t>minimum kwalifikacyjne albo wskazuje, że minimum kwalifikacyjne nie zostało ustalone;</w:t>
      </w:r>
    </w:p>
    <w:p w14:paraId="645565CA" w14:textId="3EF31F59" w:rsidR="00361EFB" w:rsidRPr="00361EFB" w:rsidRDefault="00361EFB" w:rsidP="00361EFB">
      <w:pPr>
        <w:pStyle w:val="ZLITPKTzmpktliter"/>
      </w:pPr>
      <w:r w:rsidRPr="00361EFB">
        <w:t>6)</w:t>
      </w:r>
      <w:r w:rsidRPr="00361EFB">
        <w:tab/>
        <w:t>zasady ustalenia wyników przetargu, aukcji albo konkursu.</w:t>
      </w:r>
      <w:r w:rsidR="00C54224">
        <w:t>”</w:t>
      </w:r>
      <w:r w:rsidRPr="00361EFB">
        <w:t>,</w:t>
      </w:r>
    </w:p>
    <w:p w14:paraId="3B2EF2C4" w14:textId="77777777" w:rsidR="00361EFB" w:rsidRPr="00361EFB" w:rsidRDefault="006F7062" w:rsidP="00361EFB">
      <w:pPr>
        <w:pStyle w:val="LITlitera"/>
        <w:rPr>
          <w:lang w:eastAsia="en-US"/>
        </w:rPr>
      </w:pPr>
      <w:r>
        <w:t>f</w:t>
      </w:r>
      <w:r w:rsidR="00361EFB" w:rsidRPr="00361EFB">
        <w:t>)</w:t>
      </w:r>
      <w:r w:rsidR="00361EFB" w:rsidRPr="00361EFB">
        <w:tab/>
        <w:t>ust. 4a otrzymuje brzmienie:</w:t>
      </w:r>
    </w:p>
    <w:p w14:paraId="132410C3" w14:textId="60AB859B" w:rsidR="00361EFB" w:rsidRPr="00361EFB" w:rsidRDefault="00C54224" w:rsidP="00361EFB">
      <w:pPr>
        <w:pStyle w:val="ZLITUSTzmustliter"/>
      </w:pPr>
      <w:r>
        <w:t>„</w:t>
      </w:r>
      <w:r w:rsidR="00361EFB" w:rsidRPr="00361EFB">
        <w:t>4a.</w:t>
      </w:r>
      <w:r w:rsidR="006838BC">
        <w:t xml:space="preserve"> </w:t>
      </w:r>
      <w:r w:rsidR="00361EFB" w:rsidRPr="00361EFB">
        <w:t xml:space="preserve">Określając warunki uczestnictwa w przetargu albo aukcji, Prezes UKE może w szczególności wskazać zasoby częstotliwości, </w:t>
      </w:r>
      <w:r w:rsidR="00F11EAA">
        <w:t>dysponowanie</w:t>
      </w:r>
      <w:r w:rsidR="00F11EAA" w:rsidRPr="00361EFB">
        <w:t xml:space="preserve"> </w:t>
      </w:r>
      <w:r w:rsidR="00361EFB" w:rsidRPr="00361EFB">
        <w:t>który</w:t>
      </w:r>
      <w:r w:rsidR="00F11EAA">
        <w:t>mi</w:t>
      </w:r>
      <w:r w:rsidR="00361EFB" w:rsidRPr="00361EFB">
        <w:t>:</w:t>
      </w:r>
    </w:p>
    <w:p w14:paraId="69A3CE39" w14:textId="77777777" w:rsidR="00361EFB" w:rsidRPr="00361EFB" w:rsidRDefault="00361EFB" w:rsidP="00361EFB">
      <w:pPr>
        <w:pStyle w:val="ZLITPKTzmpktliter"/>
      </w:pPr>
      <w:r w:rsidRPr="00361EFB">
        <w:t>1)</w:t>
      </w:r>
      <w:r w:rsidRPr="00361EFB">
        <w:tab/>
        <w:t>wyłącza od udziału w przetargu albo aukcji podmiot dysponujący tym zasobem lub podmioty z grupy kapitałowej dysponującej tym zasobem lub</w:t>
      </w:r>
    </w:p>
    <w:p w14:paraId="4C2B4230" w14:textId="77777777" w:rsidR="00361EFB" w:rsidRPr="00361EFB" w:rsidRDefault="00361EFB" w:rsidP="00361EFB">
      <w:pPr>
        <w:pStyle w:val="ZLITPKTzmpktliter"/>
      </w:pPr>
      <w:r w:rsidRPr="00361EFB">
        <w:t>2)</w:t>
      </w:r>
      <w:r w:rsidRPr="00361EFB">
        <w:tab/>
        <w:t>ogranicza zasoby częstotliwości, o rezerwację których może ubiegać się podmiot dysponujący tym zasobem lub podmioty z grupy kapitałowej dysponującej tym zasobem lub</w:t>
      </w:r>
    </w:p>
    <w:p w14:paraId="32971157" w14:textId="17411A9D" w:rsidR="00361EFB" w:rsidRPr="00361EFB" w:rsidRDefault="00361EFB" w:rsidP="00361EFB">
      <w:pPr>
        <w:pStyle w:val="ZLITPKTzmpktliter"/>
      </w:pPr>
      <w:r w:rsidRPr="00361EFB">
        <w:t>3)</w:t>
      </w:r>
      <w:r w:rsidRPr="00361EFB">
        <w:tab/>
        <w:t>uprawnia do udziału w przetargu albo aukcji podmiot dysponujący tym zasobem lub podmioty z grupy kapitałowej dysponującej tym zasobem.</w:t>
      </w:r>
      <w:r w:rsidR="00C54224">
        <w:t>”</w:t>
      </w:r>
      <w:r w:rsidRPr="00361EFB">
        <w:t>,</w:t>
      </w:r>
    </w:p>
    <w:p w14:paraId="688111A4" w14:textId="77777777" w:rsidR="00361EFB" w:rsidRPr="00361EFB" w:rsidRDefault="006F7062" w:rsidP="00030F9E">
      <w:pPr>
        <w:pStyle w:val="LITlitera"/>
      </w:pPr>
      <w:r>
        <w:t>g</w:t>
      </w:r>
      <w:r w:rsidR="00361EFB" w:rsidRPr="00361EFB">
        <w:t>)</w:t>
      </w:r>
      <w:r w:rsidR="004844BD">
        <w:tab/>
      </w:r>
      <w:r w:rsidR="00361EFB" w:rsidRPr="00361EFB">
        <w:t>po ustępie 4a dodaje się ustęp</w:t>
      </w:r>
      <w:r w:rsidR="00B07712">
        <w:t>y</w:t>
      </w:r>
      <w:r w:rsidR="00361EFB" w:rsidRPr="00361EFB">
        <w:t xml:space="preserve"> 4b</w:t>
      </w:r>
      <w:r w:rsidR="00B07712">
        <w:t xml:space="preserve"> i 4c</w:t>
      </w:r>
      <w:r w:rsidR="00361EFB" w:rsidRPr="00361EFB">
        <w:t xml:space="preserve"> w brzmieniu:</w:t>
      </w:r>
    </w:p>
    <w:p w14:paraId="3A8EB504" w14:textId="131A8DE6" w:rsidR="00B07712" w:rsidRDefault="00C54224" w:rsidP="00030F9E">
      <w:pPr>
        <w:pStyle w:val="ZLITUSTzmustliter"/>
      </w:pPr>
      <w:r>
        <w:t>„</w:t>
      </w:r>
      <w:r w:rsidR="00361EFB" w:rsidRPr="00361EFB">
        <w:t>4b. Określając warunki uczestnictwa w przetargu, aukcji albo konkursie, Prezes UKE może wskazać cechy jakie powinien posiadać podmiot składający ofertę, w szczególności dotyczące jego wiarygodności finansowej lub doświadczenia w prowadzeniu działalności telekomunikacyjnej.</w:t>
      </w:r>
    </w:p>
    <w:p w14:paraId="0FC33EA3" w14:textId="4A16C679" w:rsidR="00361EFB" w:rsidRPr="00361EFB" w:rsidRDefault="00B07712" w:rsidP="00030F9E">
      <w:pPr>
        <w:pStyle w:val="ZLITUSTzmustliter"/>
      </w:pPr>
      <w:r>
        <w:t xml:space="preserve">4c. </w:t>
      </w:r>
      <w:r w:rsidRPr="00B07712">
        <w:t>Określając warunki uczestnictwa w przetargu, aukcji albo konkursie, Prezes UKE może</w:t>
      </w:r>
      <w:r>
        <w:t xml:space="preserve"> </w:t>
      </w:r>
      <w:r w:rsidR="00A80EFA">
        <w:t>wskazać, że tylko jeden podmiot z danej grupy kapitałowej może uczestniczyć</w:t>
      </w:r>
      <w:r w:rsidR="00A80EFA" w:rsidRPr="00A80EFA">
        <w:t xml:space="preserve"> w przetargu, aukcji albo konkursie</w:t>
      </w:r>
      <w:r w:rsidR="00A80EFA">
        <w:t>.</w:t>
      </w:r>
      <w:r w:rsidR="00C54224">
        <w:t>”</w:t>
      </w:r>
      <w:r w:rsidR="00361EFB" w:rsidRPr="00361EFB">
        <w:t>;</w:t>
      </w:r>
    </w:p>
    <w:p w14:paraId="5046A112" w14:textId="1970EC6B" w:rsidR="00361EFB" w:rsidRPr="00361EFB" w:rsidRDefault="00361EFB" w:rsidP="00361EFB">
      <w:pPr>
        <w:pStyle w:val="PKTpunkt"/>
      </w:pPr>
      <w:r w:rsidRPr="00361EFB">
        <w:t>1</w:t>
      </w:r>
      <w:r w:rsidR="00BE5377">
        <w:t>1</w:t>
      </w:r>
      <w:r w:rsidRPr="00361EFB">
        <w:t>)</w:t>
      </w:r>
      <w:r w:rsidRPr="00361EFB">
        <w:tab/>
        <w:t>w art. 118a</w:t>
      </w:r>
      <w:r w:rsidR="00D603C8">
        <w:t xml:space="preserve"> </w:t>
      </w:r>
      <w:r w:rsidRPr="00361EFB">
        <w:t>:</w:t>
      </w:r>
    </w:p>
    <w:p w14:paraId="409E0FAC" w14:textId="77777777" w:rsidR="00361EFB" w:rsidRPr="00361EFB" w:rsidRDefault="00361EFB" w:rsidP="00D603C8">
      <w:pPr>
        <w:pStyle w:val="PKTpunkt"/>
      </w:pPr>
      <w:r w:rsidRPr="00361EFB">
        <w:t>a)</w:t>
      </w:r>
      <w:r w:rsidRPr="00361EFB">
        <w:tab/>
        <w:t>po ust. 3 dodaje się ust. 3a w brzmieniu:</w:t>
      </w:r>
    </w:p>
    <w:p w14:paraId="0ACC150D" w14:textId="35FC697B" w:rsidR="00361EFB" w:rsidRPr="00361EFB" w:rsidRDefault="00C54224" w:rsidP="00361EFB">
      <w:pPr>
        <w:pStyle w:val="ZLITUSTzmustliter"/>
      </w:pPr>
      <w:r>
        <w:t>„</w:t>
      </w:r>
      <w:r w:rsidR="00361EFB" w:rsidRPr="00361EFB">
        <w:t>3a. </w:t>
      </w:r>
      <w:r w:rsidR="005C6B59">
        <w:t xml:space="preserve">W przypadku </w:t>
      </w:r>
      <w:r w:rsidR="00843CCD">
        <w:t>określenia w konkursie</w:t>
      </w:r>
      <w:r w:rsidR="005C6B59">
        <w:t xml:space="preserve"> </w:t>
      </w:r>
      <w:r w:rsidR="00047926">
        <w:t xml:space="preserve">więcej niż jednego </w:t>
      </w:r>
      <w:r w:rsidR="005C6B59">
        <w:t>kryteri</w:t>
      </w:r>
      <w:r w:rsidR="00B04C2E">
        <w:t>um</w:t>
      </w:r>
      <w:r w:rsidR="00047926">
        <w:t xml:space="preserve"> oceny ofert</w:t>
      </w:r>
      <w:r w:rsidR="005C6B59">
        <w:t xml:space="preserve"> Prezes UKE dokonuje w</w:t>
      </w:r>
      <w:r w:rsidR="00361EFB" w:rsidRPr="00361EFB">
        <w:t xml:space="preserve">yboru najistotniejszego kryterium oceny ofert </w:t>
      </w:r>
      <w:r w:rsidR="00843CCD">
        <w:t xml:space="preserve">, </w:t>
      </w:r>
      <w:r w:rsidR="00361EFB" w:rsidRPr="00361EFB">
        <w:t>mając na uwadze cele regulacyjne i stan konkurencji na rynku.</w:t>
      </w:r>
      <w:r w:rsidR="002E30E5">
        <w:t>”,</w:t>
      </w:r>
    </w:p>
    <w:p w14:paraId="525045D9" w14:textId="55F08A4E" w:rsidR="00361EFB" w:rsidRPr="00361EFB" w:rsidRDefault="00361EFB" w:rsidP="00361EFB">
      <w:pPr>
        <w:pStyle w:val="LITlitera"/>
      </w:pPr>
      <w:r w:rsidRPr="00361EFB">
        <w:t>b)</w:t>
      </w:r>
      <w:r w:rsidRPr="00361EFB">
        <w:tab/>
        <w:t>po ust. 5 dodaje się ust. 6 w brzmieniu:</w:t>
      </w:r>
    </w:p>
    <w:p w14:paraId="6C948386" w14:textId="0A87C773" w:rsidR="00361EFB" w:rsidRPr="00361EFB" w:rsidRDefault="00C54224" w:rsidP="00361EFB">
      <w:pPr>
        <w:pStyle w:val="ZLITUSTzmustliter"/>
      </w:pPr>
      <w:r>
        <w:t>„</w:t>
      </w:r>
      <w:r w:rsidR="00361EFB" w:rsidRPr="00361EFB">
        <w:t>6. Po zadeklarowaniu kwoty pierwszego postąpienia uczestnik aukcji nie może wycofać oferty.</w:t>
      </w:r>
      <w:r>
        <w:t>”</w:t>
      </w:r>
      <w:r w:rsidR="00361EFB" w:rsidRPr="00361EFB">
        <w:t>;</w:t>
      </w:r>
    </w:p>
    <w:p w14:paraId="1886A8E3" w14:textId="77777777" w:rsidR="00361EFB" w:rsidRPr="00361EFB" w:rsidRDefault="00361EFB" w:rsidP="00361EFB">
      <w:pPr>
        <w:pStyle w:val="PKTpunkt"/>
      </w:pPr>
      <w:r w:rsidRPr="00361EFB">
        <w:lastRenderedPageBreak/>
        <w:t>1</w:t>
      </w:r>
      <w:r w:rsidR="00BE5377">
        <w:t>2</w:t>
      </w:r>
      <w:r w:rsidRPr="00361EFB">
        <w:t>)</w:t>
      </w:r>
      <w:r w:rsidRPr="00361EFB">
        <w:tab/>
        <w:t>w art. 118b:</w:t>
      </w:r>
    </w:p>
    <w:p w14:paraId="0109D407" w14:textId="77777777" w:rsidR="00361EFB" w:rsidRPr="00361EFB" w:rsidRDefault="00361EFB" w:rsidP="00030F9E">
      <w:pPr>
        <w:pStyle w:val="LITlitera"/>
      </w:pPr>
      <w:r w:rsidRPr="00361EFB">
        <w:t>a)</w:t>
      </w:r>
      <w:r w:rsidR="004844BD">
        <w:tab/>
      </w:r>
      <w:r w:rsidRPr="00361EFB">
        <w:t>w ust. 1 pkt 3 otrzymuje brzmienie:</w:t>
      </w:r>
    </w:p>
    <w:p w14:paraId="7117AF90" w14:textId="5F03189E" w:rsidR="00361EFB" w:rsidRPr="00361EFB" w:rsidRDefault="00C54224" w:rsidP="00030F9E">
      <w:pPr>
        <w:pStyle w:val="ZLITPKTzmpktliter"/>
      </w:pPr>
      <w:r>
        <w:t>„</w:t>
      </w:r>
      <w:r w:rsidR="00361EFB" w:rsidRPr="00361EFB">
        <w:t>3)</w:t>
      </w:r>
      <w:r w:rsidR="004844BD">
        <w:tab/>
      </w:r>
      <w:r w:rsidR="00361EFB" w:rsidRPr="00361EFB">
        <w:t xml:space="preserve">na liście, o której mowa w art. 118c ust. 1, zajął najwyższą pozycję, </w:t>
      </w:r>
      <w:r w:rsidR="00C44030">
        <w:br/>
      </w:r>
      <w:r w:rsidR="00361EFB" w:rsidRPr="00361EFB">
        <w:t>a w przypadku gdy zgodnie z dokumentacją lista dotyczy więcej niż jednej rezerwacji częstotliwości - pozycję nie niższą niż liczba tych rezerwacji częstotliwości.</w:t>
      </w:r>
      <w:r>
        <w:t>”</w:t>
      </w:r>
      <w:r w:rsidR="00361EFB" w:rsidRPr="00361EFB">
        <w:t>,</w:t>
      </w:r>
    </w:p>
    <w:p w14:paraId="34B708CC" w14:textId="77777777" w:rsidR="00361EFB" w:rsidRPr="00361EFB" w:rsidRDefault="00361EFB" w:rsidP="00030F9E">
      <w:pPr>
        <w:pStyle w:val="LITlitera"/>
      </w:pPr>
      <w:r w:rsidRPr="00361EFB">
        <w:t>b)</w:t>
      </w:r>
      <w:r w:rsidR="004844BD">
        <w:tab/>
      </w:r>
      <w:r w:rsidRPr="00361EFB">
        <w:t>ust. 2 otrzymuje brzmienie:</w:t>
      </w:r>
    </w:p>
    <w:p w14:paraId="6CD94543" w14:textId="15FB2F8B" w:rsidR="00361EFB" w:rsidRPr="00361EFB" w:rsidRDefault="00C54224" w:rsidP="00030F9E">
      <w:pPr>
        <w:pStyle w:val="ZLITUSTzmustliter"/>
      </w:pPr>
      <w:r>
        <w:t>„</w:t>
      </w:r>
      <w:r w:rsidR="00361EFB" w:rsidRPr="00361EFB">
        <w:t>2.</w:t>
      </w:r>
      <w:r w:rsidR="002D4FE7">
        <w:t xml:space="preserve"> </w:t>
      </w:r>
      <w:r w:rsidR="00361EFB" w:rsidRPr="00361EFB">
        <w:t xml:space="preserve">W przypadku rezygnacji </w:t>
      </w:r>
      <w:r w:rsidR="00485466">
        <w:t xml:space="preserve">podmiotu wyłonionego </w:t>
      </w:r>
      <w:r w:rsidR="00361EFB" w:rsidRPr="00361EFB">
        <w:t xml:space="preserve">z rezerwacji częstotliwości lub wystąpienia po stronie podmiotu wyłonionego okoliczności, o których mowa w art. 123 ust. 6 pkt 1 </w:t>
      </w:r>
      <w:r w:rsidR="00433977">
        <w:t>lub</w:t>
      </w:r>
      <w:r w:rsidR="00361EFB" w:rsidRPr="00361EFB">
        <w:t xml:space="preserve"> 2, </w:t>
      </w:r>
      <w:r w:rsidR="00485466">
        <w:t xml:space="preserve">zanim decyzja </w:t>
      </w:r>
      <w:r w:rsidR="009950BB">
        <w:t xml:space="preserve">w sprawie rezerwacji </w:t>
      </w:r>
      <w:r w:rsidR="00485466">
        <w:t>sta</w:t>
      </w:r>
      <w:r w:rsidR="003F25D4">
        <w:t>ła</w:t>
      </w:r>
      <w:r w:rsidR="00485466">
        <w:t xml:space="preserve"> się ostateczna, </w:t>
      </w:r>
      <w:r w:rsidR="00361EFB" w:rsidRPr="00361EFB">
        <w:t>podmiotem wyłonionym staje się uczestnik przetargu, aukcji albo konkursu zajmujący kolejną pozycję na liście, o której mowa w art. 118c ust. 1, i spełniający warunki, o których mowa w ust. 1 pkt 1 i 2.</w:t>
      </w:r>
      <w:r>
        <w:t>”</w:t>
      </w:r>
      <w:r w:rsidR="00361EFB" w:rsidRPr="00361EFB">
        <w:t>;</w:t>
      </w:r>
    </w:p>
    <w:p w14:paraId="6642FC4C" w14:textId="77777777" w:rsidR="00361EFB" w:rsidRPr="00361EFB" w:rsidRDefault="00361EFB" w:rsidP="00361EFB">
      <w:pPr>
        <w:pStyle w:val="PKTpunkt"/>
      </w:pPr>
      <w:r w:rsidRPr="00361EFB">
        <w:t>1</w:t>
      </w:r>
      <w:r w:rsidR="00BE5377">
        <w:t>3</w:t>
      </w:r>
      <w:r w:rsidRPr="00361EFB">
        <w:t>)</w:t>
      </w:r>
      <w:r w:rsidRPr="00361EFB">
        <w:tab/>
        <w:t>w art. 118c:</w:t>
      </w:r>
    </w:p>
    <w:p w14:paraId="32D5CB3F" w14:textId="77777777" w:rsidR="00361EFB" w:rsidRPr="00361EFB" w:rsidRDefault="00361EFB" w:rsidP="00361EFB">
      <w:pPr>
        <w:pStyle w:val="LITlitera"/>
      </w:pPr>
      <w:r w:rsidRPr="00361EFB">
        <w:t>a)</w:t>
      </w:r>
      <w:r w:rsidRPr="00361EFB">
        <w:tab/>
        <w:t>ust. 1 otrzymuje brzmienie:</w:t>
      </w:r>
    </w:p>
    <w:p w14:paraId="4EE30F58" w14:textId="50CD8912" w:rsidR="00361EFB" w:rsidRPr="00361EFB" w:rsidRDefault="00C54224" w:rsidP="00361EFB">
      <w:pPr>
        <w:pStyle w:val="ZLITUSTzmustliter"/>
      </w:pPr>
      <w:r>
        <w:t>„</w:t>
      </w:r>
      <w:r w:rsidR="00361EFB" w:rsidRPr="00361EFB">
        <w:t>1.</w:t>
      </w:r>
      <w:r w:rsidR="007B3D68">
        <w:t xml:space="preserve"> </w:t>
      </w:r>
      <w:r w:rsidR="00361EFB" w:rsidRPr="00361EFB">
        <w:t>Wyniki przetargu, aukcji albo konkursu ogłasza się na stronie podmiotowej BIP UKE, w formie listy lub list uczestników przetargu, aukcji albo konkursu, którzy spełnili warunki uczestnictwa oraz osiągnęli minimum kwalifikacyjne, jeżeli zostało określone w dokumentacji, uszeregowanych w kolejności według malejącej liczby uzyskanych punktów.</w:t>
      </w:r>
      <w:r>
        <w:t>”</w:t>
      </w:r>
      <w:r w:rsidR="00361EFB" w:rsidRPr="00361EFB">
        <w:t>,</w:t>
      </w:r>
    </w:p>
    <w:p w14:paraId="77D08C8A" w14:textId="77777777" w:rsidR="00361EFB" w:rsidRDefault="00361EFB" w:rsidP="00361EFB">
      <w:pPr>
        <w:pStyle w:val="LITlitera"/>
      </w:pPr>
      <w:r w:rsidRPr="00361EFB">
        <w:t>b)</w:t>
      </w:r>
      <w:r w:rsidRPr="00361EFB">
        <w:tab/>
        <w:t>uchyla się ust. 2,</w:t>
      </w:r>
    </w:p>
    <w:p w14:paraId="16AC87B7" w14:textId="77777777" w:rsidR="00361EFB" w:rsidRPr="00361EFB" w:rsidRDefault="00BE5377" w:rsidP="00361EFB">
      <w:pPr>
        <w:pStyle w:val="LITlitera"/>
      </w:pPr>
      <w:r>
        <w:t>c</w:t>
      </w:r>
      <w:r w:rsidR="00361EFB" w:rsidRPr="00361EFB">
        <w:t>)</w:t>
      </w:r>
      <w:r w:rsidR="00361EFB" w:rsidRPr="00361EFB">
        <w:tab/>
        <w:t>ust. 3 i 4 otrzymują brzmienie:</w:t>
      </w:r>
    </w:p>
    <w:p w14:paraId="73DF3B70" w14:textId="26AF9529" w:rsidR="00FB6D52" w:rsidRPr="00FB6D52" w:rsidRDefault="00C54224" w:rsidP="00FB6D52">
      <w:pPr>
        <w:pStyle w:val="ZLITUSTzmustliter"/>
      </w:pPr>
      <w:r>
        <w:t>„</w:t>
      </w:r>
      <w:r w:rsidR="00361EFB" w:rsidRPr="00361EFB">
        <w:t>3.</w:t>
      </w:r>
      <w:r w:rsidR="007B3D68">
        <w:t xml:space="preserve"> </w:t>
      </w:r>
      <w:r w:rsidR="00361EFB" w:rsidRPr="00361EFB">
        <w:t xml:space="preserve">Jeżeli przedmiotem przetargu, aukcji albo konkursu była więcej niż jedna rezerwacja, Prezes UKE może </w:t>
      </w:r>
      <w:r w:rsidR="00810BF1">
        <w:t xml:space="preserve">wszcząć i </w:t>
      </w:r>
      <w:r w:rsidR="00361EFB" w:rsidRPr="00361EFB">
        <w:t xml:space="preserve">prowadzić </w:t>
      </w:r>
      <w:r w:rsidR="00810BF1">
        <w:t>jedno</w:t>
      </w:r>
      <w:r w:rsidR="00810BF1" w:rsidRPr="00361EFB">
        <w:t xml:space="preserve"> </w:t>
      </w:r>
      <w:r w:rsidR="00361EFB" w:rsidRPr="00361EFB">
        <w:t xml:space="preserve">postępowanie dla </w:t>
      </w:r>
      <w:r w:rsidR="00810BF1">
        <w:t>więcej niż jednej</w:t>
      </w:r>
      <w:r w:rsidR="00361EFB" w:rsidRPr="00361EFB">
        <w:t xml:space="preserve"> rezerwacji</w:t>
      </w:r>
      <w:r w:rsidR="00FB6D52" w:rsidRPr="00FB6D52">
        <w:t xml:space="preserve"> </w:t>
      </w:r>
      <w:r w:rsidR="00FB6D52">
        <w:t>W</w:t>
      </w:r>
      <w:r w:rsidR="00FB6D52" w:rsidRPr="00FB6D52">
        <w:t xml:space="preserve"> </w:t>
      </w:r>
      <w:r w:rsidR="00591DDA">
        <w:t xml:space="preserve">takim </w:t>
      </w:r>
      <w:r w:rsidR="00FB6D52" w:rsidRPr="00FB6D52">
        <w:t xml:space="preserve">przypadku Prezes UKE wydaje odrębne decyzje dla każdej z rezerwacji. </w:t>
      </w:r>
    </w:p>
    <w:p w14:paraId="55F82E39" w14:textId="6B41E7C4" w:rsidR="00361EFB" w:rsidRDefault="00361EFB" w:rsidP="00D902FC">
      <w:pPr>
        <w:pStyle w:val="ZLITUSTzmustliter"/>
      </w:pPr>
      <w:r w:rsidRPr="00361EFB">
        <w:t>4.</w:t>
      </w:r>
      <w:r w:rsidR="00035DB0">
        <w:t xml:space="preserve"> </w:t>
      </w:r>
      <w:r w:rsidR="004B2E32">
        <w:t xml:space="preserve">Po ogłoszeniu wyników przetargu, aukcji albo konkursu, Prezes UKE niezwłocznie wszczyna z urzędu postępowanie w sprawie rezerwacji częstotliwości. </w:t>
      </w:r>
      <w:r w:rsidRPr="00361EFB">
        <w:t xml:space="preserve">Prezes UKE dokonuje w drodze decyzji, rezerwacji częstotliwości na rzecz podmiotu albo podmiotów wyłonionych w przetargu, aukcji albo konkursie, o ile nie zachodzą przesłanki, o których mowa w art. 123 ust. 6 pkt 1-3 i 6. Stroną postępowania jest podmiot wyłoniony w przetargu, aukcji albo konkursie. Decyzji, o której mowa w zdaniu </w:t>
      </w:r>
      <w:r w:rsidR="001B5112">
        <w:t>drugim</w:t>
      </w:r>
      <w:r w:rsidR="001B5112" w:rsidRPr="00361EFB">
        <w:t xml:space="preserve"> </w:t>
      </w:r>
      <w:r w:rsidRPr="00361EFB">
        <w:t>nadaje się rygor natychmiastowej wykonalności.</w:t>
      </w:r>
      <w:r w:rsidR="00C54224">
        <w:t>”</w:t>
      </w:r>
      <w:r w:rsidRPr="00361EFB">
        <w:t>;</w:t>
      </w:r>
    </w:p>
    <w:p w14:paraId="2D122856" w14:textId="22CDB90F" w:rsidR="00AC6134" w:rsidRDefault="006F7062" w:rsidP="00A109FB">
      <w:pPr>
        <w:pStyle w:val="PKTpunkt"/>
      </w:pPr>
      <w:r>
        <w:lastRenderedPageBreak/>
        <w:t>1</w:t>
      </w:r>
      <w:r w:rsidR="00BE5377">
        <w:t>4</w:t>
      </w:r>
      <w:r w:rsidR="00A109FB">
        <w:t>)</w:t>
      </w:r>
      <w:r w:rsidR="00A109FB">
        <w:tab/>
      </w:r>
      <w:r w:rsidR="00AC6134">
        <w:t>w art. 118d:</w:t>
      </w:r>
    </w:p>
    <w:p w14:paraId="2CA226BD" w14:textId="56F00203" w:rsidR="00AC6134" w:rsidRDefault="00157873" w:rsidP="00157873">
      <w:pPr>
        <w:pStyle w:val="LITlitera"/>
      </w:pPr>
      <w:r>
        <w:t>a)</w:t>
      </w:r>
      <w:r>
        <w:tab/>
      </w:r>
      <w:r w:rsidR="000C4117">
        <w:t xml:space="preserve">w </w:t>
      </w:r>
      <w:r w:rsidR="00AC6134">
        <w:t>ust. 5</w:t>
      </w:r>
      <w:r w:rsidR="000C4117">
        <w:t xml:space="preserve"> pkt 1</w:t>
      </w:r>
      <w:r w:rsidR="00AC6134">
        <w:t>otrzymuje brzmienie:</w:t>
      </w:r>
    </w:p>
    <w:p w14:paraId="63B4DCAD" w14:textId="3CD46FF3" w:rsidR="00AC6134" w:rsidRPr="00AC6134" w:rsidRDefault="00C54224" w:rsidP="00AC6134">
      <w:pPr>
        <w:pStyle w:val="ZLITUSTzmustliter"/>
      </w:pPr>
      <w:r>
        <w:t>„</w:t>
      </w:r>
      <w:r w:rsidR="00352387">
        <w:t>1)</w:t>
      </w:r>
      <w:r w:rsidR="00352387">
        <w:tab/>
      </w:r>
      <w:r w:rsidR="00AC6134" w:rsidRPr="00AC6134">
        <w:t>w oparciu o warunki uczestnictwa w przetargu, aukcji albo konkursie, wymagania, jakim powinna odpowiadać oferta oraz kryteria oceny ofert, określone przed unieważnieniem przetargu</w:t>
      </w:r>
      <w:r w:rsidR="00433977">
        <w:t>, aukcji albo konkursu</w:t>
      </w:r>
      <w:r w:rsidR="00AC6134" w:rsidRPr="00AC6134">
        <w:t xml:space="preserve"> w </w:t>
      </w:r>
      <w:r w:rsidR="000C4117">
        <w:t>dokumentacji;</w:t>
      </w:r>
      <w:r>
        <w:t>”</w:t>
      </w:r>
      <w:r w:rsidR="00AC6134">
        <w:t>,</w:t>
      </w:r>
    </w:p>
    <w:p w14:paraId="2C82C5A5" w14:textId="71107CEB" w:rsidR="00AC6134" w:rsidRDefault="00352387" w:rsidP="00157873">
      <w:pPr>
        <w:pStyle w:val="LITlitera"/>
      </w:pPr>
      <w:r>
        <w:t>b)</w:t>
      </w:r>
      <w:r>
        <w:tab/>
      </w:r>
      <w:r>
        <w:tab/>
      </w:r>
      <w:r w:rsidR="00AC6134">
        <w:t xml:space="preserve">ust. </w:t>
      </w:r>
      <w:r w:rsidR="00AC6134" w:rsidRPr="00AC6134">
        <w:t>8</w:t>
      </w:r>
      <w:r w:rsidR="00AC6134">
        <w:t xml:space="preserve"> i 9 otrzymują brzmienie: </w:t>
      </w:r>
    </w:p>
    <w:p w14:paraId="2FE51AE4" w14:textId="4084DE23" w:rsidR="00AC6134" w:rsidRPr="00AC6134" w:rsidRDefault="00C54224" w:rsidP="00AC6134">
      <w:pPr>
        <w:pStyle w:val="ZLITUSTzmustliter"/>
      </w:pPr>
      <w:r>
        <w:t>„</w:t>
      </w:r>
      <w:r w:rsidR="00AC6134">
        <w:t xml:space="preserve">8. </w:t>
      </w:r>
      <w:r w:rsidR="00AC6134" w:rsidRPr="00AC6134">
        <w:t>Podmiotem wyłonionym po przeprowadzeniu czynności, o których mowa w ust. 4, nie może zostać podmiot, który został wyłoniony przed unieważnieniem przetargu, aukcji albo konkursu i zrezygnował z rezerwacji częs</w:t>
      </w:r>
      <w:r w:rsidR="000C4117">
        <w:t>totliwości</w:t>
      </w:r>
      <w:r w:rsidR="0020408C">
        <w:t>,</w:t>
      </w:r>
      <w:r w:rsidR="000C4117">
        <w:t xml:space="preserve"> </w:t>
      </w:r>
      <w:r w:rsidR="00113DFE" w:rsidRPr="00113DFE">
        <w:t>zanim decyzja w sprawie rezerwacji stała się ostateczna,</w:t>
      </w:r>
      <w:r w:rsidR="0020408C">
        <w:t xml:space="preserve"> </w:t>
      </w:r>
      <w:r w:rsidR="00AC6134" w:rsidRPr="00AC6134">
        <w:t>lub nie uiścił zadeklarowanej jednorazowej opłaty.</w:t>
      </w:r>
    </w:p>
    <w:p w14:paraId="03456F67" w14:textId="3441208C" w:rsidR="00AC6134" w:rsidRDefault="00AC6134" w:rsidP="00AC6134">
      <w:pPr>
        <w:pStyle w:val="ZLITUSTzmustliter"/>
      </w:pPr>
      <w:r w:rsidRPr="00AC6134">
        <w:t>9</w:t>
      </w:r>
      <w:r>
        <w:t>.</w:t>
      </w:r>
      <w:r w:rsidRPr="00AC6134">
        <w:t xml:space="preserve"> W przypadku gdy zgodnie z warunkami przetargu, aukcji albo konkursu uczestnik złożył więcej niż jedną ofertę, ust. 8 stosuje się wyłącznie do oferty, w stosunku do której podmiot wyłoniony przed unieważnieniem przetargu, aukcji albo konkursu zrezygnował z rezerwacji częst</w:t>
      </w:r>
      <w:r w:rsidR="00495D02">
        <w:t>otliwości</w:t>
      </w:r>
      <w:r w:rsidR="00113DFE">
        <w:t xml:space="preserve">, </w:t>
      </w:r>
      <w:r w:rsidR="00113DFE" w:rsidRPr="00113DFE">
        <w:t>zanim decyzja w sprawie rezerwacji stała się ostateczna</w:t>
      </w:r>
      <w:r w:rsidR="00113DFE">
        <w:t xml:space="preserve">, </w:t>
      </w:r>
      <w:r w:rsidRPr="00AC6134">
        <w:t>lub nie uiścił zadeklarowanej jednorazowej opłaty.</w:t>
      </w:r>
      <w:r w:rsidR="00C54224">
        <w:t>”</w:t>
      </w:r>
      <w:r w:rsidR="000C4117">
        <w:t>;</w:t>
      </w:r>
    </w:p>
    <w:p w14:paraId="19CF7C57" w14:textId="2E9C86FD" w:rsidR="00AC6134" w:rsidRDefault="009E2831" w:rsidP="00A109FB">
      <w:pPr>
        <w:pStyle w:val="PKTpunkt"/>
      </w:pPr>
      <w:r>
        <w:t>1</w:t>
      </w:r>
      <w:r w:rsidR="00BE5377">
        <w:t>5</w:t>
      </w:r>
      <w:r w:rsidR="00A109FB">
        <w:t>)</w:t>
      </w:r>
      <w:r w:rsidR="00A109FB">
        <w:tab/>
        <w:t>a</w:t>
      </w:r>
      <w:r w:rsidR="00AC6134" w:rsidRPr="00AC6134">
        <w:t>rt. 118e ust. 2</w:t>
      </w:r>
      <w:r w:rsidR="00AC6134">
        <w:t xml:space="preserve"> otrzymuje brzmienie:</w:t>
      </w:r>
    </w:p>
    <w:p w14:paraId="47E1D8BE" w14:textId="0E151912" w:rsidR="00AC6134" w:rsidRPr="00361EFB" w:rsidRDefault="00C54224" w:rsidP="00C54224">
      <w:pPr>
        <w:pStyle w:val="ZUSTzmustartykuempunktem"/>
      </w:pPr>
      <w:r>
        <w:t>„</w:t>
      </w:r>
      <w:r w:rsidR="00AC6134">
        <w:t xml:space="preserve">2. </w:t>
      </w:r>
      <w:r w:rsidR="00AC6134" w:rsidRPr="00AC6134">
        <w:t>Przetarg, aukcja albo konkurs są nierozstrzygnięte, jeżeli w terminie wskazanym w ogłoszeniu o p</w:t>
      </w:r>
      <w:r w:rsidR="00B72752">
        <w:t>rzetargu, aukcji albo konkursie</w:t>
      </w:r>
      <w:r w:rsidR="00AC6134" w:rsidRPr="00AC6134">
        <w:t xml:space="preserve"> </w:t>
      </w:r>
      <w:r w:rsidR="00DD49B7">
        <w:t xml:space="preserve">żaden podmiot nie przystąpił </w:t>
      </w:r>
      <w:r w:rsidR="00AC6134" w:rsidRPr="00AC6134">
        <w:t xml:space="preserve">do </w:t>
      </w:r>
      <w:r w:rsidR="00DD49B7">
        <w:t>przetargu, aukcji albo konkursu</w:t>
      </w:r>
      <w:r w:rsidR="00AC6134" w:rsidRPr="00AC6134">
        <w:t>. Informacja w tej sprawie jest publikowana na stronie podmiotowej BIP UKE.</w:t>
      </w:r>
      <w:r>
        <w:t>”</w:t>
      </w:r>
      <w:r w:rsidR="009E2831">
        <w:t>;</w:t>
      </w:r>
    </w:p>
    <w:p w14:paraId="3E44D846" w14:textId="77777777" w:rsidR="00361EFB" w:rsidRPr="00361EFB" w:rsidRDefault="009E2831" w:rsidP="00361EFB">
      <w:pPr>
        <w:pStyle w:val="PKTpunkt"/>
      </w:pPr>
      <w:r>
        <w:t>1</w:t>
      </w:r>
      <w:r w:rsidR="00BE5377">
        <w:t>6</w:t>
      </w:r>
      <w:r w:rsidR="00361EFB" w:rsidRPr="00361EFB">
        <w:t>)</w:t>
      </w:r>
      <w:r w:rsidR="00361EFB" w:rsidRPr="00361EFB">
        <w:tab/>
        <w:t>w art. 119:</w:t>
      </w:r>
    </w:p>
    <w:p w14:paraId="7229DACE" w14:textId="77777777" w:rsidR="00361EFB" w:rsidRPr="00361EFB" w:rsidRDefault="00361EFB" w:rsidP="00361EFB">
      <w:pPr>
        <w:pStyle w:val="LITlitera"/>
      </w:pPr>
      <w:r w:rsidRPr="00361EFB">
        <w:t>a)</w:t>
      </w:r>
      <w:r w:rsidRPr="00361EFB">
        <w:tab/>
        <w:t>ust. 1 </w:t>
      </w:r>
      <w:r w:rsidR="00035DB0">
        <w:rPr>
          <w:rFonts w:cs="Times"/>
        </w:rPr>
        <w:t>−</w:t>
      </w:r>
      <w:r w:rsidRPr="00361EFB">
        <w:t> 3 otrzymują brzmienie:</w:t>
      </w:r>
    </w:p>
    <w:p w14:paraId="4ABC07D2" w14:textId="0192BCD8" w:rsidR="00361EFB" w:rsidRPr="00361EFB" w:rsidRDefault="00C54224" w:rsidP="00361EFB">
      <w:pPr>
        <w:pStyle w:val="ZLITUSTzmustliter"/>
      </w:pPr>
      <w:r>
        <w:t>„</w:t>
      </w:r>
      <w:r w:rsidR="00361EFB" w:rsidRPr="00361EFB">
        <w:t xml:space="preserve">1. </w:t>
      </w:r>
      <w:r w:rsidR="00520A49">
        <w:t xml:space="preserve"> Prezes UKE określa w</w:t>
      </w:r>
      <w:r w:rsidR="00361EFB" w:rsidRPr="00361EFB">
        <w:t xml:space="preserve"> dokumentacji przetargowej albo aukcyjnej wysokość wadium</w:t>
      </w:r>
      <w:r w:rsidR="00520A49">
        <w:t>, biorąc pod uwagę znaczenie społeczne i gospodarcze przedmiotu przetargu albo aukcji</w:t>
      </w:r>
      <w:r w:rsidR="00361EFB" w:rsidRPr="00361EFB">
        <w:t>.</w:t>
      </w:r>
    </w:p>
    <w:p w14:paraId="2A84EE37" w14:textId="77777777" w:rsidR="00361EFB" w:rsidRPr="00361EFB" w:rsidRDefault="00361EFB" w:rsidP="00361EFB">
      <w:pPr>
        <w:pStyle w:val="ZLITUSTzmustliter"/>
      </w:pPr>
      <w:r w:rsidRPr="00361EFB">
        <w:t xml:space="preserve">2. Wysokość wadium nie może być niższa niż 5% opłaty rocznej za prawo do dysponowania częstotliwością, o której mowa w art. 185 ust. 1, i wyższa niż 5000% tej opłaty, jednakże nie niższa niż 500 złotych. W przypadku przetargu i aukcji na kilka rezerwacji </w:t>
      </w:r>
      <w:r w:rsidR="005D0AD4">
        <w:rPr>
          <w:rFonts w:cs="Times"/>
        </w:rPr>
        <w:t>−</w:t>
      </w:r>
      <w:r w:rsidRPr="00361EFB">
        <w:t xml:space="preserve"> wysokość wadium i obowiązek wpłaty dotyczą każdej rezerwacji.</w:t>
      </w:r>
    </w:p>
    <w:p w14:paraId="48B36F2C" w14:textId="017F2E6D" w:rsidR="00361EFB" w:rsidRDefault="00361EFB" w:rsidP="00361EFB">
      <w:pPr>
        <w:pStyle w:val="ZLITUSTzmustliter"/>
      </w:pPr>
      <w:r w:rsidRPr="00361EFB">
        <w:t xml:space="preserve">3. Wycofanie oferty z przetargu albo aukcji po upływie terminu na składanie ofert, niezadeklarowanie kwoty pierwszego postąpienia w aukcji, niewniesienie wymaganego depozytu lub rezygnacja przez podmiot wyłoniony, o którym mowa </w:t>
      </w:r>
      <w:r w:rsidR="00C44030">
        <w:br/>
      </w:r>
      <w:r w:rsidRPr="00361EFB">
        <w:lastRenderedPageBreak/>
        <w:t>w art. 118b ust. 1 lub 2, z uzyskania rezerwacji częstotliwości, powoduje utratę wadium.</w:t>
      </w:r>
      <w:r w:rsidR="00C54224">
        <w:t>”</w:t>
      </w:r>
      <w:r w:rsidRPr="00361EFB">
        <w:t>,</w:t>
      </w:r>
    </w:p>
    <w:p w14:paraId="7FA4EDC4" w14:textId="078401FE" w:rsidR="00361EFB" w:rsidRPr="00361EFB" w:rsidRDefault="00F01C23" w:rsidP="00361EFB">
      <w:pPr>
        <w:pStyle w:val="LITlitera"/>
      </w:pPr>
      <w:r>
        <w:t>b</w:t>
      </w:r>
      <w:r w:rsidR="00361EFB" w:rsidRPr="00361EFB">
        <w:t>)</w:t>
      </w:r>
      <w:r w:rsidR="00361EFB" w:rsidRPr="00361EFB">
        <w:tab/>
        <w:t>ust. 5 i 6 otrzymują brzmienie:</w:t>
      </w:r>
    </w:p>
    <w:p w14:paraId="75427F39" w14:textId="03678712" w:rsidR="00361EFB" w:rsidRPr="00361EFB" w:rsidRDefault="00C54224" w:rsidP="00361EFB">
      <w:pPr>
        <w:pStyle w:val="ZLITUSTzmustliter"/>
      </w:pPr>
      <w:r>
        <w:t>„</w:t>
      </w:r>
      <w:r w:rsidR="00361EFB" w:rsidRPr="00361EFB">
        <w:t>5</w:t>
      </w:r>
      <w:r w:rsidR="006838BC" w:rsidRPr="00361EFB">
        <w:t>.</w:t>
      </w:r>
      <w:r w:rsidR="006838BC">
        <w:t xml:space="preserve"> </w:t>
      </w:r>
      <w:r w:rsidR="00361EFB" w:rsidRPr="00361EFB">
        <w:t>Wadium wniesione przez podmiot wyłoniony, o którym mowa w art. 118b ust. 1 lub 2, podlega zaliczeniu na poczet opłaty, o której mowa w art. 185 ust. 4. W przypadku gdy wadium jest wyższe od tej opłaty, Prezes UKE w terminie 21 dni od dnia, w którym decyzja o dokonaniu rezerwacji częstotliwości stała się ostateczna</w:t>
      </w:r>
      <w:r w:rsidR="00D902FC">
        <w:t>,</w:t>
      </w:r>
      <w:r w:rsidR="00361EFB" w:rsidRPr="00361EFB">
        <w:t xml:space="preserve"> zwraca nadwyżkę.</w:t>
      </w:r>
    </w:p>
    <w:p w14:paraId="131793D6" w14:textId="09B6CAFB" w:rsidR="00361EFB" w:rsidRPr="00361EFB" w:rsidRDefault="00361EFB" w:rsidP="00361EFB">
      <w:pPr>
        <w:pStyle w:val="ZLITUSTzmustliter"/>
      </w:pPr>
      <w:r w:rsidRPr="00361EFB">
        <w:t>6.</w:t>
      </w:r>
      <w:r w:rsidR="006838BC">
        <w:t xml:space="preserve"> </w:t>
      </w:r>
      <w:r w:rsidRPr="00361EFB">
        <w:t xml:space="preserve">Wadium wniesione przez uczestnika przetargu albo aukcji, który spełnił warunki uczestnictwa w przetargu albo aukcji oraz osiągnął minimum kwalifikacyjne, jeżeli zostało określone w dokumentacji, podlega zwrotowi </w:t>
      </w:r>
      <w:r w:rsidR="00C44030">
        <w:br/>
      </w:r>
      <w:r w:rsidRPr="00361EFB">
        <w:t xml:space="preserve">w terminie 21 dni od dnia, w którym decyzja o dokonaniu rezerwacji częstotliwości stała się ostateczna, a w przypadku uczestnika przetargu albo aukcji, który nie spełnił warunków uczestnictwa w przetargu albo aukcji lub nie osiągnął minimum kwalifikacyjnego </w:t>
      </w:r>
      <w:r w:rsidR="00F05150">
        <w:rPr>
          <w:rFonts w:cs="Times"/>
        </w:rPr>
        <w:t>−</w:t>
      </w:r>
      <w:r w:rsidRPr="00361EFB">
        <w:t xml:space="preserve"> w terminie 14 dni od dnia ogłoszenia wyników przetargu albo aukcji albo uznania ich za nierozstrzygnięte.</w:t>
      </w:r>
      <w:r w:rsidR="00C54224">
        <w:t>”</w:t>
      </w:r>
      <w:r w:rsidRPr="00361EFB">
        <w:t>,</w:t>
      </w:r>
    </w:p>
    <w:p w14:paraId="0A8F4266" w14:textId="6E4D1848" w:rsidR="00361EFB" w:rsidRPr="00361EFB" w:rsidRDefault="00F01C23" w:rsidP="00361EFB">
      <w:pPr>
        <w:pStyle w:val="LITlitera"/>
      </w:pPr>
      <w:r>
        <w:t>c</w:t>
      </w:r>
      <w:r w:rsidR="00361EFB" w:rsidRPr="00361EFB">
        <w:t>)</w:t>
      </w:r>
      <w:r w:rsidR="00361EFB" w:rsidRPr="00361EFB">
        <w:tab/>
        <w:t>po ust. 6 dodaje się ust. 7 w brzmieniu:</w:t>
      </w:r>
    </w:p>
    <w:p w14:paraId="34F30BBC" w14:textId="340B3E86" w:rsidR="00361EFB" w:rsidRPr="00361EFB" w:rsidRDefault="00C54224" w:rsidP="00361EFB">
      <w:pPr>
        <w:pStyle w:val="ZLITUSTzmustliter"/>
      </w:pPr>
      <w:r>
        <w:t>„</w:t>
      </w:r>
      <w:r w:rsidR="00361EFB" w:rsidRPr="00361EFB">
        <w:t>7.</w:t>
      </w:r>
      <w:r w:rsidR="00F05150">
        <w:t xml:space="preserve"> </w:t>
      </w:r>
      <w:r w:rsidR="00361EFB" w:rsidRPr="00361EFB">
        <w:t xml:space="preserve">W przypadku unieważnienia przetargu albo aukcji przed dokonaniem rezerwacji częstotliwości zwrot wadium następuje w terminie 21 dni od dnia, </w:t>
      </w:r>
      <w:r w:rsidR="00C44030">
        <w:br/>
      </w:r>
      <w:r w:rsidR="00361EFB" w:rsidRPr="00361EFB">
        <w:t>w którym decyzja o unieważnieniu przetargu albo aukcji stała się ostateczna.</w:t>
      </w:r>
      <w:r>
        <w:t>”</w:t>
      </w:r>
      <w:r w:rsidR="00361EFB" w:rsidRPr="00361EFB">
        <w:t>;</w:t>
      </w:r>
    </w:p>
    <w:p w14:paraId="6B160C7A" w14:textId="77777777" w:rsidR="00361EFB" w:rsidRPr="00361EFB" w:rsidRDefault="009E2831" w:rsidP="00361EFB">
      <w:pPr>
        <w:pStyle w:val="PKTpunkt"/>
      </w:pPr>
      <w:r w:rsidRPr="00361EFB">
        <w:t>1</w:t>
      </w:r>
      <w:r w:rsidR="00BE5377">
        <w:t>7</w:t>
      </w:r>
      <w:r w:rsidR="00361EFB" w:rsidRPr="00361EFB">
        <w:t>)</w:t>
      </w:r>
      <w:r w:rsidR="00361EFB" w:rsidRPr="00361EFB">
        <w:tab/>
        <w:t>po art. 119 dodaje się art. 119a w brzmieniu:</w:t>
      </w:r>
    </w:p>
    <w:p w14:paraId="47E994B6" w14:textId="559FE4E8" w:rsidR="00361EFB" w:rsidRPr="00361EFB" w:rsidRDefault="00C54224" w:rsidP="00361EFB">
      <w:pPr>
        <w:pStyle w:val="ZARTzmartartykuempunktem"/>
      </w:pPr>
      <w:r>
        <w:t>„</w:t>
      </w:r>
      <w:r w:rsidR="00361EFB" w:rsidRPr="00361EFB">
        <w:t>Art.</w:t>
      </w:r>
      <w:r w:rsidR="00F05150">
        <w:t xml:space="preserve"> </w:t>
      </w:r>
      <w:r w:rsidR="00361EFB" w:rsidRPr="00361EFB">
        <w:t>119a.</w:t>
      </w:r>
      <w:r w:rsidR="00F05150">
        <w:t xml:space="preserve"> </w:t>
      </w:r>
      <w:r w:rsidR="00ED4AD9">
        <w:t xml:space="preserve">1. </w:t>
      </w:r>
      <w:r w:rsidR="00361EFB" w:rsidRPr="00361EFB">
        <w:t>Dokumentacja aukcyjna może przewidywać wymóg wniesienia depozytu.</w:t>
      </w:r>
    </w:p>
    <w:p w14:paraId="66FAF5A3" w14:textId="77777777" w:rsidR="00361EFB" w:rsidRPr="00361EFB" w:rsidRDefault="00361EFB" w:rsidP="00361EFB">
      <w:pPr>
        <w:pStyle w:val="ZUSTzmustartykuempunktem"/>
      </w:pPr>
      <w:r w:rsidRPr="00361EFB">
        <w:t xml:space="preserve">2. </w:t>
      </w:r>
      <w:r w:rsidR="00920F70" w:rsidRPr="00920F70">
        <w:t xml:space="preserve">Zasady wnoszenia i sposób ustalania wysokości wymaganego depozytu, w tym wysokość wskaźnika procentowego przyjmowanego do ustalenia wysokości depozytu, są określane w dokumentacji, przy czym wysokość depozytu </w:t>
      </w:r>
      <w:r w:rsidRPr="00361EFB">
        <w:t>nie może być niższa niż 20% i wyższa niż 100 % sumy wszystkich ofert danego uczestnika aukcji złożonych w momencie ogłoszenia konieczności wniesienia depozytu.</w:t>
      </w:r>
    </w:p>
    <w:p w14:paraId="44AE6128" w14:textId="77777777" w:rsidR="00361EFB" w:rsidRPr="00361EFB" w:rsidRDefault="00361EFB" w:rsidP="00361EFB">
      <w:pPr>
        <w:pStyle w:val="ZUSTzmustartykuempunktem"/>
      </w:pPr>
      <w:r w:rsidRPr="00361EFB">
        <w:t>3</w:t>
      </w:r>
      <w:r w:rsidR="006838BC" w:rsidRPr="00361EFB">
        <w:t>.</w:t>
      </w:r>
      <w:r w:rsidR="006838BC">
        <w:t xml:space="preserve"> </w:t>
      </w:r>
      <w:r w:rsidRPr="00361EFB">
        <w:t>Niewniesienie przez uczestnika aukcji wymaganego depozytu powoduje jego dyskwalifikację polegającą na:</w:t>
      </w:r>
    </w:p>
    <w:p w14:paraId="70D2076E" w14:textId="77777777" w:rsidR="00361EFB" w:rsidRPr="00361EFB" w:rsidRDefault="00361EFB" w:rsidP="00361EFB">
      <w:pPr>
        <w:pStyle w:val="ZPKTzmpktartykuempunktem"/>
      </w:pPr>
      <w:r w:rsidRPr="00361EFB">
        <w:t>1)</w:t>
      </w:r>
      <w:r w:rsidRPr="00361EFB">
        <w:tab/>
        <w:t>uniemożliwieniu temu uczestnikowi składania kolejnych ofert;</w:t>
      </w:r>
    </w:p>
    <w:p w14:paraId="4474073D" w14:textId="77777777" w:rsidR="00361EFB" w:rsidRPr="00361EFB" w:rsidRDefault="00361EFB" w:rsidP="00361EFB">
      <w:pPr>
        <w:pStyle w:val="ZPKTzmpktartykuempunktem"/>
      </w:pPr>
      <w:r w:rsidRPr="00361EFB">
        <w:t>2)</w:t>
      </w:r>
      <w:r w:rsidRPr="00361EFB">
        <w:tab/>
        <w:t>utracie depozytu wniesionego przez tego uczestnika;</w:t>
      </w:r>
    </w:p>
    <w:p w14:paraId="324687CD" w14:textId="77777777" w:rsidR="001B5112" w:rsidRDefault="00361EFB" w:rsidP="005E4174">
      <w:pPr>
        <w:pStyle w:val="ZPKTzmpktartykuempunktem"/>
      </w:pPr>
      <w:r w:rsidRPr="00361EFB">
        <w:t>3)</w:t>
      </w:r>
      <w:r w:rsidRPr="00361EFB">
        <w:tab/>
        <w:t>utracie ważności ofert złożonych przez tego uczestnika.</w:t>
      </w:r>
    </w:p>
    <w:p w14:paraId="56D498BD" w14:textId="08023D35" w:rsidR="001B5112" w:rsidRDefault="00361EFB" w:rsidP="00A109FB">
      <w:pPr>
        <w:pStyle w:val="ZUSTzmustartykuempunktem"/>
      </w:pPr>
      <w:r w:rsidRPr="00361EFB">
        <w:lastRenderedPageBreak/>
        <w:t xml:space="preserve">4. Rezygnacja przez podmiot wyłoniony, o którym mowa w art. 118b ust. 1, z uzyskania rezerwacji częstotliwości </w:t>
      </w:r>
      <w:r w:rsidRPr="00A109FB">
        <w:t>powoduje</w:t>
      </w:r>
      <w:r w:rsidRPr="00361EFB">
        <w:t xml:space="preserve"> utratę depozytu w </w:t>
      </w:r>
      <w:r w:rsidR="00CE095F" w:rsidRPr="00CE095F">
        <w:t xml:space="preserve">kwocie stanowiącej iloczyn wskaźnika procentowego przyjmowanego do ustalenia wysokości depozytu </w:t>
      </w:r>
      <w:r w:rsidR="00020ADD">
        <w:t xml:space="preserve">i </w:t>
      </w:r>
      <w:r w:rsidRPr="00361EFB">
        <w:t>opłaty zadeklarowanej przez podmiot za tę rezerwację częstotliwości</w:t>
      </w:r>
      <w:r w:rsidR="00433977">
        <w:t xml:space="preserve"> w momencie</w:t>
      </w:r>
      <w:r w:rsidR="00CA7648">
        <w:t xml:space="preserve"> ostatniego ogłoszenia konieczności wniesienia depozytu</w:t>
      </w:r>
      <w:r w:rsidRPr="00361EFB">
        <w:t>.</w:t>
      </w:r>
    </w:p>
    <w:p w14:paraId="34F47FA0" w14:textId="5D30E4D5" w:rsidR="00361EFB" w:rsidRPr="00361EFB" w:rsidRDefault="00361EFB" w:rsidP="00361EFB">
      <w:pPr>
        <w:pStyle w:val="ZUSTzmustartykuempunktem"/>
      </w:pPr>
      <w:r w:rsidRPr="00361EFB">
        <w:t>5.</w:t>
      </w:r>
      <w:r w:rsidR="00F05150">
        <w:t xml:space="preserve"> </w:t>
      </w:r>
      <w:r w:rsidR="00C91C07">
        <w:t>D</w:t>
      </w:r>
      <w:r w:rsidRPr="00361EFB">
        <w:t xml:space="preserve">epozyt wniesiony przez podmiot wyłoniony, o którym mowa w art. 118b ust. 1 lub 2, </w:t>
      </w:r>
      <w:r w:rsidR="00C91C07">
        <w:t xml:space="preserve">o ile nie zrezygnował on z uzyskania rezerwacji częstotliwości, </w:t>
      </w:r>
      <w:r w:rsidRPr="00361EFB">
        <w:t>podlega zaliczeniu na poczet opłaty, o której mowa w art. 185 ust. 4, w części, w której ta opłata nie została pokryta z wadium. W przypadku gdy depozyt jest wyższy od części opłaty niepokrytej z wadium, Prezes UKE w terminie 21 dni od dnia, w którym decyzja o dokonaniu rezerwacji częstotliwości stała się ostateczna, zwraca nadwyżkę.</w:t>
      </w:r>
    </w:p>
    <w:p w14:paraId="22D0E55C" w14:textId="77777777" w:rsidR="00361EFB" w:rsidRPr="00361EFB" w:rsidRDefault="00361EFB" w:rsidP="00361EFB">
      <w:pPr>
        <w:pStyle w:val="ZUSTzmustartykuempunktem"/>
      </w:pPr>
      <w:r w:rsidRPr="00361EFB">
        <w:t>6.</w:t>
      </w:r>
      <w:r w:rsidR="00F05150">
        <w:t xml:space="preserve"> </w:t>
      </w:r>
      <w:r w:rsidR="00870D15">
        <w:t>Depozyt</w:t>
      </w:r>
      <w:r w:rsidRPr="00361EFB">
        <w:t xml:space="preserve"> wniesiony przez uczestnika aukcji, który nie został podmiotem wyłonionym podlega zwrotowi w terminie 21 dni od dnia, w którym decyzja o dokonaniu rezerwacji częstotliwości stała się ostateczna, albo w terminie 14 dni od dnia uznania aukcji za nierozstrzygniętą.</w:t>
      </w:r>
    </w:p>
    <w:p w14:paraId="4CE09B80" w14:textId="24D8B957" w:rsidR="00361EFB" w:rsidRPr="00361EFB" w:rsidRDefault="00361EFB" w:rsidP="0016587F">
      <w:pPr>
        <w:pStyle w:val="ZUSTzmustartykuempunktem"/>
      </w:pPr>
      <w:r w:rsidRPr="00361EFB">
        <w:t>7. W przypadku unieważnienia aukcji przed dokonaniem rezerwacji częstotliwości zwrot depozytu następuje w terminie 21 dni od dnia, w którym decyzja o unieważnieniu aukcji stała się ostateczna.</w:t>
      </w:r>
      <w:r w:rsidR="009D4478" w:rsidRPr="009D4478">
        <w:t>”</w:t>
      </w:r>
      <w:r w:rsidRPr="00361EFB">
        <w:t>;</w:t>
      </w:r>
    </w:p>
    <w:p w14:paraId="5FBA66C6" w14:textId="77777777" w:rsidR="00361EFB" w:rsidRPr="00361EFB" w:rsidRDefault="009E2831" w:rsidP="00361EFB">
      <w:pPr>
        <w:pStyle w:val="PKTpunkt"/>
      </w:pPr>
      <w:r w:rsidRPr="00361EFB">
        <w:t>1</w:t>
      </w:r>
      <w:r w:rsidR="00191B35">
        <w:t>8</w:t>
      </w:r>
      <w:r w:rsidR="00361EFB" w:rsidRPr="00361EFB">
        <w:t>)</w:t>
      </w:r>
      <w:r w:rsidR="00361EFB" w:rsidRPr="00361EFB">
        <w:tab/>
        <w:t>w art. 120:</w:t>
      </w:r>
    </w:p>
    <w:p w14:paraId="0D059BA4" w14:textId="77777777" w:rsidR="00361EFB" w:rsidRPr="00361EFB" w:rsidRDefault="00361EFB" w:rsidP="00361EFB">
      <w:pPr>
        <w:pStyle w:val="LITlitera"/>
      </w:pPr>
      <w:r w:rsidRPr="00361EFB">
        <w:t>a)</w:t>
      </w:r>
      <w:r w:rsidRPr="00361EFB">
        <w:tab/>
        <w:t>pkt 1 otrzymuje brzmienie:</w:t>
      </w:r>
    </w:p>
    <w:p w14:paraId="2B3090A9" w14:textId="4D7E076D" w:rsidR="00361EFB" w:rsidRPr="00361EFB" w:rsidRDefault="00C54224" w:rsidP="00361EFB">
      <w:pPr>
        <w:pStyle w:val="ZLITPKTzmpktliter"/>
      </w:pPr>
      <w:r>
        <w:t>„</w:t>
      </w:r>
      <w:r w:rsidR="00361EFB" w:rsidRPr="00361EFB">
        <w:t>1)</w:t>
      </w:r>
      <w:r w:rsidR="00361EFB" w:rsidRPr="00361EFB">
        <w:tab/>
        <w:t>szczegółowe wymagania co do zawartości dokumentacji</w:t>
      </w:r>
      <w:r w:rsidR="00737BDE">
        <w:t>,</w:t>
      </w:r>
      <w:r>
        <w:t>”</w:t>
      </w:r>
      <w:r w:rsidR="00361EFB" w:rsidRPr="00361EFB">
        <w:t>,</w:t>
      </w:r>
    </w:p>
    <w:p w14:paraId="012A7213" w14:textId="77777777" w:rsidR="00361EFB" w:rsidRPr="00361EFB" w:rsidRDefault="00361EFB" w:rsidP="00361EFB">
      <w:pPr>
        <w:pStyle w:val="LITlitera"/>
      </w:pPr>
      <w:r w:rsidRPr="00361EFB">
        <w:t>b)</w:t>
      </w:r>
      <w:r w:rsidRPr="00361EFB">
        <w:tab/>
        <w:t>w pkt 2 po lit. b dodaje się lit. c w brzmieniu:</w:t>
      </w:r>
    </w:p>
    <w:p w14:paraId="5466EBBD" w14:textId="7C7C6247" w:rsidR="00361EFB" w:rsidRPr="00361EFB" w:rsidRDefault="00C54224" w:rsidP="00361EFB">
      <w:pPr>
        <w:pStyle w:val="ZLITPKTzmpktliter"/>
      </w:pPr>
      <w:r>
        <w:t>„</w:t>
      </w:r>
      <w:r w:rsidR="00361EFB" w:rsidRPr="00361EFB">
        <w:t>c)</w:t>
      </w:r>
      <w:r w:rsidR="00361EFB" w:rsidRPr="00361EFB">
        <w:tab/>
        <w:t>sposób wpłaty i zwrotu depozytu – w przypadku aukcji</w:t>
      </w:r>
      <w:r>
        <w:t>”</w:t>
      </w:r>
      <w:r w:rsidR="00361EFB" w:rsidRPr="00361EFB">
        <w:t>;</w:t>
      </w:r>
    </w:p>
    <w:p w14:paraId="0B6E8B47" w14:textId="77777777" w:rsidR="00361EFB" w:rsidRPr="00361EFB" w:rsidRDefault="009E2831" w:rsidP="00361EFB">
      <w:pPr>
        <w:pStyle w:val="PKTpunkt"/>
      </w:pPr>
      <w:r w:rsidRPr="00361EFB">
        <w:t>1</w:t>
      </w:r>
      <w:r w:rsidR="00191B35">
        <w:t>9</w:t>
      </w:r>
      <w:r w:rsidR="00361EFB" w:rsidRPr="00361EFB">
        <w:t>)</w:t>
      </w:r>
      <w:r w:rsidR="00361EFB" w:rsidRPr="00361EFB">
        <w:tab/>
        <w:t>w art. 122 w ust. 1 wprowadzenie do wyliczenia otrzymuje brzmienie:</w:t>
      </w:r>
    </w:p>
    <w:p w14:paraId="2AE1EB07" w14:textId="505B4C22" w:rsidR="007B6083" w:rsidRDefault="00C54224" w:rsidP="00A109FB">
      <w:pPr>
        <w:pStyle w:val="ZUSTzmustartykuempunktem"/>
      </w:pPr>
      <w:r>
        <w:t>„</w:t>
      </w:r>
      <w:r w:rsidR="00191B35">
        <w:t xml:space="preserve">1. </w:t>
      </w:r>
      <w:r w:rsidR="00361EFB" w:rsidRPr="00361EFB">
        <w:t>Z wyłączeniem rezerwacji częstotliwości na cele rozpowszechniania programów radiofonicznych w sposób analogowy, Prezes UKE dokonuje zmiany podmiotu dysponującego rezerwacją częstotliwości, jeżeli:</w:t>
      </w:r>
      <w:r>
        <w:t>”</w:t>
      </w:r>
      <w:r w:rsidR="00361EFB" w:rsidRPr="00361EFB">
        <w:t>;</w:t>
      </w:r>
    </w:p>
    <w:p w14:paraId="380222EA" w14:textId="5DDDCB2F" w:rsidR="0078353F" w:rsidRDefault="00191B35" w:rsidP="00361EFB">
      <w:pPr>
        <w:pStyle w:val="PKTpunkt"/>
      </w:pPr>
      <w:r>
        <w:t>20</w:t>
      </w:r>
      <w:r w:rsidR="00A109FB">
        <w:t>)</w:t>
      </w:r>
      <w:r w:rsidR="00A109FB">
        <w:tab/>
      </w:r>
      <w:r w:rsidR="0078353F">
        <w:t>w art. 122</w:t>
      </w:r>
      <w:r w:rsidR="0078353F" w:rsidRPr="0078353F">
        <w:rPr>
          <w:rStyle w:val="IGindeksgrny"/>
        </w:rPr>
        <w:t>1</w:t>
      </w:r>
      <w:r w:rsidR="0078353F">
        <w:rPr>
          <w:rStyle w:val="IGindeksgrny"/>
        </w:rPr>
        <w:t xml:space="preserve"> </w:t>
      </w:r>
      <w:r w:rsidR="0078353F">
        <w:t>w ust. 5 pkt 2 otrzymuje brzmienie:</w:t>
      </w:r>
    </w:p>
    <w:p w14:paraId="45024DC3" w14:textId="1D19A966" w:rsidR="0078353F" w:rsidRDefault="00C54224" w:rsidP="00361EFB">
      <w:pPr>
        <w:pStyle w:val="PKTpunkt"/>
      </w:pPr>
      <w:r>
        <w:t>„</w:t>
      </w:r>
      <w:r w:rsidR="0078353F">
        <w:t xml:space="preserve">2) </w:t>
      </w:r>
      <w:r w:rsidR="0078353F" w:rsidRPr="0078353F">
        <w:t>gdy wykorzystywanie tych częstotliwości przez ten podmiot mogłoby doprowadzić do zakłócenia konkurencji, w szczególności poprzez nadmierne skupienie częstotliwości przez dany podmiot lub przez grupę kapitałową - w tym zakresie Prezes UKE zasięga opinii Prezesa UOKiK.</w:t>
      </w:r>
      <w:r>
        <w:t>”</w:t>
      </w:r>
      <w:r w:rsidR="00191B35">
        <w:t>;</w:t>
      </w:r>
    </w:p>
    <w:p w14:paraId="046E1B1E" w14:textId="77777777" w:rsidR="00361EFB" w:rsidRPr="00361EFB" w:rsidRDefault="00B232CA" w:rsidP="00361EFB">
      <w:pPr>
        <w:pStyle w:val="PKTpunkt"/>
      </w:pPr>
      <w:r>
        <w:t>21</w:t>
      </w:r>
      <w:r w:rsidR="00361EFB" w:rsidRPr="00361EFB">
        <w:t>)</w:t>
      </w:r>
      <w:r w:rsidR="00361EFB" w:rsidRPr="00361EFB">
        <w:tab/>
        <w:t>w art. 123:</w:t>
      </w:r>
    </w:p>
    <w:p w14:paraId="0F13093F" w14:textId="77777777" w:rsidR="00361EFB" w:rsidRPr="00361EFB" w:rsidRDefault="00361EFB" w:rsidP="00361EFB">
      <w:pPr>
        <w:pStyle w:val="LITlitera"/>
      </w:pPr>
      <w:r w:rsidRPr="00361EFB">
        <w:lastRenderedPageBreak/>
        <w:t>a)</w:t>
      </w:r>
      <w:r w:rsidRPr="00361EFB">
        <w:tab/>
        <w:t>w ust. 1 po pkt 8 kropkę zastępuje się średnikiem i dodaje się pkt 9</w:t>
      </w:r>
      <w:r w:rsidR="00D673DE">
        <w:t xml:space="preserve"> i 10</w:t>
      </w:r>
      <w:r w:rsidRPr="00361EFB">
        <w:t xml:space="preserve"> w brzmieniu:</w:t>
      </w:r>
    </w:p>
    <w:p w14:paraId="685663F7" w14:textId="0013F3C3" w:rsidR="00D673DE" w:rsidRDefault="00C54224" w:rsidP="00361EFB">
      <w:pPr>
        <w:pStyle w:val="ZLITPKTzmpktliter"/>
      </w:pPr>
      <w:r>
        <w:t>„</w:t>
      </w:r>
      <w:r w:rsidR="00361EFB" w:rsidRPr="00361EFB">
        <w:t>9)</w:t>
      </w:r>
      <w:r w:rsidR="00361EFB" w:rsidRPr="00361EFB">
        <w:tab/>
      </w:r>
      <w:r w:rsidR="00697F34">
        <w:t xml:space="preserve">gdy jest to konieczne dla </w:t>
      </w:r>
      <w:r w:rsidR="00361EFB" w:rsidRPr="00361EFB">
        <w:t xml:space="preserve">realizacji zobowiązań wynikających z wiążących Rzeczpospolitą Polską umów międzynarodowych lub </w:t>
      </w:r>
      <w:r w:rsidR="00C44030">
        <w:br/>
      </w:r>
      <w:r w:rsidR="003448B9">
        <w:t>aktów prawnych</w:t>
      </w:r>
      <w:r w:rsidR="00361EFB" w:rsidRPr="00361EFB">
        <w:t xml:space="preserve"> Unii Europejskiej</w:t>
      </w:r>
      <w:r w:rsidR="003448B9">
        <w:t>,</w:t>
      </w:r>
      <w:r w:rsidR="003448B9" w:rsidRPr="003448B9">
        <w:t xml:space="preserve"> </w:t>
      </w:r>
      <w:r w:rsidR="003448B9" w:rsidRPr="00361EFB">
        <w:t>dotyczących gospodarowania częstotliwościami</w:t>
      </w:r>
      <w:r w:rsidR="00D673DE">
        <w:t>;</w:t>
      </w:r>
    </w:p>
    <w:p w14:paraId="5545EFC4" w14:textId="4658DF89" w:rsidR="00361EFB" w:rsidRDefault="00D673DE" w:rsidP="00361EFB">
      <w:pPr>
        <w:pStyle w:val="ZLITPKTzmpktliter"/>
      </w:pPr>
      <w:r>
        <w:t xml:space="preserve">10) </w:t>
      </w:r>
      <w:r w:rsidRPr="00D673DE">
        <w:t>stwierdzenia, że na skutek transakcji handlowej, w szczególności skutkującej przejęciem kontroli w rozumieniu ustawy z dnia 16 lutego 2007 r. o ochronie konkurencji i konsumentów nad podmiotem dysponującym rezerwacją częstotliwości, doszło do nadmiernego skupienia częstotliwości przez podmiot lub grupę kapitałową  z zastrzeżeniem ust. 1a.</w:t>
      </w:r>
      <w:r w:rsidR="00C54224">
        <w:t>”</w:t>
      </w:r>
      <w:r w:rsidR="00361EFB" w:rsidRPr="00361EFB">
        <w:t>,</w:t>
      </w:r>
    </w:p>
    <w:p w14:paraId="770C27C3" w14:textId="22CD8D0A" w:rsidR="00D673DE" w:rsidRPr="00D673DE" w:rsidRDefault="009B215A" w:rsidP="00D673DE">
      <w:pPr>
        <w:pStyle w:val="ZLITPKTzmpktliter"/>
      </w:pPr>
      <w:r w:rsidRPr="009B215A">
        <w:t>b)</w:t>
      </w:r>
      <w:r w:rsidR="00D673DE">
        <w:t xml:space="preserve"> po ust. 1 dodaje się ust. 1a i 1b w brzmieniu: </w:t>
      </w:r>
      <w:r w:rsidR="00C54224">
        <w:t>„</w:t>
      </w:r>
      <w:r w:rsidR="00D673DE" w:rsidRPr="00D673DE">
        <w:t>1a. Przepisu ust. 1 pkt 10 nie stosuje się, jeżeli strony transakcji handlowej, o której mowa w tym przepisie, zgłosiły na piśmie Prezesowi UKE zamiar jej przeprowadzenia, a Prezes UKE potwierdził, że zamierzona transakcja handlowa nie będzie prowadziła do nadmiernego skupienia częstotliwości. Prezes UKE zawiadamia strony transakcji handlowej o swoim stanowisku w tej sprawie w terminie 30 dni od otrzymania zgłoszenia zamiaru przeprowadzenia transakcji. W przypadku niewyrażenia przez Prezesa UKE stanowiska w tym terminie, uznaje się, że Prezes UKE potwierdził, że zamierzona transakcja handlowa nie będzie prowadziła do nadmiernego skupienia częstotliwości.</w:t>
      </w:r>
    </w:p>
    <w:p w14:paraId="285E63D2" w14:textId="0EB7E9CD" w:rsidR="00D673DE" w:rsidRPr="00361EFB" w:rsidRDefault="00D673DE" w:rsidP="00D673DE">
      <w:pPr>
        <w:pStyle w:val="ZLITPKTzmpktliter"/>
      </w:pPr>
      <w:r w:rsidRPr="00D673DE">
        <w:t>1b. Przepisu ust. 1 pkt 10 nie stosuje się po upływie 5 lat od dnia dokonania transakcji handlowej,</w:t>
      </w:r>
      <w:r w:rsidR="00737BDE">
        <w:t xml:space="preserve"> o której mowa w tym przepisie.</w:t>
      </w:r>
      <w:r w:rsidR="009D4478" w:rsidRPr="009D4478">
        <w:t>”</w:t>
      </w:r>
      <w:r w:rsidR="00737BDE">
        <w:t>,</w:t>
      </w:r>
    </w:p>
    <w:p w14:paraId="48282C0E" w14:textId="77777777" w:rsidR="00361EFB" w:rsidRDefault="00D673DE" w:rsidP="00DC7471">
      <w:pPr>
        <w:pStyle w:val="ZLITPKTzmpktliter"/>
      </w:pPr>
      <w:r>
        <w:t>c</w:t>
      </w:r>
      <w:r w:rsidR="00361EFB" w:rsidRPr="00361EFB">
        <w:t>)</w:t>
      </w:r>
      <w:r w:rsidR="004844BD">
        <w:tab/>
      </w:r>
      <w:r w:rsidR="00361EFB" w:rsidRPr="00361EFB">
        <w:t>uchyla się ust. 2a,</w:t>
      </w:r>
    </w:p>
    <w:p w14:paraId="482EFAD7" w14:textId="4FAC127E" w:rsidR="008F534F" w:rsidRDefault="00D673DE" w:rsidP="0013139D">
      <w:pPr>
        <w:pStyle w:val="LITlitera"/>
      </w:pPr>
      <w:r>
        <w:t>d</w:t>
      </w:r>
      <w:r w:rsidR="00A109FB">
        <w:t>)</w:t>
      </w:r>
      <w:r w:rsidR="00A109FB">
        <w:tab/>
      </w:r>
      <w:r w:rsidR="008F534F">
        <w:t>ust. 2b otrzymuje brzmienie:</w:t>
      </w:r>
    </w:p>
    <w:p w14:paraId="4D59D735" w14:textId="52DF2C08" w:rsidR="008F534F" w:rsidRPr="00361EFB" w:rsidRDefault="00C54224" w:rsidP="00A109FB">
      <w:pPr>
        <w:pStyle w:val="ZLITPKTzmpktliter"/>
      </w:pPr>
      <w:r>
        <w:t>„</w:t>
      </w:r>
      <w:r w:rsidR="00A109FB">
        <w:t xml:space="preserve">2b. </w:t>
      </w:r>
      <w:r w:rsidR="008F534F" w:rsidRPr="008F534F">
        <w:rPr>
          <w:lang w:eastAsia="ar-SA"/>
        </w:rPr>
        <w:t>Niezależnie od przes</w:t>
      </w:r>
      <w:r w:rsidR="008F534F">
        <w:rPr>
          <w:lang w:eastAsia="ar-SA"/>
        </w:rPr>
        <w:t>łanek, o których mowa w ust. 1 i 2</w:t>
      </w:r>
      <w:r w:rsidR="008F534F" w:rsidRPr="008F534F">
        <w:rPr>
          <w:lang w:eastAsia="ar-SA"/>
        </w:rPr>
        <w:t>, Prezes UKE zmienia rezerwację częstotliwości w zakresie ograniczeń, o których mowa w art. 115 ust. 2 pkt 5, jeżeli nie zachodzi konieczność utrzymywania tych ograniczeń, w szczególności gdy wynika to z przeglądu, o którym mowa w art. 192 ust. 4.</w:t>
      </w:r>
      <w:r>
        <w:t>”</w:t>
      </w:r>
      <w:r w:rsidR="008F534F">
        <w:t>,</w:t>
      </w:r>
    </w:p>
    <w:p w14:paraId="0AA1E293" w14:textId="77777777" w:rsidR="00361EFB" w:rsidRPr="00361EFB" w:rsidRDefault="00D673DE" w:rsidP="0013139D">
      <w:pPr>
        <w:pStyle w:val="LITlitera"/>
      </w:pPr>
      <w:r>
        <w:t>e</w:t>
      </w:r>
      <w:r w:rsidR="00361EFB" w:rsidRPr="00361EFB">
        <w:t>)</w:t>
      </w:r>
      <w:r w:rsidR="004844BD">
        <w:tab/>
      </w:r>
      <w:r w:rsidR="00361EFB" w:rsidRPr="00361EFB">
        <w:t xml:space="preserve">dodaje się ust. 2c </w:t>
      </w:r>
      <w:r w:rsidR="006E0417">
        <w:t xml:space="preserve">i 2d </w:t>
      </w:r>
      <w:r w:rsidR="00361EFB" w:rsidRPr="00361EFB">
        <w:t>w brzmieniu:</w:t>
      </w:r>
    </w:p>
    <w:p w14:paraId="7F7DDE77" w14:textId="2E7F1086" w:rsidR="006E0417" w:rsidRDefault="00C54224" w:rsidP="0013139D">
      <w:pPr>
        <w:pStyle w:val="ZLITUSTzmustliter"/>
      </w:pPr>
      <w:r>
        <w:t>„</w:t>
      </w:r>
      <w:r w:rsidR="00361EFB" w:rsidRPr="00361EFB">
        <w:t xml:space="preserve">2c. </w:t>
      </w:r>
      <w:r w:rsidR="009C282D">
        <w:t>W</w:t>
      </w:r>
      <w:r w:rsidR="009C282D" w:rsidRPr="009C282D">
        <w:t xml:space="preserve"> celu zapewnienia ładu w gospodarce częstotliwościami oraz zwiększenia efektywności wykorzystywanych częstotliwości </w:t>
      </w:r>
      <w:r w:rsidR="00361EFB" w:rsidRPr="00361EFB">
        <w:t xml:space="preserve">Prezes UKE może dokonać zmiany przydzielonych rezerwacji częstotliwości z danego zakresu częstotliwości </w:t>
      </w:r>
      <w:r w:rsidR="009C282D">
        <w:t xml:space="preserve"> poprzez z</w:t>
      </w:r>
      <w:r w:rsidR="001A2986">
        <w:t>a</w:t>
      </w:r>
      <w:r w:rsidR="009C282D">
        <w:t>mianę</w:t>
      </w:r>
      <w:r w:rsidR="001A2986">
        <w:t xml:space="preserve"> </w:t>
      </w:r>
      <w:r w:rsidR="009C282D">
        <w:t>częstotliwości</w:t>
      </w:r>
      <w:r w:rsidR="001A2986">
        <w:t xml:space="preserve"> objętych rezerwacją</w:t>
      </w:r>
      <w:r w:rsidR="009C282D">
        <w:t xml:space="preserve"> na </w:t>
      </w:r>
      <w:r w:rsidR="001A2986">
        <w:lastRenderedPageBreak/>
        <w:t>częstotliwości</w:t>
      </w:r>
      <w:r w:rsidR="009C282D">
        <w:t xml:space="preserve"> </w:t>
      </w:r>
      <w:r w:rsidR="009C282D" w:rsidRPr="009C282D">
        <w:t xml:space="preserve">o </w:t>
      </w:r>
      <w:r w:rsidR="001A2986">
        <w:t xml:space="preserve">analogicznych </w:t>
      </w:r>
      <w:r w:rsidR="009C282D" w:rsidRPr="009C282D">
        <w:t>cechach i właściwościach</w:t>
      </w:r>
      <w:r w:rsidR="00361EFB" w:rsidRPr="00361EFB">
        <w:t>.</w:t>
      </w:r>
      <w:r w:rsidR="001A2986" w:rsidRPr="001A2986">
        <w:t xml:space="preserve"> </w:t>
      </w:r>
      <w:r w:rsidR="001A2986">
        <w:t>Zmiana może dotyczyć</w:t>
      </w:r>
      <w:r w:rsidR="001A2986" w:rsidRPr="001A2986">
        <w:t xml:space="preserve"> całości lub części</w:t>
      </w:r>
      <w:r w:rsidR="001A2986">
        <w:t xml:space="preserve"> częstotliwości objętych rezerwacją.</w:t>
      </w:r>
    </w:p>
    <w:p w14:paraId="1ACC7CDC" w14:textId="069F4A55" w:rsidR="006E0417" w:rsidRPr="006E0417" w:rsidRDefault="006E0417" w:rsidP="006E0417">
      <w:pPr>
        <w:pStyle w:val="ZLITUSTzmustliter"/>
      </w:pPr>
      <w:r w:rsidRPr="006E0417">
        <w:t>2d. W przypadku, o którym mowa w ust. 2c</w:t>
      </w:r>
      <w:r w:rsidR="00BE238B">
        <w:t>,</w:t>
      </w:r>
      <w:r w:rsidRPr="006E0417">
        <w:t xml:space="preserve"> Prezes UKE może wszcząć i prowadzić jedno postępowanie oraz wydać jedną decyzję</w:t>
      </w:r>
      <w:r w:rsidR="00433977">
        <w:t xml:space="preserve"> lub odrębne decyzje dla każdej z rezerwacji</w:t>
      </w:r>
      <w:r w:rsidR="002F525F">
        <w:t xml:space="preserve"> lub prowadzić odrębne postępowania zakończone wydaniem odrębnych decyzji</w:t>
      </w:r>
      <w:r w:rsidRPr="006E0417">
        <w:t>.</w:t>
      </w:r>
      <w:r w:rsidR="00C54224">
        <w:t>”</w:t>
      </w:r>
      <w:r w:rsidRPr="006E0417">
        <w:t>,</w:t>
      </w:r>
    </w:p>
    <w:p w14:paraId="31DEC0B1" w14:textId="58B42F8B" w:rsidR="002641A0" w:rsidRDefault="00D673DE" w:rsidP="00A109FB">
      <w:pPr>
        <w:pStyle w:val="LITlitera"/>
      </w:pPr>
      <w:r>
        <w:t>f</w:t>
      </w:r>
      <w:r w:rsidR="00870D15">
        <w:t>)</w:t>
      </w:r>
      <w:r w:rsidR="00A109FB">
        <w:tab/>
      </w:r>
      <w:r w:rsidR="002641A0">
        <w:t>ust. 3 otrzymuje brzmienie:</w:t>
      </w:r>
    </w:p>
    <w:p w14:paraId="499305B1" w14:textId="700B6AFF" w:rsidR="002641A0" w:rsidRPr="00361EFB" w:rsidRDefault="00C54224" w:rsidP="002641A0">
      <w:pPr>
        <w:pStyle w:val="ZLITUSTzmustliter"/>
      </w:pPr>
      <w:r>
        <w:t>„</w:t>
      </w:r>
      <w:r w:rsidR="002641A0">
        <w:t xml:space="preserve">3. </w:t>
      </w:r>
      <w:r w:rsidR="002641A0" w:rsidRPr="00EC2926">
        <w:t>Zmiany warunków wykorzystania lub cofnięcia rezerwacji częstotliwości przeznaczonych do rozpowszechniania lub rozprowadzania programów radiofonicznych lub telewizyjnych Prezes UKE dokonuje w porozumieniu z Przewodniczącym KRRiT</w:t>
      </w:r>
      <w:r w:rsidR="002641A0">
        <w:t xml:space="preserve">. </w:t>
      </w:r>
      <w:r w:rsidR="002641A0" w:rsidRPr="00EC2926">
        <w:t>Niezajęcie stanowiska przez Przewodniczącego KRRiT w terminie 30 dni od dnia otrzymania projektu decyzji w sprawie rezerwacji częstotliwości jest równoznaczne z uzgodnieniem projektu.</w:t>
      </w:r>
      <w:r>
        <w:t>”</w:t>
      </w:r>
      <w:r w:rsidR="002641A0">
        <w:t>,</w:t>
      </w:r>
    </w:p>
    <w:p w14:paraId="284E2467" w14:textId="77777777" w:rsidR="00361EFB" w:rsidRPr="00361EFB" w:rsidRDefault="00D673DE" w:rsidP="0013139D">
      <w:pPr>
        <w:pStyle w:val="LITlitera"/>
      </w:pPr>
      <w:r>
        <w:t>g</w:t>
      </w:r>
      <w:r w:rsidR="00361EFB" w:rsidRPr="00361EFB">
        <w:t>)</w:t>
      </w:r>
      <w:r w:rsidR="00361EFB" w:rsidRPr="00361EFB">
        <w:tab/>
        <w:t>w ust. 6 po pkt 5 kropkę zastępuje się średnikiem i dodaje się pkt 6 w brzmieniu:</w:t>
      </w:r>
    </w:p>
    <w:p w14:paraId="58D759BC" w14:textId="15CFE0B2" w:rsidR="00361EFB" w:rsidRPr="00361EFB" w:rsidRDefault="00C54224" w:rsidP="00361EFB">
      <w:pPr>
        <w:pStyle w:val="ZLITUSTzmustliter"/>
      </w:pPr>
      <w:r>
        <w:t>„</w:t>
      </w:r>
      <w:r w:rsidR="00361EFB" w:rsidRPr="00361EFB">
        <w:t>6)</w:t>
      </w:r>
      <w:r w:rsidR="004844BD">
        <w:tab/>
      </w:r>
      <w:r w:rsidR="00361EFB" w:rsidRPr="00361EFB">
        <w:t>udzielenie rezerwacji częstotliwości uniemożliwiałoby realizację zobowiązań wynikających z wiążących Rzeczpospolitą Polską umów międzynarodowych</w:t>
      </w:r>
      <w:r w:rsidR="003448B9">
        <w:t xml:space="preserve"> lub</w:t>
      </w:r>
      <w:r w:rsidR="003448B9" w:rsidRPr="003448B9">
        <w:t xml:space="preserve"> aktów prawnych Unii Europejskiej, dotyczących gospodarowania częstotliwościami</w:t>
      </w:r>
      <w:r w:rsidR="00361EFB" w:rsidRPr="00361EFB">
        <w:t>.</w:t>
      </w:r>
      <w:r>
        <w:t>”</w:t>
      </w:r>
      <w:r w:rsidR="00361EFB" w:rsidRPr="00361EFB">
        <w:t>,</w:t>
      </w:r>
    </w:p>
    <w:p w14:paraId="589A64BA" w14:textId="77777777" w:rsidR="00361EFB" w:rsidRPr="00361EFB" w:rsidRDefault="00D673DE" w:rsidP="0013139D">
      <w:pPr>
        <w:pStyle w:val="LITlitera"/>
      </w:pPr>
      <w:r>
        <w:t>h</w:t>
      </w:r>
      <w:r w:rsidR="00361EFB" w:rsidRPr="00361EFB">
        <w:t>)</w:t>
      </w:r>
      <w:r w:rsidR="004844BD">
        <w:tab/>
      </w:r>
      <w:r w:rsidR="00361EFB" w:rsidRPr="00361EFB">
        <w:t>w ust. 7 po pkt 4 kropkę zastępuje się średnikiem i dodaje się pkt 5 w brzmieniu:</w:t>
      </w:r>
    </w:p>
    <w:p w14:paraId="36170ED5" w14:textId="5DAF6D1D" w:rsidR="004C491C" w:rsidRDefault="00C54224" w:rsidP="00361EFB">
      <w:pPr>
        <w:pStyle w:val="ZLITUSTzmustliter"/>
      </w:pPr>
      <w:r>
        <w:t>„</w:t>
      </w:r>
      <w:r w:rsidR="00361EFB" w:rsidRPr="00361EFB">
        <w:t>5)</w:t>
      </w:r>
      <w:r w:rsidR="004844BD">
        <w:tab/>
      </w:r>
      <w:r w:rsidR="0013139D">
        <w:t>braku możliwości</w:t>
      </w:r>
      <w:r w:rsidR="0013139D" w:rsidRPr="00361EFB">
        <w:t xml:space="preserve"> </w:t>
      </w:r>
      <w:r w:rsidR="00361EFB" w:rsidRPr="00361EFB">
        <w:t>realizacji zobowiązań wynikających z wiążących Rzeczpospolitą Polską umów międz</w:t>
      </w:r>
      <w:r w:rsidR="003612A9">
        <w:t xml:space="preserve">ynarodowych </w:t>
      </w:r>
      <w:r w:rsidR="003448B9">
        <w:t xml:space="preserve">lub </w:t>
      </w:r>
      <w:r w:rsidR="003448B9" w:rsidRPr="003448B9">
        <w:t>aktów prawnych Unii Europejskiej, dotyczących gospodarowania częstotliwościami</w:t>
      </w:r>
      <w:r>
        <w:t>”</w:t>
      </w:r>
      <w:r w:rsidR="004C491C">
        <w:t>,</w:t>
      </w:r>
    </w:p>
    <w:p w14:paraId="2DA0E45C" w14:textId="32BA98E6" w:rsidR="00361EFB" w:rsidRDefault="00D673DE" w:rsidP="00A109FB">
      <w:pPr>
        <w:pStyle w:val="LITlitera"/>
      </w:pPr>
      <w:r>
        <w:t>i</w:t>
      </w:r>
      <w:r w:rsidR="00A109FB">
        <w:t>)</w:t>
      </w:r>
      <w:r w:rsidR="00A109FB">
        <w:tab/>
      </w:r>
      <w:r w:rsidR="004C491C">
        <w:t>po ust. 12 dodaje się ust. 13</w:t>
      </w:r>
      <w:r w:rsidR="00895334">
        <w:t xml:space="preserve"> i 14</w:t>
      </w:r>
      <w:r w:rsidR="004C491C">
        <w:t xml:space="preserve"> w brzmieniu:</w:t>
      </w:r>
    </w:p>
    <w:p w14:paraId="1065753E" w14:textId="64E49D8F" w:rsidR="004C491C" w:rsidRDefault="00C54224" w:rsidP="004C491C">
      <w:pPr>
        <w:pStyle w:val="ZLITUSTzmustliter"/>
      </w:pPr>
      <w:r>
        <w:t>„</w:t>
      </w:r>
      <w:r w:rsidR="004C491C">
        <w:t xml:space="preserve">13. </w:t>
      </w:r>
      <w:r w:rsidR="004C491C" w:rsidRPr="004C491C">
        <w:t xml:space="preserve">Prezes UKE niezwłocznie doręcza Przewodniczącemu KRRiT ostateczną decyzję o zmianie rezerwacji częstotliwości przeznaczonych do rozpowszechniania lub rozprowadzania programów w sposób cyfrowy drogą naziemną, </w:t>
      </w:r>
      <w:r w:rsidR="008A2226">
        <w:t xml:space="preserve">wydaną na podstawie </w:t>
      </w:r>
      <w:r w:rsidR="004C491C" w:rsidRPr="004C491C">
        <w:t>ust. 1 pkt 2</w:t>
      </w:r>
      <w:r w:rsidR="00EF597B">
        <w:t>,</w:t>
      </w:r>
      <w:r w:rsidR="00ED1450">
        <w:t xml:space="preserve"> 9 lub ust. 2c</w:t>
      </w:r>
      <w:r w:rsidR="00895334">
        <w:t>.</w:t>
      </w:r>
    </w:p>
    <w:p w14:paraId="04817270" w14:textId="33BE76F2" w:rsidR="004C491C" w:rsidRPr="00361EFB" w:rsidRDefault="00895334" w:rsidP="00A109FB">
      <w:pPr>
        <w:pStyle w:val="ZLITUSTzmustliter"/>
      </w:pPr>
      <w:r>
        <w:t>14. W przypadku zamiany częstotliwości dokonywanej na podstawie ust. 1 pkt 9 lub ust. 2c przepisu art. 116 ust. 1 nie stosuje się.</w:t>
      </w:r>
      <w:r w:rsidR="00C54224">
        <w:t>”</w:t>
      </w:r>
      <w:r>
        <w:t>;</w:t>
      </w:r>
    </w:p>
    <w:p w14:paraId="750FEA6E" w14:textId="77777777" w:rsidR="00361EFB" w:rsidRPr="00361EFB" w:rsidRDefault="00F1313E" w:rsidP="00361EFB">
      <w:pPr>
        <w:pStyle w:val="PKTpunkt"/>
      </w:pPr>
      <w:r>
        <w:t>2</w:t>
      </w:r>
      <w:r w:rsidR="00B232CA">
        <w:t>2</w:t>
      </w:r>
      <w:r w:rsidR="00361EFB" w:rsidRPr="00361EFB">
        <w:t>)</w:t>
      </w:r>
      <w:r w:rsidR="00361EFB" w:rsidRPr="00361EFB">
        <w:tab/>
        <w:t>art. 124 otrzymuje brzmienie:</w:t>
      </w:r>
    </w:p>
    <w:p w14:paraId="7EA1838E" w14:textId="0E202AFA" w:rsidR="00361EFB" w:rsidRPr="00361EFB" w:rsidRDefault="00C54224" w:rsidP="00361EFB">
      <w:pPr>
        <w:pStyle w:val="ZUSTzmustartykuempunktem"/>
      </w:pPr>
      <w:r>
        <w:t>„</w:t>
      </w:r>
      <w:r w:rsidR="00361EFB" w:rsidRPr="00361EFB">
        <w:t xml:space="preserve">Art. 124. 1. Podmiotowi, któremu cofnięto rezerwację częstotliwości z powodu niewywiązywania się z obowiązku, o którym mowa w art. 185 ust. 1, 4a </w:t>
      </w:r>
      <w:r w:rsidR="00283A7E">
        <w:t>lub</w:t>
      </w:r>
      <w:r w:rsidR="00283A7E" w:rsidRPr="00361EFB">
        <w:t xml:space="preserve"> </w:t>
      </w:r>
      <w:r w:rsidR="00361EFB" w:rsidRPr="00361EFB">
        <w:t xml:space="preserve">4c, można </w:t>
      </w:r>
      <w:r w:rsidR="00361EFB" w:rsidRPr="00361EFB">
        <w:lastRenderedPageBreak/>
        <w:t>udzielić rezerwacji częstotliwości nie wcześniej niż po upływie 3 lat od dnia wydania decyzji o cofnięciu rezerwacji.</w:t>
      </w:r>
    </w:p>
    <w:p w14:paraId="1540D9B2" w14:textId="77777777" w:rsidR="00361EFB" w:rsidRPr="00361EFB" w:rsidRDefault="00361EFB" w:rsidP="00361EFB">
      <w:pPr>
        <w:pStyle w:val="ZUSTzmustartykuempunktem"/>
      </w:pPr>
      <w:r w:rsidRPr="00361EFB">
        <w:t xml:space="preserve">2. Podmiot, któremu cofnięto rezerwację częstotliwości z powodu niewywiązywania się z obowiązku, o którym </w:t>
      </w:r>
      <w:r w:rsidR="003A3358">
        <w:t>mowa w art. 185 ust. 4,</w:t>
      </w:r>
      <w:r w:rsidRPr="00361EFB">
        <w:t xml:space="preserve"> może uzyskać rezerwację częstotliwości lub może zostać uczestnikiem przetargu, aukcji albo konkurs</w:t>
      </w:r>
      <w:r w:rsidR="006502A5">
        <w:t xml:space="preserve">u nie wcześniej niż po upływie </w:t>
      </w:r>
      <w:r w:rsidRPr="00361EFB">
        <w:t>6 lat od dnia wydania decyzji o cofnięciu rezerwacji.</w:t>
      </w:r>
    </w:p>
    <w:p w14:paraId="73EC45EC" w14:textId="77777777" w:rsidR="00AD66C0" w:rsidRDefault="00361EFB" w:rsidP="00361EFB">
      <w:pPr>
        <w:pStyle w:val="ZUSTzmustartykuempunktem"/>
      </w:pPr>
      <w:r w:rsidRPr="00361EFB">
        <w:t xml:space="preserve">3. Podmiot wyłoniony, o którym mowa w art. 116 ust. 1, który zrezygnował </w:t>
      </w:r>
      <w:r w:rsidR="006502A5">
        <w:br/>
      </w:r>
      <w:r w:rsidRPr="00361EFB">
        <w:t xml:space="preserve">z uzyskania rezerwacji, może uzyskać rezerwację częstotliwości lub może zostać uczestnikiem przetargu, aukcji albo konkursu nie wcześniej niż po upływie 6 lat od dnia ogłoszenia wyników przetargu, aukcji albo konkursu, w którym został podmiotem </w:t>
      </w:r>
      <w:r w:rsidR="00E77B67" w:rsidRPr="00E77B67">
        <w:t>wyłonionym</w:t>
      </w:r>
      <w:r w:rsidRPr="00361EFB">
        <w:t>.</w:t>
      </w:r>
    </w:p>
    <w:p w14:paraId="4A435AC8" w14:textId="45D48674" w:rsidR="00361EFB" w:rsidRPr="00361EFB" w:rsidRDefault="00AD66C0" w:rsidP="00AD66C0">
      <w:pPr>
        <w:pStyle w:val="ZUSTzmustartykuempunktem"/>
      </w:pPr>
      <w:r>
        <w:t xml:space="preserve">4. </w:t>
      </w:r>
      <w:r w:rsidRPr="00AD66C0">
        <w:t>Podmiot, który po doręczeniu decyzji o dokonaniu rezerwacji częstotliwości na kolejny okres zrezygnował z rezerwacji częstotliwości zanim decyzja stała się ostateczna, może uzyskać rezerwację obejmującą te częstotliwości lub może zostać uczestnikiem przetargu, aukcji albo konkursu na rezerwację obejmującą te częstotliwości nie wcześniej niż po upływie 6 lat od dnia wpływu oświadczenia o rezygnacji.</w:t>
      </w:r>
      <w:r>
        <w:t xml:space="preserve"> </w:t>
      </w:r>
      <w:r w:rsidRPr="00AD66C0">
        <w:t>Przepisu nie stosuje się gdy opłata za dokonanie rezerwacji ustalona została na podstawie art. 185 ust.</w:t>
      </w:r>
      <w:r w:rsidR="008D1983">
        <w:t xml:space="preserve"> </w:t>
      </w:r>
      <w:r w:rsidRPr="00AD66C0">
        <w:t>4c lub rezerwacja została dokonana na okres krótszy niż wskazany we wniosku, z zastrzeżeniem</w:t>
      </w:r>
      <w:r w:rsidR="00FB2795">
        <w:t>, że okres wskazany we wniosku nie przekraczał</w:t>
      </w:r>
      <w:r w:rsidRPr="00AD66C0">
        <w:t xml:space="preserve"> </w:t>
      </w:r>
      <w:r w:rsidR="00661DFE">
        <w:t xml:space="preserve">maksymalnego okresu rezerwacji określonego w </w:t>
      </w:r>
      <w:r w:rsidRPr="00AD66C0">
        <w:t>art. 114 ust. 5.</w:t>
      </w:r>
      <w:r w:rsidR="00C54224">
        <w:t>”</w:t>
      </w:r>
      <w:r w:rsidR="00361EFB" w:rsidRPr="00361EFB">
        <w:t>;</w:t>
      </w:r>
    </w:p>
    <w:p w14:paraId="14FE81CD" w14:textId="77777777" w:rsidR="00361EFB" w:rsidRPr="00361EFB" w:rsidRDefault="00F1313E" w:rsidP="00361EFB">
      <w:pPr>
        <w:pStyle w:val="PKTpunkt"/>
      </w:pPr>
      <w:r>
        <w:t>2</w:t>
      </w:r>
      <w:r w:rsidR="00B232CA">
        <w:t>3</w:t>
      </w:r>
      <w:r w:rsidR="00361EFB" w:rsidRPr="00361EFB">
        <w:t>)</w:t>
      </w:r>
      <w:r w:rsidR="00361EFB" w:rsidRPr="00361EFB">
        <w:tab/>
        <w:t>w art. 144c ust. 6 i 7 otrzymują brzmienie:</w:t>
      </w:r>
    </w:p>
    <w:p w14:paraId="02C65278" w14:textId="66ED825F" w:rsidR="00361EFB" w:rsidRPr="00361EFB" w:rsidRDefault="00C54224" w:rsidP="00361EFB">
      <w:pPr>
        <w:pStyle w:val="ZUSTzmustartykuempunktem"/>
      </w:pPr>
      <w:r>
        <w:t>„</w:t>
      </w:r>
      <w:r w:rsidR="00361EFB" w:rsidRPr="00361EFB">
        <w:t>6.</w:t>
      </w:r>
      <w:r w:rsidR="00F05150">
        <w:t xml:space="preserve"> </w:t>
      </w:r>
      <w:r w:rsidR="00361EFB" w:rsidRPr="00361EFB">
        <w:t xml:space="preserve">Prezes UKE dokonuje wpisu urządzenia do rejestru urządzeń w terminie do </w:t>
      </w:r>
      <w:r w:rsidR="00C44030">
        <w:br/>
      </w:r>
      <w:r w:rsidR="00361EFB" w:rsidRPr="00361EFB">
        <w:t>14 dni roboczych od dnia otrzymania wniosku wraz z oświadczeniem, o którym mowa w ust. 4.</w:t>
      </w:r>
    </w:p>
    <w:p w14:paraId="0D567387" w14:textId="244AD499" w:rsidR="00361EFB" w:rsidRDefault="00361EFB" w:rsidP="00361EFB">
      <w:pPr>
        <w:pStyle w:val="ZUSTzmustartykuempunktem"/>
      </w:pPr>
      <w:r w:rsidRPr="00361EFB">
        <w:t>7.</w:t>
      </w:r>
      <w:r w:rsidR="00F05150">
        <w:t xml:space="preserve"> </w:t>
      </w:r>
      <w:r w:rsidRPr="00361EFB">
        <w:t>Jeżeli Prezes UKE nie dokona wpisu w terminie, o którym mowa w ust. 6, a od dnia otrzymania wniosku o wpis do rejestru urządzeń upłynęło 21 dni roboczych, podmiot uprawniony do dysponowania częstotliwością może rozpocząć jej wykorzystywanie za pomocą urządzenia, którego dotyczył wniosek, po uprzednim zawiadomieniu na piśmie Prezesa UKE. Nie dotyczy to przypadku, w którym Prezes UKE wezwał podmiot uprawniony do dysponowania częstotliwością do uzupełnienia wniosku przed upływem terminu, o którym mowa w ust. 6.</w:t>
      </w:r>
      <w:r w:rsidR="00C54224">
        <w:t>”</w:t>
      </w:r>
      <w:r w:rsidRPr="00361EFB">
        <w:t>;</w:t>
      </w:r>
    </w:p>
    <w:p w14:paraId="489AC2C8" w14:textId="571E51FB" w:rsidR="006F6A05" w:rsidRDefault="00F1313E" w:rsidP="00A109FB">
      <w:pPr>
        <w:pStyle w:val="PKTpunkt"/>
      </w:pPr>
      <w:r>
        <w:t>2</w:t>
      </w:r>
      <w:r w:rsidR="00B232CA">
        <w:t>4</w:t>
      </w:r>
      <w:r w:rsidR="00A109FB">
        <w:t>)</w:t>
      </w:r>
      <w:r w:rsidR="00A109FB">
        <w:tab/>
      </w:r>
      <w:r w:rsidR="006F6A05">
        <w:t>w art. 144d ust. 1 otrzymuje brzmienie:</w:t>
      </w:r>
    </w:p>
    <w:p w14:paraId="742F6117" w14:textId="2F790E88" w:rsidR="006F6A05" w:rsidRPr="00361EFB" w:rsidRDefault="00C54224" w:rsidP="00A109FB">
      <w:pPr>
        <w:pStyle w:val="ZUSTzmustartykuempunktem"/>
      </w:pPr>
      <w:r>
        <w:lastRenderedPageBreak/>
        <w:t>„</w:t>
      </w:r>
      <w:r w:rsidR="006F6A05">
        <w:t xml:space="preserve">1. Wpis może </w:t>
      </w:r>
      <w:r w:rsidR="006F6A05" w:rsidRPr="00A109FB">
        <w:t>zostać</w:t>
      </w:r>
      <w:r w:rsidR="006F6A05">
        <w:t xml:space="preserve"> wykreślony z rejestru urządzeń, jeżeli zachodzą okoliczności, o których mowa w art. 123 ust. 1 pkt 1-3 </w:t>
      </w:r>
      <w:r w:rsidR="00433977">
        <w:t>lub</w:t>
      </w:r>
      <w:r w:rsidR="006F6A05">
        <w:t xml:space="preserve"> 9.</w:t>
      </w:r>
      <w:r>
        <w:t>”</w:t>
      </w:r>
      <w:r w:rsidR="006F6A05">
        <w:t>;</w:t>
      </w:r>
    </w:p>
    <w:p w14:paraId="58AC963B" w14:textId="77777777" w:rsidR="00361EFB" w:rsidRPr="00361EFB" w:rsidRDefault="00F1313E" w:rsidP="00361EFB">
      <w:pPr>
        <w:pStyle w:val="PKTpunkt"/>
      </w:pPr>
      <w:r w:rsidRPr="00361EFB">
        <w:t>2</w:t>
      </w:r>
      <w:r w:rsidR="00B232CA">
        <w:t>5</w:t>
      </w:r>
      <w:r w:rsidR="00361EFB" w:rsidRPr="00361EFB">
        <w:t>)</w:t>
      </w:r>
      <w:r w:rsidR="00361EFB" w:rsidRPr="00361EFB">
        <w:tab/>
        <w:t>w art. 145 ust. 7 otrzymuje brzmienie:</w:t>
      </w:r>
    </w:p>
    <w:p w14:paraId="700C3E68" w14:textId="5E6B4E61" w:rsidR="00361EFB" w:rsidRPr="00361EFB" w:rsidRDefault="00C54224" w:rsidP="00361EFB">
      <w:pPr>
        <w:pStyle w:val="ZUSTzmustartykuempunktem"/>
      </w:pPr>
      <w:r>
        <w:t>„</w:t>
      </w:r>
      <w:r w:rsidR="00D00D4B">
        <w:t xml:space="preserve">7. </w:t>
      </w:r>
      <w:r w:rsidR="00361EFB" w:rsidRPr="00361EFB">
        <w:t>Przepisu ust. 1 pkt 2 w zakresie wyróżnika typu oraz nazwy producenta urządzeń radiowych, których dotyczy pozwolenie</w:t>
      </w:r>
      <w:r w:rsidR="001B49C3">
        <w:t>,</w:t>
      </w:r>
      <w:r w:rsidR="00361EFB" w:rsidRPr="00361EFB">
        <w:t xml:space="preserve"> oraz przepisów ust. 5 i 6 nie stosuje się do pozwoleń w służbie radiokomunikacyjnej amatorskiej.</w:t>
      </w:r>
      <w:r>
        <w:t>”</w:t>
      </w:r>
      <w:r w:rsidR="00361EFB" w:rsidRPr="00361EFB">
        <w:t>;</w:t>
      </w:r>
    </w:p>
    <w:p w14:paraId="20C307FB" w14:textId="77777777" w:rsidR="00361EFB" w:rsidRPr="00361EFB" w:rsidRDefault="00F1313E" w:rsidP="00361EFB">
      <w:pPr>
        <w:pStyle w:val="PKTpunkt"/>
        <w:rPr>
          <w:rStyle w:val="Ppogrubienie"/>
        </w:rPr>
      </w:pPr>
      <w:r w:rsidRPr="00361EFB">
        <w:t>2</w:t>
      </w:r>
      <w:r w:rsidR="00B232CA">
        <w:t>6</w:t>
      </w:r>
      <w:r w:rsidR="00361EFB" w:rsidRPr="00361EFB">
        <w:t>)</w:t>
      </w:r>
      <w:r w:rsidR="00361EFB" w:rsidRPr="00361EFB">
        <w:tab/>
        <w:t>w art. 146:</w:t>
      </w:r>
    </w:p>
    <w:p w14:paraId="7515E6BF" w14:textId="77777777" w:rsidR="00361EFB" w:rsidRPr="00361EFB" w:rsidRDefault="00361EFB" w:rsidP="00361EFB">
      <w:pPr>
        <w:pStyle w:val="LITlitera"/>
      </w:pPr>
      <w:r w:rsidRPr="00361EFB">
        <w:t>a)</w:t>
      </w:r>
      <w:r w:rsidRPr="00361EFB">
        <w:tab/>
        <w:t>po ust. 1 dodaje się ust. 1a w brzmieniu:</w:t>
      </w:r>
    </w:p>
    <w:p w14:paraId="644220ED" w14:textId="2C271CB7" w:rsidR="00361EFB" w:rsidRPr="00361EFB" w:rsidRDefault="00C54224" w:rsidP="00361EFB">
      <w:pPr>
        <w:pStyle w:val="ZLITUSTzmustliter"/>
      </w:pPr>
      <w:r>
        <w:t>„</w:t>
      </w:r>
      <w:r w:rsidR="00361EFB" w:rsidRPr="00361EFB">
        <w:t>1a.</w:t>
      </w:r>
      <w:r w:rsidR="00F05150">
        <w:t xml:space="preserve"> </w:t>
      </w:r>
      <w:r w:rsidR="00361EFB" w:rsidRPr="00361EFB">
        <w:t>Przepisu ust. 1 pkt 1 lit. d i e nie stosuje się do pozwoleń w służbie radiokomunikacyjnej amatorskiej.</w:t>
      </w:r>
      <w:r>
        <w:t>”</w:t>
      </w:r>
      <w:r w:rsidR="00361EFB" w:rsidRPr="00361EFB">
        <w:t>,</w:t>
      </w:r>
    </w:p>
    <w:p w14:paraId="57F60188" w14:textId="77777777" w:rsidR="002847D1" w:rsidRDefault="00361EFB" w:rsidP="00205039">
      <w:pPr>
        <w:pStyle w:val="LITlitera"/>
      </w:pPr>
      <w:r w:rsidRPr="00361EFB">
        <w:t>b)</w:t>
      </w:r>
      <w:r w:rsidRPr="00361EFB">
        <w:tab/>
        <w:t>uchyla się ust. 2;</w:t>
      </w:r>
    </w:p>
    <w:p w14:paraId="13A5ABA8" w14:textId="355C212D" w:rsidR="00361EFB" w:rsidRPr="00361EFB" w:rsidRDefault="00F1313E" w:rsidP="00A109FB">
      <w:pPr>
        <w:pStyle w:val="PKTpunkt"/>
      </w:pPr>
      <w:r>
        <w:t>2</w:t>
      </w:r>
      <w:r w:rsidR="00B232CA">
        <w:t>7</w:t>
      </w:r>
      <w:r w:rsidR="00361EFB" w:rsidRPr="00361EFB">
        <w:t>)</w:t>
      </w:r>
      <w:r w:rsidR="00A109FB">
        <w:tab/>
      </w:r>
      <w:r w:rsidR="00361EFB" w:rsidRPr="00361EFB">
        <w:t>w art. 148 w ust. 1:</w:t>
      </w:r>
    </w:p>
    <w:p w14:paraId="55B6F910" w14:textId="77777777" w:rsidR="00361EFB" w:rsidRPr="00361EFB" w:rsidRDefault="00361EFB" w:rsidP="0013139D">
      <w:pPr>
        <w:pStyle w:val="LITlitera"/>
      </w:pPr>
      <w:r w:rsidRPr="00361EFB">
        <w:t>a)</w:t>
      </w:r>
      <w:r w:rsidR="00035DB0">
        <w:tab/>
      </w:r>
      <w:r w:rsidRPr="00361EFB">
        <w:t>pkt 1 otrzymuje brzmienie:</w:t>
      </w:r>
    </w:p>
    <w:p w14:paraId="677DBB05" w14:textId="43208483" w:rsidR="00361EFB" w:rsidRPr="00361EFB" w:rsidRDefault="00C54224" w:rsidP="0013139D">
      <w:pPr>
        <w:pStyle w:val="ZLITPKTzmpktliter"/>
      </w:pPr>
      <w:r>
        <w:t>„</w:t>
      </w:r>
      <w:r w:rsidR="00361EFB" w:rsidRPr="00361EFB">
        <w:t>1)</w:t>
      </w:r>
      <w:r w:rsidR="004844BD">
        <w:tab/>
      </w:r>
      <w:r w:rsidR="00361EFB" w:rsidRPr="00361EFB">
        <w:t>nie zachodzą okoliczności, o których mowa w art. 123 ust. 7 pkt 1-3 i 5;</w:t>
      </w:r>
      <w:r>
        <w:t>”</w:t>
      </w:r>
      <w:r w:rsidR="00361EFB" w:rsidRPr="00361EFB">
        <w:t>,</w:t>
      </w:r>
    </w:p>
    <w:p w14:paraId="5D7C9158" w14:textId="77777777" w:rsidR="00361EFB" w:rsidRPr="00361EFB" w:rsidRDefault="00361EFB" w:rsidP="0013139D">
      <w:pPr>
        <w:pStyle w:val="LITlitera"/>
      </w:pPr>
      <w:r w:rsidRPr="00361EFB">
        <w:t>b)</w:t>
      </w:r>
      <w:r w:rsidR="004844BD">
        <w:tab/>
      </w:r>
      <w:r w:rsidRPr="00361EFB">
        <w:t>po pkt 4 kropkę zastępuje się</w:t>
      </w:r>
      <w:r w:rsidR="00D00D4B">
        <w:t xml:space="preserve"> średnikiem i dodaje się pkt 5 </w:t>
      </w:r>
      <w:r w:rsidRPr="00361EFB">
        <w:t>w brzmieniu:</w:t>
      </w:r>
    </w:p>
    <w:p w14:paraId="0EE0D7B4" w14:textId="593A46F1" w:rsidR="00361EFB" w:rsidRDefault="00C54224" w:rsidP="0013139D">
      <w:pPr>
        <w:pStyle w:val="ZLITPKTzmpktliter"/>
      </w:pPr>
      <w:r>
        <w:t>„</w:t>
      </w:r>
      <w:r w:rsidR="00361EFB" w:rsidRPr="00361EFB">
        <w:t>5)</w:t>
      </w:r>
      <w:r w:rsidR="00361EFB" w:rsidRPr="00361EFB">
        <w:tab/>
        <w:t>urządzenie nie jest zlokalizowane na obszarze pracy urządzeń kontrolo-pomiarowych UKE, wskazanym w wykazie publikowanym na stronie podmiotowej BIP UKE.</w:t>
      </w:r>
      <w:r>
        <w:t>”</w:t>
      </w:r>
      <w:r w:rsidR="00361EFB" w:rsidRPr="00361EFB">
        <w:t>;</w:t>
      </w:r>
    </w:p>
    <w:p w14:paraId="62BFDC18" w14:textId="5FCEC2A1" w:rsidR="005903F5" w:rsidRDefault="0084124A" w:rsidP="00A109FB">
      <w:pPr>
        <w:pStyle w:val="PKTpunkt"/>
      </w:pPr>
      <w:r>
        <w:t>2</w:t>
      </w:r>
      <w:r w:rsidR="00B232CA">
        <w:t>8</w:t>
      </w:r>
      <w:r w:rsidR="00A109FB">
        <w:t>)</w:t>
      </w:r>
      <w:r w:rsidR="00A109FB">
        <w:tab/>
      </w:r>
      <w:r w:rsidR="00EF36AF">
        <w:t>w art. 149 ust. 1 otrzymuje brzmienie:</w:t>
      </w:r>
    </w:p>
    <w:p w14:paraId="756B7E66" w14:textId="5F14EFB7" w:rsidR="00EF36AF" w:rsidRDefault="00C54224" w:rsidP="00A109FB">
      <w:pPr>
        <w:pStyle w:val="ZUSTzmustartykuempunktem"/>
      </w:pPr>
      <w:r>
        <w:t>„</w:t>
      </w:r>
      <w:r w:rsidR="00EF36AF">
        <w:t>1</w:t>
      </w:r>
      <w:r w:rsidR="00EF36AF" w:rsidRPr="00EF36AF">
        <w:t xml:space="preserve">. </w:t>
      </w:r>
      <w:r w:rsidR="00EF36AF">
        <w:t>Obsługiwanie urządzenia radiowego nadawczego lub nadawczo-odbiorczego używanego w służbie radiokomunikacyjnej amatorskiej wymaga posiadania świadectwa operatora urządzeń radiowych.</w:t>
      </w:r>
      <w:r>
        <w:t>”</w:t>
      </w:r>
      <w:r w:rsidR="00EF36AF">
        <w:t>;</w:t>
      </w:r>
    </w:p>
    <w:p w14:paraId="37DD0EA9" w14:textId="1328B5B0" w:rsidR="00EF36AF" w:rsidRDefault="0084124A" w:rsidP="00A109FB">
      <w:pPr>
        <w:pStyle w:val="PKTpunkt"/>
      </w:pPr>
      <w:r>
        <w:t>2</w:t>
      </w:r>
      <w:r w:rsidR="00B232CA">
        <w:t>9</w:t>
      </w:r>
      <w:r w:rsidR="00A109FB">
        <w:t>)</w:t>
      </w:r>
      <w:r w:rsidR="00A109FB">
        <w:tab/>
      </w:r>
      <w:r w:rsidR="00EF36AF">
        <w:t>art. 150 otrzymuje brzmienie:</w:t>
      </w:r>
    </w:p>
    <w:p w14:paraId="368829C2" w14:textId="5FFE5097" w:rsidR="00EF36AF" w:rsidRDefault="00C54224" w:rsidP="00A109FB">
      <w:pPr>
        <w:pStyle w:val="ZARTzmartartykuempunktem"/>
      </w:pPr>
      <w:r>
        <w:t>„</w:t>
      </w:r>
      <w:r w:rsidR="00EF36AF">
        <w:t xml:space="preserve">Art. 150. 1. </w:t>
      </w:r>
      <w:r w:rsidR="00EF36AF" w:rsidRPr="00EF36AF">
        <w:t>Prezes UKE wydaje świadect</w:t>
      </w:r>
      <w:r w:rsidR="00EF36AF">
        <w:t>wo operatora urządzeń radiowych w służbie radiokomunikacyjnej amatorskiej</w:t>
      </w:r>
      <w:r w:rsidR="00EF36AF" w:rsidRPr="00EF36AF">
        <w:t xml:space="preserve"> na podstawie pozytywnego wyniku egzaminu z wiadomości i umiejętności osoby ubiegającej się o świadectwo operatora urządzeń</w:t>
      </w:r>
      <w:r w:rsidR="00EF36AF">
        <w:t>.</w:t>
      </w:r>
    </w:p>
    <w:p w14:paraId="20B6D271" w14:textId="5F5F9E6F" w:rsidR="00EF36AF" w:rsidRDefault="00EF36AF" w:rsidP="00A109FB">
      <w:pPr>
        <w:pStyle w:val="ZUSTzmustartykuempunktem"/>
      </w:pPr>
      <w:r w:rsidRPr="00EF36AF">
        <w:t xml:space="preserve">2. Egzaminy osób ubiegających się o świadectwo operatora urządzeń radiowych </w:t>
      </w:r>
      <w:r w:rsidR="009953FC">
        <w:t xml:space="preserve">w służbie radiokomunikacyjnej amatorskiej </w:t>
      </w:r>
      <w:r w:rsidRPr="00EF36AF">
        <w:t>przeprowadza kom</w:t>
      </w:r>
      <w:r>
        <w:t>isja powołana przez Prezesa UKE</w:t>
      </w:r>
      <w:r w:rsidRPr="00EF36AF">
        <w:t>. Prezes UKE może powierzyć przeprowadzanie egzaminów</w:t>
      </w:r>
      <w:r>
        <w:t xml:space="preserve"> </w:t>
      </w:r>
      <w:r w:rsidRPr="00EF36AF">
        <w:t>w służbie r</w:t>
      </w:r>
      <w:r>
        <w:t xml:space="preserve">adiokomunikacyjnej amatorskiej </w:t>
      </w:r>
      <w:r w:rsidRPr="00EF36AF">
        <w:t>organizacji zrzeszającej radioamatorów</w:t>
      </w:r>
      <w:r>
        <w:t>.</w:t>
      </w:r>
    </w:p>
    <w:p w14:paraId="20B40029" w14:textId="3712D7C4" w:rsidR="002D48FD" w:rsidRDefault="00EF36AF" w:rsidP="00A109FB">
      <w:pPr>
        <w:pStyle w:val="ZUSTzmustartykuempunktem"/>
      </w:pPr>
      <w:r w:rsidRPr="00EF36AF">
        <w:t>3. Za przeprowadzenie egzaminu oraz za wydanie świadectwa operatora urządzeń radiowych</w:t>
      </w:r>
      <w:r w:rsidR="009953FC" w:rsidRPr="009953FC">
        <w:t xml:space="preserve"> w służbie radiokomunikacyjnej amatorskiej</w:t>
      </w:r>
      <w:r w:rsidRPr="00EF36AF">
        <w:t xml:space="preserve"> pobiera się opłaty</w:t>
      </w:r>
      <w:r w:rsidR="002D48FD">
        <w:t xml:space="preserve"> z zastrzeżeniem ust. 3a.</w:t>
      </w:r>
    </w:p>
    <w:p w14:paraId="3476E6D5" w14:textId="77777777" w:rsidR="00EF36AF" w:rsidRDefault="002D48FD" w:rsidP="00A109FB">
      <w:pPr>
        <w:pStyle w:val="ZUSTzmustartykuempunktem"/>
      </w:pPr>
      <w:r>
        <w:lastRenderedPageBreak/>
        <w:t xml:space="preserve">3a. Nie pobiera się opłaty za przeprowadzenie egzaminu w przypadku powierzenia ich przeprowadzania </w:t>
      </w:r>
      <w:r w:rsidRPr="002D48FD">
        <w:t>organizacji zrzeszającej radioamatorów</w:t>
      </w:r>
      <w:r>
        <w:t>, zgodnie z ust. 2.</w:t>
      </w:r>
    </w:p>
    <w:p w14:paraId="50824D39" w14:textId="77777777" w:rsidR="002D48FD" w:rsidRPr="002D48FD" w:rsidRDefault="002D48FD" w:rsidP="00A109FB">
      <w:pPr>
        <w:pStyle w:val="ZUSTzmustartykuempunktem"/>
      </w:pPr>
      <w:r>
        <w:t xml:space="preserve">4. </w:t>
      </w:r>
      <w:r w:rsidRPr="002D48FD">
        <w:t>Minister właściwy do spraw informatyzacji określi, w drodze rozporządzenia:</w:t>
      </w:r>
    </w:p>
    <w:p w14:paraId="31D9675D" w14:textId="77D7D07D" w:rsidR="002D48FD" w:rsidRPr="002D48FD" w:rsidRDefault="00A109FB" w:rsidP="00A109FB">
      <w:pPr>
        <w:pStyle w:val="ZPKTzmpktartykuempunktem"/>
      </w:pPr>
      <w:r>
        <w:t>1)</w:t>
      </w:r>
      <w:r>
        <w:tab/>
      </w:r>
      <w:r w:rsidR="002D48FD" w:rsidRPr="002D48FD">
        <w:t>rodzaje i wzory świadectw operatora urządzeń radiowych</w:t>
      </w:r>
      <w:r w:rsidR="002D48FD">
        <w:t xml:space="preserve"> w służbie radiokomunikacyjnej amatorskiej</w:t>
      </w:r>
      <w:r w:rsidR="000E4BFF">
        <w:t xml:space="preserve"> i</w:t>
      </w:r>
      <w:r w:rsidR="002D48FD" w:rsidRPr="002D48FD">
        <w:t xml:space="preserve"> zakres wymogów egzaminacyjnych,</w:t>
      </w:r>
    </w:p>
    <w:p w14:paraId="7C5F2496" w14:textId="480FBC4E" w:rsidR="002D48FD" w:rsidRPr="002D48FD" w:rsidRDefault="00A109FB" w:rsidP="00A109FB">
      <w:pPr>
        <w:pStyle w:val="ZPKTzmpktartykuempunktem"/>
      </w:pPr>
      <w:r>
        <w:t>2)</w:t>
      </w:r>
      <w:r>
        <w:tab/>
      </w:r>
      <w:r w:rsidR="002D48FD" w:rsidRPr="002D48FD">
        <w:t>termin złożenia wniosku o wydanie świadectwa operatora urządzeń radiowych</w:t>
      </w:r>
      <w:r w:rsidR="009953FC" w:rsidRPr="009953FC">
        <w:t xml:space="preserve"> w służbie radiokomunikacyjnej amatorskiej</w:t>
      </w:r>
      <w:r w:rsidR="002D48FD" w:rsidRPr="002D48FD">
        <w:t>, tryb przeprowadzania egzaminów, w tym egzaminów poprawkowych, sposób powoływania komisji egzaminacyjnej, a także wysokość opłat za przeprowadzenie egzaminu i wydanie świadectwa, kierując się zasadą, że nie powinny one stanowić bariery dla osób zainteresowanych obsługą urządzeń radiowych</w:t>
      </w:r>
    </w:p>
    <w:p w14:paraId="690B8B78" w14:textId="0B707A01" w:rsidR="002D48FD" w:rsidRDefault="00A109FB" w:rsidP="00A109FB">
      <w:pPr>
        <w:pStyle w:val="ZCZWSPPKTzmczciwsppktartykuempunktem"/>
      </w:pPr>
      <w:r>
        <w:rPr>
          <w:rFonts w:cs="Times"/>
        </w:rPr>
        <w:t>−</w:t>
      </w:r>
      <w:r w:rsidR="002D48FD" w:rsidRPr="002D48FD">
        <w:t xml:space="preserve"> biorąc pod uwagę międzynarodowe przepisy radiokomunikacyjne oraz przepisy międzynarodowe.</w:t>
      </w:r>
      <w:r w:rsidR="00C54224">
        <w:t>”</w:t>
      </w:r>
      <w:r w:rsidR="002D48FD">
        <w:t>;</w:t>
      </w:r>
    </w:p>
    <w:p w14:paraId="7AF279E5" w14:textId="6B6B3C10" w:rsidR="002D48FD" w:rsidRPr="002D48FD" w:rsidRDefault="00B232CA" w:rsidP="00A109FB">
      <w:pPr>
        <w:pStyle w:val="PKTpunkt"/>
      </w:pPr>
      <w:r>
        <w:t>30</w:t>
      </w:r>
      <w:r w:rsidR="00A109FB">
        <w:t>)</w:t>
      </w:r>
      <w:r w:rsidR="00A109FB">
        <w:tab/>
      </w:r>
      <w:r w:rsidR="002D48FD">
        <w:t>uchyla się art. 151;</w:t>
      </w:r>
    </w:p>
    <w:p w14:paraId="433B3755" w14:textId="77777777" w:rsidR="00361EFB" w:rsidRPr="00361EFB" w:rsidRDefault="00B232CA" w:rsidP="0013139D">
      <w:pPr>
        <w:pStyle w:val="PKTpunkt"/>
      </w:pPr>
      <w:r>
        <w:t>31</w:t>
      </w:r>
      <w:r w:rsidR="00361EFB" w:rsidRPr="00361EFB">
        <w:t>)</w:t>
      </w:r>
      <w:r w:rsidR="004844BD">
        <w:tab/>
      </w:r>
      <w:r w:rsidR="00361EFB" w:rsidRPr="00361EFB">
        <w:t>w art. 154:</w:t>
      </w:r>
    </w:p>
    <w:p w14:paraId="51C69C82" w14:textId="77777777" w:rsidR="00361EFB" w:rsidRPr="00361EFB" w:rsidRDefault="00361EFB" w:rsidP="0013139D">
      <w:pPr>
        <w:pStyle w:val="LITlitera"/>
      </w:pPr>
      <w:r w:rsidRPr="00361EFB">
        <w:t>a)</w:t>
      </w:r>
      <w:r w:rsidR="004844BD">
        <w:tab/>
      </w:r>
      <w:r w:rsidRPr="00361EFB">
        <w:t>ust. 1 otrzymuje brzmienie:</w:t>
      </w:r>
    </w:p>
    <w:p w14:paraId="4B6EFEE4" w14:textId="0EB6C215" w:rsidR="00361EFB" w:rsidRPr="00361EFB" w:rsidRDefault="00C54224" w:rsidP="0013139D">
      <w:pPr>
        <w:pStyle w:val="ZLITUSTzmustliter"/>
      </w:pPr>
      <w:r>
        <w:t>„</w:t>
      </w:r>
      <w:r w:rsidR="00361EFB" w:rsidRPr="00361EFB">
        <w:t>1. Urządzenie radiowe, wobec którego państwo członkowskie stosuje ograniczenia w zakresie wprowadzania go do obrotu lub oddawania do użytku, lub wobec którego obowiązują wymagania dotyczące konieczności uzyskania pozwolenia na używanie urządzenia radiowego, stanowi urządzenie klasy 2.</w:t>
      </w:r>
      <w:r>
        <w:t>”</w:t>
      </w:r>
      <w:r w:rsidR="00361EFB" w:rsidRPr="00361EFB">
        <w:t>,</w:t>
      </w:r>
    </w:p>
    <w:p w14:paraId="7C355E98" w14:textId="77777777" w:rsidR="00361EFB" w:rsidRPr="00361EFB" w:rsidRDefault="00361EFB" w:rsidP="0013139D">
      <w:pPr>
        <w:pStyle w:val="LITlitera"/>
      </w:pPr>
      <w:r w:rsidRPr="00361EFB">
        <w:t>b)</w:t>
      </w:r>
      <w:r w:rsidR="004844BD">
        <w:tab/>
      </w:r>
      <w:r w:rsidRPr="00361EFB">
        <w:t>uchyla się ust. 5;</w:t>
      </w:r>
    </w:p>
    <w:p w14:paraId="267AF165" w14:textId="77777777" w:rsidR="002600EA" w:rsidRDefault="0084124A" w:rsidP="0013139D">
      <w:pPr>
        <w:pStyle w:val="PKTpunkt"/>
      </w:pPr>
      <w:r>
        <w:t>3</w:t>
      </w:r>
      <w:r w:rsidR="00B232CA">
        <w:t>2</w:t>
      </w:r>
      <w:r w:rsidR="00361EFB" w:rsidRPr="00361EFB">
        <w:t>)</w:t>
      </w:r>
      <w:r w:rsidR="00CF2C9E">
        <w:tab/>
      </w:r>
      <w:r w:rsidR="00361EFB" w:rsidRPr="00361EFB">
        <w:t>w art. 185</w:t>
      </w:r>
      <w:r w:rsidR="002600EA">
        <w:t>:</w:t>
      </w:r>
    </w:p>
    <w:p w14:paraId="558B730D" w14:textId="7C903418" w:rsidR="002600EA" w:rsidRDefault="002600EA" w:rsidP="00CA156B">
      <w:pPr>
        <w:pStyle w:val="LITlitera"/>
      </w:pPr>
      <w:r>
        <w:t>a</w:t>
      </w:r>
      <w:r w:rsidR="00EC7D32">
        <w:t>)</w:t>
      </w:r>
      <w:r w:rsidR="00EC7D32">
        <w:tab/>
      </w:r>
      <w:r w:rsidR="000D31D8">
        <w:t>ust. 4a otrzymuje brzmienie</w:t>
      </w:r>
      <w:r>
        <w:t>:</w:t>
      </w:r>
    </w:p>
    <w:p w14:paraId="61C99EE0" w14:textId="0572E572" w:rsidR="000D31D8" w:rsidRPr="000D31D8" w:rsidRDefault="00C54224" w:rsidP="00CA156B">
      <w:pPr>
        <w:pStyle w:val="ZUSTzmustartykuempunktem"/>
      </w:pPr>
      <w:r>
        <w:t>„</w:t>
      </w:r>
      <w:r w:rsidR="000D31D8">
        <w:t xml:space="preserve">4a. </w:t>
      </w:r>
      <w:r w:rsidR="000D31D8" w:rsidRPr="000D31D8">
        <w:t>Podmiot na rzecz którego dokonano rezerwacji częstotliwości na kolejny okres w drodze postępowania, o którym mowa w </w:t>
      </w:r>
      <w:r w:rsidR="000D31D8" w:rsidRPr="002847D1">
        <w:t>art. 116 ust. 8</w:t>
      </w:r>
      <w:r w:rsidR="000D31D8" w:rsidRPr="000D31D8">
        <w:t>, uiszcza jednorazową opłatę za dokonanie rezerwacji częstotliwości na kolejny okres w kwocie stanowiącej iloczyn:</w:t>
      </w:r>
    </w:p>
    <w:p w14:paraId="0EE0D976" w14:textId="31AFD050" w:rsidR="000D31D8" w:rsidRPr="000D31D8" w:rsidRDefault="000D31D8" w:rsidP="00CA156B">
      <w:pPr>
        <w:pStyle w:val="ZPKTzmpktartykuempunktem"/>
      </w:pPr>
      <w:bookmarkStart w:id="1" w:name="mip40215281"/>
      <w:bookmarkEnd w:id="1"/>
      <w:r w:rsidRPr="000D31D8">
        <w:t>1)</w:t>
      </w:r>
      <w:r w:rsidR="00CA156B">
        <w:tab/>
      </w:r>
      <w:r w:rsidRPr="000D31D8">
        <w:t>wartości częstotliwości o szerokości 1 MHz dla takiego samego obszaru i wykorzystywania częstotliwości, uzyskanej w wyniku przeprowadzenia ostatniego przetargu, aukcji albo konkursu na rezerwację częstotliwości z danego zakresu częstotliwości;</w:t>
      </w:r>
    </w:p>
    <w:p w14:paraId="63032E6D" w14:textId="6B13C762" w:rsidR="000D31D8" w:rsidRPr="000D31D8" w:rsidRDefault="000D31D8" w:rsidP="00CA156B">
      <w:pPr>
        <w:pStyle w:val="ZPKTzmpktartykuempunktem"/>
      </w:pPr>
      <w:bookmarkStart w:id="2" w:name="mip40215282"/>
      <w:bookmarkEnd w:id="2"/>
      <w:r w:rsidRPr="000D31D8">
        <w:t>2)</w:t>
      </w:r>
      <w:r w:rsidR="00CA156B">
        <w:tab/>
      </w:r>
      <w:r w:rsidRPr="000D31D8">
        <w:t>ilości MHz objętych rezerwacją częstotliwości na kolejny okres;</w:t>
      </w:r>
    </w:p>
    <w:p w14:paraId="0C18EC09" w14:textId="77777777" w:rsidR="000D31D8" w:rsidRPr="000D31D8" w:rsidRDefault="000D31D8" w:rsidP="000D31D8">
      <w:bookmarkStart w:id="3" w:name="mip40215283"/>
      <w:bookmarkEnd w:id="3"/>
      <w:r w:rsidRPr="000D31D8">
        <w:t>oraz</w:t>
      </w:r>
    </w:p>
    <w:p w14:paraId="5F3EC705" w14:textId="77777777" w:rsidR="002B66A0" w:rsidRDefault="000D31D8" w:rsidP="00CA156B">
      <w:pPr>
        <w:pStyle w:val="ZPKTzmpktartykuempunktem"/>
      </w:pPr>
      <w:bookmarkStart w:id="4" w:name="mip40215284"/>
      <w:bookmarkEnd w:id="4"/>
      <w:r w:rsidRPr="000D31D8">
        <w:lastRenderedPageBreak/>
        <w:t>3)</w:t>
      </w:r>
      <w:r w:rsidR="00CA156B">
        <w:tab/>
      </w:r>
      <w:r w:rsidRPr="000D31D8">
        <w:t>średniorocznych wskaźników cen towarów i usług konsumpcyjnych ogółem ogłaszanych przez Prezesa Głównego Urzędu Statystycznego, za okres od roku, w którym przeprowadzono ostatni przetarg, aukcję albo konkurs na rezerwację częstotliwości, o których mowa w pkt 1, do roku poprzedzającego rok, w którym złożono wniosek o dokonanie rezerwacji częstotliwości na kolejny okres.</w:t>
      </w:r>
      <w:r>
        <w:t xml:space="preserve"> </w:t>
      </w:r>
    </w:p>
    <w:p w14:paraId="3323BFFB" w14:textId="26F44AC7" w:rsidR="000D31D8" w:rsidRPr="000D31D8" w:rsidRDefault="000D31D8" w:rsidP="002B66A0">
      <w:pPr>
        <w:pStyle w:val="ZPKTzmpktartykuempunktem"/>
        <w:ind w:left="510" w:firstLine="0"/>
      </w:pPr>
      <w:r>
        <w:t>W przypadku dokonania rezerwacji</w:t>
      </w:r>
      <w:r w:rsidRPr="000D31D8">
        <w:t xml:space="preserve"> na kolejny okres inny</w:t>
      </w:r>
      <w:r>
        <w:t xml:space="preserve"> niż </w:t>
      </w:r>
      <w:r w:rsidR="003344F5">
        <w:t xml:space="preserve">okres, na </w:t>
      </w:r>
      <w:r w:rsidRPr="000D31D8">
        <w:t xml:space="preserve"> </w:t>
      </w:r>
      <w:r w:rsidR="003344F5">
        <w:t xml:space="preserve">który wydano rezerwację, o której mowa w pkt 1, </w:t>
      </w:r>
      <w:r w:rsidRPr="000D31D8">
        <w:t>opłatę określa się proporcjonalnie w stosunku</w:t>
      </w:r>
      <w:r>
        <w:t xml:space="preserve"> do okresu na jaki dokonywana jest ta rezerwacja.</w:t>
      </w:r>
      <w:r w:rsidR="001948B1" w:rsidRPr="001948B1">
        <w:t>”</w:t>
      </w:r>
      <w:r>
        <w:t>,</w:t>
      </w:r>
    </w:p>
    <w:p w14:paraId="6BDE22A3" w14:textId="77777777" w:rsidR="00E045F8" w:rsidRDefault="00CA156B" w:rsidP="00E045F8">
      <w:pPr>
        <w:pStyle w:val="LITlitera"/>
      </w:pPr>
      <w:r>
        <w:t>b)</w:t>
      </w:r>
      <w:r w:rsidR="00E045F8">
        <w:t xml:space="preserve"> ust. 4c otrzymuje brzmienie:</w:t>
      </w:r>
    </w:p>
    <w:p w14:paraId="6DA83E4E" w14:textId="739D9AD2" w:rsidR="00E045F8" w:rsidRDefault="00CA156B" w:rsidP="00E045F8">
      <w:pPr>
        <w:pStyle w:val="LITlitera"/>
      </w:pPr>
      <w:r>
        <w:tab/>
      </w:r>
      <w:r w:rsidR="001948B1" w:rsidRPr="001948B1">
        <w:t>„</w:t>
      </w:r>
      <w:r w:rsidR="001948B1">
        <w:t xml:space="preserve">4c. </w:t>
      </w:r>
      <w:r w:rsidR="00E045F8" w:rsidRPr="00E045F8">
        <w:t>W przypadku dokonywania rezerwacji częstotliwości na kolejny okres z zakresu, dla którego nie były wcześniej przeprowadzone przetarg, aukcja albo konkurs albo zostały przeprowadzone ale nie zostały rozstrzygnięte, kwotę opłaty ustala Prezes UKE na podstawie opinii powołanego przez siebie biegłego lub biegłych w przedmiocie wartości rynkowej tych częstotliwości. Koszt opinii biegłego lub biegłych ponosi podmiot, który złożył wniosek o dokonanie rezerwacji częstotliwości na kolejny okres. Przepisu nie stosuje się do częstotliwości użytkowanych zgodnie z art. 4 jako częstotliwości cywilno-rządowe przez podmioty, o których mowa w art. 4.</w:t>
      </w:r>
      <w:r w:rsidR="00E045F8">
        <w:t>”,</w:t>
      </w:r>
    </w:p>
    <w:p w14:paraId="7D88C830" w14:textId="2CD637E8" w:rsidR="00361EFB" w:rsidRPr="00361EFB" w:rsidRDefault="00E045F8" w:rsidP="00E045F8">
      <w:pPr>
        <w:pStyle w:val="LITlitera"/>
      </w:pPr>
      <w:r>
        <w:t xml:space="preserve">c) </w:t>
      </w:r>
      <w:r w:rsidR="00361EFB" w:rsidRPr="00361EFB">
        <w:t>uchyla się ust. 4d;</w:t>
      </w:r>
    </w:p>
    <w:p w14:paraId="0374C8A3" w14:textId="1E662DB4" w:rsidR="00704067" w:rsidRDefault="00CA156B" w:rsidP="00CA156B">
      <w:pPr>
        <w:pStyle w:val="PKTpunkt"/>
      </w:pPr>
      <w:r>
        <w:t>33)</w:t>
      </w:r>
      <w:r>
        <w:tab/>
      </w:r>
      <w:r w:rsidR="00704067">
        <w:t>w art. 192 w ust. 1:</w:t>
      </w:r>
    </w:p>
    <w:p w14:paraId="0AC5E22A" w14:textId="07DD9780" w:rsidR="00E83FCC" w:rsidRDefault="00CA156B" w:rsidP="00CA156B">
      <w:pPr>
        <w:pStyle w:val="LITlitera"/>
      </w:pPr>
      <w:r>
        <w:t>a)</w:t>
      </w:r>
      <w:r w:rsidR="00E83FCC">
        <w:t xml:space="preserve"> uchyla się pkt 7,</w:t>
      </w:r>
      <w:r>
        <w:tab/>
      </w:r>
    </w:p>
    <w:p w14:paraId="3241B79C" w14:textId="6C4400BF" w:rsidR="00704067" w:rsidRDefault="00E83FCC" w:rsidP="00CA156B">
      <w:pPr>
        <w:pStyle w:val="LITlitera"/>
      </w:pPr>
      <w:r>
        <w:t xml:space="preserve">b) </w:t>
      </w:r>
      <w:r w:rsidR="00704067">
        <w:t>po pkt 8 dodaje się pkt 8a w brzmieniu:</w:t>
      </w:r>
    </w:p>
    <w:p w14:paraId="1E2D9D76" w14:textId="79DA0BC0" w:rsidR="00704067" w:rsidRDefault="00C54224" w:rsidP="00704067">
      <w:r>
        <w:t>„</w:t>
      </w:r>
      <w:r w:rsidR="00CA156B">
        <w:t>8a)</w:t>
      </w:r>
      <w:r w:rsidR="00CA156B">
        <w:tab/>
      </w:r>
      <w:r w:rsidR="00704067">
        <w:t>realizacja harmonogramu rozdysponowania zasobów częstotliwości, o którym mowa w art. 111</w:t>
      </w:r>
      <w:r w:rsidR="00D915A3">
        <w:t>ust. 4</w:t>
      </w:r>
      <w:r w:rsidR="00704067">
        <w:t>;</w:t>
      </w:r>
      <w:r>
        <w:t>”</w:t>
      </w:r>
      <w:r w:rsidR="00704067">
        <w:t>,</w:t>
      </w:r>
    </w:p>
    <w:p w14:paraId="56FE7DC6" w14:textId="3D01AE2D" w:rsidR="00EB3390" w:rsidRDefault="007D1015" w:rsidP="00CA156B">
      <w:pPr>
        <w:pStyle w:val="LITlitera"/>
      </w:pPr>
      <w:r>
        <w:t>c</w:t>
      </w:r>
      <w:r w:rsidR="00CA156B">
        <w:t>)</w:t>
      </w:r>
      <w:r w:rsidR="00CA156B">
        <w:tab/>
      </w:r>
      <w:r w:rsidR="000A7532">
        <w:t>po pkt 16 dodaje się pkt 16a w brzmieniu:</w:t>
      </w:r>
    </w:p>
    <w:p w14:paraId="7C2C00D3" w14:textId="48442323" w:rsidR="000A7532" w:rsidRDefault="00C54224" w:rsidP="00CA156B">
      <w:pPr>
        <w:pStyle w:val="ZLITwPKTzmlitwpktartykuempunktem"/>
      </w:pPr>
      <w:r>
        <w:t>„</w:t>
      </w:r>
      <w:r w:rsidR="000A7532">
        <w:t xml:space="preserve">16a) </w:t>
      </w:r>
      <w:r w:rsidR="000A7532" w:rsidRPr="00B06F4E">
        <w:t>prowadzenie transgranicznych koordynacji częstotliwości z innymi państwami, w tym zawieranie niezbędnych umów lub porozumień, w sposób i w terminach pozwalających na realizację zobowiązań wynikających z wiążących Rzeczpospolitą umów międzynarodowych lub aktów prawnych Unii Europejskiej dotyczących gospodarowania częstotliwościami;</w:t>
      </w:r>
      <w:r>
        <w:t>”</w:t>
      </w:r>
      <w:r w:rsidR="000A7532">
        <w:t>;</w:t>
      </w:r>
    </w:p>
    <w:p w14:paraId="3F288E12" w14:textId="3F703933" w:rsidR="00361EFB" w:rsidRPr="00361EFB" w:rsidRDefault="0084124A" w:rsidP="00CA156B">
      <w:pPr>
        <w:pStyle w:val="PKTpunkt"/>
      </w:pPr>
      <w:r>
        <w:t>3</w:t>
      </w:r>
      <w:r w:rsidR="00B232CA">
        <w:t>4</w:t>
      </w:r>
      <w:r w:rsidR="00CA156B">
        <w:t>)</w:t>
      </w:r>
      <w:r w:rsidR="00CA156B">
        <w:tab/>
      </w:r>
      <w:r w:rsidR="00361EFB" w:rsidRPr="00361EFB">
        <w:t>w art. 209 w ust. 1 pkt 11 otrzymuje brzmienie:</w:t>
      </w:r>
    </w:p>
    <w:p w14:paraId="38CC2E30" w14:textId="29F2D01F" w:rsidR="002847D1" w:rsidRPr="00CA156B" w:rsidRDefault="00C54224" w:rsidP="00CA156B">
      <w:pPr>
        <w:pStyle w:val="ZPKTzmpktartykuempunktem"/>
        <w:rPr>
          <w:rStyle w:val="Ppogrubienie"/>
          <w:b w:val="0"/>
        </w:rPr>
      </w:pPr>
      <w:r>
        <w:t>„</w:t>
      </w:r>
      <w:r w:rsidR="00361EFB" w:rsidRPr="00361EFB">
        <w:t>11)</w:t>
      </w:r>
      <w:r w:rsidR="004844BD">
        <w:tab/>
      </w:r>
      <w:r w:rsidR="00361EFB" w:rsidRPr="00361EFB">
        <w:t>wprowadza do obrotu lub oddaje do użytku urządzenie radiowe nie podając informacji, o których mowa w art. 154 ust. 1a,</w:t>
      </w:r>
      <w:r>
        <w:t>”</w:t>
      </w:r>
      <w:r w:rsidR="00361EFB" w:rsidRPr="00361EFB">
        <w:t>.</w:t>
      </w:r>
    </w:p>
    <w:p w14:paraId="0C14AA5A" w14:textId="12A023EC" w:rsidR="00361EFB" w:rsidRPr="00361EFB" w:rsidRDefault="005E7DF8" w:rsidP="005E7DF8">
      <w:pPr>
        <w:pStyle w:val="ARTartustawynprozporzdzenia"/>
      </w:pPr>
      <w:r>
        <w:rPr>
          <w:rStyle w:val="Ppogrubienie"/>
        </w:rPr>
        <w:lastRenderedPageBreak/>
        <w:t xml:space="preserve">Art. </w:t>
      </w:r>
      <w:r w:rsidR="00361EFB" w:rsidRPr="00361EFB">
        <w:rPr>
          <w:rStyle w:val="Ppogrubienie"/>
        </w:rPr>
        <w:t>2.</w:t>
      </w:r>
      <w:r w:rsidR="00361EFB" w:rsidRPr="00361EFB">
        <w:t xml:space="preserve"> W </w:t>
      </w:r>
      <w:r w:rsidR="00361EFB" w:rsidRPr="005E7DF8">
        <w:t>ustawie</w:t>
      </w:r>
      <w:r w:rsidR="00361EFB" w:rsidRPr="00361EFB">
        <w:t xml:space="preserve"> z dnia 29 grudnia 1992 r. o radiofonii i telewizji (Dz. U. z 2017 r. </w:t>
      </w:r>
      <w:r w:rsidR="00AA3561">
        <w:br/>
      </w:r>
      <w:r w:rsidR="00361EFB" w:rsidRPr="00361EFB">
        <w:t>poz. 1414 i 2111):</w:t>
      </w:r>
    </w:p>
    <w:p w14:paraId="0FD7FA0B" w14:textId="77777777" w:rsidR="000251BE" w:rsidRDefault="00361EFB" w:rsidP="0013139D">
      <w:pPr>
        <w:pStyle w:val="PKTpunkt"/>
      </w:pPr>
      <w:r w:rsidRPr="00361EFB">
        <w:t>1)</w:t>
      </w:r>
      <w:r w:rsidR="004844BD">
        <w:tab/>
      </w:r>
      <w:r w:rsidR="000251BE">
        <w:t>w art. 26 ust. 5 otrzymuje brzmienie:</w:t>
      </w:r>
    </w:p>
    <w:p w14:paraId="6BA02613" w14:textId="72EA675D" w:rsidR="000251BE" w:rsidRDefault="00C54224" w:rsidP="0013139D">
      <w:pPr>
        <w:pStyle w:val="PKTpunkt"/>
      </w:pPr>
      <w:r>
        <w:t>„</w:t>
      </w:r>
      <w:r w:rsidR="000251BE" w:rsidRPr="000251BE">
        <w:t xml:space="preserve">5. Prezes Urzędu Komunikacji Elektronicznej, w porozumieniu z Przewodniczącym Krajowej Rady, dokonuje, w drodze decyzji, rezerwacji częstotliwości niezbędnych do wykonywania ustawowych zadań przez spółki oraz określa warunki wykorzystania tych częstotliwości. Do </w:t>
      </w:r>
      <w:r w:rsidR="000251BE">
        <w:t>dokonywania</w:t>
      </w:r>
      <w:r w:rsidR="00276C02">
        <w:t xml:space="preserve">, </w:t>
      </w:r>
      <w:r w:rsidR="000251BE" w:rsidRPr="000251BE">
        <w:t xml:space="preserve">wprowadzania zmian </w:t>
      </w:r>
      <w:r w:rsidR="00276C02">
        <w:t xml:space="preserve">lub cofania </w:t>
      </w:r>
      <w:r w:rsidR="000251BE" w:rsidRPr="000251BE">
        <w:t>rezerwacji częstotliwości</w:t>
      </w:r>
      <w:r w:rsidR="00276C02">
        <w:t xml:space="preserve"> stosuje się przepisy</w:t>
      </w:r>
      <w:r w:rsidR="000251BE" w:rsidRPr="000251BE">
        <w:t xml:space="preserve"> ustawy </w:t>
      </w:r>
      <w:r w:rsidR="00276C02">
        <w:t xml:space="preserve">z dnia 16 lipca 2004 r. </w:t>
      </w:r>
      <w:r w:rsidR="000251BE" w:rsidRPr="000251BE">
        <w:t>− Prawo telekomunikacyjne</w:t>
      </w:r>
      <w:r w:rsidR="00276C02">
        <w:t>, z wyłączeniem art. 116</w:t>
      </w:r>
      <w:r w:rsidR="000251BE" w:rsidRPr="000251BE">
        <w:t>.</w:t>
      </w:r>
      <w:r>
        <w:t>”</w:t>
      </w:r>
      <w:r w:rsidR="000251BE">
        <w:t>,</w:t>
      </w:r>
    </w:p>
    <w:p w14:paraId="79E19BF0" w14:textId="162EAAA8" w:rsidR="00361EFB" w:rsidRPr="00361EFB" w:rsidRDefault="00CA156B" w:rsidP="0013139D">
      <w:pPr>
        <w:pStyle w:val="PKTpunkt"/>
      </w:pPr>
      <w:r>
        <w:t>2)</w:t>
      </w:r>
      <w:r>
        <w:tab/>
      </w:r>
      <w:r w:rsidR="00361EFB" w:rsidRPr="00361EFB">
        <w:t>w art. 37 ust. 3a otrzymuje brzmienie:</w:t>
      </w:r>
    </w:p>
    <w:p w14:paraId="5F283BE6" w14:textId="738B9806" w:rsidR="00361EFB" w:rsidRPr="00361EFB" w:rsidRDefault="00C54224" w:rsidP="00E4039A">
      <w:pPr>
        <w:pStyle w:val="ZUSTzmustartykuempunktem"/>
      </w:pPr>
      <w:r>
        <w:t>„</w:t>
      </w:r>
      <w:r w:rsidR="00035DB0">
        <w:t xml:space="preserve">3a. </w:t>
      </w:r>
      <w:r w:rsidR="00E4039A" w:rsidRPr="00E4039A">
        <w:t xml:space="preserve">Prezes UKE dokonuje niezwłocznie rezerwacji częstotliwości dla nadawcy, który uzyskał koncesję na rozpowszechnianie programu radiofonicznego w sposób analogowy drogą rozsiewczą naziemną. Do dokonywania lub wprowadzania zmian rezerwacji częstotliwości, o </w:t>
      </w:r>
      <w:r w:rsidR="00E4039A">
        <w:t>której mowa w zdaniu pierwszym</w:t>
      </w:r>
      <w:r w:rsidR="00361EFB" w:rsidRPr="00361EFB">
        <w:t>, nie stosuje się art. 116 ustawy</w:t>
      </w:r>
      <w:r w:rsidR="00DF4090">
        <w:t xml:space="preserve"> </w:t>
      </w:r>
      <w:r w:rsidR="0085652E">
        <w:t>z dnia 16 lipca 2004 r.</w:t>
      </w:r>
      <w:r w:rsidR="00D00D4B">
        <w:rPr>
          <w:rFonts w:cs="Times"/>
        </w:rPr>
        <w:t>−</w:t>
      </w:r>
      <w:r w:rsidR="00361EFB" w:rsidRPr="00361EFB">
        <w:t xml:space="preserve"> Prawo telekomunikacyjne.</w:t>
      </w:r>
      <w:r>
        <w:t>”</w:t>
      </w:r>
      <w:r w:rsidR="00361EFB" w:rsidRPr="00361EFB">
        <w:t>;</w:t>
      </w:r>
    </w:p>
    <w:p w14:paraId="258ECE2F" w14:textId="77777777" w:rsidR="00361EFB" w:rsidRPr="00361EFB" w:rsidRDefault="000251BE" w:rsidP="0013139D">
      <w:pPr>
        <w:pStyle w:val="PKTpunkt"/>
      </w:pPr>
      <w:r>
        <w:t>3</w:t>
      </w:r>
      <w:r w:rsidR="00361EFB" w:rsidRPr="00361EFB">
        <w:t>)</w:t>
      </w:r>
      <w:r w:rsidR="004844BD">
        <w:tab/>
      </w:r>
      <w:r w:rsidR="00361EFB" w:rsidRPr="00361EFB">
        <w:t>po art. 38a dodaje się art. 38b w brzmieniu:</w:t>
      </w:r>
    </w:p>
    <w:p w14:paraId="7DEB490E" w14:textId="4D5408F4" w:rsidR="00361EFB" w:rsidRPr="00361EFB" w:rsidRDefault="00C54224" w:rsidP="00CA156B">
      <w:pPr>
        <w:pStyle w:val="ZARTzmartartykuempunktem"/>
      </w:pPr>
      <w:r>
        <w:t>„</w:t>
      </w:r>
      <w:r w:rsidR="00361EFB" w:rsidRPr="00361EFB">
        <w:t xml:space="preserve">Art. 38b. </w:t>
      </w:r>
      <w:r w:rsidR="0088182B">
        <w:t>1</w:t>
      </w:r>
      <w:r w:rsidR="00361EFB" w:rsidRPr="00361EFB">
        <w:t xml:space="preserve">. Niezwłocznie po uzyskaniu decyzji, o której mowa w </w:t>
      </w:r>
      <w:r w:rsidR="0088182B">
        <w:t xml:space="preserve">art. 123 </w:t>
      </w:r>
      <w:r w:rsidR="00361EFB" w:rsidRPr="00361EFB">
        <w:t>ust. 1</w:t>
      </w:r>
      <w:r w:rsidR="009C05AE">
        <w:t>3</w:t>
      </w:r>
      <w:r w:rsidR="00361EFB" w:rsidRPr="00361EFB">
        <w:t xml:space="preserve"> </w:t>
      </w:r>
      <w:r w:rsidR="00FD5AED">
        <w:t>ustawy P</w:t>
      </w:r>
      <w:r w:rsidR="0088182B">
        <w:t>rawo telekomunikacyjne</w:t>
      </w:r>
      <w:r w:rsidR="00EF16C9">
        <w:t>,</w:t>
      </w:r>
      <w:r w:rsidR="0088182B">
        <w:t xml:space="preserve"> </w:t>
      </w:r>
      <w:r w:rsidR="00361EFB" w:rsidRPr="00361EFB">
        <w:t xml:space="preserve">Przewodniczący Krajowej Rady wszczyna z urzędu postępowanie w sprawie zmiany koncesji w zakresie </w:t>
      </w:r>
      <w:r w:rsidR="00911047">
        <w:t>określonym tą decyzją</w:t>
      </w:r>
      <w:r w:rsidR="009F74AE">
        <w:t>.</w:t>
      </w:r>
    </w:p>
    <w:p w14:paraId="465E8AF5" w14:textId="77777777" w:rsidR="00361EFB" w:rsidRPr="00361EFB" w:rsidRDefault="0088182B" w:rsidP="0013139D">
      <w:pPr>
        <w:pStyle w:val="ZUSTzmustartykuempunktem"/>
      </w:pPr>
      <w:r>
        <w:t>2</w:t>
      </w:r>
      <w:r w:rsidR="00361EFB" w:rsidRPr="00361EFB">
        <w:t xml:space="preserve">. Zmiana koncesji, o której mowa w ust. </w:t>
      </w:r>
      <w:r w:rsidR="001255C3">
        <w:t>1</w:t>
      </w:r>
      <w:r w:rsidR="00361EFB" w:rsidRPr="00361EFB">
        <w:t>, nie wymaga zgody strony.</w:t>
      </w:r>
    </w:p>
    <w:p w14:paraId="593D9F0E" w14:textId="68656F77" w:rsidR="002847D1" w:rsidRPr="00CA156B" w:rsidRDefault="0088182B" w:rsidP="00CA156B">
      <w:pPr>
        <w:pStyle w:val="ZUSTzmustartykuempunktem"/>
        <w:rPr>
          <w:rStyle w:val="Ppogrubienie"/>
          <w:b w:val="0"/>
        </w:rPr>
      </w:pPr>
      <w:r>
        <w:t>3</w:t>
      </w:r>
      <w:r w:rsidR="00361EFB" w:rsidRPr="00361EFB">
        <w:t xml:space="preserve">. W postępowaniu w sprawie zmiany koncesji, o której mowa w ust. </w:t>
      </w:r>
      <w:r w:rsidR="006142AA">
        <w:t>1</w:t>
      </w:r>
      <w:r w:rsidR="00361EFB" w:rsidRPr="00361EFB">
        <w:t>, przepisów art. 34 i 40  nie stosuje się.</w:t>
      </w:r>
      <w:r w:rsidR="00C54224">
        <w:t>”</w:t>
      </w:r>
      <w:r w:rsidR="002023FC">
        <w:t>.</w:t>
      </w:r>
    </w:p>
    <w:p w14:paraId="2C0BB8A0" w14:textId="77777777" w:rsidR="00E3275E" w:rsidRDefault="005F3E8C" w:rsidP="005E7DF8">
      <w:pPr>
        <w:pStyle w:val="ARTartustawynprozporzdzenia"/>
      </w:pPr>
      <w:r w:rsidRPr="002847D1">
        <w:rPr>
          <w:rStyle w:val="Ppogrubienie"/>
        </w:rPr>
        <w:t>Art. 3.</w:t>
      </w:r>
      <w:r>
        <w:t xml:space="preserve"> W ustawie </w:t>
      </w:r>
      <w:r w:rsidRPr="005F3E8C">
        <w:t>z dnia 21 grudnia 2000 r. </w:t>
      </w:r>
      <w:r>
        <w:t>o żegludze śródlądowej</w:t>
      </w:r>
      <w:r w:rsidR="00E3275E">
        <w:t xml:space="preserve"> </w:t>
      </w:r>
      <w:r w:rsidR="00912EA9">
        <w:t xml:space="preserve">(Dz. U. </w:t>
      </w:r>
      <w:r w:rsidR="00454FD4">
        <w:t>z 2017 r. poz. 21</w:t>
      </w:r>
      <w:r w:rsidR="009E4D59">
        <w:t>2</w:t>
      </w:r>
      <w:r w:rsidR="00454FD4">
        <w:t>8 oraz z 2018 r. poz. 1137</w:t>
      </w:r>
      <w:r w:rsidR="00912EA9">
        <w:t>)</w:t>
      </w:r>
      <w:r w:rsidR="00454FD4">
        <w:t xml:space="preserve"> </w:t>
      </w:r>
      <w:r w:rsidR="00E3275E">
        <w:t>dodaje sią art. 40a -</w:t>
      </w:r>
      <w:r w:rsidR="0045711F">
        <w:t xml:space="preserve"> </w:t>
      </w:r>
      <w:r w:rsidR="005E0CD6">
        <w:t>40</w:t>
      </w:r>
      <w:r w:rsidR="008B2150">
        <w:t>c</w:t>
      </w:r>
      <w:r w:rsidR="00E3275E">
        <w:t xml:space="preserve"> w brzmieniu</w:t>
      </w:r>
      <w:r>
        <w:t>:</w:t>
      </w:r>
    </w:p>
    <w:p w14:paraId="58B6921D" w14:textId="2BE84C56" w:rsidR="00E3275E" w:rsidRDefault="00C54224" w:rsidP="00185DA4">
      <w:pPr>
        <w:pStyle w:val="ZUSTzmustartykuempunktem"/>
        <w:ind w:left="0" w:firstLine="0"/>
      </w:pPr>
      <w:r>
        <w:t>„</w:t>
      </w:r>
      <w:r w:rsidR="00E3275E">
        <w:t>Art. 40a</w:t>
      </w:r>
      <w:r w:rsidR="00E3275E" w:rsidRPr="00E3275E">
        <w:t>.</w:t>
      </w:r>
      <w:r w:rsidR="00E3275E">
        <w:t xml:space="preserve"> </w:t>
      </w:r>
      <w:r w:rsidR="00A6419B">
        <w:t xml:space="preserve">1. </w:t>
      </w:r>
      <w:r w:rsidR="00A6419B" w:rsidRPr="00A6419B">
        <w:t xml:space="preserve">Obsługiwanie urządzenia radiowego nadawczego lub nadawczo-odbiorczego używanego w </w:t>
      </w:r>
      <w:r w:rsidR="00A6419B">
        <w:t>radiokomunikacji żeglugi śródlądowej</w:t>
      </w:r>
      <w:r w:rsidR="00A6419B" w:rsidRPr="00A6419B">
        <w:t xml:space="preserve"> wymaga posiadania świadectwa operatora urządzeń radiowych</w:t>
      </w:r>
      <w:r w:rsidR="002273FA">
        <w:t xml:space="preserve"> </w:t>
      </w:r>
      <w:r w:rsidR="002273FA" w:rsidRPr="002273FA">
        <w:t>w służbie radiokomunikac</w:t>
      </w:r>
      <w:r w:rsidR="00521710">
        <w:t>y</w:t>
      </w:r>
      <w:r w:rsidR="002273FA" w:rsidRPr="002273FA">
        <w:t>j</w:t>
      </w:r>
      <w:r w:rsidR="00521710">
        <w:t>nej</w:t>
      </w:r>
      <w:r w:rsidR="002273FA" w:rsidRPr="002273FA">
        <w:t xml:space="preserve"> żeglugi śródlądowej</w:t>
      </w:r>
      <w:r w:rsidR="00A6419B" w:rsidRPr="00A6419B">
        <w:t>.</w:t>
      </w:r>
    </w:p>
    <w:p w14:paraId="6F104104" w14:textId="77777777" w:rsidR="00A6419B" w:rsidRDefault="00A6419B" w:rsidP="00185DA4">
      <w:pPr>
        <w:pStyle w:val="ZUSTzmustartykuempunktem"/>
        <w:ind w:left="0" w:firstLine="0"/>
      </w:pPr>
      <w:r>
        <w:t xml:space="preserve">2. </w:t>
      </w:r>
      <w:r w:rsidRPr="00A6419B">
        <w:t>Przepisu ust. 1 nie stosuje się do osób wykonujących obowiązki w zakresie zadań komórek organizacyjnych i jednostek organizacyjnych podległych Ministrowi Obrony Narodowej lub przez nieg</w:t>
      </w:r>
      <w:r>
        <w:t>o nadzorowanych oraz jednostek sił zbrojnych obcych państw oraz jednostek organizacyjnych innych zagranicznych organów państwowych, przebywających czasowo na terytorium Rzeczypospolitej Polskiej na podstawie umów, których Rzeczpospolita Polska jest stroną</w:t>
      </w:r>
      <w:r w:rsidRPr="00A6419B">
        <w:t>.</w:t>
      </w:r>
    </w:p>
    <w:p w14:paraId="5D9B3887" w14:textId="09C554F7" w:rsidR="00A6419B" w:rsidRPr="00A6419B" w:rsidRDefault="00A6419B" w:rsidP="00A6419B">
      <w:r>
        <w:lastRenderedPageBreak/>
        <w:t xml:space="preserve">Art. 40b. </w:t>
      </w:r>
      <w:r w:rsidRPr="00A6419B">
        <w:t xml:space="preserve">Minister właściwy do spraw </w:t>
      </w:r>
      <w:bookmarkStart w:id="5" w:name="highlightHit_24"/>
      <w:bookmarkStart w:id="6" w:name="highlightHit_25"/>
      <w:bookmarkEnd w:id="5"/>
      <w:bookmarkEnd w:id="6"/>
      <w:r w:rsidR="00BA7782">
        <w:t>żeglugi śródlądowej</w:t>
      </w:r>
      <w:r w:rsidRPr="00A6419B">
        <w:t xml:space="preserve"> wydaje świadectwo operatora urządzeń radiowych </w:t>
      </w:r>
      <w:r w:rsidR="00B03486">
        <w:t xml:space="preserve">w służbie </w:t>
      </w:r>
      <w:r w:rsidR="002273FA">
        <w:t>radiokomunikac</w:t>
      </w:r>
      <w:r w:rsidR="00521710">
        <w:t>y</w:t>
      </w:r>
      <w:r w:rsidR="002273FA">
        <w:t>j</w:t>
      </w:r>
      <w:r w:rsidR="00521710">
        <w:t>nej</w:t>
      </w:r>
      <w:r w:rsidR="002273FA">
        <w:t xml:space="preserve"> </w:t>
      </w:r>
      <w:r w:rsidR="00B03486">
        <w:t xml:space="preserve">żeglugi śródlądowej </w:t>
      </w:r>
      <w:r w:rsidRPr="00A6419B">
        <w:t>na podstawie pozytywnego wyniku egzaminu z wiadomości i umiejętności osoby ubiegającej się o świadectwo operatora urządzeń radiowych oraz po udokumentowaniu przez nią wymaganej praktyki.</w:t>
      </w:r>
    </w:p>
    <w:p w14:paraId="26D47979" w14:textId="77777777" w:rsidR="00A6419B" w:rsidRPr="00A6419B" w:rsidRDefault="00A6419B" w:rsidP="00A6419B">
      <w:r w:rsidRPr="00A6419B">
        <w:t xml:space="preserve">2. Egzamin osób ubiegających się o świadectwo operatora urządzeń radiowych przeprowadza centralna komisja egzaminacyjna działająca przy dyrektorze urzędu żeglugi śródlądowej określonym przez ministra właściwego do spraw </w:t>
      </w:r>
      <w:r w:rsidR="00BA7782" w:rsidRPr="00BA7782">
        <w:t xml:space="preserve">żeglugi śródlądowej </w:t>
      </w:r>
      <w:r w:rsidRPr="00A6419B">
        <w:t>.</w:t>
      </w:r>
    </w:p>
    <w:p w14:paraId="4044D60C" w14:textId="77777777" w:rsidR="00A6419B" w:rsidRPr="00A6419B" w:rsidRDefault="00A6419B" w:rsidP="00A6419B">
      <w:r w:rsidRPr="00A6419B">
        <w:t>3. Za przeprowadzenie egzaminu oraz za wydanie świadectwa operatora urządzeń radiowych pobiera się opłaty.</w:t>
      </w:r>
    </w:p>
    <w:p w14:paraId="2BD461F4" w14:textId="77777777" w:rsidR="00A6419B" w:rsidRPr="00A6419B" w:rsidRDefault="00A6419B" w:rsidP="00A6419B">
      <w:r w:rsidRPr="00A6419B">
        <w:t xml:space="preserve">4. Minister właściwy do spraw </w:t>
      </w:r>
      <w:r w:rsidR="00BA7782" w:rsidRPr="00BA7782">
        <w:t xml:space="preserve">żeglugi śródlądowej </w:t>
      </w:r>
      <w:r w:rsidRPr="00A6419B">
        <w:t>określi w drodze rozporządzenia:</w:t>
      </w:r>
    </w:p>
    <w:p w14:paraId="0DBE8E15" w14:textId="77777777" w:rsidR="00A6419B" w:rsidRPr="00A6419B" w:rsidRDefault="00A6419B" w:rsidP="00A6419B">
      <w:r w:rsidRPr="00A6419B">
        <w:t>1)  rodzaje i wzory świadectw operatora urządzeń radiowych, zakres wymogów egzaminacyjnych, zakres, tryb i okres niezbędnych szkoleń oraz praktyki,</w:t>
      </w:r>
    </w:p>
    <w:p w14:paraId="625D7732" w14:textId="77777777" w:rsidR="00A6419B" w:rsidRPr="00A6419B" w:rsidRDefault="00A6419B" w:rsidP="00A6419B">
      <w:r w:rsidRPr="00A6419B">
        <w:t>2)  termin złożenia wniosku o wydanie świadectwa operatora urządzeń radiowych, tryb przeprowadzania egzaminów, w tym egzaminów poprawkowych, sposób powoływania komisji egzaminacyjnej, a także wysokość opłat za przeprowadzenie egzaminu i wydanie świadectwa, kierując się zasadą, że nie powinny one stanowić bariery dla osób zainteresowanych obsługą urządzeń radiowych</w:t>
      </w:r>
    </w:p>
    <w:p w14:paraId="36B2A284" w14:textId="16303F72" w:rsidR="00A6419B" w:rsidRDefault="005E7DF8" w:rsidP="00185DA4">
      <w:pPr>
        <w:pStyle w:val="ZUSTzmustartykuempunktem"/>
        <w:ind w:left="0" w:firstLine="0"/>
      </w:pPr>
      <w:r>
        <w:rPr>
          <w:rFonts w:cs="Times"/>
        </w:rPr>
        <w:t>−</w:t>
      </w:r>
      <w:r w:rsidR="00A6419B" w:rsidRPr="00A6419B">
        <w:t xml:space="preserve"> biorąc pod uwagę międzynarodowe przepisy radiokomunikacyjne oraz przepisy międzynarodowe.</w:t>
      </w:r>
    </w:p>
    <w:p w14:paraId="7C405506" w14:textId="63163F60" w:rsidR="002847D1" w:rsidRPr="005E7DF8" w:rsidRDefault="00A6419B" w:rsidP="005E7DF8">
      <w:pPr>
        <w:rPr>
          <w:rStyle w:val="Ppogrubienie"/>
          <w:b w:val="0"/>
        </w:rPr>
      </w:pPr>
      <w:r>
        <w:t xml:space="preserve">Art. 40c. </w:t>
      </w:r>
      <w:r w:rsidRPr="00A6419B">
        <w:t xml:space="preserve">Osoby posiadające odpowiednie świadectwo operatora urządzeń radiowych, wydane przez </w:t>
      </w:r>
      <w:r w:rsidR="008D4F7E">
        <w:t xml:space="preserve">ministra właściwego do spraw </w:t>
      </w:r>
      <w:r w:rsidR="00BA7782" w:rsidRPr="00BA7782">
        <w:t xml:space="preserve">żeglugi śródlądowej </w:t>
      </w:r>
      <w:r w:rsidRPr="00A6419B">
        <w:t>lub przez uprawniony do tego organ zagraniczny, mogą obsługiwać na terytorium Rzeczypospolitej Polskiej urządzenia radiowe nadawcze lub nadawczo-odbiorcze, wykorzystywane dla potrzeb radiokomunikacji żeglugi śródlądowej, zgodnie z międzynarodowymi przepisami radiokomunikacyjnymi.</w:t>
      </w:r>
      <w:r w:rsidR="00521710" w:rsidRPr="00521710">
        <w:t>”</w:t>
      </w:r>
      <w:r w:rsidR="005E0CD6">
        <w:t>.</w:t>
      </w:r>
    </w:p>
    <w:p w14:paraId="4B0ABC98" w14:textId="17EA97B1" w:rsidR="0095168A" w:rsidRDefault="005F3E8C" w:rsidP="005E7DF8">
      <w:pPr>
        <w:pStyle w:val="ARTartustawynprozporzdzenia"/>
      </w:pPr>
      <w:r w:rsidRPr="002847D1">
        <w:rPr>
          <w:rStyle w:val="Ppogrubienie"/>
        </w:rPr>
        <w:t>Art. 4.</w:t>
      </w:r>
      <w:r>
        <w:t xml:space="preserve"> </w:t>
      </w:r>
      <w:r w:rsidRPr="005F3E8C">
        <w:t>W ustawie z dnia</w:t>
      </w:r>
      <w:r>
        <w:t xml:space="preserve"> </w:t>
      </w:r>
      <w:r w:rsidRPr="005F3E8C">
        <w:t>3 lipca 2002 r.</w:t>
      </w:r>
      <w:r>
        <w:t xml:space="preserve"> </w:t>
      </w:r>
      <w:r w:rsidR="005E7DF8">
        <w:rPr>
          <w:rFonts w:cs="Times"/>
        </w:rPr>
        <w:t>−</w:t>
      </w:r>
      <w:r>
        <w:t xml:space="preserve"> Prawo lotnicze</w:t>
      </w:r>
      <w:r w:rsidR="00242CBA">
        <w:t xml:space="preserve"> (Dz. U. z</w:t>
      </w:r>
      <w:r w:rsidR="00111737">
        <w:t xml:space="preserve"> 2018 r. poz. 1183, 1629 i 1637</w:t>
      </w:r>
      <w:r w:rsidR="00242CBA">
        <w:t>)</w:t>
      </w:r>
      <w:r w:rsidR="007D1015" w:rsidRPr="007D1015">
        <w:t xml:space="preserve"> wprowadza się następujące zmiany</w:t>
      </w:r>
      <w:r w:rsidR="007D1015">
        <w:t>:</w:t>
      </w:r>
      <w:r w:rsidR="008B2150">
        <w:t xml:space="preserve"> </w:t>
      </w:r>
    </w:p>
    <w:p w14:paraId="75F1DEF8" w14:textId="62670829" w:rsidR="0095168A" w:rsidRDefault="005E7DF8" w:rsidP="005E7DF8">
      <w:pPr>
        <w:pStyle w:val="PKTpunkt"/>
      </w:pPr>
      <w:r>
        <w:t>1)</w:t>
      </w:r>
      <w:r>
        <w:tab/>
      </w:r>
      <w:r w:rsidR="0095168A">
        <w:t xml:space="preserve">art. 22 ust. 8 pkt 3 otrzymuje brzmienie: </w:t>
      </w:r>
    </w:p>
    <w:p w14:paraId="5B03C26F" w14:textId="1DAAE533" w:rsidR="0095168A" w:rsidRDefault="00C54224" w:rsidP="005E7DF8">
      <w:pPr>
        <w:pStyle w:val="ZPKTzmpktartykuempunktem"/>
      </w:pPr>
      <w:r>
        <w:t>„</w:t>
      </w:r>
      <w:r w:rsidR="005E7DF8">
        <w:t>3)</w:t>
      </w:r>
      <w:r w:rsidR="005E7DF8">
        <w:tab/>
      </w:r>
      <w:r w:rsidR="0095168A" w:rsidRPr="0095168A">
        <w:t>związanych ze świadectwami kwalifikacji, o których mowa w art. 95</w:t>
      </w:r>
      <w:r w:rsidR="0095168A">
        <w:t xml:space="preserve"> </w:t>
      </w:r>
      <w:r w:rsidR="007F5E9C">
        <w:t>lub</w:t>
      </w:r>
      <w:r w:rsidR="0095168A">
        <w:t xml:space="preserve"> świadectwami urządzeń radiowych, o których mowa w art. 104a-104c</w:t>
      </w:r>
      <w:r w:rsidR="0095168A" w:rsidRPr="0095168A">
        <w:t>;</w:t>
      </w:r>
      <w:r>
        <w:t>”</w:t>
      </w:r>
      <w:r w:rsidR="0095168A">
        <w:t>;</w:t>
      </w:r>
    </w:p>
    <w:p w14:paraId="3A46FD5B" w14:textId="38877B18" w:rsidR="005F3E8C" w:rsidRDefault="005E7DF8" w:rsidP="005E7DF8">
      <w:pPr>
        <w:pStyle w:val="PKTpunkt"/>
      </w:pPr>
      <w:r>
        <w:t>2)</w:t>
      </w:r>
      <w:r>
        <w:tab/>
      </w:r>
      <w:r w:rsidR="008B2150">
        <w:t xml:space="preserve">dodaje się art. </w:t>
      </w:r>
      <w:r w:rsidR="0045711F">
        <w:t>104a -</w:t>
      </w:r>
      <w:r w:rsidR="005E0CD6">
        <w:t xml:space="preserve"> 104</w:t>
      </w:r>
      <w:r w:rsidR="0045711F">
        <w:t>c</w:t>
      </w:r>
      <w:r w:rsidR="005E0CD6">
        <w:t xml:space="preserve"> w brzmieniu</w:t>
      </w:r>
      <w:r w:rsidR="005F3E8C">
        <w:t>:</w:t>
      </w:r>
    </w:p>
    <w:p w14:paraId="50726E84" w14:textId="678A2602" w:rsidR="005E0CD6" w:rsidRPr="005E0CD6" w:rsidRDefault="00C54224" w:rsidP="005E7DF8">
      <w:pPr>
        <w:pStyle w:val="ZARTzmartartykuempunktem"/>
      </w:pPr>
      <w:r>
        <w:lastRenderedPageBreak/>
        <w:t>„</w:t>
      </w:r>
      <w:r w:rsidR="005E0CD6">
        <w:t>Art. 1</w:t>
      </w:r>
      <w:r w:rsidR="005E0CD6" w:rsidRPr="005E0CD6">
        <w:t>0</w:t>
      </w:r>
      <w:r w:rsidR="005E0CD6">
        <w:t>4</w:t>
      </w:r>
      <w:r w:rsidR="005E0CD6" w:rsidRPr="005E0CD6">
        <w:t xml:space="preserve">a. 1. Obsługiwanie urządzenia radiowego nadawczego lub nadawczo-odbiorczego używanego w radiokomunikacji </w:t>
      </w:r>
      <w:r w:rsidR="005E0CD6">
        <w:t>lotniczej</w:t>
      </w:r>
      <w:r w:rsidR="005E0CD6" w:rsidRPr="005E0CD6">
        <w:t xml:space="preserve"> wymaga posiadania świadectwa operatora urządzeń radiowych</w:t>
      </w:r>
      <w:r w:rsidR="002273FA">
        <w:t xml:space="preserve"> </w:t>
      </w:r>
      <w:r w:rsidR="002273FA" w:rsidRPr="002273FA">
        <w:t>w służbie radiokomunikac</w:t>
      </w:r>
      <w:r w:rsidR="007C12FA">
        <w:t>y</w:t>
      </w:r>
      <w:r w:rsidR="002273FA" w:rsidRPr="002273FA">
        <w:t>j</w:t>
      </w:r>
      <w:r w:rsidR="007C12FA">
        <w:t>nej</w:t>
      </w:r>
      <w:r w:rsidR="002273FA" w:rsidRPr="002273FA">
        <w:t xml:space="preserve"> lotniczej</w:t>
      </w:r>
      <w:r w:rsidR="005E0CD6" w:rsidRPr="005E0CD6">
        <w:t>.</w:t>
      </w:r>
    </w:p>
    <w:p w14:paraId="51068B5A" w14:textId="77777777" w:rsidR="005E0CD6" w:rsidRDefault="005E0CD6" w:rsidP="005E7DF8">
      <w:pPr>
        <w:pStyle w:val="ZUSTzmustartykuempunktem"/>
      </w:pPr>
      <w:r w:rsidRPr="005E0CD6">
        <w:t>2. Przepisu ust. 1 nie stosuje się do osób wykonujących obowiązki w zakresie zadań komórek organizacyjnych i jednostek organizacyjnych podległych Ministrowi Obrony Narodowej lub przez niego nadzorowanych oraz jednostek sił zbrojnych obcych państw oraz jednostek organizacyjnych innych zagranicznych organów państwowych, przebywających czasowo na terytorium Rzeczypospolitej Polskiej na podstawie umów, których Rzeczpospolita Polska jest stroną.</w:t>
      </w:r>
    </w:p>
    <w:p w14:paraId="031CEDE4" w14:textId="39E0F64A" w:rsidR="005E0CD6" w:rsidRPr="005E0CD6" w:rsidRDefault="005E0CD6" w:rsidP="005E7DF8">
      <w:pPr>
        <w:pStyle w:val="ZARTzmartartykuempunktem"/>
      </w:pPr>
      <w:r>
        <w:t xml:space="preserve">Art. 104b. </w:t>
      </w:r>
      <w:r w:rsidRPr="005E0CD6">
        <w:t>1. Prezes ULC wydaje świadectwo operatora urządzeń radiowych w służbie radiokomunikac</w:t>
      </w:r>
      <w:r w:rsidR="007C12FA">
        <w:t>y</w:t>
      </w:r>
      <w:r w:rsidRPr="005E0CD6">
        <w:t>j</w:t>
      </w:r>
      <w:r w:rsidR="007C12FA">
        <w:t>nej</w:t>
      </w:r>
      <w:r w:rsidRPr="005E0CD6">
        <w:t xml:space="preserve"> lotniczej na podstawie pozytywnego wyniku egzaminu z wiadomości i umiejętności osoby ubiegającej się o świadectwo operatora urządzeń radiowych oraz po udokumentowaniu przez nią wymaganej praktyki.</w:t>
      </w:r>
    </w:p>
    <w:p w14:paraId="07DEF06A" w14:textId="77777777" w:rsidR="005E0CD6" w:rsidRPr="005E0CD6" w:rsidRDefault="005E0CD6" w:rsidP="005E7DF8">
      <w:pPr>
        <w:pStyle w:val="ZUSTzmustartykuempunktem"/>
      </w:pPr>
      <w:r w:rsidRPr="005E0CD6">
        <w:t>2. Egzamin osób ubiegających się o świadectwo operatora urządzeń radiowych przeprowadza komisja powołana przez Prezesa ULC.</w:t>
      </w:r>
    </w:p>
    <w:p w14:paraId="0EB9C8E9" w14:textId="77777777" w:rsidR="005E0CD6" w:rsidRPr="005E0CD6" w:rsidRDefault="005E0CD6" w:rsidP="005E7DF8">
      <w:pPr>
        <w:pStyle w:val="ZUSTzmustartykuempunktem"/>
      </w:pPr>
      <w:r w:rsidRPr="005E0CD6">
        <w:t>3. Za przeprowadzenie egzaminu oraz za wydanie świadectwa operatora urządzeń radiowych pobiera się opłaty.</w:t>
      </w:r>
    </w:p>
    <w:p w14:paraId="085D582C" w14:textId="77777777" w:rsidR="005E0CD6" w:rsidRPr="005E0CD6" w:rsidRDefault="005E0CD6" w:rsidP="005E7DF8">
      <w:pPr>
        <w:pStyle w:val="ZUSTzmustartykuempunktem"/>
      </w:pPr>
      <w:r w:rsidRPr="005E0CD6">
        <w:t>4. Minister właściwy do spraw transportu określi w drodze rozporządzenia:</w:t>
      </w:r>
    </w:p>
    <w:p w14:paraId="000C49CC" w14:textId="0CE5EBC1" w:rsidR="005E0CD6" w:rsidRPr="005E0CD6" w:rsidRDefault="005E7DF8" w:rsidP="005E7DF8">
      <w:pPr>
        <w:pStyle w:val="ZPKTzmpktartykuempunktem"/>
      </w:pPr>
      <w:r>
        <w:t>1)</w:t>
      </w:r>
      <w:r>
        <w:tab/>
      </w:r>
      <w:r w:rsidR="005E0CD6" w:rsidRPr="005E0CD6">
        <w:t>rodzaje i wzory świadectw operatora urządzeń radiowych, zakres wymogów egzaminacyjnych, zakres, tryb i okres niezbędnych szkoleń oraz praktyki,</w:t>
      </w:r>
    </w:p>
    <w:p w14:paraId="7277BC9C" w14:textId="5E13F3AB" w:rsidR="005E0CD6" w:rsidRPr="005E0CD6" w:rsidRDefault="005E7DF8" w:rsidP="005E7DF8">
      <w:pPr>
        <w:pStyle w:val="ZPKTzmpktartykuempunktem"/>
      </w:pPr>
      <w:r>
        <w:t>2)</w:t>
      </w:r>
      <w:r>
        <w:tab/>
      </w:r>
      <w:r w:rsidR="005E0CD6" w:rsidRPr="005E0CD6">
        <w:t>termin złożenia wniosku o wydanie świadectwa operatora urządzeń radiowych, tryb przeprowadzania egzaminów, w tym egzaminów poprawkowych, sposób powoływania komisji egzaminacyjnej, a także wysokość opłat za przeprowadzenie egzaminu i wydanie świadectwa, kierując się zasadą, że nie powinny one stanowić bariery dla osób zainteresowanych obsługą urządzeń radiowych</w:t>
      </w:r>
    </w:p>
    <w:p w14:paraId="768B9648" w14:textId="155A5636" w:rsidR="005E0CD6" w:rsidRDefault="005E7DF8" w:rsidP="005E7DF8">
      <w:pPr>
        <w:pStyle w:val="ZCZWSPPKTzmczciwsppktartykuempunktem"/>
      </w:pPr>
      <w:r>
        <w:rPr>
          <w:rFonts w:cs="Times"/>
        </w:rPr>
        <w:t>−</w:t>
      </w:r>
      <w:r w:rsidR="005E0CD6" w:rsidRPr="005E0CD6">
        <w:t xml:space="preserve"> biorąc pod uwagę międzynarodowe przepisy radiokomunikacyjne oraz przepisy międzynarodowe.</w:t>
      </w:r>
    </w:p>
    <w:p w14:paraId="055F8B31" w14:textId="06554D61" w:rsidR="002847D1" w:rsidRPr="005E7DF8" w:rsidRDefault="005E0CD6" w:rsidP="005E7DF8">
      <w:pPr>
        <w:pStyle w:val="ZARTzmartartykuempunktem"/>
        <w:rPr>
          <w:rStyle w:val="Ppogrubienie"/>
          <w:b w:val="0"/>
        </w:rPr>
      </w:pPr>
      <w:r>
        <w:t xml:space="preserve">Art. 104c. </w:t>
      </w:r>
      <w:r w:rsidRPr="005E0CD6">
        <w:t>Osoby posiadające odpowiednie świadectwo operatora urządzeń radiowych</w:t>
      </w:r>
      <w:r w:rsidR="00B03486">
        <w:t xml:space="preserve"> w służbie radiokomunikac</w:t>
      </w:r>
      <w:r w:rsidR="007C12FA">
        <w:t>y</w:t>
      </w:r>
      <w:r w:rsidR="00B03486">
        <w:t>j</w:t>
      </w:r>
      <w:r w:rsidR="007C12FA">
        <w:t>nej</w:t>
      </w:r>
      <w:r w:rsidR="00B03486">
        <w:t xml:space="preserve"> lotniczej</w:t>
      </w:r>
      <w:r w:rsidRPr="005E0CD6">
        <w:t xml:space="preserve">, wydane przez </w:t>
      </w:r>
      <w:r>
        <w:t>Prezesa ULC</w:t>
      </w:r>
      <w:r w:rsidRPr="005E0CD6">
        <w:t xml:space="preserve"> lub przez uprawniony do tego organ zagraniczny, mogą obsługiwać na terytorium Rzeczypospolitej Polskiej urządzenia radiowe nadawcze lub nadawczo-odbiorcze, wykorzystywane dla potrzeb radiokomunikacji </w:t>
      </w:r>
      <w:r>
        <w:t>lotniczej</w:t>
      </w:r>
      <w:r w:rsidRPr="005E0CD6">
        <w:t>, zgodnie z międzynarodowymi przepisami radiokomunikacyjnymi.</w:t>
      </w:r>
      <w:r w:rsidR="00C54224">
        <w:t>”</w:t>
      </w:r>
      <w:r>
        <w:t>.</w:t>
      </w:r>
    </w:p>
    <w:p w14:paraId="3D6B83C2" w14:textId="77777777" w:rsidR="004F6762" w:rsidRDefault="004F6762" w:rsidP="005E7DF8">
      <w:pPr>
        <w:pStyle w:val="ARTartustawynprozporzdzenia"/>
      </w:pPr>
      <w:r w:rsidRPr="002847D1">
        <w:rPr>
          <w:rStyle w:val="Ppogrubienie"/>
        </w:rPr>
        <w:lastRenderedPageBreak/>
        <w:t xml:space="preserve">Art. </w:t>
      </w:r>
      <w:r w:rsidR="00B232CA" w:rsidRPr="002847D1">
        <w:rPr>
          <w:rStyle w:val="Ppogrubienie"/>
        </w:rPr>
        <w:t>5</w:t>
      </w:r>
      <w:r w:rsidRPr="002847D1">
        <w:rPr>
          <w:rStyle w:val="Ppogrubienie"/>
        </w:rPr>
        <w:t>.</w:t>
      </w:r>
      <w:r>
        <w:t xml:space="preserve"> W ustawie z dnia 16 listopada 2006 r. o opłacie skarbowej (Dz. U. z 2018 r. poz. 1044) w załączniku do ustawy w części I wprowadza się następujące zmiany:</w:t>
      </w:r>
    </w:p>
    <w:p w14:paraId="60AA82B7" w14:textId="3CF418C1" w:rsidR="004F6762" w:rsidRDefault="005E7DF8" w:rsidP="005E7DF8">
      <w:pPr>
        <w:pStyle w:val="PKTpunkt"/>
      </w:pPr>
      <w:r>
        <w:t>1)</w:t>
      </w:r>
      <w:r>
        <w:tab/>
      </w:r>
      <w:r w:rsidR="004F6762">
        <w:t xml:space="preserve">w ust. 53 w kolumnie </w:t>
      </w:r>
      <w:r w:rsidR="00C54224">
        <w:t>„</w:t>
      </w:r>
      <w:r w:rsidR="004F6762">
        <w:t>Zwolnienia</w:t>
      </w:r>
      <w:r w:rsidR="00C54224">
        <w:t>”</w:t>
      </w:r>
      <w:r w:rsidR="004F6762">
        <w:t xml:space="preserve"> pkt 4 otrzymuje brzmienie:</w:t>
      </w:r>
    </w:p>
    <w:p w14:paraId="08658D23" w14:textId="67A16F0A" w:rsidR="0077343A" w:rsidRDefault="00C54224" w:rsidP="005E7DF8">
      <w:pPr>
        <w:pStyle w:val="ZPKTzmpktartykuempunktem"/>
      </w:pPr>
      <w:r>
        <w:t>„</w:t>
      </w:r>
      <w:r w:rsidR="005E7DF8">
        <w:t>4)</w:t>
      </w:r>
      <w:r w:rsidR="005E7DF8">
        <w:tab/>
      </w:r>
      <w:r w:rsidR="0077343A">
        <w:t>decyzja wydana przez Prezesa Urzędu Komunikacji Elektronicznej w ramach realizacji jego zadań w zakresie telekomunikacji, z wyłączeniem decyzji w spr</w:t>
      </w:r>
      <w:r w:rsidR="005E7DF8">
        <w:t>awie rezerwacji częstotliwości.</w:t>
      </w:r>
      <w:r>
        <w:t>”</w:t>
      </w:r>
      <w:r w:rsidR="0077343A">
        <w:t>,</w:t>
      </w:r>
    </w:p>
    <w:p w14:paraId="3AE42559" w14:textId="6F3AC491" w:rsidR="004F6762" w:rsidRDefault="005E7DF8" w:rsidP="005E7DF8">
      <w:pPr>
        <w:pStyle w:val="PKTpunkt"/>
      </w:pPr>
      <w:r>
        <w:t>2)</w:t>
      </w:r>
      <w:r>
        <w:tab/>
      </w:r>
      <w:r w:rsidR="0077343A">
        <w:t>po ust. 52c dodaje się ust. 52d</w:t>
      </w:r>
      <w:r w:rsidR="004F6762">
        <w:t xml:space="preserve"> </w:t>
      </w:r>
      <w:r w:rsidR="0077343A">
        <w:t>w brzmieniu:</w:t>
      </w:r>
    </w:p>
    <w:p w14:paraId="1BF85FE1" w14:textId="76B9D93A" w:rsidR="00100A7A" w:rsidRDefault="00C54224" w:rsidP="00782D34">
      <w:pPr>
        <w:pStyle w:val="ZUSTzmustartykuempunktem"/>
      </w:pPr>
      <w:r>
        <w:t>„</w:t>
      </w:r>
      <w:r w:rsidR="0077343A">
        <w:t>52d. decyzja w sprawie rezerwacji częstotliwości - 100 zł.</w:t>
      </w:r>
      <w:r>
        <w:t>”</w:t>
      </w:r>
      <w:r w:rsidR="0077343A">
        <w:t>.</w:t>
      </w:r>
    </w:p>
    <w:p w14:paraId="50B18C18" w14:textId="62017F18" w:rsidR="00782D34" w:rsidRDefault="005F3E8C" w:rsidP="00185DA4">
      <w:pPr>
        <w:pStyle w:val="ZUSTzmustartykuempunktem"/>
        <w:ind w:left="0" w:firstLine="0"/>
      </w:pPr>
      <w:r w:rsidRPr="002847D1">
        <w:rPr>
          <w:rStyle w:val="Ppogrubienie"/>
        </w:rPr>
        <w:t xml:space="preserve">Art. </w:t>
      </w:r>
      <w:r w:rsidR="00B232CA" w:rsidRPr="002847D1">
        <w:rPr>
          <w:rStyle w:val="Ppogrubienie"/>
        </w:rPr>
        <w:t>6</w:t>
      </w:r>
      <w:r w:rsidRPr="002847D1">
        <w:rPr>
          <w:rStyle w:val="Ppogrubienie"/>
        </w:rPr>
        <w:t>.</w:t>
      </w:r>
      <w:r>
        <w:t xml:space="preserve"> W ustawie z dnia </w:t>
      </w:r>
      <w:r w:rsidRPr="005F3E8C">
        <w:t>18 sierpnia 2011 r.</w:t>
      </w:r>
      <w:r>
        <w:t xml:space="preserve"> o bezpieczeństwie morskim</w:t>
      </w:r>
      <w:r w:rsidR="005E0CD6">
        <w:t xml:space="preserve"> </w:t>
      </w:r>
      <w:r w:rsidR="000D0DB7">
        <w:t xml:space="preserve">(Dz. U. z 2018 r. poz. 181 i 1137) </w:t>
      </w:r>
      <w:r w:rsidR="00771650">
        <w:t>wprowadza się następujące zmiany</w:t>
      </w:r>
      <w:r>
        <w:t>:</w:t>
      </w:r>
      <w:r w:rsidR="00BA7782">
        <w:t xml:space="preserve"> </w:t>
      </w:r>
    </w:p>
    <w:p w14:paraId="3558AD35" w14:textId="77777777" w:rsidR="00771650" w:rsidRPr="00771650" w:rsidRDefault="00771650" w:rsidP="00771650">
      <w:r w:rsidRPr="00771650">
        <w:t>1)</w:t>
      </w:r>
      <w:r w:rsidRPr="00771650">
        <w:tab/>
        <w:t>Art. 63 otrzymuje następujące brzmienie:</w:t>
      </w:r>
    </w:p>
    <w:p w14:paraId="25F98753" w14:textId="77777777" w:rsidR="00771650" w:rsidRPr="00771650" w:rsidRDefault="00771650" w:rsidP="00771650">
      <w:r w:rsidRPr="00771650">
        <w:t>„Art. 63. 1. Potwierdzeniem posiadania kwalifikacji zawodowych, niezbędnych do zajmowania stanowisk na statku, jest:</w:t>
      </w:r>
    </w:p>
    <w:p w14:paraId="70C9300D" w14:textId="77777777" w:rsidR="00771650" w:rsidRPr="00771650" w:rsidRDefault="00771650" w:rsidP="00771650">
      <w:r w:rsidRPr="00771650">
        <w:t>1)</w:t>
      </w:r>
      <w:r w:rsidRPr="00771650">
        <w:tab/>
        <w:t>dyplom - dla stanowisk oficerskich;</w:t>
      </w:r>
    </w:p>
    <w:p w14:paraId="714545B3" w14:textId="77777777" w:rsidR="00771650" w:rsidRPr="00771650" w:rsidRDefault="00771650" w:rsidP="00771650">
      <w:r w:rsidRPr="00771650">
        <w:t>2)</w:t>
      </w:r>
      <w:r w:rsidRPr="00771650">
        <w:tab/>
        <w:t>świadectwo - dla stanowisk nieoficerskich;</w:t>
      </w:r>
    </w:p>
    <w:p w14:paraId="098FE249" w14:textId="77777777" w:rsidR="00771650" w:rsidRPr="00771650" w:rsidRDefault="00771650" w:rsidP="00771650">
      <w:r w:rsidRPr="00771650">
        <w:t>3)</w:t>
      </w:r>
      <w:r w:rsidRPr="00771650">
        <w:tab/>
        <w:t>świadectwo przeszkolenia;</w:t>
      </w:r>
    </w:p>
    <w:p w14:paraId="6FE8C08A" w14:textId="77777777" w:rsidR="00771650" w:rsidRPr="00771650" w:rsidRDefault="00771650" w:rsidP="00771650">
      <w:r w:rsidRPr="00771650">
        <w:t>4)</w:t>
      </w:r>
      <w:r w:rsidRPr="00771650">
        <w:tab/>
        <w:t>zezwolenie;</w:t>
      </w:r>
    </w:p>
    <w:p w14:paraId="4F2F6CE9" w14:textId="77777777" w:rsidR="00771650" w:rsidRPr="00771650" w:rsidRDefault="00771650" w:rsidP="00771650">
      <w:r w:rsidRPr="00771650">
        <w:t>5)</w:t>
      </w:r>
      <w:r w:rsidRPr="00771650">
        <w:tab/>
        <w:t>potwierdzenie uznania.</w:t>
      </w:r>
    </w:p>
    <w:p w14:paraId="5777D079" w14:textId="266B8F47" w:rsidR="00771650" w:rsidRPr="00771650" w:rsidRDefault="00771650" w:rsidP="00771650">
      <w:r w:rsidRPr="00771650">
        <w:t xml:space="preserve">2. Potwierdzeniem posiadania kwalifikacji niezbędnych do zajmowania stanowisk na statku do obsługiwania urządzenia radiowego nadawczego lub nadawczo-odbiorczego używanego </w:t>
      </w:r>
      <w:r w:rsidRPr="00771650">
        <w:br/>
        <w:t xml:space="preserve">w radiokomunikacji morskiej </w:t>
      </w:r>
      <w:r w:rsidR="00756635">
        <w:t>jest</w:t>
      </w:r>
      <w:r w:rsidRPr="00771650">
        <w:t>, w zależności od rodzaju statku oraz uprawianej żeglugi</w:t>
      </w:r>
      <w:r w:rsidR="00756635">
        <w:t>,</w:t>
      </w:r>
      <w:r w:rsidR="00976628">
        <w:t xml:space="preserve"> świadectwo</w:t>
      </w:r>
      <w:r w:rsidRPr="00771650">
        <w:t xml:space="preserve"> operatora urządzeń radiowych w służbie radiokomunikac</w:t>
      </w:r>
      <w:r w:rsidR="00756635">
        <w:t>y</w:t>
      </w:r>
      <w:r w:rsidRPr="00771650">
        <w:t>j</w:t>
      </w:r>
      <w:r w:rsidR="00756635">
        <w:t>nej</w:t>
      </w:r>
      <w:r w:rsidRPr="00771650">
        <w:t xml:space="preserve"> morskiej.”</w:t>
      </w:r>
    </w:p>
    <w:p w14:paraId="634200E5" w14:textId="77777777" w:rsidR="00771650" w:rsidRPr="00771650" w:rsidRDefault="00771650" w:rsidP="00771650">
      <w:r w:rsidRPr="00771650">
        <w:t>2)</w:t>
      </w:r>
      <w:r w:rsidRPr="00771650">
        <w:tab/>
        <w:t>Art. 69 ust. 1 pkt 2 otrzymuje następujące brzmienie:</w:t>
      </w:r>
    </w:p>
    <w:p w14:paraId="76294B65" w14:textId="6B819E0D" w:rsidR="00771650" w:rsidRPr="00771650" w:rsidRDefault="00771650" w:rsidP="00771650">
      <w:r w:rsidRPr="00771650">
        <w:t>„2)</w:t>
      </w:r>
      <w:r w:rsidRPr="00771650">
        <w:tab/>
        <w:t>dokumenty kwalifikacyjne, o których mowa w art. 63 ust. 1 pkt 1, 2 i 5 i ust. 2.”</w:t>
      </w:r>
    </w:p>
    <w:p w14:paraId="5AB6EF12" w14:textId="77777777" w:rsidR="00771650" w:rsidRPr="00771650" w:rsidRDefault="00771650" w:rsidP="00771650">
      <w:r w:rsidRPr="00771650">
        <w:t>3)</w:t>
      </w:r>
      <w:r w:rsidRPr="00771650">
        <w:tab/>
        <w:t>Art. 71 ust. 2 c i 2 d otrzymuje następujące brzmienie:</w:t>
      </w:r>
    </w:p>
    <w:p w14:paraId="36FE6A18" w14:textId="18743198" w:rsidR="00771650" w:rsidRPr="00771650" w:rsidRDefault="00771650" w:rsidP="00771650">
      <w:r w:rsidRPr="00771650">
        <w:t>„2c. Zaświadczenie o zdaniu egzaminu kwalifikacyjnego dla osób ubiegających się o uzyskanie dyplomu lub świadectwa, o których mowa w art. 63 ust. 1 pk</w:t>
      </w:r>
      <w:r w:rsidR="00756635">
        <w:t xml:space="preserve">t 1 i 2, </w:t>
      </w:r>
      <w:r w:rsidRPr="00771650">
        <w:t>ust. 2 oraz art. 70 ust. 1 pkt 1, jest ważne przez okres 5 lat od dnia zdania egzaminu.</w:t>
      </w:r>
    </w:p>
    <w:p w14:paraId="77AC3365" w14:textId="09098AD8" w:rsidR="00771650" w:rsidRPr="00771650" w:rsidRDefault="00771650" w:rsidP="00771650">
      <w:r w:rsidRPr="00771650">
        <w:t xml:space="preserve">2d. O wydanie dyplomu, o którym mowa w art. 63 ust. 1 pkt 1 oraz art. 70 ust. 1 pkt 1, na podstawie dyplomu ukończenia studiów wyższych w uczelniach, </w:t>
      </w:r>
      <w:r>
        <w:t xml:space="preserve">o których mowa w art. 74 ust. 2 pkt 1 lub </w:t>
      </w:r>
      <w:r w:rsidRPr="00771650">
        <w:t>2, w przypadku gdy zdany egzamin dyplomowy został uznany za równoważny zgodnie z art. 64 ust. 4, można ubiegać się w okresie 5 lat od dnia zdania egzaminu dyplomowego.”</w:t>
      </w:r>
    </w:p>
    <w:p w14:paraId="243CAD7E" w14:textId="77777777" w:rsidR="00771650" w:rsidRPr="00771650" w:rsidRDefault="00771650" w:rsidP="00771650">
      <w:r w:rsidRPr="00771650">
        <w:lastRenderedPageBreak/>
        <w:t>4)</w:t>
      </w:r>
      <w:r w:rsidRPr="00771650">
        <w:tab/>
        <w:t>Art. 72 ust. 1 otrzymuje następujące brzmienie:</w:t>
      </w:r>
    </w:p>
    <w:p w14:paraId="5F7B8DE5" w14:textId="3B1A7A30" w:rsidR="00771650" w:rsidRPr="00771650" w:rsidRDefault="00771650" w:rsidP="00771650">
      <w:r w:rsidRPr="00771650">
        <w:t>„Art. 72. 1. Jeżeli członek załogi statku lub pilot posiadający dokument kwalifikacyjny, o którym m</w:t>
      </w:r>
      <w:r w:rsidR="00976628">
        <w:t>owa w art. 63 ust. 1 pkt 1 i 2</w:t>
      </w:r>
      <w:r w:rsidR="00D66CE1">
        <w:t xml:space="preserve">, </w:t>
      </w:r>
      <w:r w:rsidRPr="00771650">
        <w:t>art. 70 ust. 1, art. 107 ust. 1 i 2, swoim działaniem lub zaniechaniem spowodował lub przyczynił się do powstania zagrożenia dla bezpieczeństwa statku, osób na nim przebywających lub środowiska morskiego, wobec którego nie jest prowadzone postępowanie przed izbą morską, organ, który wydał dokument kwalifikacyjny, może zawiesić określone w nim uprawnienia, mając na uwadze stopień spowodowanego zagrożenia.”</w:t>
      </w:r>
    </w:p>
    <w:p w14:paraId="6105F20A" w14:textId="04662B61" w:rsidR="00771650" w:rsidRPr="00771650" w:rsidRDefault="00771650" w:rsidP="00771650">
      <w:r w:rsidRPr="00771650">
        <w:t>5)</w:t>
      </w:r>
      <w:r w:rsidRPr="00771650">
        <w:tab/>
        <w:t xml:space="preserve">W załączniku w części II po pkt </w:t>
      </w:r>
      <w:r w:rsidR="00575C58">
        <w:t>3</w:t>
      </w:r>
      <w:r w:rsidRPr="00771650">
        <w:t xml:space="preserve"> </w:t>
      </w:r>
      <w:r w:rsidR="00575C58">
        <w:t>dodaje się pkt 3</w:t>
      </w:r>
      <w:r w:rsidRPr="00771650">
        <w:t>a w brzmieniu:</w:t>
      </w:r>
    </w:p>
    <w:p w14:paraId="3C234293" w14:textId="77777777" w:rsidR="00771650" w:rsidRPr="00771650" w:rsidRDefault="00771650" w:rsidP="00771650">
      <w:r w:rsidRPr="00771650">
        <w:t>„4a.</w:t>
      </w:r>
      <w:r w:rsidRPr="00771650">
        <w:tab/>
        <w:t>Opłaty za świadectwa w radiokomunikacji morskiej oraz ich duplikaty:</w:t>
      </w:r>
    </w:p>
    <w:p w14:paraId="2FBDCC2F" w14:textId="77777777" w:rsidR="00771650" w:rsidRPr="00771650" w:rsidRDefault="00771650" w:rsidP="00771650">
      <w:r w:rsidRPr="00771650">
        <w:t>1.1.</w:t>
      </w:r>
      <w:r w:rsidRPr="00771650">
        <w:tab/>
        <w:t>Świadectwo operatora (GMDSS) - 30 PLN</w:t>
      </w:r>
    </w:p>
    <w:p w14:paraId="1F4EE531" w14:textId="77777777" w:rsidR="00771650" w:rsidRPr="00771650" w:rsidRDefault="00771650" w:rsidP="00771650">
      <w:r w:rsidRPr="00771650">
        <w:t>1.2.</w:t>
      </w:r>
      <w:r w:rsidRPr="00771650">
        <w:tab/>
        <w:t>Świadectwo operatora łączności - 20 PLN</w:t>
      </w:r>
    </w:p>
    <w:p w14:paraId="30BB5288" w14:textId="77777777" w:rsidR="00771650" w:rsidRPr="00771650" w:rsidRDefault="00771650" w:rsidP="00771650">
      <w:r w:rsidRPr="00771650">
        <w:t>1.3.</w:t>
      </w:r>
      <w:r w:rsidRPr="00771650">
        <w:tab/>
        <w:t>Świadectwo operatora radiotelefonisty VHF - 20 PLN</w:t>
      </w:r>
    </w:p>
    <w:p w14:paraId="1D59FB0F" w14:textId="77777777" w:rsidR="00771650" w:rsidRPr="00771650" w:rsidRDefault="00771650" w:rsidP="00771650">
      <w:r w:rsidRPr="00771650">
        <w:t>1.4.</w:t>
      </w:r>
      <w:r w:rsidRPr="00771650">
        <w:tab/>
        <w:t>Świadectwo radioelektronika (GMDSS) - 30 PLN</w:t>
      </w:r>
    </w:p>
    <w:p w14:paraId="20012526" w14:textId="77777777" w:rsidR="00771650" w:rsidRPr="00771650" w:rsidRDefault="00771650" w:rsidP="00771650">
      <w:r w:rsidRPr="00771650">
        <w:t>1.5.</w:t>
      </w:r>
      <w:r w:rsidRPr="00771650">
        <w:tab/>
        <w:t>Świadectwo operatora stacji nadbrzeżnej - 20 PLN</w:t>
      </w:r>
    </w:p>
    <w:p w14:paraId="66FAED35" w14:textId="77777777" w:rsidR="00771650" w:rsidRPr="00771650" w:rsidRDefault="00771650" w:rsidP="00771650">
      <w:r w:rsidRPr="00771650">
        <w:t>1.6.</w:t>
      </w:r>
      <w:r w:rsidRPr="00771650">
        <w:tab/>
        <w:t xml:space="preserve">Przy wydaniu pierwszego duplikatu dokumentu kwalifikacyjnego opłatę podwyższa się </w:t>
      </w:r>
      <w:r w:rsidRPr="00771650">
        <w:br/>
        <w:t>o 50% opłaty podstawowej za ten dokument. Przy wydawaniu kolejnego duplikatu opłatę podwyższa się o 100%.”</w:t>
      </w:r>
    </w:p>
    <w:p w14:paraId="78DC85F2" w14:textId="1F5E0550" w:rsidR="00771650" w:rsidRPr="00771650" w:rsidRDefault="00771650" w:rsidP="00771650">
      <w:r w:rsidRPr="00771650">
        <w:t>6)</w:t>
      </w:r>
      <w:r w:rsidRPr="00771650">
        <w:tab/>
        <w:t xml:space="preserve">W załączniku w części III w pkt 1 po pkt 1.5 </w:t>
      </w:r>
      <w:r w:rsidR="00575C58">
        <w:t>dodaje</w:t>
      </w:r>
      <w:r w:rsidRPr="00771650">
        <w:t xml:space="preserve"> się pkt 1.6 i 1.7 w brzmieniu:</w:t>
      </w:r>
    </w:p>
    <w:p w14:paraId="3F0B890E" w14:textId="77777777" w:rsidR="00771650" w:rsidRPr="00771650" w:rsidRDefault="00771650" w:rsidP="00771650">
      <w:r w:rsidRPr="00771650">
        <w:t>„1.6.</w:t>
      </w:r>
      <w:r w:rsidRPr="00771650">
        <w:tab/>
        <w:t>Na świadectwo operatora (GMDSS) - 200 PLN.</w:t>
      </w:r>
    </w:p>
    <w:p w14:paraId="39ECA494" w14:textId="6E75A990" w:rsidR="00771650" w:rsidRDefault="00771650" w:rsidP="00A16361">
      <w:r w:rsidRPr="00771650">
        <w:t>1.7.</w:t>
      </w:r>
      <w:r w:rsidRPr="00771650">
        <w:tab/>
        <w:t>Na świadectwo radi</w:t>
      </w:r>
      <w:r>
        <w:t>oelektronika (GMDSS) – 200 PLN.</w:t>
      </w:r>
      <w:r w:rsidRPr="00771650">
        <w:t>”</w:t>
      </w:r>
    </w:p>
    <w:p w14:paraId="37356A8F" w14:textId="77777777" w:rsidR="00771650" w:rsidRDefault="00771650" w:rsidP="00A16361"/>
    <w:p w14:paraId="356A4CBE" w14:textId="2E58597F" w:rsidR="00C51E50" w:rsidRDefault="008B0433" w:rsidP="00782D34">
      <w:pPr>
        <w:pStyle w:val="ARTartustawynprozporzdzenia"/>
      </w:pPr>
      <w:r w:rsidRPr="002847D1">
        <w:rPr>
          <w:rStyle w:val="Ppogrubienie"/>
        </w:rPr>
        <w:t>A</w:t>
      </w:r>
      <w:r w:rsidR="002D6459">
        <w:rPr>
          <w:rStyle w:val="Ppogrubienie"/>
        </w:rPr>
        <w:t>rt. 7</w:t>
      </w:r>
      <w:r w:rsidRPr="002847D1">
        <w:rPr>
          <w:rStyle w:val="Ppogrubienie"/>
        </w:rPr>
        <w:t>.</w:t>
      </w:r>
      <w:r>
        <w:t xml:space="preserve"> </w:t>
      </w:r>
      <w:r w:rsidR="00C51E50">
        <w:t xml:space="preserve">1. Do wniosków, </w:t>
      </w:r>
      <w:r w:rsidR="00C51E50" w:rsidRPr="00C51E50">
        <w:t>o którym mowa w art. 116 ust. 8 ustawy zmienianej w art. 1</w:t>
      </w:r>
      <w:r w:rsidR="00C51E50">
        <w:t>, złożonych przed dniem wejścia w życie niniejszej ustawy, stosuje się przepisy ustawy zmienianej w art. 1 w brzmieniu nadanym niniejszą ustawą.</w:t>
      </w:r>
    </w:p>
    <w:p w14:paraId="5DA709CC" w14:textId="3A2AC33E" w:rsidR="002847D1" w:rsidRPr="00782D34" w:rsidRDefault="00C51E50" w:rsidP="00782D34">
      <w:pPr>
        <w:pStyle w:val="ARTartustawynprozporzdzenia"/>
        <w:rPr>
          <w:rStyle w:val="Ppogrubienie"/>
          <w:b w:val="0"/>
        </w:rPr>
      </w:pPr>
      <w:r>
        <w:t xml:space="preserve">2. </w:t>
      </w:r>
      <w:r w:rsidR="0027108A">
        <w:t>Wniosek</w:t>
      </w:r>
      <w:r w:rsidR="0027108A" w:rsidRPr="0027108A">
        <w:t>, o którym mowa w art. 116 ust. 8 ustawy zmienianej w art. 1</w:t>
      </w:r>
      <w:r w:rsidR="0027108A">
        <w:t>, o dokonanie rezerwacji na kolejny okres, w przypadku rezerwacji, których okres wykorzystywania c</w:t>
      </w:r>
      <w:r w:rsidR="00E12E69">
        <w:t>zęstotliwości upływa w okresie 3</w:t>
      </w:r>
      <w:r w:rsidR="0027108A">
        <w:t xml:space="preserve"> lat od dnia wejścia w życie ustawy, składa się w terminie określonym w art. 116  ust. 10 ustawy zmienianej w art. 1 w brzmieniu dotychczasowym.</w:t>
      </w:r>
    </w:p>
    <w:p w14:paraId="7E05BC0A" w14:textId="6792C951" w:rsidR="002847D1" w:rsidRDefault="00361EFB" w:rsidP="00782D34">
      <w:pPr>
        <w:pStyle w:val="ARTartustawynprozporzdzenia"/>
      </w:pPr>
      <w:r w:rsidRPr="009F74AE">
        <w:rPr>
          <w:rStyle w:val="Ppogrubienie"/>
        </w:rPr>
        <w:t>Art.</w:t>
      </w:r>
      <w:r w:rsidR="00035DB0" w:rsidRPr="009F74AE">
        <w:rPr>
          <w:rStyle w:val="Ppogrubienie"/>
        </w:rPr>
        <w:t xml:space="preserve"> </w:t>
      </w:r>
      <w:r w:rsidR="002D6459">
        <w:rPr>
          <w:rStyle w:val="Ppogrubienie"/>
        </w:rPr>
        <w:t>8</w:t>
      </w:r>
      <w:r w:rsidRPr="009F74AE">
        <w:rPr>
          <w:rStyle w:val="Ppogrubienie"/>
        </w:rPr>
        <w:t>.</w:t>
      </w:r>
      <w:r w:rsidRPr="009F74AE">
        <w:t xml:space="preserve"> Do postępowań </w:t>
      </w:r>
      <w:r w:rsidRPr="00782D34">
        <w:t>wszczętych</w:t>
      </w:r>
      <w:r w:rsidRPr="009F74AE">
        <w:t xml:space="preserve"> na podstawie wniosku, o którym mowa w art. 116a</w:t>
      </w:r>
      <w:r w:rsidR="001B776B" w:rsidRPr="009F74AE">
        <w:t xml:space="preserve"> ustawy z dnia 16 lipca 2004 r. </w:t>
      </w:r>
      <w:r w:rsidR="001B776B" w:rsidRPr="009F74AE">
        <w:sym w:font="Symbol" w:char="F02D"/>
      </w:r>
      <w:r w:rsidR="001B776B" w:rsidRPr="009F74AE">
        <w:t xml:space="preserve"> Prawo telekomunikacyjne, </w:t>
      </w:r>
      <w:r w:rsidRPr="009F74AE">
        <w:t xml:space="preserve">niezakończonych przed dniem </w:t>
      </w:r>
      <w:r w:rsidRPr="009F74AE">
        <w:lastRenderedPageBreak/>
        <w:t>wejścia w życie niniejszej ustawy stosuje się przepisy ustawy w brzmieniu nadanym niniejszą ustawą.</w:t>
      </w:r>
    </w:p>
    <w:p w14:paraId="074FF13C" w14:textId="054229AE" w:rsidR="002847D1" w:rsidRPr="00782D34" w:rsidRDefault="00361EFB" w:rsidP="00782D34">
      <w:pPr>
        <w:pStyle w:val="ARTartustawynprozporzdzenia"/>
        <w:rPr>
          <w:rStyle w:val="Ppogrubienie"/>
          <w:b w:val="0"/>
        </w:rPr>
      </w:pPr>
      <w:r w:rsidRPr="009F74AE">
        <w:rPr>
          <w:rStyle w:val="Ppogrubienie"/>
        </w:rPr>
        <w:t>Art.</w:t>
      </w:r>
      <w:r w:rsidR="00035DB0" w:rsidRPr="009F74AE">
        <w:rPr>
          <w:rStyle w:val="Ppogrubienie"/>
        </w:rPr>
        <w:t xml:space="preserve"> </w:t>
      </w:r>
      <w:r w:rsidR="002D6459">
        <w:rPr>
          <w:rStyle w:val="Ppogrubienie"/>
        </w:rPr>
        <w:t>9</w:t>
      </w:r>
      <w:r w:rsidRPr="009F74AE">
        <w:rPr>
          <w:rStyle w:val="Ppogrubienie"/>
        </w:rPr>
        <w:t>.</w:t>
      </w:r>
      <w:r w:rsidRPr="009F74AE">
        <w:t xml:space="preserve"> Do </w:t>
      </w:r>
      <w:r w:rsidRPr="00782D34">
        <w:t>postępowań</w:t>
      </w:r>
      <w:r w:rsidRPr="009F74AE">
        <w:t xml:space="preserve"> w sprawie dokonania rezerwacji częstotliwości na cele rozpowszechniania programów radiofonicznych w sposób analogowy drogą rozsiewczą naziemną, po udzieleniu koncesji na kolejny okres, wszczętych i niezakończonych przed dniem wejścia w życie niniejszej ustawy stosuje się przepisy dotychczasowe. </w:t>
      </w:r>
    </w:p>
    <w:p w14:paraId="3E54198E" w14:textId="5645B859" w:rsidR="002847D1" w:rsidRPr="00782D34" w:rsidRDefault="00361EFB" w:rsidP="00782D34">
      <w:pPr>
        <w:pStyle w:val="ARTartustawynprozporzdzenia"/>
        <w:rPr>
          <w:rStyle w:val="Ppogrubienie"/>
          <w:b w:val="0"/>
        </w:rPr>
      </w:pPr>
      <w:r w:rsidRPr="009F74AE">
        <w:rPr>
          <w:rStyle w:val="Ppogrubienie"/>
        </w:rPr>
        <w:t xml:space="preserve">Art. </w:t>
      </w:r>
      <w:r w:rsidR="00B232CA">
        <w:rPr>
          <w:rStyle w:val="Ppogrubienie"/>
        </w:rPr>
        <w:t>1</w:t>
      </w:r>
      <w:r w:rsidR="002D6459">
        <w:rPr>
          <w:rStyle w:val="Ppogrubienie"/>
        </w:rPr>
        <w:t>0</w:t>
      </w:r>
      <w:r w:rsidRPr="009F74AE">
        <w:rPr>
          <w:rStyle w:val="Ppogrubienie"/>
        </w:rPr>
        <w:t>.</w:t>
      </w:r>
      <w:r w:rsidRPr="009F74AE">
        <w:t xml:space="preserve"> Do przetargu, aukcji albo konkursu wszczętych i niezakończonych </w:t>
      </w:r>
      <w:r w:rsidRPr="009F74AE">
        <w:br/>
        <w:t>przed dniem wejścia w życie niniejszej ustawy stosuje się przepisy dotychczasowe.</w:t>
      </w:r>
    </w:p>
    <w:p w14:paraId="3583DE28" w14:textId="4BBE1AC1" w:rsidR="002847D1" w:rsidRDefault="00361EFB" w:rsidP="00782D34">
      <w:pPr>
        <w:pStyle w:val="ARTartustawynprozporzdzenia"/>
      </w:pPr>
      <w:r w:rsidRPr="009F74AE">
        <w:rPr>
          <w:rStyle w:val="Ppogrubienie"/>
        </w:rPr>
        <w:t>Art.</w:t>
      </w:r>
      <w:r w:rsidR="00035DB0" w:rsidRPr="009F74AE">
        <w:rPr>
          <w:rStyle w:val="Ppogrubienie"/>
        </w:rPr>
        <w:t xml:space="preserve"> </w:t>
      </w:r>
      <w:r w:rsidR="00B232CA">
        <w:rPr>
          <w:rStyle w:val="Ppogrubienie"/>
        </w:rPr>
        <w:t>1</w:t>
      </w:r>
      <w:r w:rsidR="002D6459">
        <w:rPr>
          <w:rStyle w:val="Ppogrubienie"/>
        </w:rPr>
        <w:t>1</w:t>
      </w:r>
      <w:r w:rsidRPr="009F74AE">
        <w:rPr>
          <w:rStyle w:val="Ppogrubienie"/>
        </w:rPr>
        <w:t>.</w:t>
      </w:r>
      <w:r w:rsidRPr="009F74AE">
        <w:t xml:space="preserve"> Do postępowań w sprawie dokonania rezerwacji częstotliwości po przeprowadzeniu przetargu, aukcji albo konkursie wszczętych i niezakończonych przed dniem wejścia w życie niniejszej ustawy stosuje się przepisy dotychczasowe.</w:t>
      </w:r>
    </w:p>
    <w:p w14:paraId="58F2BEBE" w14:textId="39C86EB8" w:rsidR="00CA7648" w:rsidRDefault="00776033" w:rsidP="00782D34">
      <w:pPr>
        <w:pStyle w:val="ARTartustawynprozporzdzenia"/>
      </w:pPr>
      <w:r w:rsidRPr="009F74AE">
        <w:rPr>
          <w:rStyle w:val="Ppogrubienie"/>
        </w:rPr>
        <w:t xml:space="preserve">Art. </w:t>
      </w:r>
      <w:r>
        <w:rPr>
          <w:rStyle w:val="Ppogrubienie"/>
        </w:rPr>
        <w:t>12</w:t>
      </w:r>
      <w:r w:rsidR="0002065F" w:rsidRPr="009F74AE">
        <w:rPr>
          <w:rStyle w:val="Ppogrubienie"/>
        </w:rPr>
        <w:t>.</w:t>
      </w:r>
      <w:r w:rsidR="00CA7648">
        <w:t xml:space="preserve"> Przepisu art. 123 ust. 1 pkt 10 nie stosuje się do transakcji handlowej zawartej przed dniem wejścia w życie ustawy.</w:t>
      </w:r>
    </w:p>
    <w:p w14:paraId="1BC93793" w14:textId="7D79940E" w:rsidR="00380E37" w:rsidRDefault="00776033" w:rsidP="00782D34">
      <w:pPr>
        <w:pStyle w:val="ARTartustawynprozporzdzenia"/>
      </w:pPr>
      <w:r w:rsidRPr="009F74AE">
        <w:rPr>
          <w:rStyle w:val="Ppogrubienie"/>
        </w:rPr>
        <w:t xml:space="preserve">Art. </w:t>
      </w:r>
      <w:r>
        <w:rPr>
          <w:rStyle w:val="Ppogrubienie"/>
        </w:rPr>
        <w:t>13</w:t>
      </w:r>
      <w:r w:rsidR="0002065F" w:rsidRPr="009F74AE">
        <w:rPr>
          <w:rStyle w:val="Ppogrubienie"/>
        </w:rPr>
        <w:t>.</w:t>
      </w:r>
      <w:r w:rsidR="00380E37">
        <w:t xml:space="preserve"> </w:t>
      </w:r>
      <w:r w:rsidR="00380E37" w:rsidRPr="00380E37">
        <w:t>Do postępowań w sprawie dokonania rezerwacji częstotliwości wszczętych i niezakończonych przed dniem wejścia w życie niniejszej ustawy nie stosuje się przepisów ustawy, o której mowa w art. 5 w brzmieniu nadanym niniejszą ustawą.</w:t>
      </w:r>
    </w:p>
    <w:p w14:paraId="1EEE8172" w14:textId="617BC0C3" w:rsidR="00E63789" w:rsidRDefault="00E63789" w:rsidP="00782D34">
      <w:pPr>
        <w:pStyle w:val="ARTartustawynprozporzdzenia"/>
      </w:pPr>
      <w:r w:rsidRPr="002847D1">
        <w:rPr>
          <w:rStyle w:val="Ppogrubienie"/>
        </w:rPr>
        <w:t xml:space="preserve">Art. </w:t>
      </w:r>
      <w:r w:rsidR="007D1015" w:rsidRPr="002847D1">
        <w:rPr>
          <w:rStyle w:val="Ppogrubienie"/>
        </w:rPr>
        <w:t>1</w:t>
      </w:r>
      <w:r w:rsidR="007D1015">
        <w:rPr>
          <w:rStyle w:val="Ppogrubienie"/>
        </w:rPr>
        <w:t>4</w:t>
      </w:r>
      <w:r w:rsidRPr="002847D1">
        <w:rPr>
          <w:rStyle w:val="Ppogrubienie"/>
        </w:rPr>
        <w:t xml:space="preserve">. </w:t>
      </w:r>
      <w:r w:rsidR="003E2458">
        <w:t xml:space="preserve">1. </w:t>
      </w:r>
      <w:r w:rsidR="00C0797C" w:rsidRPr="00C0797C">
        <w:t xml:space="preserve">Wydane </w:t>
      </w:r>
      <w:r w:rsidR="00C0797C" w:rsidRPr="00782D34">
        <w:t>przed</w:t>
      </w:r>
      <w:r w:rsidR="00C0797C" w:rsidRPr="00C0797C">
        <w:t xml:space="preserve"> dniem wejścia w życie niniejszej ustawy </w:t>
      </w:r>
      <w:r w:rsidR="00C0797C">
        <w:t>świadectwa operatora urządzeń radiowych</w:t>
      </w:r>
      <w:r w:rsidR="00A02A5A">
        <w:t xml:space="preserve"> </w:t>
      </w:r>
      <w:r w:rsidR="00C0797C" w:rsidRPr="00C0797C">
        <w:t>zachowuj</w:t>
      </w:r>
      <w:r w:rsidR="00C0797C">
        <w:t>ą</w:t>
      </w:r>
      <w:r w:rsidR="00C0797C" w:rsidRPr="00C0797C">
        <w:t xml:space="preserve"> ważność, nie dłużej jednak niż do upływu terminu, na jaki został</w:t>
      </w:r>
      <w:r w:rsidR="00C0797C">
        <w:t>y</w:t>
      </w:r>
      <w:r w:rsidR="00C0797C" w:rsidRPr="00C0797C">
        <w:t xml:space="preserve"> wydane.</w:t>
      </w:r>
    </w:p>
    <w:p w14:paraId="7F89DDFA" w14:textId="7D792E71" w:rsidR="002847D1" w:rsidRDefault="003E2458" w:rsidP="00782D34">
      <w:pPr>
        <w:pStyle w:val="USTustnpkodeksu"/>
      </w:pPr>
      <w:r>
        <w:t>2. Ś</w:t>
      </w:r>
      <w:r w:rsidRPr="003E2458">
        <w:t xml:space="preserve">wiadectwa operatora urządzeń radiowych </w:t>
      </w:r>
      <w:r>
        <w:t>w</w:t>
      </w:r>
      <w:r w:rsidRPr="003E2458">
        <w:t xml:space="preserve">ydane </w:t>
      </w:r>
      <w:r>
        <w:t xml:space="preserve">na czas nieokreślony </w:t>
      </w:r>
      <w:r w:rsidRPr="003E2458">
        <w:t>przed dniem wejścia w życie niniejszej ustawy zachowują ważność</w:t>
      </w:r>
      <w:r w:rsidR="003471DB">
        <w:t xml:space="preserve">. </w:t>
      </w:r>
      <w:r>
        <w:t xml:space="preserve"> </w:t>
      </w:r>
    </w:p>
    <w:p w14:paraId="1C826842" w14:textId="3D971288" w:rsidR="00175500" w:rsidRDefault="003471DB" w:rsidP="006A0462">
      <w:pPr>
        <w:pStyle w:val="USTustnpkodeksu"/>
      </w:pPr>
      <w:r>
        <w:t xml:space="preserve">3. </w:t>
      </w:r>
      <w:r w:rsidRPr="003471DB">
        <w:t>Wnioski o wydanie świadectw operatora urządzeń radiowych w służbie radiokomunikacyjnej lotniczej, morskiej i żeglugi śródlądowej złożone do Prezesa UKE i nierozpatrzone przez ten organ przed dniem wejścia w życie ustawy rozpatruje się w trybie i na zasadach określonych w przepisach wydanych na podstawie art. 150 ust. 4 ustawy zmienianej w art. 1.</w:t>
      </w:r>
    </w:p>
    <w:p w14:paraId="49043176" w14:textId="4600CE9E" w:rsidR="002847D1" w:rsidRPr="00782D34" w:rsidRDefault="00A46EF0" w:rsidP="00782D34">
      <w:pPr>
        <w:pStyle w:val="ARTartustawynprozporzdzenia"/>
        <w:rPr>
          <w:rStyle w:val="Ppogrubienie"/>
          <w:b w:val="0"/>
          <w:highlight w:val="green"/>
        </w:rPr>
      </w:pPr>
      <w:r w:rsidRPr="002847D1">
        <w:rPr>
          <w:rStyle w:val="Ppogrubienie"/>
        </w:rPr>
        <w:t xml:space="preserve">Art. </w:t>
      </w:r>
      <w:r w:rsidR="007D1015" w:rsidRPr="002847D1">
        <w:rPr>
          <w:rStyle w:val="Ppogrubienie"/>
        </w:rPr>
        <w:t>1</w:t>
      </w:r>
      <w:r w:rsidR="007D1015">
        <w:rPr>
          <w:rStyle w:val="Ppogrubienie"/>
        </w:rPr>
        <w:t>5</w:t>
      </w:r>
      <w:r w:rsidR="00D025BA" w:rsidRPr="002847D1">
        <w:rPr>
          <w:rStyle w:val="Ppogrubienie"/>
        </w:rPr>
        <w:t>.</w:t>
      </w:r>
      <w:r w:rsidR="000B6C6A" w:rsidRPr="002847D1">
        <w:rPr>
          <w:rStyle w:val="Ppogrubienie"/>
        </w:rPr>
        <w:t xml:space="preserve"> </w:t>
      </w:r>
      <w:r w:rsidR="000B6C6A">
        <w:t xml:space="preserve">Przepisy wykonawcze wydane na podstawie art. 120 ustawy zmienianej w art. 1 w brzmieniu dotychczasowym zachowują moc do czasu wejścia w życie przepisów wykonawczych wydanych na podstawie art. 120 ustawy zmienianej w art. 1 w brzmieniu nadanym niniejsza ustawą, jednak nie dłużej niż przez okres </w:t>
      </w:r>
      <w:r w:rsidR="00CA487E">
        <w:t xml:space="preserve">6 </w:t>
      </w:r>
      <w:r w:rsidR="000B6C6A">
        <w:t xml:space="preserve">miesięcy od dnia wejścia </w:t>
      </w:r>
      <w:r w:rsidR="009F74AE">
        <w:br/>
      </w:r>
      <w:r w:rsidR="000B6C6A">
        <w:t xml:space="preserve">w życie niniejszej ustawy. </w:t>
      </w:r>
    </w:p>
    <w:p w14:paraId="15926D50" w14:textId="17652B5A" w:rsidR="00A9148A" w:rsidRPr="00361EFB" w:rsidRDefault="00361EFB" w:rsidP="00782D34">
      <w:pPr>
        <w:pStyle w:val="ARTartustawynprozporzdzenia"/>
      </w:pPr>
      <w:r w:rsidRPr="00361EFB">
        <w:rPr>
          <w:rStyle w:val="Ppogrubienie"/>
        </w:rPr>
        <w:lastRenderedPageBreak/>
        <w:t>Art.</w:t>
      </w:r>
      <w:r w:rsidR="00035DB0">
        <w:rPr>
          <w:rStyle w:val="Ppogrubienie"/>
        </w:rPr>
        <w:t xml:space="preserve"> </w:t>
      </w:r>
      <w:r w:rsidR="007D1015">
        <w:rPr>
          <w:rStyle w:val="Ppogrubienie"/>
        </w:rPr>
        <w:t>16</w:t>
      </w:r>
      <w:r w:rsidRPr="00361EFB">
        <w:rPr>
          <w:rStyle w:val="Ppogrubienie"/>
        </w:rPr>
        <w:t>.</w:t>
      </w:r>
      <w:r w:rsidRPr="00361EFB">
        <w:t xml:space="preserve"> Ustawa wchodzi w </w:t>
      </w:r>
      <w:r w:rsidRPr="00782D34">
        <w:t>życie</w:t>
      </w:r>
      <w:r w:rsidRPr="00361EFB">
        <w:t xml:space="preserve"> po upływie 30 dni od dnia ogłoszenia</w:t>
      </w:r>
      <w:r w:rsidR="00A9148A">
        <w:t>, z wyjątkiem</w:t>
      </w:r>
      <w:r w:rsidR="00C51E50">
        <w:t xml:space="preserve"> </w:t>
      </w:r>
      <w:r w:rsidR="00A9148A">
        <w:t>art. 1 pkt 28 i 29 oraz art. 3, 4 i 6, które wchodzą w życie po upływie 2 lat od dnia ogłoszenia.</w:t>
      </w:r>
    </w:p>
    <w:p w14:paraId="77BEBFBE" w14:textId="77777777" w:rsidR="00361EFB" w:rsidRDefault="00361EFB" w:rsidP="00361EFB">
      <w:pPr>
        <w:pStyle w:val="ARTartustawynprozporzdzenia"/>
      </w:pPr>
    </w:p>
    <w:p w14:paraId="6BCEDE3F" w14:textId="77777777" w:rsidR="00585027" w:rsidRDefault="00585027" w:rsidP="00361EFB">
      <w:pPr>
        <w:pStyle w:val="ARTartustawynprozporzdzenia"/>
      </w:pPr>
    </w:p>
    <w:p w14:paraId="7A310B66" w14:textId="77777777" w:rsidR="00585027" w:rsidRDefault="00585027" w:rsidP="00361EFB">
      <w:pPr>
        <w:pStyle w:val="ARTartustawynprozporzdzenia"/>
      </w:pPr>
    </w:p>
    <w:p w14:paraId="468F3347" w14:textId="77777777" w:rsidR="00585027" w:rsidRDefault="00585027" w:rsidP="00361EFB">
      <w:pPr>
        <w:pStyle w:val="ARTartustawynprozporzdzenia"/>
      </w:pPr>
    </w:p>
    <w:p w14:paraId="7EAF01EE" w14:textId="77777777" w:rsidR="00585027" w:rsidRDefault="00585027" w:rsidP="00361EFB">
      <w:pPr>
        <w:pStyle w:val="ARTartustawynprozporzdzenia"/>
      </w:pPr>
    </w:p>
    <w:p w14:paraId="1AEA112F" w14:textId="77777777" w:rsidR="00585027" w:rsidRDefault="00585027" w:rsidP="00361EFB">
      <w:pPr>
        <w:pStyle w:val="ARTartustawynprozporzdzenia"/>
      </w:pPr>
    </w:p>
    <w:p w14:paraId="20A1E628" w14:textId="77777777" w:rsidR="00585027" w:rsidRDefault="00585027" w:rsidP="00361EFB">
      <w:pPr>
        <w:pStyle w:val="ARTartustawynprozporzdzenia"/>
      </w:pPr>
    </w:p>
    <w:p w14:paraId="7E075B34" w14:textId="77777777" w:rsidR="00585027" w:rsidRDefault="00585027" w:rsidP="00361EFB">
      <w:pPr>
        <w:pStyle w:val="ARTartustawynprozporzdzenia"/>
      </w:pPr>
    </w:p>
    <w:p w14:paraId="7D31A530" w14:textId="77777777" w:rsidR="00585027" w:rsidRDefault="00585027" w:rsidP="00361EFB">
      <w:pPr>
        <w:pStyle w:val="ARTartustawynprozporzdzenia"/>
      </w:pPr>
    </w:p>
    <w:p w14:paraId="749B0B09" w14:textId="77777777" w:rsidR="00585027" w:rsidRDefault="00585027" w:rsidP="00361EFB">
      <w:pPr>
        <w:pStyle w:val="ARTartustawynprozporzdzenia"/>
      </w:pPr>
    </w:p>
    <w:p w14:paraId="7B0347FC" w14:textId="77777777" w:rsidR="00585027" w:rsidRDefault="00585027" w:rsidP="00361EFB">
      <w:pPr>
        <w:pStyle w:val="ARTartustawynprozporzdzenia"/>
      </w:pPr>
    </w:p>
    <w:p w14:paraId="47ED8828" w14:textId="77777777" w:rsidR="00585027" w:rsidRDefault="00585027" w:rsidP="00361EFB">
      <w:pPr>
        <w:pStyle w:val="ARTartustawynprozporzdzenia"/>
      </w:pPr>
    </w:p>
    <w:p w14:paraId="7E8D38E0" w14:textId="77777777" w:rsidR="00585027" w:rsidRDefault="00585027" w:rsidP="00361EFB">
      <w:pPr>
        <w:pStyle w:val="ARTartustawynprozporzdzenia"/>
      </w:pPr>
    </w:p>
    <w:p w14:paraId="0ACBDB1F" w14:textId="77777777" w:rsidR="00585027" w:rsidRDefault="00585027" w:rsidP="00361EFB">
      <w:pPr>
        <w:pStyle w:val="ARTartustawynprozporzdzenia"/>
      </w:pPr>
    </w:p>
    <w:p w14:paraId="49A1DD8C" w14:textId="77777777" w:rsidR="000C1ABA" w:rsidRDefault="000C1ABA">
      <w:pPr>
        <w:widowControl/>
        <w:autoSpaceDE/>
        <w:autoSpaceDN/>
        <w:adjustRightInd/>
        <w:jc w:val="left"/>
      </w:pPr>
      <w:r>
        <w:br w:type="page"/>
      </w:r>
    </w:p>
    <w:p w14:paraId="2FA4C824" w14:textId="05884877" w:rsidR="000C1ABA" w:rsidRPr="000C1ABA" w:rsidRDefault="000C1ABA" w:rsidP="00782D34">
      <w:pPr>
        <w:pStyle w:val="TYTUAKTUprzedmiotregulacjiustawylubrozporzdzenia"/>
      </w:pPr>
      <w:r w:rsidRPr="000C1ABA">
        <w:lastRenderedPageBreak/>
        <w:t>Uzasadnienie</w:t>
      </w:r>
    </w:p>
    <w:p w14:paraId="6A6D20D0" w14:textId="77777777" w:rsidR="000C1ABA" w:rsidRPr="000C1ABA" w:rsidRDefault="000C1ABA" w:rsidP="009A2C2A">
      <w:pPr>
        <w:pStyle w:val="NIEARTTEKSTtekstnieartykuowanynppodstprawnarozplubpreambua"/>
      </w:pPr>
      <w:r w:rsidRPr="000C1ABA">
        <w:t xml:space="preserve">Nowelizacja ustawy z dnia 16 lipca 2004 r. </w:t>
      </w:r>
      <w:r w:rsidR="00D8015F">
        <w:t xml:space="preserve">- </w:t>
      </w:r>
      <w:r w:rsidRPr="000C1ABA">
        <w:t>Prawo telekomunikacyjne dotyczy przepisów z zakresu gospodarowania częstotliwościami, urządzeń radiowych i opłat za częstotliwości.</w:t>
      </w:r>
    </w:p>
    <w:p w14:paraId="7790BFB3" w14:textId="77777777" w:rsidR="000C1ABA" w:rsidRPr="000C1ABA" w:rsidRDefault="000C1ABA" w:rsidP="009A2C2A">
      <w:pPr>
        <w:pStyle w:val="NIEARTTEKSTtekstnieartykuowanynppodstprawnarozplubpreambua"/>
      </w:pPr>
      <w:r w:rsidRPr="000C1ABA">
        <w:t xml:space="preserve">W związku ze wszczętym przez Komisję Europejską w 2016 r. postępowaniem (uchybienie 2016/2122) dotyczącym nieprawidłowego stosowania dyrektywy 2002/20/WE </w:t>
      </w:r>
      <w:r w:rsidR="00B23E98">
        <w:br/>
      </w:r>
      <w:r w:rsidRPr="000C1ABA">
        <w:t xml:space="preserve">w sprawie zezwoleń na udostępnienie sieci i usług łączności elektronicznej, jak również nieprawidłowego stosowania dyrektywy 2002/21/WE w sprawie wspólnych ram regulacyjnych sieci i usług łączności elektronicznej (dyrektywa ramowa) oraz dyrektywy 2002/77/WE </w:t>
      </w:r>
      <w:r w:rsidR="00B23E98">
        <w:br/>
      </w:r>
      <w:r w:rsidRPr="000C1ABA">
        <w:t xml:space="preserve">w sprawie konkurencji na rynkach sieci i usług łączności elektronicznej, a także nieprawidłowej transpozycji dyrektywy 2002/20/WE w sprawie zezwoleń na udostępnienie sieci i usług łączności elektronicznej (dyrektywa o zezwoleniach) zachodzi konieczność nowelizacji przepisów ustawy </w:t>
      </w:r>
      <w:r w:rsidR="00D8015F">
        <w:t xml:space="preserve">- </w:t>
      </w:r>
      <w:r w:rsidRPr="000C1ABA">
        <w:t>Prawo telekomunikacyjne w zakresie niektórych rozstrzygnięć organu regulacyjnego dotyczących częstotliwości oraz usprawnienia i modyfikacji przepisów regulujących postępowanie selekcyjne na rezerwację częstotliwości (aukcja, przetarg, konkurs).</w:t>
      </w:r>
    </w:p>
    <w:p w14:paraId="071724B3" w14:textId="77777777" w:rsidR="000C1ABA" w:rsidRPr="000C1ABA" w:rsidRDefault="000C1ABA" w:rsidP="009A2C2A">
      <w:pPr>
        <w:pStyle w:val="NIEARTTEKSTtekstnieartykuowanynppodstprawnarozplubpreambua"/>
      </w:pPr>
      <w:r w:rsidRPr="000C1ABA">
        <w:t>Projektowane zmiany wynikają także z Decyzji Parlamentu Europejskiego i Rady (UE) 2017/899 z dnia 17 maja 2017 r. w sprawie wykorzystywania zakresu częstotliwości 470–790 MHz w Unii, która zakłada zmianę przeznaczenia pasma 700 MHz we wszystkich państwach członkowskich UE. W związku z tym zachodzi konieczność wprowadzenia regulacji, które umożliwią przeprowadzenie takiej zmiany na terenie RP.</w:t>
      </w:r>
    </w:p>
    <w:p w14:paraId="1DE7A572" w14:textId="77777777" w:rsidR="000C1ABA" w:rsidRPr="000C1ABA" w:rsidRDefault="000C1ABA" w:rsidP="009A2C2A">
      <w:pPr>
        <w:pStyle w:val="NIEARTTEKSTtekstnieartykuowanynppodstprawnarozplubpreambua"/>
      </w:pPr>
      <w:r w:rsidRPr="000C1ABA">
        <w:t>Potrzeba nowelizacji wiąże się także z koniecznością zapewnienia zgodności z dyrektywą 2014/53/UE z dnia 16 kwietnia 2014 r. w sprawie harmonizacji ustawodawstw państw członkowskich dotyczących udostępniania na rynku urządzeń radiowych i uchylającej dyrektywę 1999/5/WE.</w:t>
      </w:r>
    </w:p>
    <w:p w14:paraId="5AC2C5A7" w14:textId="77777777" w:rsidR="009F74AE" w:rsidRDefault="000C1ABA" w:rsidP="009F74AE">
      <w:pPr>
        <w:pStyle w:val="NIEARTTEKSTtekstnieartykuowanynppodstprawnarozplubpreambua"/>
      </w:pPr>
      <w:r w:rsidRPr="000C1ABA">
        <w:t>W projekcie przewidziane są także zmiany niewynikające z powyższych dokumentów, ale związane z koniecznością zwiększenia efektywności gospodarowania widmem radiowym, a w szczególności zmierzające do zapewnienia wzrostu zainteresowania wdrażaniem na rynku telekomunikacyjnym nowych technologii.</w:t>
      </w:r>
    </w:p>
    <w:p w14:paraId="285154BE" w14:textId="77777777" w:rsidR="007F5225" w:rsidRPr="00DB18A8" w:rsidRDefault="007F5225" w:rsidP="007F5225">
      <w:pPr>
        <w:suppressAutoHyphens/>
        <w:spacing w:before="120"/>
        <w:ind w:firstLine="510"/>
        <w:rPr>
          <w:rFonts w:cstheme="minorHAnsi"/>
          <w:bCs/>
          <w:szCs w:val="24"/>
        </w:rPr>
      </w:pPr>
      <w:r w:rsidRPr="00DB18A8">
        <w:rPr>
          <w:rFonts w:cstheme="minorHAnsi"/>
          <w:bCs/>
          <w:szCs w:val="24"/>
        </w:rPr>
        <w:t>Projekt rozporządzenia nie jest sprzeczny z prawem Unii Europejskiej.</w:t>
      </w:r>
    </w:p>
    <w:p w14:paraId="532CCD92" w14:textId="77777777" w:rsidR="007F5225" w:rsidRPr="00DB18A8" w:rsidRDefault="007F5225" w:rsidP="007F5225">
      <w:pPr>
        <w:suppressAutoHyphens/>
        <w:spacing w:before="120"/>
        <w:ind w:firstLine="510"/>
        <w:rPr>
          <w:rFonts w:cstheme="minorHAnsi"/>
          <w:bCs/>
          <w:szCs w:val="24"/>
        </w:rPr>
      </w:pPr>
      <w:r w:rsidRPr="00DB18A8">
        <w:rPr>
          <w:rFonts w:cstheme="minorHAnsi"/>
          <w:bCs/>
          <w:szCs w:val="24"/>
        </w:rPr>
        <w:t xml:space="preserve">Projektowana regulacja nie zawiera przepisów technicznych w rozumieniu </w:t>
      </w:r>
      <w:r w:rsidRPr="00DB18A8">
        <w:rPr>
          <w:rFonts w:cstheme="minorHAnsi"/>
          <w:bCs/>
          <w:szCs w:val="24"/>
        </w:rPr>
        <w:lastRenderedPageBreak/>
        <w:t>rozporządzenia Rady Ministrów z dnia 23 grudnia 2002 r. w sprawie sposobu funkcjonowania krajowego systemu notyfikacji norm i aktów prawnych (Dz. U. poz. 2039 oraz z 2004 r. poz. 597) i nie podlega notyfikacji Komisji Europejskiej.</w:t>
      </w:r>
    </w:p>
    <w:p w14:paraId="78D73DFE" w14:textId="77777777" w:rsidR="007F5225" w:rsidRPr="00DB18A8" w:rsidRDefault="007F5225" w:rsidP="007F5225">
      <w:pPr>
        <w:suppressAutoHyphens/>
        <w:spacing w:before="120"/>
        <w:ind w:firstLine="510"/>
        <w:rPr>
          <w:rFonts w:cstheme="minorHAnsi"/>
          <w:bCs/>
          <w:szCs w:val="24"/>
        </w:rPr>
      </w:pPr>
      <w:r w:rsidRPr="00DB18A8">
        <w:rPr>
          <w:rFonts w:cstheme="minorHAnsi"/>
          <w:bCs/>
          <w:szCs w:val="24"/>
        </w:rPr>
        <w:t>Projektowana regulacja nie będzie wymagała notyfikacji Komisji Europejskiej w trybie ustawy z dnia 30 kwietnia 2004 r. o postępowaniu w sprawach dotyczących pomocy publicznej (Dz. U. z 2018 r. poz. 362).</w:t>
      </w:r>
    </w:p>
    <w:p w14:paraId="74721EF3" w14:textId="77777777" w:rsidR="007F5225" w:rsidRPr="00DB18A8" w:rsidRDefault="007F5225" w:rsidP="007F5225">
      <w:pPr>
        <w:suppressAutoHyphens/>
        <w:spacing w:before="120"/>
        <w:ind w:firstLine="510"/>
        <w:rPr>
          <w:rFonts w:cstheme="minorHAnsi"/>
          <w:bCs/>
          <w:szCs w:val="24"/>
        </w:rPr>
      </w:pPr>
      <w:r w:rsidRPr="00DB18A8">
        <w:rPr>
          <w:rFonts w:cstheme="minorHAnsi"/>
          <w:bCs/>
          <w:szCs w:val="24"/>
        </w:rPr>
        <w:t xml:space="preserve">Projekt nie wymaga przedłożenia instytucjom i organom Unii Europejskiej, w tym Europejskiemu Bankowi Centralnemu, w celu uzyskania opinii, dokonania powiadomienia, konsultacji albo uzgodnienia. </w:t>
      </w:r>
    </w:p>
    <w:p w14:paraId="591A3CD9" w14:textId="77777777" w:rsidR="007F5225" w:rsidRPr="00DB18A8" w:rsidRDefault="007F5225" w:rsidP="007F5225">
      <w:pPr>
        <w:suppressAutoHyphens/>
        <w:spacing w:before="120"/>
        <w:ind w:firstLine="510"/>
        <w:rPr>
          <w:rFonts w:cstheme="minorHAnsi"/>
          <w:bCs/>
          <w:szCs w:val="24"/>
        </w:rPr>
      </w:pPr>
      <w:r w:rsidRPr="00DB18A8">
        <w:rPr>
          <w:rFonts w:cstheme="minorHAnsi"/>
          <w:bCs/>
          <w:szCs w:val="24"/>
        </w:rPr>
        <w:t>Wejście w życie rozporządzenia nie będzie miało wpływu na działalność mikroprzedsiębiorców, małych i średnich przedsiębiorców.</w:t>
      </w:r>
    </w:p>
    <w:p w14:paraId="5E9D3250" w14:textId="3F7AA750" w:rsidR="007F5225" w:rsidRPr="00DB18A8" w:rsidRDefault="007F5225" w:rsidP="007F5225">
      <w:pPr>
        <w:suppressAutoHyphens/>
        <w:spacing w:before="120"/>
        <w:ind w:firstLine="510"/>
        <w:rPr>
          <w:rFonts w:cstheme="minorHAnsi"/>
          <w:bCs/>
          <w:i/>
          <w:szCs w:val="24"/>
        </w:rPr>
      </w:pPr>
      <w:r w:rsidRPr="00DB18A8">
        <w:rPr>
          <w:rFonts w:cstheme="minorHAnsi"/>
          <w:bCs/>
          <w:szCs w:val="24"/>
        </w:rPr>
        <w:t xml:space="preserve">Projekt został udostępniony na stronie Rządowego Centrum Legislacji w serwisie </w:t>
      </w:r>
      <w:r w:rsidR="00C54224">
        <w:rPr>
          <w:rFonts w:cstheme="minorHAnsi"/>
          <w:bCs/>
          <w:szCs w:val="24"/>
        </w:rPr>
        <w:t>„</w:t>
      </w:r>
      <w:r w:rsidRPr="00DB18A8">
        <w:rPr>
          <w:rFonts w:cstheme="minorHAnsi"/>
          <w:bCs/>
          <w:szCs w:val="24"/>
        </w:rPr>
        <w:t>Rządowy Proces Legislacyjny</w:t>
      </w:r>
      <w:r w:rsidR="00C54224">
        <w:rPr>
          <w:rFonts w:cstheme="minorHAnsi"/>
          <w:bCs/>
          <w:szCs w:val="24"/>
        </w:rPr>
        <w:t>”</w:t>
      </w:r>
      <w:r w:rsidRPr="00DB18A8">
        <w:rPr>
          <w:rFonts w:cstheme="minorHAnsi"/>
          <w:bCs/>
          <w:szCs w:val="24"/>
        </w:rPr>
        <w:t xml:space="preserve"> oraz w Biuletynie Informacji Publicznej na stronie podmiotowej Ministra </w:t>
      </w:r>
      <w:r>
        <w:rPr>
          <w:rFonts w:cstheme="minorHAnsi"/>
          <w:bCs/>
          <w:szCs w:val="24"/>
        </w:rPr>
        <w:t>Cyfryzacji</w:t>
      </w:r>
      <w:r w:rsidRPr="00DB18A8">
        <w:rPr>
          <w:rFonts w:cstheme="minorHAnsi"/>
          <w:bCs/>
          <w:szCs w:val="24"/>
        </w:rPr>
        <w:t>, zgodnie z art. 5 ustawy z dnia 7 lipca 2005 r. o działalności lobbingowej w procesie stanowienia prawa (Dz. U. z 2017 r. poz. 248).</w:t>
      </w:r>
    </w:p>
    <w:p w14:paraId="05A6E82C" w14:textId="77777777" w:rsidR="00D8015F" w:rsidRDefault="00D8015F" w:rsidP="009A2C2A">
      <w:pPr>
        <w:pStyle w:val="TYTDZPRZEDMprzedmiotregulacjitytuulubdziau"/>
      </w:pPr>
    </w:p>
    <w:p w14:paraId="6F2584C6" w14:textId="77777777" w:rsidR="000C1ABA" w:rsidRPr="000C1ABA" w:rsidRDefault="000C1ABA" w:rsidP="009A2C2A">
      <w:pPr>
        <w:pStyle w:val="TYTDZPRZEDMprzedmiotregulacjitytuulubdziau"/>
      </w:pPr>
      <w:r w:rsidRPr="000C1ABA">
        <w:t>Uzasadnienie szczegółowe</w:t>
      </w:r>
    </w:p>
    <w:p w14:paraId="0D6380E4" w14:textId="1F3CC86E" w:rsidR="003F6177" w:rsidRDefault="003F6177" w:rsidP="009A2C2A">
      <w:pPr>
        <w:pStyle w:val="NIEARTTEKSTtekstnieartykuowanynppodstprawnarozplubpreambua"/>
      </w:pPr>
      <w:r>
        <w:t>Art. 111</w:t>
      </w:r>
      <w:r w:rsidR="00D915A3">
        <w:t xml:space="preserve"> ust. 4</w:t>
      </w:r>
    </w:p>
    <w:p w14:paraId="7CCC7683" w14:textId="6706F50C" w:rsidR="00877E02" w:rsidRPr="00877E02" w:rsidRDefault="003F6177" w:rsidP="00877E02">
      <w:pPr>
        <w:pStyle w:val="ARTartustawynprozporzdzenia"/>
      </w:pPr>
      <w:r>
        <w:t xml:space="preserve">W celu zagwarantowania realizacji w obszarze gospodarowania widmem polityki rządu, w tym w szczególności krajowych i unijnych dokumentów strategicznych, wprowadza się możliwość określenia przez ministra właściwego do spraw informatyzacji </w:t>
      </w:r>
      <w:r w:rsidR="003C33A8">
        <w:t xml:space="preserve">w drodze </w:t>
      </w:r>
      <w:r w:rsidR="00D915A3">
        <w:t>rozporządzeni</w:t>
      </w:r>
      <w:r w:rsidR="003C33A8">
        <w:t>a</w:t>
      </w:r>
      <w:r w:rsidR="00D915A3">
        <w:t xml:space="preserve"> </w:t>
      </w:r>
      <w:r w:rsidR="00877E02" w:rsidRPr="00877E02">
        <w:t>harmonogram</w:t>
      </w:r>
      <w:r w:rsidR="00877E02">
        <w:t>u</w:t>
      </w:r>
      <w:r w:rsidR="00877E02" w:rsidRPr="00877E02">
        <w:t xml:space="preserve"> rozdysponowania określonych zasobów </w:t>
      </w:r>
      <w:r w:rsidR="000B64DF" w:rsidRPr="00877E02">
        <w:t>częstotliwości użytkowanych</w:t>
      </w:r>
      <w:r w:rsidR="00877E02" w:rsidRPr="00877E02">
        <w:t xml:space="preserve"> jako cywilne w użytkowaniu cywilnym lub cywilno - rządowym</w:t>
      </w:r>
      <w:r w:rsidR="00877E02">
        <w:t xml:space="preserve">, z uwzględnieniem </w:t>
      </w:r>
      <w:r w:rsidR="006326A6">
        <w:t xml:space="preserve">zarówno </w:t>
      </w:r>
      <w:r w:rsidR="00877E02" w:rsidRPr="00877E02">
        <w:t>przeznaczeń częstotliwości określonych w Krajowej Tab</w:t>
      </w:r>
      <w:r w:rsidR="00877E02">
        <w:t xml:space="preserve">licy Przeznaczeń Częstotliwości </w:t>
      </w:r>
      <w:r w:rsidR="006326A6">
        <w:t>jak i</w:t>
      </w:r>
      <w:r w:rsidR="00877E02">
        <w:t xml:space="preserve"> </w:t>
      </w:r>
      <w:r w:rsidR="00877E02" w:rsidRPr="00877E02">
        <w:t>wymagań stosowanych przy określaniu Krajowej Tablicy Przeznaczeń Częstotliwości.</w:t>
      </w:r>
    </w:p>
    <w:p w14:paraId="68F7A4E7" w14:textId="77777777" w:rsidR="000C1ABA" w:rsidRPr="000C1ABA" w:rsidRDefault="000C1ABA" w:rsidP="009A2C2A">
      <w:pPr>
        <w:pStyle w:val="NIEARTTEKSTtekstnieartykuowanynppodstprawnarozplubpreambua"/>
      </w:pPr>
      <w:r w:rsidRPr="000C1ABA">
        <w:t>Art. 112 ust. 3</w:t>
      </w:r>
    </w:p>
    <w:p w14:paraId="7F7E1B7D" w14:textId="77777777" w:rsidR="000C1ABA" w:rsidRPr="000C1ABA" w:rsidRDefault="000C1ABA" w:rsidP="009A2C2A">
      <w:pPr>
        <w:pStyle w:val="NIEARTTEKSTtekstnieartykuowanynppodstprawnarozplubpreambua"/>
      </w:pPr>
      <w:r w:rsidRPr="000C1ABA">
        <w:t>Skreślenie ust. 3 ma na celu dos</w:t>
      </w:r>
      <w:r w:rsidR="00B65094">
        <w:t>t</w:t>
      </w:r>
      <w:r w:rsidRPr="000C1ABA">
        <w:t>o</w:t>
      </w:r>
      <w:r w:rsidR="00B65094">
        <w:t>so</w:t>
      </w:r>
      <w:r w:rsidRPr="000C1ABA">
        <w:t>wanie przepisów</w:t>
      </w:r>
      <w:r w:rsidR="00B65094">
        <w:t xml:space="preserve"> Pt</w:t>
      </w:r>
      <w:r w:rsidRPr="000C1ABA">
        <w:t xml:space="preserve"> do zmian technologicznych </w:t>
      </w:r>
      <w:r w:rsidR="00B23E98">
        <w:br/>
      </w:r>
      <w:r w:rsidRPr="000C1ABA">
        <w:t xml:space="preserve">w służbie radiodyfuzyjnej. Lokalizacje stacji nadawczych nie występują w planach dotyczących emisji cyfrowych, również liczba planowanych częstotliwości nie musi być </w:t>
      </w:r>
      <w:r w:rsidRPr="000C1ABA">
        <w:lastRenderedPageBreak/>
        <w:t>zdefiniowana a priori z uwagi na planowanie poszczególnych obszarów wykorzystania częstotliwości (allotmentów).</w:t>
      </w:r>
    </w:p>
    <w:p w14:paraId="23F187FE" w14:textId="77777777" w:rsidR="000C1ABA" w:rsidRPr="000C1ABA" w:rsidRDefault="000C1ABA" w:rsidP="009A2C2A">
      <w:pPr>
        <w:pStyle w:val="NIEARTTEKSTtekstnieartykuowanynppodstprawnarozplubpreambua"/>
      </w:pPr>
      <w:r w:rsidRPr="000C1ABA">
        <w:t>Art. 112 ust. 7</w:t>
      </w:r>
    </w:p>
    <w:p w14:paraId="03FADF3D" w14:textId="77777777" w:rsidR="000C1ABA" w:rsidRPr="000C1ABA" w:rsidRDefault="000C1ABA" w:rsidP="009A2C2A">
      <w:pPr>
        <w:pStyle w:val="NIEARTTEKSTtekstnieartykuowanynppodstprawnarozplubpreambua"/>
      </w:pPr>
      <w:r w:rsidRPr="000C1ABA">
        <w:t>Ze względu na wyłącznie techniczny charakter planu zagospodarowania częstotliwości nie ma konieczności indywidualnego informowania Prezesa UOKiK o przystąpieniu do ustalenia lub zmiany planu. Informacja taka jest każdorazowo publicznie i powszechnie dostępna na stronie BIP UKE.</w:t>
      </w:r>
    </w:p>
    <w:p w14:paraId="4A52D0F8" w14:textId="77777777" w:rsidR="000C1ABA" w:rsidRPr="000C1ABA" w:rsidRDefault="000C1ABA" w:rsidP="009A2C2A">
      <w:pPr>
        <w:pStyle w:val="NIEARTTEKSTtekstnieartykuowanynppodstprawnarozplubpreambua"/>
      </w:pPr>
      <w:r w:rsidRPr="000C1ABA">
        <w:t>Art. 112 ust. 8</w:t>
      </w:r>
    </w:p>
    <w:p w14:paraId="6627A191" w14:textId="77777777" w:rsidR="000C1ABA" w:rsidRPr="000C1ABA" w:rsidRDefault="000C1ABA" w:rsidP="009A2C2A">
      <w:pPr>
        <w:pStyle w:val="NIEARTTEKSTtekstnieartykuowanynppodstprawnarozplubpreambua"/>
      </w:pPr>
      <w:r w:rsidRPr="000C1ABA">
        <w:t>W związku z całkowitym zaprzestaniem emisji telewizyjnych w sposób analogowy nie przewiduje się w przyszłości ustalania bądź zmiany planów zagospodarowania częstotliwości dotyczących częstotliwości, w których będą rozpowszechniane programy telewizyjne w sposób analogowy. W związku z powyższym norma zawarta w ust. 8 nie powinna odnosić się do rozprowadzania programów telewizyjnych w sposób analogowy, a pozostać w mocy wyłącznie w odniesieniu do programów radiowych.</w:t>
      </w:r>
    </w:p>
    <w:p w14:paraId="196E31F6" w14:textId="77777777" w:rsidR="000C1ABA" w:rsidRPr="000C1ABA" w:rsidRDefault="000C1ABA" w:rsidP="009A2C2A">
      <w:pPr>
        <w:pStyle w:val="NIEARTTEKSTtekstnieartykuowanynppodstprawnarozplubpreambua"/>
      </w:pPr>
      <w:r w:rsidRPr="000C1ABA">
        <w:t>Art. 114 ust. 2a</w:t>
      </w:r>
    </w:p>
    <w:p w14:paraId="337F6EA1" w14:textId="77777777" w:rsidR="000C1ABA" w:rsidRPr="000C1ABA" w:rsidRDefault="000C1ABA" w:rsidP="009A2C2A">
      <w:pPr>
        <w:pStyle w:val="NIEARTTEKSTtekstnieartykuowanynppodstprawnarozplubpreambua"/>
      </w:pPr>
      <w:r w:rsidRPr="000C1ABA">
        <w:t>W związku z zaprzestaniem emisji telewizyjnych w sposób analogowy i brakiem rezerwacji dla telewizji analogowej, zasadne jest wykreślenie przepisu w zakresie odnoszącym się do programów telewizyjnych.</w:t>
      </w:r>
    </w:p>
    <w:p w14:paraId="3AC3DC2C" w14:textId="77777777" w:rsidR="000C1ABA" w:rsidRPr="000C1ABA" w:rsidRDefault="000C1ABA" w:rsidP="009A2C2A">
      <w:pPr>
        <w:pStyle w:val="NIEARTTEKSTtekstnieartykuowanynppodstprawnarozplubpreambua"/>
      </w:pPr>
      <w:r w:rsidRPr="000C1ABA">
        <w:t>Art. 114 ust. 2b</w:t>
      </w:r>
    </w:p>
    <w:p w14:paraId="06E25AFB" w14:textId="77777777" w:rsidR="004D517A" w:rsidRDefault="000C1ABA" w:rsidP="009A2C2A">
      <w:pPr>
        <w:pStyle w:val="NIEARTTEKSTtekstnieartykuowanynppodstprawnarozplubpreambua"/>
      </w:pPr>
      <w:r w:rsidRPr="000C1ABA">
        <w:t>Przepis wprowadza generalną zasadę, zgodnie z którą rezerwacja częstotliwości nie może zostać zmieniona w sposób zwiększający zasób częstotliwości posiadanych przez dany podmiot</w:t>
      </w:r>
      <w:r w:rsidR="00DC350A">
        <w:t xml:space="preserve"> lub </w:t>
      </w:r>
      <w:r w:rsidRPr="000C1ABA">
        <w:t xml:space="preserve">rozszerzający obszar rezerwacji. </w:t>
      </w:r>
      <w:r w:rsidR="004D517A">
        <w:t>Dodatkowo zmiana rezerwacji nie może polegać na zamianie zasobów częstotliwości na inne zasoby, z wyjątkiem sytuacji kiedy jest to konieczne dla realizacji zobowiązań wynikających z wiążących RP umów międzynarodowych lub aktów prawnych UE lub związane z reshufflingiem.</w:t>
      </w:r>
    </w:p>
    <w:p w14:paraId="34C8FE3D" w14:textId="77777777" w:rsidR="000C1ABA" w:rsidRPr="000C1ABA" w:rsidRDefault="000C1ABA" w:rsidP="00655D23">
      <w:pPr>
        <w:pStyle w:val="NIEARTTEKSTtekstnieartykuowanynppodstprawnarozplubpreambua"/>
        <w:ind w:firstLine="0"/>
      </w:pPr>
      <w:r w:rsidRPr="000C1ABA">
        <w:t>W</w:t>
      </w:r>
      <w:r w:rsidR="004D517A">
        <w:t>e</w:t>
      </w:r>
      <w:r w:rsidRPr="000C1ABA">
        <w:t xml:space="preserve">  </w:t>
      </w:r>
      <w:r w:rsidR="004D517A">
        <w:t xml:space="preserve">wskazanych </w:t>
      </w:r>
      <w:r w:rsidRPr="000C1ABA">
        <w:t>przypadkach</w:t>
      </w:r>
      <w:r w:rsidR="004D517A">
        <w:t xml:space="preserve">, kiedy nie można zmienić </w:t>
      </w:r>
      <w:r w:rsidRPr="000C1ABA">
        <w:t xml:space="preserve"> </w:t>
      </w:r>
      <w:r w:rsidR="004D517A">
        <w:t xml:space="preserve">rezerwacji, </w:t>
      </w:r>
      <w:r w:rsidRPr="000C1ABA">
        <w:t>niezbędne będzie wydanie nowej decyzji rezerwacyjnej.</w:t>
      </w:r>
    </w:p>
    <w:p w14:paraId="1DCE46B3" w14:textId="77777777" w:rsidR="000C1ABA" w:rsidRPr="000C1ABA" w:rsidRDefault="000C1ABA" w:rsidP="009A2C2A">
      <w:pPr>
        <w:pStyle w:val="NIEARTTEKSTtekstnieartykuowanynppodstprawnarozplubpreambua"/>
      </w:pPr>
      <w:r w:rsidRPr="000C1ABA">
        <w:t>Art. 114 ust. 2c</w:t>
      </w:r>
    </w:p>
    <w:p w14:paraId="0D7B0105" w14:textId="77777777" w:rsidR="000C1ABA" w:rsidRPr="000C1ABA" w:rsidRDefault="000C1ABA" w:rsidP="009A2C2A">
      <w:pPr>
        <w:pStyle w:val="NIEARTTEKSTtekstnieartykuowanynppodstprawnarozplubpreambua"/>
      </w:pPr>
      <w:r w:rsidRPr="000C1ABA">
        <w:t xml:space="preserve">W przypadku radiofonii analogowej obszar wykorzystywania częstotliwości określany w rezerwacjach częstotliwości jest ściśle związany ze stacją nadawczą, której parametry </w:t>
      </w:r>
      <w:r w:rsidRPr="000C1ABA">
        <w:lastRenderedPageBreak/>
        <w:t>techniczne są wpisywane do koncesji udzielanej przez Przewodniczącego KRRiT (w przypadku nadawców koncesjonowanych), a następnie są wpisywane do decyzji rezerwacyjnej. Zmiana koncesji może prowadzić do rozszerzenia obszaru objętego koncesją, co powoduje konieczność zmiany rezerwacji częstotliwości i rozszerzenia obszaru wykorzystania częstotliwości.</w:t>
      </w:r>
    </w:p>
    <w:p w14:paraId="1D4B1611" w14:textId="1D51CBAF" w:rsidR="000B313F" w:rsidRPr="000B313F" w:rsidRDefault="000C1ABA" w:rsidP="00EF16C9">
      <w:pPr>
        <w:pStyle w:val="NIEARTTEKSTtekstnieartykuowanynppodstprawnarozplubpreambua"/>
      </w:pPr>
      <w:r w:rsidRPr="000C1ABA">
        <w:t xml:space="preserve">Konieczność zmiany rezerwacji i rozszerzenie obszaru wykorzystania częstotliwości zachodzi również w sytuacjach, w których rezerwacja nie jest </w:t>
      </w:r>
      <w:r w:rsidR="000B313F" w:rsidRPr="000C1ABA">
        <w:t xml:space="preserve"> udziel</w:t>
      </w:r>
      <w:r w:rsidR="000B313F">
        <w:t>ana łącznie z</w:t>
      </w:r>
      <w:r w:rsidR="000B313F" w:rsidRPr="000C1ABA">
        <w:t xml:space="preserve"> </w:t>
      </w:r>
      <w:r w:rsidRPr="000C1ABA">
        <w:t>koncesj</w:t>
      </w:r>
      <w:r w:rsidR="000B313F">
        <w:t>ą</w:t>
      </w:r>
      <w:r w:rsidR="003B2F17">
        <w:t xml:space="preserve"> i nie znosi </w:t>
      </w:r>
      <w:r w:rsidR="003B2F17" w:rsidRPr="003B2F17">
        <w:t xml:space="preserve">obowiązku </w:t>
      </w:r>
      <w:r w:rsidR="003B2F17">
        <w:t>jej</w:t>
      </w:r>
      <w:r w:rsidR="003B2F17" w:rsidRPr="003B2F17">
        <w:t xml:space="preserve"> </w:t>
      </w:r>
      <w:r w:rsidR="00E06A9F">
        <w:t>posiadania</w:t>
      </w:r>
      <w:r w:rsidRPr="000C1ABA">
        <w:t xml:space="preserve"> Konieczność </w:t>
      </w:r>
      <w:r w:rsidR="003B2F17" w:rsidRPr="003B2F17">
        <w:t xml:space="preserve">zmiany rezerwacji i rozszerzenie obszaru wykorzystania częstotliwości </w:t>
      </w:r>
      <w:r w:rsidRPr="000C1ABA">
        <w:t xml:space="preserve">może być spowodowana zamianą parametrów technicznych stacji nadawczej. Nie uwzględnienie w dokonanej już rezerwacji dodatkowego obszaru, na którym, w wyniku zamiany parametrów technicznych stacji możliwe jest wykorzystanie częstotliwości przez daną stacje, wpłynie na nieefektywne wykorzystanie częstotliwości. Natomiast konieczność wydania nowej decyzji rezerwacyjnej tylko na ten dodatkowy obszar wydaje się dużym utrudnieniem. Mogłoby to doprowadzić do konieczności wydania kilku rezerwacji, w oparciu o które pracowałaby jedna stacja nadawcza, emitująca ten sam program radiowy. Wygaśnięcie pierwotnej rezerwacji (na obszarze której zlokalizowana jest stacja nadawcza) wiązałoby się z brakiem możliwości wykorzystania częstotliwości na obszarze wskazanym w drugiej decyzji. Z tego tytułu przepis ust. 2b pkt </w:t>
      </w:r>
      <w:r w:rsidR="00C2614D">
        <w:t>3</w:t>
      </w:r>
      <w:r w:rsidR="00C2614D" w:rsidRPr="000C1ABA">
        <w:t xml:space="preserve"> </w:t>
      </w:r>
      <w:r w:rsidRPr="000C1ABA">
        <w:t>nie powinien mieć zastosowania do rezerwacji wydawanych na cele rozpowszechniania programów radiofonicznych w sposób analogowy drogą rozsiewczą naziemną.</w:t>
      </w:r>
    </w:p>
    <w:p w14:paraId="130FD6E7" w14:textId="77777777" w:rsidR="000C1ABA" w:rsidRPr="000C1ABA" w:rsidRDefault="000C1ABA" w:rsidP="009A2C2A">
      <w:pPr>
        <w:pStyle w:val="NIEARTTEKSTtekstnieartykuowanynppodstprawnarozplubpreambua"/>
      </w:pPr>
      <w:r w:rsidRPr="000C1ABA">
        <w:t>Art. 114 ust. 3</w:t>
      </w:r>
    </w:p>
    <w:p w14:paraId="61B41BFB" w14:textId="77777777" w:rsidR="00542B99" w:rsidRDefault="000C1ABA" w:rsidP="00542B99">
      <w:pPr>
        <w:pStyle w:val="NIEARTTEKSTtekstnieartykuowanynppodstprawnarozplubpreambua"/>
      </w:pPr>
      <w:r w:rsidRPr="000C1ABA">
        <w:t>Wprowadzane zmiany polegające na zmianie brzmienia zdania wprowadzającego do wyliczenia oraz zmianie brzmienia art. 114 ust. 3 pkt 1, stanowią konsekwencję propozycji zmian w art. 116 ust. 12.</w:t>
      </w:r>
    </w:p>
    <w:p w14:paraId="55A251A3" w14:textId="313BEC15" w:rsidR="00426598" w:rsidRDefault="00426598" w:rsidP="00542B99">
      <w:pPr>
        <w:pStyle w:val="NIEARTTEKSTtekstnieartykuowanynppodstprawnarozplubpreambua"/>
        <w:ind w:firstLine="0"/>
      </w:pPr>
      <w:r w:rsidRPr="00426598">
        <w:t xml:space="preserve">Przyczyną rezygnacji ze sformułowania </w:t>
      </w:r>
      <w:r w:rsidR="00C54224">
        <w:t>„</w:t>
      </w:r>
      <w:r w:rsidRPr="00426598">
        <w:t>objęte wnioskiem</w:t>
      </w:r>
      <w:r w:rsidR="00C54224">
        <w:t>”</w:t>
      </w:r>
      <w:r w:rsidRPr="00426598">
        <w:t xml:space="preserve"> jest propozycja wprowadzenia zmiany, zgodnie z którą rezerwacja po procesie selekcyjnym będzie wydawana na rzecz zwycięskiego  podmiotu z urzędu. W takim przypadku nie będzie </w:t>
      </w:r>
      <w:r w:rsidR="007D3536">
        <w:t xml:space="preserve">zatem </w:t>
      </w:r>
      <w:r w:rsidRPr="00426598">
        <w:t>wniosku o rezerwację</w:t>
      </w:r>
      <w:r w:rsidR="007D3536">
        <w:t>.</w:t>
      </w:r>
      <w:r w:rsidRPr="00426598">
        <w:t xml:space="preserve"> </w:t>
      </w:r>
      <w:r w:rsidR="007D3536">
        <w:t>P</w:t>
      </w:r>
      <w:r w:rsidRPr="00426598">
        <w:t>rzepis art. 114 musi być uniwersalny, aby mógł mieć zastosowanie zarówno w postępowaniach wnioskowych</w:t>
      </w:r>
      <w:r w:rsidR="007D3536">
        <w:t>,</w:t>
      </w:r>
      <w:r w:rsidRPr="00426598">
        <w:t xml:space="preserve"> jak i w tych wszczętych z urzędu po postępowaniu selekcyjnym.</w:t>
      </w:r>
      <w:r w:rsidR="00542B99">
        <w:t xml:space="preserve"> </w:t>
      </w:r>
    </w:p>
    <w:p w14:paraId="4F22B1CE" w14:textId="77777777" w:rsidR="000C1ABA" w:rsidRPr="000C1ABA" w:rsidRDefault="000C1ABA" w:rsidP="009A2C2A">
      <w:pPr>
        <w:pStyle w:val="NIEARTTEKSTtekstnieartykuowanynppodstprawnarozplubpreambua"/>
      </w:pPr>
      <w:r w:rsidRPr="000C1ABA">
        <w:t>Art. 114</w:t>
      </w:r>
      <w:r w:rsidRPr="009A2C2A">
        <w:rPr>
          <w:rStyle w:val="IGindeksgrny"/>
        </w:rPr>
        <w:t>1</w:t>
      </w:r>
    </w:p>
    <w:p w14:paraId="59983FD7" w14:textId="77777777" w:rsidR="00DC7F4E" w:rsidRDefault="000C1ABA" w:rsidP="00DC7F4E">
      <w:pPr>
        <w:pStyle w:val="Nagwek"/>
      </w:pPr>
      <w:r w:rsidRPr="000C1ABA">
        <w:t xml:space="preserve">Dodawany przepis stanowi implementację art. 14 dyrektywy o zezwoleniach, który </w:t>
      </w:r>
      <w:r w:rsidR="00B23E98">
        <w:br/>
      </w:r>
      <w:r w:rsidRPr="000C1ABA">
        <w:lastRenderedPageBreak/>
        <w:t xml:space="preserve">w chwili obecnej jest wdrożony do polskiego porządku prawnego w uchylanym art. 116a. </w:t>
      </w:r>
      <w:r w:rsidR="00B23E98">
        <w:br/>
      </w:r>
      <w:r w:rsidRPr="000C1ABA">
        <w:t xml:space="preserve">W związku ze wszczętym przez Komisję Europejską postępowaniem przeciw Polsce istnieje konieczność dokładniejszego odwzorowania w ustawie brzmienia przepisu dyrektywy poprzez rozszerzenie obowiązku konsultacji planowanych zmian rezerwacji częstotliwości. Takie co najmniej trzydziestodniowe konsultacje nie będą wymagane w sytuacjach, kiedy zmiana ma charakter nieistotny i jest dokonywana na wniosek lub za zgodą podmiotu dysponującego rezerwacją częstotliwości – taka regulacja wynika wprost z art. 14 dyrektywy o zezwoleniach. </w:t>
      </w:r>
      <w:r w:rsidR="00DC7F4E" w:rsidRPr="00C032E0">
        <w:t>W związku z faktem, iż dyrektywa o zezwoleniach nie zawiera definicji zmiany nieistotnej, przepis wskazuje jedynie, jakiej zmiany w szczególności nie można uznać za zmianę nieistotną, natomiast nie określa zamkniętego katalogu, czy definicji takich zmian. Między innymi ze względu na niemożność przewidzenia ewentualnych zmian nie jest właściwe formułowanie ich katalogu.</w:t>
      </w:r>
    </w:p>
    <w:p w14:paraId="010C12A4" w14:textId="77777777" w:rsidR="000C1ABA" w:rsidRPr="000C1ABA" w:rsidRDefault="000C1ABA" w:rsidP="009A2C2A">
      <w:pPr>
        <w:pStyle w:val="NIEARTTEKSTtekstnieartykuowanynppodstprawnarozplubpreambua"/>
      </w:pPr>
      <w:r w:rsidRPr="000C1ABA">
        <w:t xml:space="preserve">Jednocześnie w proponowanym ust. 3 doprecyzowuje się, że za zmianę nieistotną nie można </w:t>
      </w:r>
      <w:r w:rsidR="004B595F">
        <w:t xml:space="preserve">w szczególności </w:t>
      </w:r>
      <w:r w:rsidRPr="000C1ABA">
        <w:t>uznać zmiany, która prowadzi do rozszerzenia zakresu uprawnień wynikających z rezerwacji częstotliwości (takim rozszerzeniem byłoby np. dodanie kolejnej służby radiokomunikacyjnej).</w:t>
      </w:r>
    </w:p>
    <w:p w14:paraId="4733D925" w14:textId="77777777" w:rsidR="000C1ABA" w:rsidRPr="000C1ABA" w:rsidRDefault="000C1ABA" w:rsidP="009A2C2A">
      <w:pPr>
        <w:pStyle w:val="NIEARTTEKSTtekstnieartykuowanynppodstprawnarozplubpreambua"/>
      </w:pPr>
      <w:r w:rsidRPr="000C1ABA">
        <w:t>Konsultacji nie będzie się przeprowadzać np. w przypadku gdy zmiana rezerwacji będzie polegała na zmniejszeniu uprawnień podmiotu dysponującego rezerwacją (np. zmniejszenie obszaru rezerwacji, zmniejszenie wykorzystywanego zasobu częstotliwości) i jest dokonywana na wniosek lub za zgodą podmiotu dysponującego rezerwacją.</w:t>
      </w:r>
    </w:p>
    <w:p w14:paraId="2B1E49CB" w14:textId="4665FB0B" w:rsidR="000C1ABA" w:rsidRPr="000C1ABA" w:rsidRDefault="000C1ABA" w:rsidP="009A2C2A">
      <w:pPr>
        <w:pStyle w:val="NIEARTTEKSTtekstnieartykuowanynppodstprawnarozplubpreambua"/>
      </w:pPr>
      <w:r w:rsidRPr="000C1ABA">
        <w:t xml:space="preserve">Dodatkowo konsultacji nie będzie się stosować, zgodnie z dyrektywą o zezwoleniach, w sytuacjach nadzwyczajnych. </w:t>
      </w:r>
      <w:r w:rsidR="00D36CCF">
        <w:t>Ustawa jednak, w przeciwieństwie do dyrektywy, która nie określa katalogu sytuacji nadzwyczajnych, wskazuje wyłącznie jeden taki przypadek</w:t>
      </w:r>
      <w:r w:rsidRPr="000C1ABA">
        <w:t xml:space="preserve">, </w:t>
      </w:r>
      <w:r w:rsidR="00D36CCF">
        <w:t xml:space="preserve">czyli sytuacje </w:t>
      </w:r>
      <w:r w:rsidRPr="000C1ABA">
        <w:t>wymagające pilnego działania ze względu na wystąpienie okoliczności prowadzących do zagrożenia obronności, bezpieczeństwa państwa lub bezpieczeństwa i porządku publicznego.</w:t>
      </w:r>
      <w:r w:rsidR="00D36CCF">
        <w:t xml:space="preserve"> W takiej sytuacji, ze względu na wagę powyższych przesłanej, zasadne jest całkowite wyłączenie obowiązku konsultowania zmiany rezerwacji. Jednocześnie podmiot posiadający tę rezerwację będzie stroną postępowania administracyjnego.</w:t>
      </w:r>
    </w:p>
    <w:p w14:paraId="4401BE86" w14:textId="77777777" w:rsidR="000C1ABA" w:rsidRPr="000C1ABA" w:rsidRDefault="000C1ABA" w:rsidP="009A2C2A">
      <w:pPr>
        <w:pStyle w:val="NIEARTTEKSTtekstnieartykuowanynppodstprawnarozplubpreambua"/>
      </w:pPr>
      <w:r w:rsidRPr="000C1ABA">
        <w:t>Art. 115 ust. 1a</w:t>
      </w:r>
    </w:p>
    <w:p w14:paraId="11F6E2FD" w14:textId="77777777" w:rsidR="000C1ABA" w:rsidRPr="000C1ABA" w:rsidRDefault="000C1ABA" w:rsidP="009A2C2A">
      <w:pPr>
        <w:pStyle w:val="NIEARTTEKSTtekstnieartykuowanynppodstprawnarozplubpreambua"/>
      </w:pPr>
      <w:r w:rsidRPr="000C1ABA">
        <w:t xml:space="preserve">Zmiana jest konsekwencją  wprowadzenia nowego brzmienia art. 116 ust. 12, zgodnie z którym możliwe będzie ogłoszenie przetargu, aukcji albo konkursu na częstotliwości niedostępne.  Tym samym niezbędne jest wprowadzenie przepisu wskazującego, że okres </w:t>
      </w:r>
      <w:r w:rsidRPr="000C1ABA">
        <w:lastRenderedPageBreak/>
        <w:t xml:space="preserve">rezerwacji nie może rozpoczynać się wcześniej niż w dniu, w którym częstotliwości </w:t>
      </w:r>
      <w:r w:rsidR="00021841" w:rsidRPr="000C1ABA">
        <w:t>sta</w:t>
      </w:r>
      <w:r w:rsidR="00021841">
        <w:t>ną</w:t>
      </w:r>
      <w:r w:rsidR="00021841" w:rsidRPr="000C1ABA">
        <w:t xml:space="preserve"> </w:t>
      </w:r>
      <w:r w:rsidRPr="000C1ABA">
        <w:t xml:space="preserve">się dostępne. </w:t>
      </w:r>
    </w:p>
    <w:p w14:paraId="476EC240" w14:textId="77777777" w:rsidR="000C1ABA" w:rsidRPr="000C1ABA" w:rsidRDefault="000C1ABA" w:rsidP="009A2C2A">
      <w:pPr>
        <w:pStyle w:val="NIEARTTEKSTtekstnieartykuowanynppodstprawnarozplubpreambua"/>
      </w:pPr>
      <w:r w:rsidRPr="000C1ABA">
        <w:t>Art. 115 ust. 3</w:t>
      </w:r>
    </w:p>
    <w:p w14:paraId="7F1EEFE2" w14:textId="77777777" w:rsidR="000C1ABA" w:rsidRPr="000C1ABA" w:rsidRDefault="000C1ABA" w:rsidP="009A2C2A">
      <w:pPr>
        <w:pStyle w:val="NIEARTTEKSTtekstnieartykuowanynppodstprawnarozplubpreambua"/>
      </w:pPr>
      <w:r w:rsidRPr="000C1ABA">
        <w:t>W związku z tym, że wskazane w ust. 3 punkty 1-4 wyczerpują wszystkie elementy wymagające uregulowania w decyzji rezerwacyjnej przeznaczonej do rozpowszechniania lub rozprowadzania programów w sposób cyfrowy drogą naziemną lub rozsiewczą satelitarną, nie ma potrzeby określania elementu wskazanego w dotychczasowym pkt 5 przepisu, czyli wykorzystania pojemności systemów transmisyjnych. Należy przy tym zauważyć, że brak jest w przepisach ustawy definicji systemów transmisyjnych.</w:t>
      </w:r>
    </w:p>
    <w:p w14:paraId="60E59AC0" w14:textId="77777777" w:rsidR="000C1ABA" w:rsidRPr="000C1ABA" w:rsidRDefault="000C1ABA" w:rsidP="009A2C2A">
      <w:pPr>
        <w:pStyle w:val="NIEARTTEKSTtekstnieartykuowanynppodstprawnarozplubpreambua"/>
      </w:pPr>
      <w:r w:rsidRPr="000C1ABA">
        <w:t>Art. 115b i art. 123 ust. 2a</w:t>
      </w:r>
      <w:r w:rsidR="002942A3">
        <w:t xml:space="preserve"> i 2b</w:t>
      </w:r>
    </w:p>
    <w:p w14:paraId="636E9615" w14:textId="77777777" w:rsidR="000C1ABA" w:rsidRPr="000C1ABA" w:rsidRDefault="000C1ABA" w:rsidP="009A2C2A">
      <w:pPr>
        <w:pStyle w:val="NIEARTTEKSTtekstnieartykuowanynppodstprawnarozplubpreambua"/>
      </w:pPr>
      <w:r w:rsidRPr="000C1ABA">
        <w:t xml:space="preserve">Przepis wymaga uchylenia w związku z faktem, iż okres przejściowy, o którym w nim mowa, upłynął w lipcu 2013 r. Z powyższą zmianą wiąże się konieczność uchylenia ust. 2a </w:t>
      </w:r>
      <w:r w:rsidR="00B23E98">
        <w:br/>
      </w:r>
      <w:r w:rsidRPr="000C1ABA">
        <w:t>w art. 123 odsyłającym do przepisu art. 115b</w:t>
      </w:r>
      <w:r w:rsidR="002942A3">
        <w:t>, a także odpowiednich zmian art. 123 ust. 2b polegających na usunięciu odesłania do uchylanego ust. 2a</w:t>
      </w:r>
    </w:p>
    <w:p w14:paraId="248097C5" w14:textId="77777777" w:rsidR="000C1ABA" w:rsidRPr="000C1ABA" w:rsidRDefault="000C1ABA" w:rsidP="009A2C2A">
      <w:pPr>
        <w:pStyle w:val="NIEARTTEKSTtekstnieartykuowanynppodstprawnarozplubpreambua"/>
      </w:pPr>
      <w:r w:rsidRPr="000C1ABA">
        <w:t>Art. 116 ust. 2</w:t>
      </w:r>
      <w:r w:rsidR="00042770">
        <w:t xml:space="preserve"> </w:t>
      </w:r>
      <w:r w:rsidRPr="000C1ABA">
        <w:t>i 3</w:t>
      </w:r>
    </w:p>
    <w:p w14:paraId="744B28DF" w14:textId="77777777" w:rsidR="00D92FC1" w:rsidRDefault="000C1ABA" w:rsidP="009A2C2A">
      <w:pPr>
        <w:pStyle w:val="NIEARTTEKSTtekstnieartykuowanynppodstprawnarozplubpreambua"/>
      </w:pPr>
      <w:r w:rsidRPr="000C1ABA">
        <w:t xml:space="preserve">Proponowana zmiana ma na celu usunięcie wątpliwości interpretacyjnych dotyczących aktualnego brzmienia niniejszego przepisu. Proponowany przepis wprost wskazuje, że Prezes UKE będzie miał obowiązek publikacji informacji o zasobach zajętych i możliwość publikacji informacji o zasobach dostępnych. Publikacja informacji zarówno o zajętych, jak i dostępnych zasobach </w:t>
      </w:r>
      <w:r w:rsidR="008E4260">
        <w:t>lepiej</w:t>
      </w:r>
      <w:r w:rsidRPr="000C1ABA">
        <w:t xml:space="preserve"> pozwoli zainteresowanym podmiotom na zapoznanie się ze stanem rozdysponowania częstotliwości</w:t>
      </w:r>
      <w:r w:rsidR="008E4260">
        <w:t>.</w:t>
      </w:r>
      <w:r w:rsidRPr="000C1ABA">
        <w:t xml:space="preserve"> </w:t>
      </w:r>
    </w:p>
    <w:p w14:paraId="3620D775" w14:textId="24F66B23" w:rsidR="006F1054" w:rsidRPr="006F1054" w:rsidRDefault="006F1054" w:rsidP="006F1054">
      <w:pPr>
        <w:pStyle w:val="ARTartustawynprozporzdzenia"/>
        <w:ind w:firstLine="0"/>
      </w:pPr>
      <w:r>
        <w:t xml:space="preserve">Obowiązek </w:t>
      </w:r>
      <w:r w:rsidRPr="006F1054">
        <w:t>publikacji jedynie informacji o zasobach zajętych podyktowane jest względami praktycznymi,  ponieważ nie można obiektywnie, we wszystkich przypadkach określić danej częstotliwości jako dostępnej. W niektórych przypadkach należy znać parametry stacji, wskazane we wniosku podmiotu, aby dokonać analizy i stwierdzić czy dane częstotliwości są dostępne. Może to zostać zatem dokonane dopiero po wpłynięciu wniosku o rezerwację częstotliwości.</w:t>
      </w:r>
    </w:p>
    <w:p w14:paraId="026BD7B8" w14:textId="77777777" w:rsidR="000720AD" w:rsidRDefault="00D92FC1" w:rsidP="009A2C2A">
      <w:pPr>
        <w:pStyle w:val="NIEARTTEKSTtekstnieartykuowanynppodstprawnarozplubpreambua"/>
      </w:pPr>
      <w:r>
        <w:t>Prezes UKE publikował będzie na stronie podmiotowej BIP UKE informację o wpłynięciu wniosku o rezerwacje częstotliwości</w:t>
      </w:r>
      <w:r w:rsidR="008E4260">
        <w:t xml:space="preserve"> na dostępny zasób</w:t>
      </w:r>
      <w:r>
        <w:t>, od którego to momentu liczony będzie 14 dniowy termin</w:t>
      </w:r>
      <w:r w:rsidR="000720AD">
        <w:t xml:space="preserve"> na złożenie wniosku o rezerwacje częstotliwości w wyniku zainteresowania</w:t>
      </w:r>
      <w:r>
        <w:t xml:space="preserve">. Wskazać należy, że informacja może przyjąć dowolną formę, także publikacji </w:t>
      </w:r>
      <w:r>
        <w:lastRenderedPageBreak/>
        <w:t xml:space="preserve">samego wniosku. </w:t>
      </w:r>
      <w:r w:rsidR="00C975BF">
        <w:t>Celem</w:t>
      </w:r>
      <w:r w:rsidR="00EA08EB">
        <w:t xml:space="preserve"> wprowadzenia 14 - dniowego terminu jest zabezpieczenie </w:t>
      </w:r>
      <w:r w:rsidR="00C975BF">
        <w:t>przejrzystości postępowania rezerwacyjnego</w:t>
      </w:r>
      <w:r w:rsidR="00EA08EB">
        <w:t xml:space="preserve"> i zagwarantowanie, że decyzja rezerwacyjna na dostępny zasób nie zostanie przydzielona podmiotowi, który złożył wniosek jako pierwszy, jeżeli inne podmioty także byłyby w tym momencie zainteresowane </w:t>
      </w:r>
      <w:r w:rsidR="00C975BF">
        <w:t>uzy</w:t>
      </w:r>
      <w:r w:rsidR="00EA08EB">
        <w:t xml:space="preserve">skaniem rezerwacji. </w:t>
      </w:r>
    </w:p>
    <w:p w14:paraId="7E3F661D" w14:textId="77777777" w:rsidR="000720AD" w:rsidRDefault="000720AD" w:rsidP="000720AD">
      <w:pPr>
        <w:pStyle w:val="NIEARTTEKSTtekstnieartykuowanynppodstprawnarozplubpreambua"/>
      </w:pPr>
      <w:r>
        <w:t xml:space="preserve">Wprowadzenie zmiany tego przepisu spowoduje także, że Prezes UKE będzie mógł dokonać rezerwacji na dostępny zasób częstotliwości nie wcześniej niż po upływie 14 dni od dnia publikacji informacji o wniosku o rezerwacje na ten zasób. </w:t>
      </w:r>
      <w:r w:rsidRPr="00097D21">
        <w:t xml:space="preserve">Rozwiązanie takie </w:t>
      </w:r>
      <w:r>
        <w:t xml:space="preserve">ma na celu </w:t>
      </w:r>
      <w:r w:rsidRPr="00097D21">
        <w:t>wyelimin</w:t>
      </w:r>
      <w:r>
        <w:t>owani</w:t>
      </w:r>
      <w:r w:rsidRPr="00097D21">
        <w:t>e ryzyk</w:t>
      </w:r>
      <w:r>
        <w:t>a</w:t>
      </w:r>
      <w:r w:rsidRPr="00097D21">
        <w:t xml:space="preserve"> </w:t>
      </w:r>
      <w:r>
        <w:t>rozdysponowania</w:t>
      </w:r>
      <w:r w:rsidRPr="00097D21">
        <w:t xml:space="preserve"> częstotliwości bez uwzględnienia </w:t>
      </w:r>
      <w:r>
        <w:t xml:space="preserve">ewentualnego zainteresowania </w:t>
      </w:r>
      <w:r w:rsidRPr="00097D21">
        <w:t>innych podmiotów  tym zasobem</w:t>
      </w:r>
      <w:r>
        <w:t>.</w:t>
      </w:r>
      <w:r w:rsidRPr="00097D21">
        <w:t xml:space="preserve"> </w:t>
      </w:r>
    </w:p>
    <w:p w14:paraId="613D502F" w14:textId="77777777" w:rsidR="0095168D" w:rsidRPr="0095168D" w:rsidRDefault="0095168D" w:rsidP="00655D23">
      <w:pPr>
        <w:pStyle w:val="ARTartustawynprozporzdzenia"/>
      </w:pPr>
      <w:r>
        <w:t>Jednocześnie wskazać należy, że powyższe rozwiązanie będzie miało zastosowanie również do sytuacji, gdy do Prezesa UKE wpłynie wniosek o rezerwację dostępnych częstotliwości, które nie zostały wskazane przez Prezesa UKE w informacji o dostępnym zasobie częstotliwości (art. 116 ust. 2).</w:t>
      </w:r>
    </w:p>
    <w:p w14:paraId="083A1057" w14:textId="77777777" w:rsidR="000720AD" w:rsidRDefault="000720AD" w:rsidP="000720AD">
      <w:pPr>
        <w:pStyle w:val="ARTartustawynprozporzdzenia"/>
      </w:pPr>
      <w:r>
        <w:t>Dodatkową zmianą jest zastąpienie możliwości dotychczasowego zgłaszania zainteresowania w dowolny sposób (np. drogą elektroniczną) wskazaniem w przepisie, że należy złożyć wniosek o rezerwację częstotliwości.</w:t>
      </w:r>
    </w:p>
    <w:p w14:paraId="36919759" w14:textId="77777777" w:rsidR="000720AD" w:rsidRDefault="000720AD" w:rsidP="000720AD">
      <w:pPr>
        <w:pStyle w:val="ARTartustawynprozporzdzenia"/>
      </w:pPr>
      <w:r>
        <w:t>Niejednokrotnie zdarzało się, że w przypadku ogłoszenia informacji o wniosku na rezerwację częstotliwości, podmioty konkurujące z wnioskodawcą przysyłały emaila z informacją, że one także zainteresowane są uzyskaniem tej rezerwacji. Informacja taka często ograniczała się do jednego zdania i nie spełniała warunków stawianych wnioskom o rezerwację częstotliwości. W świetle obowiązujących przepisów sytuacja taka prowadziła do przekroczenia dostępnych zasobów częstotliwości i konieczności przygotowania dokumentacji przetargowej oraz przeprowadzenia przetargu. Z</w:t>
      </w:r>
      <w:r w:rsidRPr="007E4361">
        <w:t xml:space="preserve">darzało się, że </w:t>
      </w:r>
      <w:r>
        <w:t xml:space="preserve">po ogłoszeniu przetargu, do przetargu nie przystąpił żaden ze zgłaszających zainteresowanie podmiotów lub jedynie podmiot, który pierwotnie wnioskował o rezerwację. Na przestrzeni ostatnich lat (2010-1018) w 12 przypadkach wszczęto procedurę selekcyjną z uwagi na zainteresowanie przekraczające dostępne zasoby, zaś w przetargu (konkursie) na tę rezerwację nie wpłynęła żadna oferta. </w:t>
      </w:r>
    </w:p>
    <w:p w14:paraId="0A67FE96" w14:textId="77777777" w:rsidR="000720AD" w:rsidRDefault="000720AD" w:rsidP="00655D23">
      <w:pPr>
        <w:pStyle w:val="ARTartustawynprozporzdzenia"/>
      </w:pPr>
      <w:r>
        <w:t>W związku z tym zachodzi konieczność zmiany przepisów tak, aby wyeliminować wyżej wymienione sytuacje słu</w:t>
      </w:r>
      <w:r w:rsidRPr="008D4414">
        <w:t>ż</w:t>
      </w:r>
      <w:r>
        <w:t>ące</w:t>
      </w:r>
      <w:r w:rsidRPr="008D4414">
        <w:t xml:space="preserve"> jedynie sztucznemu kreowaniu popytu. </w:t>
      </w:r>
      <w:r>
        <w:t xml:space="preserve">Niezbędne jest zatem wskazanie w ustawie, że  wyrażenie zainteresowania wymaga złożenia wniosku o rezerwację spełniającego wymogi formalne. Z tego powodu zasadne jest także wprowadzenie opłaty za złożenie wniosku o rezerwację częstotliwości. Wymóg uiszczenia opłaty powinien skutkować </w:t>
      </w:r>
      <w:r>
        <w:lastRenderedPageBreak/>
        <w:t xml:space="preserve">ograniczeniem przypadków składania wniosków o rezerwację częstotliwości przez podmioty faktycznie niezainteresowane uzyskaniem tej rezerwacji, a mające na celu wydłużenie uzyskania lub uniemożliwienie uzyskania rezerwacji przez konkurenta. </w:t>
      </w:r>
    </w:p>
    <w:p w14:paraId="529E7E62" w14:textId="77777777" w:rsidR="000C1ABA" w:rsidRPr="000C1ABA" w:rsidRDefault="00EA08EB" w:rsidP="009A2C2A">
      <w:pPr>
        <w:pStyle w:val="NIEARTTEKSTtekstnieartykuowanynppodstprawnarozplubpreambua"/>
      </w:pPr>
      <w:r>
        <w:t>Zatem w</w:t>
      </w:r>
      <w:r w:rsidR="000C1ABA" w:rsidRPr="000C1ABA">
        <w:t xml:space="preserve"> przypadku wpłynięcia wniosku o rezerwację częstotliwości wskazanej jako dostępna, Prezes UKE przeprowadza postępowanie administracyjne mające na celu wydanie rezerwacji</w:t>
      </w:r>
      <w:r>
        <w:t xml:space="preserve">. </w:t>
      </w:r>
      <w:r w:rsidR="000C1ABA" w:rsidRPr="000C1ABA">
        <w:t>Jeżeli do czasu wydania decyzji rezerwacyjnej do Prezesa UKE nie wpłynie wniosek o dokonanie rezerwacji, czego wynikiem byłby brak dostatecznych zasobów częstotliwości, Prezes UKE wydaje decyzj</w:t>
      </w:r>
      <w:r w:rsidR="001166B3">
        <w:t>ę</w:t>
      </w:r>
      <w:r w:rsidR="000C1ABA" w:rsidRPr="000C1ABA">
        <w:t xml:space="preserve"> bez procedury selekcyjnej</w:t>
      </w:r>
      <w:r w:rsidR="001166B3">
        <w:t>.</w:t>
      </w:r>
    </w:p>
    <w:p w14:paraId="256350CB" w14:textId="77777777" w:rsidR="000720AD" w:rsidRDefault="000720AD" w:rsidP="000720AD">
      <w:pPr>
        <w:pStyle w:val="ARTartustawynprozporzdzenia"/>
      </w:pPr>
      <w:r w:rsidRPr="00C00CF4">
        <w:t>Art. 116 ust. 4</w:t>
      </w:r>
    </w:p>
    <w:p w14:paraId="6E1F3164" w14:textId="77777777" w:rsidR="000720AD" w:rsidRPr="000720AD" w:rsidRDefault="000720AD" w:rsidP="000720AD">
      <w:r w:rsidRPr="00C00CF4">
        <w:t xml:space="preserve">W </w:t>
      </w:r>
      <w:r>
        <w:t xml:space="preserve">związku ze zmianami wprowadzonymi w art. 116 ust. 3 </w:t>
      </w:r>
      <w:r w:rsidRPr="00C00CF4">
        <w:t>zachodzi konieczność uchylenia  ust. 4</w:t>
      </w:r>
      <w:r>
        <w:t xml:space="preserve"> w </w:t>
      </w:r>
      <w:r w:rsidRPr="00C00CF4">
        <w:t>art. 116.</w:t>
      </w:r>
    </w:p>
    <w:p w14:paraId="3DB6CBA1" w14:textId="77777777" w:rsidR="000C1ABA" w:rsidRPr="000C1ABA" w:rsidRDefault="000C1ABA" w:rsidP="009A2C2A">
      <w:pPr>
        <w:pStyle w:val="NIEARTTEKSTtekstnieartykuowanynppodstprawnarozplubpreambua"/>
      </w:pPr>
      <w:r w:rsidRPr="000C1ABA">
        <w:t>Art. 116 ust. 8</w:t>
      </w:r>
    </w:p>
    <w:p w14:paraId="28AEB489" w14:textId="77777777" w:rsidR="000C1ABA" w:rsidRPr="000C1ABA" w:rsidRDefault="000C1ABA" w:rsidP="009A2C2A">
      <w:pPr>
        <w:pStyle w:val="NIEARTTEKSTtekstnieartykuowanynppodstprawnarozplubpreambua"/>
      </w:pPr>
      <w:r w:rsidRPr="000C1ABA">
        <w:t>Zmiana jest konsekwencją dodania w art. 116 nowego ustępu 9a, 9b i 9c. Jednocześnie proponuje się zawarcie w przepisach art. 116 ust. 8 i n. ko</w:t>
      </w:r>
      <w:r w:rsidR="00B23E98">
        <w:t>mpleksowej regulacji dotyczącej</w:t>
      </w:r>
      <w:r w:rsidRPr="000C1ABA">
        <w:t xml:space="preserve"> udzielenia rezerwacji na kolejny okres (przedłużenia rezerwacji). W związku z zastosowaniem tego podejścia przepis ust. 8 proponuje się uzupełnić o przepis art. 124 PT, zaś w ust. 9b proponuje się uzupełnić przesłanki odmowy udzielenia rezerwacji na kolejny okres o przesłanki wskazane w art. 123 ust. 6 pkt 1, 2, 3 </w:t>
      </w:r>
      <w:r w:rsidR="002630D8">
        <w:t>lub</w:t>
      </w:r>
      <w:r w:rsidR="002630D8" w:rsidRPr="000C1ABA">
        <w:t xml:space="preserve"> </w:t>
      </w:r>
      <w:r w:rsidRPr="000C1ABA">
        <w:t>6. Powyższe przesłanki są już obecnie badane w postępowaniu o przedłużenie rezerwacji, jako przesłanki udzielenia lub odmowy udzielenia rezerwacji, zatem zaproponowane zmiany mają charakter porządkujący.</w:t>
      </w:r>
    </w:p>
    <w:p w14:paraId="5150A577" w14:textId="77777777" w:rsidR="000C1ABA" w:rsidRPr="000C1ABA" w:rsidRDefault="000C1ABA" w:rsidP="009A2C2A">
      <w:pPr>
        <w:pStyle w:val="NIEARTTEKSTtekstnieartykuowanynppodstprawnarozplubpreambua"/>
      </w:pPr>
      <w:r w:rsidRPr="000C1ABA">
        <w:t>Art. 116 ust. 9</w:t>
      </w:r>
    </w:p>
    <w:p w14:paraId="1DE89AD4" w14:textId="0352A017" w:rsidR="000C1ABA" w:rsidRPr="000C1ABA" w:rsidRDefault="000C1ABA" w:rsidP="009A2C2A">
      <w:pPr>
        <w:pStyle w:val="NIEARTTEKSTtekstnieartykuowanynppodstprawnarozplubpreambua"/>
      </w:pPr>
      <w:r w:rsidRPr="000C1ABA">
        <w:t xml:space="preserve">Zmiana ma charakter doprecyzowujący i wynika z braku definicji pojęcia </w:t>
      </w:r>
      <w:r w:rsidR="00C54224">
        <w:t>„</w:t>
      </w:r>
      <w:r w:rsidRPr="000C1ABA">
        <w:t>równoważnej konkurencji</w:t>
      </w:r>
      <w:r w:rsidR="00C54224">
        <w:t>”</w:t>
      </w:r>
      <w:r w:rsidRPr="000C1ABA">
        <w:t xml:space="preserve">. Proponuje się konsekwentne stosowanie zwrotu </w:t>
      </w:r>
      <w:r w:rsidR="00C54224">
        <w:t>„</w:t>
      </w:r>
      <w:r w:rsidRPr="000C1ABA">
        <w:t>równoprawnej konkurencji</w:t>
      </w:r>
      <w:r w:rsidR="00C54224">
        <w:t>”</w:t>
      </w:r>
      <w:r w:rsidRPr="000C1ABA">
        <w:t xml:space="preserve"> używanego już na gruncie przepisów ustawy.</w:t>
      </w:r>
    </w:p>
    <w:p w14:paraId="7F886D43" w14:textId="29A81164" w:rsidR="000C1ABA" w:rsidRPr="000C1ABA" w:rsidRDefault="000C1ABA" w:rsidP="009A2C2A">
      <w:pPr>
        <w:pStyle w:val="NIEARTTEKSTtekstnieartykuowanynppodstprawnarozplubpreambua"/>
      </w:pPr>
      <w:r w:rsidRPr="000C1ABA">
        <w:t xml:space="preserve">Jednocześnie z uwagi na charakter przesłanki dotyczącej możliwości odmowy dokonania rezerwacji częstotliwości na kolejny okres, gdy przemawia za tym </w:t>
      </w:r>
      <w:r w:rsidR="00C54224">
        <w:t>„</w:t>
      </w:r>
      <w:r w:rsidRPr="000C1ABA">
        <w:t>potrzeba istotnego zwiększenia efektywności wykorzystania częstotliwości</w:t>
      </w:r>
      <w:r w:rsidR="00C54224">
        <w:t>”</w:t>
      </w:r>
      <w:r w:rsidRPr="000C1ABA">
        <w:t>, której badanie nie leży w kompetencjach Prezesa UOKiK, przesłankę tę wyodrębniono do ust. 9a.</w:t>
      </w:r>
    </w:p>
    <w:p w14:paraId="2FD490A9" w14:textId="77777777" w:rsidR="000C1ABA" w:rsidRPr="000C1ABA" w:rsidRDefault="000C1ABA" w:rsidP="009A2C2A">
      <w:pPr>
        <w:pStyle w:val="NIEARTTEKSTtekstnieartykuowanynppodstprawnarozplubpreambua"/>
      </w:pPr>
      <w:r w:rsidRPr="000C1ABA">
        <w:t>Odwołanie się do stosowania art. 116 ust. 1-7 jest konieczne także w sytuacjach wskazanych we wprowadzanych ust. 9a i 9b, co przemawia za koniecznością usunięcia tego odwołania z ust. 9 i wprowadzenia odrębnego ust. 9c.</w:t>
      </w:r>
    </w:p>
    <w:p w14:paraId="08BE7DD6" w14:textId="77777777" w:rsidR="000C1ABA" w:rsidRPr="000C1ABA" w:rsidRDefault="000C1ABA" w:rsidP="009A2C2A">
      <w:pPr>
        <w:pStyle w:val="NIEARTTEKSTtekstnieartykuowanynppodstprawnarozplubpreambua"/>
      </w:pPr>
      <w:r w:rsidRPr="000C1ABA">
        <w:lastRenderedPageBreak/>
        <w:t>Art. 116 ust. 9a</w:t>
      </w:r>
    </w:p>
    <w:p w14:paraId="0EEE3770" w14:textId="0561EDEF" w:rsidR="000C1ABA" w:rsidRPr="000C1ABA" w:rsidRDefault="000C1ABA" w:rsidP="009A2C2A">
      <w:pPr>
        <w:pStyle w:val="NIEARTTEKSTtekstnieartykuowanynppodstprawnarozplubpreambua"/>
      </w:pPr>
      <w:r w:rsidRPr="000C1ABA">
        <w:t xml:space="preserve">Dodanie ust. 9a jest konsekwencją zmiany ust. 9. W przypadku odmowy dokonania rezerwacji częstotliwości na kolejny okres z uwagi na wystąpienie przesłanki dotyczącej </w:t>
      </w:r>
      <w:r w:rsidR="00C54224">
        <w:t>„</w:t>
      </w:r>
      <w:r w:rsidRPr="000C1ABA">
        <w:t>potrzeby istotnego zwiększenia efektywności wykorzystania częstotliwości</w:t>
      </w:r>
      <w:r w:rsidR="00C54224">
        <w:t>”</w:t>
      </w:r>
      <w:r w:rsidRPr="000C1ABA">
        <w:t xml:space="preserve"> Prezes UKE będzie działał samodzielnie. Nie będzie potrzebne działanie w porozumieniu z Prezesem UOKiK.</w:t>
      </w:r>
    </w:p>
    <w:p w14:paraId="63D17C1B" w14:textId="77777777" w:rsidR="000C1ABA" w:rsidRPr="000C1ABA" w:rsidRDefault="000C1ABA" w:rsidP="009A2C2A">
      <w:pPr>
        <w:pStyle w:val="NIEARTTEKSTtekstnieartykuowanynppodstprawnarozplubpreambua"/>
      </w:pPr>
      <w:r w:rsidRPr="000C1ABA">
        <w:t>Art. 116 ust. 9b</w:t>
      </w:r>
    </w:p>
    <w:p w14:paraId="76930F64" w14:textId="77777777" w:rsidR="000C1ABA" w:rsidRPr="000C1ABA" w:rsidRDefault="000C1ABA" w:rsidP="009A2C2A">
      <w:pPr>
        <w:pStyle w:val="NIEARTTEKSTtekstnieartykuowanynppodstprawnarozplubpreambua"/>
      </w:pPr>
      <w:r w:rsidRPr="000C1ABA">
        <w:t>Przepis ten precyzuje, że odmowa dokonania rezerwacji na kolejny okres może nastąpić nie tylko w przypadku wskazanym w dotychczasowym ust. 9, czyli gdy przemawia za tym potrzeba zapewnienia równoważnej i skutecznej konkurencji lub istotnego zwiększenia efektywności wykorzystania częstotliwości, w szczególności w przypadku gdy dokonanie rezerwacji częstotliwości na kolejny okres mogłoby doprowadzić do nadmiernego skupienia częstotliwości przez dany podmiot lub grupę kapitałową, w rozumieniu</w:t>
      </w:r>
      <w:r w:rsidR="00B23E98">
        <w:t xml:space="preserve"> </w:t>
      </w:r>
      <w:hyperlink r:id="rId9" w:anchor="hiperlinkText.rpc?hiperlink=type=tresc:nro=Powszechny.1914028:ver=0&amp;full=1" w:tgtFrame="_parent" w:history="1">
        <w:r w:rsidRPr="000C1ABA">
          <w:t>ustawy</w:t>
        </w:r>
      </w:hyperlink>
      <w:r w:rsidR="00B23E98">
        <w:t xml:space="preserve"> </w:t>
      </w:r>
      <w:r w:rsidRPr="000C1ABA">
        <w:t xml:space="preserve">z dnia 16 lutego 2007 r. o ochronie konkurencji i konsumentów </w:t>
      </w:r>
      <w:r w:rsidR="00203DA4" w:rsidRPr="00203DA4">
        <w:t>(Dz. U. z 2018 r. poz. 798 i 1637)</w:t>
      </w:r>
      <w:r w:rsidRPr="000C1ABA">
        <w:t xml:space="preserve">, w której znajduje się dany podmiot. </w:t>
      </w:r>
    </w:p>
    <w:p w14:paraId="02C26BA3" w14:textId="77777777" w:rsidR="000C1ABA" w:rsidRPr="000C1ABA" w:rsidRDefault="000C1ABA" w:rsidP="009A2C2A">
      <w:pPr>
        <w:pStyle w:val="NIEARTTEKSTtekstnieartykuowanynppodstprawnarozplubpreambua"/>
      </w:pPr>
      <w:r w:rsidRPr="000C1ABA">
        <w:t xml:space="preserve">Należy bowiem zauważyć, że mogą nastąpić inne, ważne okoliczności, które przemawiają za nieprzedłużeniem rezerwacji. Są to przesłanki analogiczne do tych, jakie obligują Prezesa UKE do odmowy udzielenia rezerwacji. Przesłanki te są już obecnie weryfikowane przez Prezesa UKE w postępowaniach o udzielenie rezerwacji na kolejny okres. W związku z tym </w:t>
      </w:r>
      <w:r w:rsidR="00B23E98">
        <w:br/>
      </w:r>
      <w:r w:rsidRPr="000C1ABA">
        <w:t>w ust. 9b należy doprecyzować, że odmowa dokonania rezerwac</w:t>
      </w:r>
      <w:r w:rsidR="00B23E98">
        <w:t xml:space="preserve">ji na kolejny okres następuje w </w:t>
      </w:r>
      <w:r w:rsidRPr="000C1ABA">
        <w:t xml:space="preserve">przypadku wystąpienia przesłanek wskazanych w art. 123 ust. </w:t>
      </w:r>
      <w:r w:rsidR="00B23E98">
        <w:t xml:space="preserve">6 pkt 1, 2, 3 </w:t>
      </w:r>
      <w:r w:rsidR="0014427A">
        <w:t xml:space="preserve">lub </w:t>
      </w:r>
      <w:r w:rsidR="00B23E98">
        <w:t xml:space="preserve">6, tj. m. in. </w:t>
      </w:r>
      <w:r w:rsidR="00B23E98">
        <w:br/>
      </w:r>
      <w:r w:rsidR="00866CB7">
        <w:t xml:space="preserve">w </w:t>
      </w:r>
      <w:r w:rsidRPr="000C1ABA">
        <w:t>przypadku, gdy wnioskodawca nie jest w stanie wywią</w:t>
      </w:r>
      <w:r w:rsidR="00B23E98">
        <w:t xml:space="preserve">zać się z warunków związanych </w:t>
      </w:r>
      <w:r w:rsidR="00B23E98">
        <w:br/>
        <w:t xml:space="preserve">z </w:t>
      </w:r>
      <w:r w:rsidRPr="000C1ABA">
        <w:t>wykorzystywaniem częstotliwości lub zasobów orbitalny</w:t>
      </w:r>
      <w:r w:rsidR="00B23E98">
        <w:t xml:space="preserve">ch (np. gdy wnioskodawca jest </w:t>
      </w:r>
      <w:r w:rsidR="00B23E98">
        <w:br/>
        <w:t xml:space="preserve">w </w:t>
      </w:r>
      <w:r w:rsidRPr="000C1ABA">
        <w:t xml:space="preserve">stanie upadłości) lub wystąpią okoliczności prowadzące do zagrożenia obronności, bezpieczeństwa państwa lub bezpieczeństwa i porządku publicznego lub powodowałoby to naruszenie umów międzynarodowych, których Rzeczpospolita jest stroną lub uniemożliwiałoby to realizację zobowiązań wynikających z wiążących Rzeczpospolitą Polską umów międzynarodowych lub </w:t>
      </w:r>
      <w:r w:rsidR="002630D8">
        <w:t>aktów</w:t>
      </w:r>
      <w:r w:rsidR="002630D8" w:rsidRPr="000C1ABA">
        <w:t xml:space="preserve"> praw</w:t>
      </w:r>
      <w:r w:rsidR="002630D8">
        <w:t>nych</w:t>
      </w:r>
      <w:r w:rsidR="002630D8" w:rsidRPr="000C1ABA">
        <w:t xml:space="preserve"> </w:t>
      </w:r>
      <w:r w:rsidRPr="000C1ABA">
        <w:t>Unii Europejskiej</w:t>
      </w:r>
      <w:r w:rsidR="002630D8">
        <w:t>, dotyczących gospodarowania częstotliwościami</w:t>
      </w:r>
      <w:r w:rsidRPr="000C1ABA">
        <w:t>.</w:t>
      </w:r>
    </w:p>
    <w:p w14:paraId="77A80CE0" w14:textId="77777777" w:rsidR="000C1ABA" w:rsidRPr="000C1ABA" w:rsidRDefault="000C1ABA" w:rsidP="009A2C2A">
      <w:pPr>
        <w:pStyle w:val="NIEARTTEKSTtekstnieartykuowanynppodstprawnarozplubpreambua"/>
      </w:pPr>
      <w:r w:rsidRPr="000C1ABA">
        <w:t>Art. 116 ust. 9c</w:t>
      </w:r>
    </w:p>
    <w:p w14:paraId="0502E438" w14:textId="77777777" w:rsidR="000C1ABA" w:rsidRDefault="000C1ABA" w:rsidP="009A2C2A">
      <w:pPr>
        <w:pStyle w:val="NIEARTTEKSTtekstnieartykuowanynppodstprawnarozplubpreambua"/>
      </w:pPr>
      <w:r w:rsidRPr="000C1ABA">
        <w:t>Dodanie ust. 9c jest konsekwencją zmiany ust. 9 oraz dodania ust. 9a i 9b.</w:t>
      </w:r>
    </w:p>
    <w:p w14:paraId="5AF9DFAE" w14:textId="77777777" w:rsidR="00097D21" w:rsidRDefault="00097D21" w:rsidP="00097D21">
      <w:pPr>
        <w:pStyle w:val="ARTartustawynprozporzdzenia"/>
      </w:pPr>
      <w:r>
        <w:lastRenderedPageBreak/>
        <w:t>Art. 116 ust. 10</w:t>
      </w:r>
    </w:p>
    <w:p w14:paraId="3F06FDE9" w14:textId="77777777" w:rsidR="00097D21" w:rsidRDefault="007D3536" w:rsidP="00097D21">
      <w:pPr>
        <w:pStyle w:val="ARTartustawynprozporzdzenia"/>
      </w:pPr>
      <w:r>
        <w:t xml:space="preserve">W związku z wprowadzeniem </w:t>
      </w:r>
      <w:r w:rsidR="00EC3E52">
        <w:t xml:space="preserve">nowej </w:t>
      </w:r>
      <w:r>
        <w:t>regulacji</w:t>
      </w:r>
      <w:r w:rsidR="00EC3E52">
        <w:t>,</w:t>
      </w:r>
      <w:r>
        <w:t xml:space="preserve"> umożliwiającej Prezesowi UKE ogłoszenie postępowania selekcyjnego na zajęte zasoby częstotliwości</w:t>
      </w:r>
      <w:r w:rsidR="00EC3E52">
        <w:t xml:space="preserve">, należy </w:t>
      </w:r>
      <w:r>
        <w:t xml:space="preserve">określić terminy na złożenie wniosku o ponowną rezerwację częstotliwości </w:t>
      </w:r>
      <w:r w:rsidR="00EC3E52">
        <w:t xml:space="preserve">tak, </w:t>
      </w:r>
      <w:r>
        <w:t xml:space="preserve">aby </w:t>
      </w:r>
      <w:r w:rsidR="00EC3E52">
        <w:t>utrzymać prawo podmiotu do wystąpienia o rerezerwację, a jednocześnie umożliwić Prezesowi UKE wcześniejsze przeprowadzenie postępowania, w przypadku gdy podmiot nie skorzystał ze swojego prawa lub zaistniały przesłanki do odmowy wydania rezerwacji.</w:t>
      </w:r>
    </w:p>
    <w:p w14:paraId="2C1222D6" w14:textId="77777777" w:rsidR="006F1054" w:rsidRPr="0075740E" w:rsidRDefault="006F1054" w:rsidP="006F1054">
      <w:pPr>
        <w:pStyle w:val="Nagwek"/>
      </w:pPr>
      <w:r w:rsidRPr="0075740E">
        <w:t>Zaproponowany przedział jest optymalny, biorąc pod uwagę z jednej strony planowanie inwestycji przez przedsiębiorcę, ale jednocześnie pozwalając Prezesowi UKE na przygotowanie i przeprowadzenie postępowania selekcyjnego przed zakończeniem okresu obowiązywania rezerwacji, w przypadku kiedy nie będzie ona przedłużona (z woli podmiotu lub na skutek zaistnienia określonych w ustawie przesłanek).</w:t>
      </w:r>
    </w:p>
    <w:p w14:paraId="4ECF394B" w14:textId="77777777" w:rsidR="006F1054" w:rsidRPr="0075740E" w:rsidRDefault="006F1054" w:rsidP="006F1054">
      <w:pPr>
        <w:pStyle w:val="Nagwek"/>
      </w:pPr>
      <w:r w:rsidRPr="0075740E">
        <w:t xml:space="preserve">Należy również wskazać, że podmioty zainteresowane częstotliwościami składają przeważnie wnioski o rezerwacje częstotliwości udzielane na dłuższy okres (zgodnie z art. 114 ust. 5 Pt maksymalnie 15 lat). Podyktowane jest to względami ekonomicznymi, prowadzoną działalnością opartą na wykorzystywanych częstotliwościach, dokonanymi inwestycjami, które mają długoletni wymiar. Podmioty, które takie inwestycje poczyniły będą szczególnie zainteresowane uzyskaniem rezerwacji na kolejny okres. Ponadto, z uwagi na to, że rezerwacji nie udziela się na okres dłuższy niż 15 lat zazwyczaj z wnioskami o udzielenie rezerwacji na kolejny okres wystąpią właśnie podmioty, które miały rezerwację na 15 lat i zamierzają kontynuować prowadzoną działalność opartą na tych częstotliwościach.   </w:t>
      </w:r>
    </w:p>
    <w:p w14:paraId="7ED5CC02" w14:textId="77777777" w:rsidR="006F1054" w:rsidRPr="00097D21" w:rsidRDefault="006F1054" w:rsidP="006F1054">
      <w:pPr>
        <w:pStyle w:val="ARTartustawynprozporzdzenia"/>
      </w:pPr>
      <w:r w:rsidRPr="0075740E">
        <w:t>Wydawanie rezerwacji na okres 2 lat, czy 6 miesięcy i krótszych może dotyczyć potencjalnie jednostkowych przypadków. Podmioty, które wnioskują o rezerwację na tak krótki okres nie są z zasady zainteresowane ich przedłużaniem, skoro mogły wnioskować o dłuższy pierwotny okres rezerwacji. Co więcej termin 6 miesięcy wynika już z obowiązujących przepisów.</w:t>
      </w:r>
    </w:p>
    <w:p w14:paraId="212F3BB4" w14:textId="77777777" w:rsidR="006F1054" w:rsidRPr="00097D21" w:rsidRDefault="006F1054" w:rsidP="00097D21">
      <w:pPr>
        <w:pStyle w:val="ARTartustawynprozporzdzenia"/>
      </w:pPr>
    </w:p>
    <w:p w14:paraId="0A47BC79" w14:textId="77777777" w:rsidR="000C1ABA" w:rsidRPr="000C1ABA" w:rsidRDefault="000C1ABA" w:rsidP="009A2C2A">
      <w:pPr>
        <w:pStyle w:val="NIEARTTEKSTtekstnieartykuowanynppodstprawnarozplubpreambua"/>
      </w:pPr>
      <w:r w:rsidRPr="000C1ABA">
        <w:t>Art. 116 ust. 11</w:t>
      </w:r>
    </w:p>
    <w:p w14:paraId="7D1625DA" w14:textId="77777777" w:rsidR="000C1ABA" w:rsidRDefault="000C1ABA" w:rsidP="009A2C2A">
      <w:pPr>
        <w:pStyle w:val="NIEARTTEKSTtekstnieartykuowanynppodstprawnarozplubpreambua"/>
      </w:pPr>
      <w:r w:rsidRPr="000C1ABA">
        <w:t xml:space="preserve">Zmiana brzmienia ust. 11  ma na celu ujednolicenie zasad postępowania w przypadku gdy wniosek o dokonanie rezerwacji na kolejny okres został złożony z niezachowaniem terminu, </w:t>
      </w:r>
      <w:r w:rsidR="00B23E98">
        <w:br/>
      </w:r>
      <w:r w:rsidRPr="000C1ABA">
        <w:t xml:space="preserve">o którym mowa w ust. 10. Dotychczasowe przepisy pozwalały na pozostawienie bez rozpoznania jedynie wniosku o dokonanie rezerwacji na kolejny okres złożonego przed  </w:t>
      </w:r>
      <w:r w:rsidRPr="000C1ABA">
        <w:lastRenderedPageBreak/>
        <w:t>terminem 12 miesięcy. Analogiczny sposób załatwienia sprawy powinien mieć miejsce w sytuacji złożenia wniosku po upływie terminu 6 miesięcy.</w:t>
      </w:r>
    </w:p>
    <w:p w14:paraId="55B7095D" w14:textId="77777777" w:rsidR="00BF224E" w:rsidRDefault="00BF224E" w:rsidP="00BF224E">
      <w:pPr>
        <w:pStyle w:val="ARTartustawynprozporzdzenia"/>
      </w:pPr>
      <w:r>
        <w:t>Art. 116 ust. 11a</w:t>
      </w:r>
    </w:p>
    <w:p w14:paraId="69EF27A6" w14:textId="17F8666F" w:rsidR="00BF224E" w:rsidRPr="00BF224E" w:rsidRDefault="002A09B9" w:rsidP="00BF224E">
      <w:pPr>
        <w:pStyle w:val="ARTartustawynprozporzdzenia"/>
      </w:pPr>
      <w:r>
        <w:t>A</w:t>
      </w:r>
      <w:r w:rsidRPr="002A09B9">
        <w:t>rt. 116 ust. 1</w:t>
      </w:r>
      <w:r>
        <w:t xml:space="preserve">1a </w:t>
      </w:r>
      <w:r w:rsidRPr="002A09B9">
        <w:t>należy</w:t>
      </w:r>
      <w:r>
        <w:t xml:space="preserve"> - obok art. 116 ust. 10 i 12</w:t>
      </w:r>
      <w:r w:rsidRPr="002A09B9">
        <w:t xml:space="preserve"> </w:t>
      </w:r>
      <w:r>
        <w:t>- do grupy przepisów, których celem jest za</w:t>
      </w:r>
      <w:r w:rsidRPr="002A09B9">
        <w:t>gwarant</w:t>
      </w:r>
      <w:r>
        <w:t>owanie</w:t>
      </w:r>
      <w:r w:rsidRPr="002A09B9">
        <w:t xml:space="preserve"> rozstrzygnięci</w:t>
      </w:r>
      <w:r>
        <w:t>a</w:t>
      </w:r>
      <w:r w:rsidRPr="002A09B9">
        <w:t xml:space="preserve"> kwestii przedłużenia rezerwacji przed rozpoczęciem procedury selekcyjnej</w:t>
      </w:r>
      <w:r>
        <w:t xml:space="preserve">. Zgodnie z tym przepisem Prezes UKE może, nie wcześniej niż 3 lata przed upływem okresu wykorzystywania częstotliwości, wydać z urzędu decyzję, </w:t>
      </w:r>
      <w:r w:rsidR="007349A7">
        <w:t>w której stwierdzi brak możliwości przedłużenia rezerwacji częstotliwości</w:t>
      </w:r>
      <w:r w:rsidR="00350FD3">
        <w:t>. Prezes UKE może skorzystać z tego narzędzia</w:t>
      </w:r>
      <w:r w:rsidR="007349A7">
        <w:t xml:space="preserve"> </w:t>
      </w:r>
      <w:r w:rsidR="00350FD3">
        <w:t xml:space="preserve">w określonych przypadkach, tj. </w:t>
      </w:r>
      <w:r w:rsidR="007349A7">
        <w:t>jeżeli przemawia za tym potrzeba zapewnienia równoprawnej i skutecznej konkurencji, potrzeba istotnego zwiększenia efektywności wykorzystania częstotliwości, jeżeli podmiot</w:t>
      </w:r>
      <w:r w:rsidR="007349A7" w:rsidRPr="007349A7">
        <w:t xml:space="preserve"> nie jest w stanie wywią</w:t>
      </w:r>
      <w:r w:rsidR="007349A7">
        <w:t xml:space="preserve">zać się z warunków </w:t>
      </w:r>
      <w:r w:rsidR="007349A7" w:rsidRPr="007349A7">
        <w:t>związanych z wykorzystywaniem częstotliwości lub zasobów orbitalny</w:t>
      </w:r>
      <w:r w:rsidR="007349A7">
        <w:t xml:space="preserve">ch </w:t>
      </w:r>
      <w:r w:rsidR="007349A7" w:rsidRPr="007349A7">
        <w:t xml:space="preserve"> lub wystąpią okoliczności prowadzące do zagrożenia obronności, bezpieczeństwa państwa lub bezpieczeństwa i porządku publicznego lub powodowałoby to naruszenie umów międzynarodowych, których Rzeczpospolita jest stroną lub uniemożliwiałoby to realizację zobowiązań wynikających z wiążących Rzeczpospolitą Polską umów międzynarodowych lub aktów prawnych Unii Europejskiej, dotyczących gospodarowania częstotliwościami</w:t>
      </w:r>
      <w:r w:rsidR="007349A7">
        <w:t>.</w:t>
      </w:r>
    </w:p>
    <w:p w14:paraId="16D0F69B" w14:textId="77777777" w:rsidR="000C1ABA" w:rsidRPr="000C1ABA" w:rsidRDefault="000C1ABA" w:rsidP="009A2C2A">
      <w:pPr>
        <w:pStyle w:val="NIEARTTEKSTtekstnieartykuowanynppodstprawnarozplubpreambua"/>
      </w:pPr>
      <w:r w:rsidRPr="000C1ABA">
        <w:t>Art. 116 ust. 12</w:t>
      </w:r>
    </w:p>
    <w:p w14:paraId="69914FFA" w14:textId="77777777" w:rsidR="000C1ABA" w:rsidRPr="000C1ABA" w:rsidRDefault="000C1ABA" w:rsidP="009A2C2A">
      <w:pPr>
        <w:pStyle w:val="NIEARTTEKSTtekstnieartykuowanynppodstprawnarozplubpreambua"/>
      </w:pPr>
      <w:r w:rsidRPr="000C1ABA">
        <w:t>Zmiana zdania pierwszego ma charakter redakcyjny polegający na usunięciu nadmiarowej redakcji tekstu.</w:t>
      </w:r>
    </w:p>
    <w:p w14:paraId="06B62874" w14:textId="77777777" w:rsidR="00D92FC1" w:rsidRDefault="000C1ABA" w:rsidP="009A2C2A">
      <w:pPr>
        <w:pStyle w:val="NIEARTTEKSTtekstnieartykuowanynppodstprawnarozplubpreambua"/>
      </w:pPr>
      <w:r w:rsidRPr="000C1ABA">
        <w:t xml:space="preserve">Dodanie zdania drugiego ma umożliwić Prezesowi UKE ogłaszanie przetargu, konkursu lub aukcji w sytuacji, gdy dany zasób jest w danym momencie zajęty i </w:t>
      </w:r>
      <w:r w:rsidR="00047B10">
        <w:t>data jego dostępności będzie znana najpóźniej w dniu ogłoszenia przetargu, aukcji albo konkursu</w:t>
      </w:r>
      <w:r w:rsidRPr="000C1ABA">
        <w:t xml:space="preserve">. </w:t>
      </w:r>
      <w:r w:rsidR="00C975BF">
        <w:t>Możliwość przeprowadzenia postępowania selekcyjnego jest zatem uzależniona od rozstrzygnięcia kwestii ewentualnej rerezerwacji. Tylko w przypadku odmowy udzielenia rezerwacji na kolejny okres</w:t>
      </w:r>
      <w:r w:rsidR="00345507">
        <w:t>, wydania decyzji z art. 116 ust. 11a</w:t>
      </w:r>
      <w:r w:rsidR="00C975BF">
        <w:t xml:space="preserve"> lub </w:t>
      </w:r>
      <w:r w:rsidR="00345507">
        <w:t>niezłożenia przez podmiot</w:t>
      </w:r>
      <w:r w:rsidR="00C975BF">
        <w:t xml:space="preserve"> </w:t>
      </w:r>
      <w:r w:rsidR="00345507">
        <w:t xml:space="preserve">wniosku w określonym terminie, można mówić o znanej dacie dostępności częstotliwości. </w:t>
      </w:r>
    </w:p>
    <w:p w14:paraId="153A9C92" w14:textId="77777777" w:rsidR="000C1ABA" w:rsidRPr="000C1ABA" w:rsidRDefault="000C1ABA" w:rsidP="009A2C2A">
      <w:pPr>
        <w:pStyle w:val="NIEARTTEKSTtekstnieartykuowanynppodstprawnarozplubpreambua"/>
      </w:pPr>
      <w:r w:rsidRPr="000C1ABA">
        <w:t xml:space="preserve">Dodanie możliwości ogłoszenia procedury selekcyjnej odnośnie zasobów częstotliwości, które nie są jeszcze dostępne, pozwoli zapewnić efektywne i ciągłe wykorzystywanie częstotliwości. Obecnie przetarg można ogłosić jedynie na częstotliwości, które są dostępne. Oznacza to, że do czasu ich zwolnienia Prezes UKE nie może ogłosić i przeprowadzić </w:t>
      </w:r>
      <w:r w:rsidRPr="000C1ABA">
        <w:lastRenderedPageBreak/>
        <w:t xml:space="preserve">procedury selekcyjnej ani wydać stosownych rezerwacji częstotliwości. Skutkuje to tym, że częstotliwości nie są wykorzystywane nie tylko przez cały wskazany powyżej okres, ale również przez czas, w którym dysponent rezerwacji uzyskuje stosowne pozwolenia radiowe lub wpisy do rejestru urządzeń radiowych, które pozwolą mu na rozpoczęcie wykorzystywania częstotliwości i świadczenie usług. Zmiana przepisu pozwoli nie tylko na wcześniejsze przeprowadzenie procedury selekcyjnej, ale również na wcześniejsze wydanie rezerwacji częstotliwości i pozwoleń radiowych lub wpisanie urządzenia radiowego do rejestru urządzeń. Pozwoli to dysponentom rezerwacji na wcześniejsze przeprowadzenie prac związanych z planowaniem i budową sieci radiowej, co skutkować będzie szybszym (po dacie, od której będzie obowiązywała rezerwacja) rozpoczęciem wykorzystywania częstotliwości i świadczenia usług. Przykładowo do wcześniejszego rozdysponowania częstotliwości mogłoby dojść w sytuacji, w której podmiot dysponujący rezerwacją częstotliwości nie złoży w wymaganym terminie wniosku o dokonanie rezerwacji na kolejny okres lub też w przypadku, gdy Prezes UKE zawrze porozumienie z MON o przekazaniu przez MON w określonej przyszłości częstotliwości do wykorzystywania cywilnego. </w:t>
      </w:r>
    </w:p>
    <w:p w14:paraId="049549E3" w14:textId="77777777" w:rsidR="000C1ABA" w:rsidRPr="000C1ABA" w:rsidRDefault="000C1ABA" w:rsidP="009A2C2A">
      <w:pPr>
        <w:pStyle w:val="NIEARTTEKSTtekstnieartykuowanynppodstprawnarozplubpreambua"/>
      </w:pPr>
      <w:r w:rsidRPr="000C1ABA">
        <w:t>Art. 116a</w:t>
      </w:r>
    </w:p>
    <w:p w14:paraId="6E402975" w14:textId="77777777" w:rsidR="000C1ABA" w:rsidRDefault="000C1ABA" w:rsidP="009A2C2A">
      <w:pPr>
        <w:pStyle w:val="NIEARTTEKSTtekstnieartykuowanynppodstprawnarozplubpreambua"/>
      </w:pPr>
      <w:r w:rsidRPr="000C1ABA">
        <w:t xml:space="preserve">Przepis art. 116a stanowiący w części wdrożenie przepisu art. 14 dyrektywy </w:t>
      </w:r>
      <w:r w:rsidR="00B23E98">
        <w:br/>
      </w:r>
      <w:r w:rsidRPr="000C1ABA">
        <w:t>o zezwoleniach budzi pewne wątpliwości Komisji Europejskiej, zwłaszcza w związku z tym, że nie oddaje w pełni brzmienia przepisu dyrektywy, a jednocześnie reguluje inne kwestie, niewynikające bezpośrednio z prawa unijnego. Dodatkowo regulacja zawarta w tym przepisie nie była nigdy wykorzystana, w związku z czym przepis jest martwy. W konsekwencji  proponuje się rezygnację z tego przepisu, z jednoczesnym wprowadzeniem nowego art. 114</w:t>
      </w:r>
      <w:r w:rsidRPr="009A2C2A">
        <w:rPr>
          <w:rStyle w:val="IGindeksgrny"/>
        </w:rPr>
        <w:t>1</w:t>
      </w:r>
      <w:r w:rsidRPr="000C1ABA">
        <w:t xml:space="preserve"> wdrażającego art. 14 dyrektywy o zezwoleniach oraz wprowadzeniem w art. 114 ust. 2b generalnej zasady określającej, w jakich przypadkach możliwa jest zmiana decyzji rezerwacyjnej, a kiedy niezbędne jest wydanie odrębnej decyzji przydzielającej nowe uprawnienia.</w:t>
      </w:r>
    </w:p>
    <w:p w14:paraId="2E835CD9" w14:textId="77777777" w:rsidR="00B1363B" w:rsidRDefault="00B1363B" w:rsidP="00B1363B">
      <w:pPr>
        <w:pStyle w:val="ARTartustawynprozporzdzenia"/>
      </w:pPr>
      <w:r>
        <w:t>Art. 116aa</w:t>
      </w:r>
      <w:r w:rsidR="00580D5A">
        <w:t>, (art. 116 ust. 9, art. 118 ust. 4a, art. 122</w:t>
      </w:r>
      <w:r w:rsidR="00580D5A" w:rsidRPr="009A2C2A">
        <w:rPr>
          <w:rStyle w:val="IGindeksgrny"/>
        </w:rPr>
        <w:t>1</w:t>
      </w:r>
      <w:r w:rsidR="00580D5A">
        <w:t xml:space="preserve"> ust. 5 pkt 2</w:t>
      </w:r>
      <w:r w:rsidR="005755D0">
        <w:t xml:space="preserve"> i art. 123 ust. 1 pkt 10</w:t>
      </w:r>
      <w:r w:rsidR="00580D5A">
        <w:t xml:space="preserve">), </w:t>
      </w:r>
    </w:p>
    <w:p w14:paraId="008DC7AE" w14:textId="4E86BE29" w:rsidR="004450DD" w:rsidRDefault="00B1363B" w:rsidP="00B1363B">
      <w:pPr>
        <w:pStyle w:val="ARTartustawynprozporzdzenia"/>
      </w:pPr>
      <w:r>
        <w:t xml:space="preserve">Na potrzeby rozdziału </w:t>
      </w:r>
      <w:r w:rsidR="00C54224">
        <w:t>„</w:t>
      </w:r>
      <w:r>
        <w:t>Gospodarowanie częstotliwościami</w:t>
      </w:r>
      <w:r w:rsidR="00C54224">
        <w:t>”</w:t>
      </w:r>
      <w:r>
        <w:t xml:space="preserve"> </w:t>
      </w:r>
      <w:r w:rsidR="00833C18">
        <w:t xml:space="preserve">w art. 116aa </w:t>
      </w:r>
      <w:r>
        <w:t xml:space="preserve">utworzone zostało generalne </w:t>
      </w:r>
      <w:r w:rsidRPr="00B1363B">
        <w:t>odesłanie</w:t>
      </w:r>
      <w:r>
        <w:t xml:space="preserve"> do przepisów </w:t>
      </w:r>
      <w:r w:rsidRPr="00B1363B">
        <w:t>ustawy z dnia 16 lutego 2007 r. o ochronie konkurencji i</w:t>
      </w:r>
      <w:r w:rsidR="00833C18">
        <w:t> </w:t>
      </w:r>
      <w:r w:rsidRPr="00B1363B">
        <w:t>konsumentów (Dz. U. z 2018 r. poz. 798 i 1637)</w:t>
      </w:r>
      <w:r>
        <w:t xml:space="preserve"> dotyczących </w:t>
      </w:r>
      <w:r w:rsidRPr="00B1363B">
        <w:t>grup</w:t>
      </w:r>
      <w:r>
        <w:t>y</w:t>
      </w:r>
      <w:r w:rsidRPr="00B1363B">
        <w:t xml:space="preserve"> kapitałowej</w:t>
      </w:r>
      <w:r>
        <w:t xml:space="preserve">. </w:t>
      </w:r>
      <w:r w:rsidR="00F70EB6">
        <w:t xml:space="preserve">W </w:t>
      </w:r>
      <w:r w:rsidR="00C27E08">
        <w:t>związku</w:t>
      </w:r>
      <w:r w:rsidR="00F70EB6">
        <w:t xml:space="preserve"> z tym zrezygnowano </w:t>
      </w:r>
      <w:r w:rsidR="00580D5A">
        <w:t xml:space="preserve">również </w:t>
      </w:r>
      <w:r w:rsidR="00F70EB6">
        <w:t>z odesłań do ustawy</w:t>
      </w:r>
      <w:r w:rsidRPr="00B1363B">
        <w:t xml:space="preserve"> </w:t>
      </w:r>
      <w:r w:rsidR="00F70EB6" w:rsidRPr="00F70EB6">
        <w:t>o ochronie konkurencji i konsumentów</w:t>
      </w:r>
      <w:r w:rsidR="00F70EB6">
        <w:t xml:space="preserve"> w art. 116</w:t>
      </w:r>
      <w:r w:rsidR="00580D5A">
        <w:t xml:space="preserve"> ust. 9</w:t>
      </w:r>
      <w:r w:rsidR="00F70EB6">
        <w:t xml:space="preserve">, </w:t>
      </w:r>
      <w:r w:rsidR="00580D5A">
        <w:t>art. 118 ust. 4a, art. 122</w:t>
      </w:r>
      <w:r w:rsidR="00580D5A" w:rsidRPr="009A2C2A">
        <w:rPr>
          <w:rStyle w:val="IGindeksgrny"/>
        </w:rPr>
        <w:t>1</w:t>
      </w:r>
      <w:r w:rsidR="00580D5A">
        <w:t xml:space="preserve"> ust. 5 pkt 2</w:t>
      </w:r>
      <w:r w:rsidR="005755D0" w:rsidRPr="005755D0">
        <w:t xml:space="preserve"> i </w:t>
      </w:r>
      <w:r w:rsidR="005755D0">
        <w:t xml:space="preserve">art. </w:t>
      </w:r>
      <w:r w:rsidR="005755D0" w:rsidRPr="005755D0">
        <w:t>123 ust. 1 pkt 10</w:t>
      </w:r>
      <w:r w:rsidR="00580D5A">
        <w:t>.</w:t>
      </w:r>
    </w:p>
    <w:p w14:paraId="5A31FF54" w14:textId="77777777" w:rsidR="00B1363B" w:rsidRDefault="004450DD" w:rsidP="00B1363B">
      <w:pPr>
        <w:pStyle w:val="ARTartustawynprozporzdzenia"/>
        <w:ind w:firstLine="0"/>
      </w:pPr>
      <w:r>
        <w:lastRenderedPageBreak/>
        <w:t xml:space="preserve">Podobnie jak </w:t>
      </w:r>
      <w:r w:rsidR="00F70EB6">
        <w:t>w przepisach ustawy</w:t>
      </w:r>
      <w:r>
        <w:t xml:space="preserve"> </w:t>
      </w:r>
      <w:r w:rsidRPr="004450DD">
        <w:t>o ochronie konkurencji i konsumentów</w:t>
      </w:r>
      <w:r w:rsidR="00F70EB6">
        <w:t xml:space="preserve"> dotyczących kontroli koncentracji</w:t>
      </w:r>
      <w:r w:rsidRPr="004450DD">
        <w:t xml:space="preserve"> rozszerzono definicję przedsiębiorcy</w:t>
      </w:r>
      <w:r>
        <w:t xml:space="preserve"> poprzez objęcie nią również </w:t>
      </w:r>
      <w:r w:rsidRPr="00B1363B">
        <w:t xml:space="preserve">niektórych </w:t>
      </w:r>
      <w:r>
        <w:t xml:space="preserve">innych </w:t>
      </w:r>
      <w:r w:rsidRPr="00B1363B">
        <w:t>podmiotów</w:t>
      </w:r>
      <w:r w:rsidRPr="004450DD">
        <w:t xml:space="preserve"> </w:t>
      </w:r>
      <w:r>
        <w:t xml:space="preserve">(np. </w:t>
      </w:r>
      <w:r w:rsidRPr="004450DD">
        <w:t>osob</w:t>
      </w:r>
      <w:r w:rsidR="00C27E08">
        <w:t>y</w:t>
      </w:r>
      <w:r w:rsidRPr="004450DD">
        <w:t xml:space="preserve"> prawn</w:t>
      </w:r>
      <w:r w:rsidR="00C27E08">
        <w:t>ej</w:t>
      </w:r>
      <w:r w:rsidRPr="004450DD">
        <w:t>, jednostk</w:t>
      </w:r>
      <w:r w:rsidR="00C27E08">
        <w:t>i</w:t>
      </w:r>
      <w:r w:rsidRPr="004450DD">
        <w:t xml:space="preserve"> organizacyjn</w:t>
      </w:r>
      <w:r w:rsidR="00C27E08">
        <w:t>ej</w:t>
      </w:r>
      <w:r w:rsidRPr="004450DD">
        <w:t xml:space="preserve"> niemając</w:t>
      </w:r>
      <w:r w:rsidR="00C27E08">
        <w:t>ej</w:t>
      </w:r>
      <w:r w:rsidRPr="004450DD">
        <w:t xml:space="preserve"> osobowości prawnej</w:t>
      </w:r>
      <w:r>
        <w:t xml:space="preserve">, </w:t>
      </w:r>
      <w:r w:rsidR="005755D0">
        <w:t>związku</w:t>
      </w:r>
      <w:r>
        <w:t xml:space="preserve"> przedsiębiorców)</w:t>
      </w:r>
      <w:r w:rsidRPr="00B1363B">
        <w:t>, a w szczególności osób fizycznych</w:t>
      </w:r>
      <w:r>
        <w:t xml:space="preserve"> (np. </w:t>
      </w:r>
      <w:r w:rsidRPr="004450DD">
        <w:t>wykonując</w:t>
      </w:r>
      <w:r>
        <w:t>ych</w:t>
      </w:r>
      <w:r w:rsidRPr="004450DD">
        <w:t xml:space="preserve"> zawód we własnym imieniu i na własny rachunek</w:t>
      </w:r>
      <w:r>
        <w:t xml:space="preserve"> lub posiadających kontrolę</w:t>
      </w:r>
      <w:r w:rsidRPr="004450DD">
        <w:t xml:space="preserve"> nad co najmniej jednym przedsiębiorcą</w:t>
      </w:r>
      <w:r>
        <w:t>).</w:t>
      </w:r>
    </w:p>
    <w:p w14:paraId="7D249742" w14:textId="77777777" w:rsidR="00156371" w:rsidRPr="00C95225" w:rsidRDefault="00156371" w:rsidP="00156371">
      <w:pPr>
        <w:pStyle w:val="Nagwek"/>
      </w:pPr>
      <w:r w:rsidRPr="00C95225">
        <w:t xml:space="preserve">Intencją projektodawcy było takie zdefiniowanie przedsiębiorcy, aby uniknąć jakichkolwiek wątpliwości interpretacyjnych odnośnie tego, czy definicja przedsiębiorcy z ustawy o ochronie konkurencji i konsumentów znajdzie zastosowanie. Należy bowiem wskazać, że w art. 4 pkt 1 lit. c uokik do definicji przedsiębiorcy zaliczono osobę fizyczną posiadającą kontrolę nad co najmniej jednym przedsiębiorcą (…) jeżeli podejmuje dalsze działania podlegające kontroli koncentracji. </w:t>
      </w:r>
    </w:p>
    <w:p w14:paraId="34DC292E" w14:textId="3403F3EB" w:rsidR="00156371" w:rsidRPr="00B1363B" w:rsidRDefault="00156371" w:rsidP="007D1015">
      <w:pPr>
        <w:pStyle w:val="ARTartustawynprozporzdzenia"/>
      </w:pPr>
      <w:r>
        <w:t>W</w:t>
      </w:r>
      <w:r w:rsidRPr="00156371">
        <w:t xml:space="preserve"> tym zakresie należy uznać, że definicja przedsiębiorcy nie miałaby zastosowania na gruncie prawa telekomunikacyjnego, ponieważ Prezes UKE nie dokonuje kontroli koncentracji. Zdecydowano zatem o wprowadzeniu odrębnej definicji grupy kapitałowej i przedsiębiorcy w Prawie telekomunikacyjnym. Co więcej definicja ta odnosić się ma wyłącznie do spraw uregulowanych w dziale IV rozdziału I „Gospodarowanie częstotliwościami”. W innych przypadkach, np. na potrzeby analiz rynku może okazać się zasadne inne rozumienie grupy kapitałowej i przedsiębiorcy.  </w:t>
      </w:r>
    </w:p>
    <w:p w14:paraId="4B1D1E4C" w14:textId="77777777" w:rsidR="000C1ABA" w:rsidRPr="000C1ABA" w:rsidRDefault="000C1ABA" w:rsidP="009A2C2A">
      <w:pPr>
        <w:pStyle w:val="NIEARTTEKSTtekstnieartykuowanynppodstprawnarozplubpreambua"/>
      </w:pPr>
      <w:r w:rsidRPr="000C1ABA">
        <w:t>Art. 116b</w:t>
      </w:r>
    </w:p>
    <w:p w14:paraId="37201450" w14:textId="77777777" w:rsidR="00CC66E7" w:rsidRDefault="002523C1" w:rsidP="009A2C2A">
      <w:pPr>
        <w:pStyle w:val="NIEARTTEKSTtekstnieartykuowanynppodstprawnarozplubpreambua"/>
      </w:pPr>
      <w:r>
        <w:t xml:space="preserve">Przedmiotowa regulacja dotyczy dokonywania rezerwacji </w:t>
      </w:r>
      <w:r w:rsidRPr="000C1ABA">
        <w:t>częstotliwości na cele rozpowszechniania programów radiofonicznych w sposób analogowy</w:t>
      </w:r>
      <w:r>
        <w:t xml:space="preserve">. </w:t>
      </w:r>
      <w:r w:rsidR="000C1ABA" w:rsidRPr="000C1ABA">
        <w:t xml:space="preserve">Z uwagi na brzmienie art. 37 ust. 3a ustawy o radiofonii i telewizji, w aktualnym stanie prawnym Prezes UKE </w:t>
      </w:r>
      <w:r w:rsidR="00721AE2">
        <w:t xml:space="preserve">jest zobowiązany do dokonania rezerwacji na kolejny okres niezwłocznie po wydaniu przez KRRiT koncesji na kolejny okres. KRRiT wydaje rekoncesję nawet na kilka lat przed upływem bieżącej koncesji. W praktyce oznacza to, że również nadawca składa wniosek o rerezerwację na kilka lat przed wygaśnięciem rezerwacji, zaś Prezes UKE ma obowiązek niezwłocznie ją wydać. </w:t>
      </w:r>
      <w:r w:rsidR="00C2529B">
        <w:t>W przepisie wskazano zatem</w:t>
      </w:r>
      <w:r w:rsidR="00D11787">
        <w:t xml:space="preserve">, </w:t>
      </w:r>
      <w:r w:rsidR="00C2529B">
        <w:t xml:space="preserve">iż wniosek o dokonanie rezerwacji na kolejny okres nie może zostać złożony wcześniej niż 3 lata przed upływem okresu dotychczasowej rezerwacji. </w:t>
      </w:r>
      <w:r w:rsidR="00D11787">
        <w:t>T</w:t>
      </w:r>
      <w:r w:rsidR="00C2529B">
        <w:t xml:space="preserve">ermin możliwości złożenia wniosku o rezerwację na kolejny okres będzie zatem </w:t>
      </w:r>
      <w:r w:rsidR="000720AD">
        <w:t>podobny</w:t>
      </w:r>
      <w:r w:rsidR="00C2529B">
        <w:t xml:space="preserve"> do terminu określonego w art. 116 ust. 10</w:t>
      </w:r>
      <w:r w:rsidR="006D1D29">
        <w:t xml:space="preserve"> dla pozostałych pomiotów dysponujących rezerwacją częstotliwości. </w:t>
      </w:r>
      <w:r w:rsidR="000720AD">
        <w:t xml:space="preserve">Z uwagi na inny tryb procedowania i konieczność uprzedniego uzyskania </w:t>
      </w:r>
      <w:r w:rsidR="000720AD">
        <w:lastRenderedPageBreak/>
        <w:t>koncesji przed uzyskaniem rezerwacji nie jest zasadne wprowadzanie terminu ograniczającego okres końcowy na złożenie wniosku o rerezerwację.</w:t>
      </w:r>
    </w:p>
    <w:p w14:paraId="64B81E92" w14:textId="77777777" w:rsidR="000C1ABA" w:rsidRPr="000C1ABA" w:rsidRDefault="000C1ABA" w:rsidP="009A2C2A">
      <w:pPr>
        <w:pStyle w:val="NIEARTTEKSTtekstnieartykuowanynppodstprawnarozplubpreambua"/>
      </w:pPr>
      <w:r w:rsidRPr="000C1ABA">
        <w:t>Art. 118 ust. 2, 2a i ust. 3</w:t>
      </w:r>
    </w:p>
    <w:p w14:paraId="0679BB42" w14:textId="77777777" w:rsidR="000C1ABA" w:rsidRDefault="000C1ABA" w:rsidP="009A2C2A">
      <w:pPr>
        <w:pStyle w:val="NIEARTTEKSTtekstnieartykuowanynppodstprawnarozplubpreambua"/>
      </w:pPr>
      <w:r w:rsidRPr="000C1ABA">
        <w:t>Nie ma potrzeby jednoczesnej publikacji warunków selekcji, zarówno w ogłoszeniu, jak i w dokumentacji. Obecnie wydawane są dwa odrębne dokumenty, w których w praktyce zawierane są te same informacje. Przepis określający zakres ogłoszenia był zasadny, gdy istniał jeszcze obowiązek publikacji ogłoszenia w gazetach, natomiast w chwili obecnej nie znajduje to uzasadnienia. Ogłoszenie o aukcji powinno być zatem jedynie zwięzłym komunikatem na stronie BIP UKE, wraz z którym publikowana jest dokumentacja, zawierająca wszystkie niezbędne elementy, które do tej pory znajdowały się zarówno w ogłoszeniu, jak i dokumentacji. Z uwagi na postulaty operatorów, konsultacjom powinien podlegać również projekt sentencji decyzji. Zmiany w ust. 2a i 3 są konsekwencją zmiany w ust. 2.</w:t>
      </w:r>
    </w:p>
    <w:p w14:paraId="07117BE4" w14:textId="77777777" w:rsidR="004F379C" w:rsidRDefault="004F379C" w:rsidP="004F379C">
      <w:pPr>
        <w:pStyle w:val="ARTartustawynprozporzdzenia"/>
      </w:pPr>
      <w:r>
        <w:t>Art. 118 ust. 2c</w:t>
      </w:r>
    </w:p>
    <w:p w14:paraId="44CA940C" w14:textId="77777777" w:rsidR="004F379C" w:rsidRPr="004F379C" w:rsidRDefault="00BD689A" w:rsidP="004F379C">
      <w:pPr>
        <w:pStyle w:val="ARTartustawynprozporzdzenia"/>
      </w:pPr>
      <w:r>
        <w:t>D</w:t>
      </w:r>
      <w:r w:rsidR="00B66A77">
        <w:t>odany ust. 2c</w:t>
      </w:r>
      <w:r w:rsidR="00B82623">
        <w:t xml:space="preserve">, zawierający oświadczenie z klauzulą o odpowiedzialności karnej, </w:t>
      </w:r>
      <w:r>
        <w:t xml:space="preserve"> ma zagwarantować</w:t>
      </w:r>
      <w:r w:rsidR="00B82623">
        <w:t xml:space="preserve"> odpowiedzialność osób uprawnionych do reprezentowania uczestnika przetargu, aukcji lub konkursu za informacje zawarte w ofercie składanej do przetargu, aukcji lub konkursu. </w:t>
      </w:r>
    </w:p>
    <w:p w14:paraId="2A9E6F5F" w14:textId="77777777" w:rsidR="000C1ABA" w:rsidRPr="000C1ABA" w:rsidRDefault="000C1ABA" w:rsidP="009A2C2A">
      <w:pPr>
        <w:pStyle w:val="NIEARTTEKSTtekstnieartykuowanynppodstprawnarozplubpreambua"/>
      </w:pPr>
      <w:r w:rsidRPr="000C1ABA">
        <w:t>Art. 118 ust. 4</w:t>
      </w:r>
    </w:p>
    <w:p w14:paraId="1B234F47" w14:textId="77777777" w:rsidR="000C1ABA" w:rsidRPr="000C1ABA" w:rsidRDefault="000C1ABA" w:rsidP="009A2C2A">
      <w:pPr>
        <w:pStyle w:val="NIEARTTEKSTtekstnieartykuowanynppodstprawnarozplubpreambua"/>
      </w:pPr>
      <w:r w:rsidRPr="000C1ABA">
        <w:t>Zmiana jest konsekwencją zmian w ust. 2. W związku z ograniczeniem informacji podawanych w ogłoszeniu, niezbędne jest rozszerzenie minimalnego katalogu informacji zawartych w dokumentacji postępowania.</w:t>
      </w:r>
    </w:p>
    <w:p w14:paraId="34A52060" w14:textId="77777777" w:rsidR="000C1ABA" w:rsidRPr="000C1ABA" w:rsidRDefault="000C1ABA" w:rsidP="009A2C2A">
      <w:pPr>
        <w:pStyle w:val="NIEARTTEKSTtekstnieartykuowanynppodstprawnarozplubpreambua"/>
      </w:pPr>
      <w:r w:rsidRPr="000C1ABA">
        <w:t>Art. 118 ust. 4a</w:t>
      </w:r>
    </w:p>
    <w:p w14:paraId="3DD7C496" w14:textId="2DBCC5DF" w:rsidR="000C1ABA" w:rsidRPr="000C1ABA" w:rsidRDefault="000C1ABA" w:rsidP="009A2C2A">
      <w:pPr>
        <w:pStyle w:val="NIEARTTEKSTtekstnieartykuowanynppodstprawnarozplubpreambua"/>
      </w:pPr>
      <w:r w:rsidRPr="000C1ABA">
        <w:t xml:space="preserve">Art. 118 ust. 4a doprecyzowuje, uelastycznia i rozszerza aktualne uprawnienia Prezesa UKE w zakresie stosowania w aukcji i przetargu tzw. spectrum caps, które są narzędziem powszechnie używanym w Europie i na świecie w celu kształtowania przez regulatora popytu na częstotliwości zgłaszanego w ramach konkurencyjnych procedur selekcyjnych. Celem spectrum caps jest zapewnienie takiej dystrybucji zasobów częstotliwości pomiędzy uczestników rynku, która będzie wspierać, a nie przeciwdziałać równoprawnej konkurencji między tymi podmiotami. W szczególności chodzi o zapobieganie gromadzeniu nadmiernych zasobów częstotliwości w rękach danego podmiotu lub grupy kapitałowej (spectrum hoarding). Konieczne z regulacyjnego punktu widzenia może się również okazać wspieranie takiej </w:t>
      </w:r>
      <w:r w:rsidRPr="000C1ABA">
        <w:lastRenderedPageBreak/>
        <w:t xml:space="preserve">dystrybucji widma, aby komplementarne zasoby częstotliwości znajdowały się w rękach jednego podmiotu (grupy kapitałowej), gdyż wówczas będą one najefektywniej wykorzystywane. Przepisy dotyczące możliwości ustalenia tzw. </w:t>
      </w:r>
      <w:r w:rsidR="00C54224">
        <w:t>„</w:t>
      </w:r>
      <w:r w:rsidRPr="000C1ABA">
        <w:t>spectrum cap</w:t>
      </w:r>
      <w:r w:rsidR="00C54224">
        <w:t>”</w:t>
      </w:r>
      <w:r w:rsidRPr="000C1ABA">
        <w:t xml:space="preserve"> należy rozszerzyć także na inny rodzaj postępowania selekcyjnego, jakim jest przetarg.</w:t>
      </w:r>
    </w:p>
    <w:p w14:paraId="199D93CC" w14:textId="77777777" w:rsidR="000C1ABA" w:rsidRPr="000C1ABA" w:rsidRDefault="000C1ABA" w:rsidP="009A2C2A">
      <w:pPr>
        <w:pStyle w:val="NIEARTTEKSTtekstnieartykuowanynppodstprawnarozplubpreambua"/>
      </w:pPr>
      <w:r w:rsidRPr="000C1ABA">
        <w:t>Przepis w postulowanym brzmieniu będzie pozwalać Prezesowi UKE na następujące działania:</w:t>
      </w:r>
    </w:p>
    <w:p w14:paraId="4D3BC2C3" w14:textId="77777777" w:rsidR="000C1ABA" w:rsidRPr="000C1ABA" w:rsidRDefault="000C1ABA" w:rsidP="009A2C2A">
      <w:pPr>
        <w:pStyle w:val="NIEARTTEKSTtekstnieartykuowanynppodstprawnarozplubpreambua"/>
      </w:pPr>
      <w:r w:rsidRPr="000C1ABA">
        <w:t>- wykluczenie od udziału w przetargu (aukcji) danego podmiotu, jeśli ten podmiot posiada już określony zasób częstotliwości lub jeśli posiada go grupa kapitałowa, do której ten podmiot należy  ( art. 118 ust. 4a pkt 1);</w:t>
      </w:r>
    </w:p>
    <w:p w14:paraId="08ABA1E3" w14:textId="77777777" w:rsidR="000C1ABA" w:rsidRPr="000C1ABA" w:rsidRDefault="000C1ABA" w:rsidP="009A2C2A">
      <w:pPr>
        <w:pStyle w:val="NIEARTTEKSTtekstnieartykuowanynppodstprawnarozplubpreambua"/>
      </w:pPr>
      <w:r w:rsidRPr="000C1ABA">
        <w:t>- ograniczenie popytu, jaki w przetargu (aukcji) może zgłosić dany podmiot, jeśli ten podmiot posiada już określony zasób częstotliwości lub jeśli posiada go grupa kapitałowa, do której ten podmiot należy  (art. 118 ust. 4a pkt 2) – w praktyce warunki przetargu / akcji mogłyby np. wskazywać, że dany podmiot może ubiegać się w przetargu /aukcji o taką ilość widma, która łącznie z posiadanym już (w ramach grupy kapitałowej) zasobem nie przekroczy x MHz;</w:t>
      </w:r>
    </w:p>
    <w:p w14:paraId="3B6E3C49" w14:textId="77777777" w:rsidR="000C1ABA" w:rsidRPr="000C1ABA" w:rsidRDefault="000C1ABA" w:rsidP="009A2C2A">
      <w:pPr>
        <w:pStyle w:val="NIEARTTEKSTtekstnieartykuowanynppodstprawnarozplubpreambua"/>
      </w:pPr>
      <w:r w:rsidRPr="000C1ABA">
        <w:t>- wskazanie, że w przetargu (aukcji) może wziąć udział tylko taki podmiot, który już posiada określony zasób częstotliwości lub też posiada go grupa kapitałowa, do której ten podmiot należy (art. 118a ust. 4a pkt 3) – dotyczy to sytuacji, gdy nie jest wskazane wprowadzanie na rynek podmiotu niedysponującego (samodzielnie lub w ramach grupy kapitałowej) określonym zasobem częstotliwości. Sytuacja taka może wystąpić, gdy częstotliwości przeznaczone do rozdysponowania mają stanowić dopełnienie już rozdysponowanego zasobu i wpłynąć na poprawę jakości świadczonych usług.</w:t>
      </w:r>
    </w:p>
    <w:p w14:paraId="0F0B868D" w14:textId="77777777" w:rsidR="000C1ABA" w:rsidRPr="000C1ABA" w:rsidRDefault="000C1ABA" w:rsidP="009A2C2A">
      <w:pPr>
        <w:pStyle w:val="NIEARTTEKSTtekstnieartykuowanynppodstprawnarozplubpreambua"/>
      </w:pPr>
      <w:r w:rsidRPr="000C1ABA">
        <w:t xml:space="preserve">Należy przy tym podkreślić, że w każdym z powyższych przypadków badanie posiadanych zasobów częstotliwości odbywa się na poziomie całej grupy kapitałowej, a nie pojedynczych podmiotów, zgodnie z doktryną single economic unit wypracowaną na gruncie prawa ochrony konkurencji. Innymi słowy, Prezes UKE zlicza zasoby częstotliwości posiadane przez wszystkie podmioty należące do danej grupy kapitałowej i na tej podstawie ocenia, czy dany podmiot należący do tej grupy może / nie może wziąć udziału w przetargu (aukcji), </w:t>
      </w:r>
      <w:r w:rsidR="00B23E98">
        <w:br/>
      </w:r>
      <w:r w:rsidRPr="000C1ABA">
        <w:t>i o jaki zasób może się w tej procedurze ubiegać.</w:t>
      </w:r>
    </w:p>
    <w:p w14:paraId="48359462" w14:textId="77777777" w:rsidR="000C1ABA" w:rsidRPr="000C1ABA" w:rsidRDefault="000C1ABA" w:rsidP="009A2C2A">
      <w:pPr>
        <w:pStyle w:val="NIEARTTEKSTtekstnieartykuowanynppodstprawnarozplubpreambua"/>
      </w:pPr>
      <w:r w:rsidRPr="000C1ABA">
        <w:t>Art. 118 ust. 4b</w:t>
      </w:r>
    </w:p>
    <w:p w14:paraId="4A8A402E" w14:textId="77777777" w:rsidR="000C1ABA" w:rsidRDefault="000C1ABA" w:rsidP="009A2C2A">
      <w:pPr>
        <w:pStyle w:val="NIEARTTEKSTtekstnieartykuowanynppodstprawnarozplubpreambua"/>
      </w:pPr>
      <w:r w:rsidRPr="000C1ABA">
        <w:lastRenderedPageBreak/>
        <w:t>Przepis doprecyzowuje, iż określając warunki uczestnictwa w przetargu, aukcji albo konkursie zgodnie z ust. 4, Prezes UKE może wskazać cechy, jakie powinien posiadać podmiot składający ofertę, w szczególności dotyczące jego wiarygodności finansowej lub doświadczenia w prowadzeniu działalności telekomunikacyjnej. Umożliwi to Prezesowi UKE wykluczenie już na etapie wstępnej oceny ofert tych podmiotów, które nie dają rękojmi przystąpienia do procedury selekcyjnej z rzeczywistą wolą ubiegania się o rezerwację częstotliwości lub zdolności do efektywnego wykorzystania przyznanej rezerwacji. Ma to na celu zabezpieczenie prawidłowego toku i efektywności postępowania selekcyjnego oraz zapobieżenie zniekształceniu jego wyników.</w:t>
      </w:r>
    </w:p>
    <w:p w14:paraId="34CCF09D" w14:textId="77777777" w:rsidR="00080359" w:rsidRDefault="00526A58" w:rsidP="00526A58">
      <w:pPr>
        <w:pStyle w:val="ARTartustawynprozporzdzenia"/>
      </w:pPr>
      <w:r>
        <w:t>Art. 118 ust. 4c</w:t>
      </w:r>
    </w:p>
    <w:p w14:paraId="2FC092EB" w14:textId="65FFB590" w:rsidR="00526A58" w:rsidRPr="00080359" w:rsidRDefault="00E4707F" w:rsidP="00F40800">
      <w:pPr>
        <w:pStyle w:val="ARTartustawynprozporzdzenia"/>
      </w:pPr>
      <w:r>
        <w:t xml:space="preserve">Przepis wprowadza dodatkowe uprawnienie dla Prezesa UKE do dopuszczenia do udziału w konkretnym postępowaniu selekcyjnym tylko jednego podmiotu z danej grupy kapitałowej. Celem regulacji jest zapewnienie konkurencyjności postępowania i przeciwdziałanie zakłóceniu konkurencji na rynku, w szczególności poprzez nadmierne skupienie częstotliwości. Przepis ma przeciwdziałać </w:t>
      </w:r>
      <w:r w:rsidR="008E663E">
        <w:t>szeregowi niepożądanych sytuacji np.</w:t>
      </w:r>
      <w:r w:rsidR="00526A58" w:rsidRPr="00526A58">
        <w:t xml:space="preserve"> obchodzenia limitów określonych uprawnień przewidzianych dokumentacją dla jednego uczestnika, powstani</w:t>
      </w:r>
      <w:r w:rsidR="008E663E">
        <w:t>u</w:t>
      </w:r>
      <w:r w:rsidR="00526A58" w:rsidRPr="00526A58">
        <w:t xml:space="preserve"> zmowy między członkami grupy startującymi w selekcji jako odrębni uczestnicy, teoretycznie konkurujący ze sobą o przydział częstotliwości. </w:t>
      </w:r>
    </w:p>
    <w:p w14:paraId="09D116A5" w14:textId="77777777" w:rsidR="000C1ABA" w:rsidRPr="000C1ABA" w:rsidRDefault="000C1ABA" w:rsidP="009A2C2A">
      <w:pPr>
        <w:pStyle w:val="NIEARTTEKSTtekstnieartykuowanynppodstprawnarozplubpreambua"/>
      </w:pPr>
      <w:r w:rsidRPr="000C1ABA">
        <w:t xml:space="preserve"> Art. 118a ust. 3a</w:t>
      </w:r>
    </w:p>
    <w:p w14:paraId="355E602E" w14:textId="77777777" w:rsidR="000C1ABA" w:rsidRPr="000C1ABA" w:rsidRDefault="000C1ABA" w:rsidP="009A2C2A">
      <w:pPr>
        <w:pStyle w:val="NIEARTTEKSTtekstnieartykuowanynppodstprawnarozplubpreambua"/>
      </w:pPr>
      <w:r w:rsidRPr="000C1ABA">
        <w:t>Do tej pory brakowało jasnego przepisu wskazującego, w jaki sposób może zostać ustalone najistotniejsze kryterium oceny ofert w konkursie. Analogiczny zapis przewidziany jest w przypadku przetargu.</w:t>
      </w:r>
    </w:p>
    <w:p w14:paraId="009C8CF2" w14:textId="77777777" w:rsidR="000C1ABA" w:rsidRPr="000C1ABA" w:rsidRDefault="000C1ABA" w:rsidP="009A2C2A">
      <w:pPr>
        <w:pStyle w:val="NIEARTTEKSTtekstnieartykuowanynppodstprawnarozplubpreambua"/>
      </w:pPr>
      <w:r w:rsidRPr="000C1ABA">
        <w:t>Art. 118a ust. 6</w:t>
      </w:r>
    </w:p>
    <w:p w14:paraId="10D7D74A" w14:textId="0139C433" w:rsidR="00763C85" w:rsidRDefault="000C1ABA" w:rsidP="00D025BA">
      <w:pPr>
        <w:pStyle w:val="NIEARTTEKSTtekstnieartykuowanynppodstprawnarozplubpreambua"/>
      </w:pPr>
      <w:r w:rsidRPr="000C1ABA">
        <w:t xml:space="preserve">Możliwość wycofania oferty w dowolnym momencie licytacji może </w:t>
      </w:r>
      <w:r w:rsidR="00763C85">
        <w:t xml:space="preserve">co do zasady </w:t>
      </w:r>
      <w:r w:rsidRPr="000C1ABA">
        <w:t xml:space="preserve">zniekształcić wyniki i przebieg aukcji. Aby zapewnić stabilność i przejrzystość aukcji, należy </w:t>
      </w:r>
      <w:r w:rsidR="00763C85">
        <w:t xml:space="preserve">wprowadzić domyślne rozwiązanie polegające na </w:t>
      </w:r>
      <w:r w:rsidRPr="000C1ABA">
        <w:t>uniemożliwi</w:t>
      </w:r>
      <w:r w:rsidR="00763C85">
        <w:t>eniu</w:t>
      </w:r>
      <w:r w:rsidRPr="000C1ABA">
        <w:t xml:space="preserve"> wycofani</w:t>
      </w:r>
      <w:r w:rsidR="00763C85">
        <w:t>a</w:t>
      </w:r>
      <w:r w:rsidRPr="000C1ABA">
        <w:t xml:space="preserve"> przez uczestnika aukcji jego oferty po rozpoczęciu licytacji.</w:t>
      </w:r>
      <w:r w:rsidR="00763C85">
        <w:t xml:space="preserve"> </w:t>
      </w:r>
    </w:p>
    <w:p w14:paraId="3D85AA2E" w14:textId="77777777" w:rsidR="00156371" w:rsidRPr="00C95225" w:rsidRDefault="00156371" w:rsidP="00156371">
      <w:pPr>
        <w:pStyle w:val="Nagwek"/>
      </w:pPr>
      <w:r>
        <w:t>P</w:t>
      </w:r>
      <w:r w:rsidRPr="00C95225">
        <w:t>rzepis ten precyzuje</w:t>
      </w:r>
      <w:r>
        <w:t xml:space="preserve"> zatem</w:t>
      </w:r>
      <w:r w:rsidRPr="00C95225">
        <w:t xml:space="preserve">, że w aukcji można wycofać ofertę jedynie do momentu zadeklarowania kwoty pierwszego postąpienia (kwota ta jest deklarowana w drugim etapie aukcji), czyli rozpoczęcia licytacji. Po zadeklarowaniu kwoty pierwszego postąpienia uczestnik aukcji może natomiast przestać składać kolejne oferty w aukcji (nie spowoduje to utraty </w:t>
      </w:r>
      <w:r w:rsidRPr="00C95225">
        <w:lastRenderedPageBreak/>
        <w:t xml:space="preserve">wadium, jeżeli nie zostaną spełnione inne przesłanki wskazane w art. 119 ust. 3). </w:t>
      </w:r>
    </w:p>
    <w:p w14:paraId="4BDE8472" w14:textId="77777777" w:rsidR="00156371" w:rsidRPr="00C95225" w:rsidRDefault="00156371" w:rsidP="00156371">
      <w:r w:rsidRPr="00C95225">
        <w:t xml:space="preserve">Projektowane rozwiązania wynikają przede wszystkim </w:t>
      </w:r>
      <w:r>
        <w:t>z konieczności</w:t>
      </w:r>
      <w:r w:rsidRPr="00C95225">
        <w:t xml:space="preserve"> ogranicze</w:t>
      </w:r>
      <w:r>
        <w:t xml:space="preserve">nia możliwości wycofania oferty, co wiąże się </w:t>
      </w:r>
      <w:r w:rsidRPr="00C95225">
        <w:t>również z przedstawionymi przez Komisję Europejską zarzutami formalnymi (naruszenie nr 2016/2122).</w:t>
      </w:r>
      <w:r>
        <w:t xml:space="preserve"> </w:t>
      </w:r>
    </w:p>
    <w:p w14:paraId="328BEC2C" w14:textId="2028899C" w:rsidR="00156371" w:rsidRPr="00C95225" w:rsidRDefault="00156371" w:rsidP="00156371">
      <w:pPr>
        <w:pStyle w:val="ARTartustawynprozporzdzenia"/>
      </w:pPr>
      <w:r w:rsidRPr="00C95225">
        <w:t>Wycofanie oferty z aukcji po upływie terminu na składanie ma dla procesu zupełnie inne skutki niż wycofanie oferty w trakcie trwającej już licytacji. Wprowadzenie projektowanego zapisu ma na celu uniknięcie sytuacji, w której uczestnik sztucznie zawyża wartość częstotliwości, a następnie wycofuje się z aukcji, nie ponosząc żadnych konsekwencji poza utratą wadium,.</w:t>
      </w:r>
    </w:p>
    <w:p w14:paraId="436AEE47" w14:textId="77777777" w:rsidR="000C1ABA" w:rsidRPr="000C1ABA" w:rsidRDefault="000C1ABA" w:rsidP="009A2C2A">
      <w:pPr>
        <w:pStyle w:val="NIEARTTEKSTtekstnieartykuowanynppodstprawnarozplubpreambua"/>
      </w:pPr>
      <w:r w:rsidRPr="000C1ABA">
        <w:t>Art. 118b ust. 1</w:t>
      </w:r>
    </w:p>
    <w:p w14:paraId="7843E834" w14:textId="77777777" w:rsidR="000C1ABA" w:rsidRPr="000C1ABA" w:rsidRDefault="000C1ABA" w:rsidP="009A2C2A">
      <w:pPr>
        <w:pStyle w:val="NIEARTTEKSTtekstnieartykuowanynppodstprawnarozplubpreambua"/>
      </w:pPr>
      <w:r w:rsidRPr="000C1ABA">
        <w:t xml:space="preserve">Przepis ma na celu doprecyzowanie warunków określających, który uczestnik postępowania selekcyjnego zostaje podmiotem wyłonionym. Precyzuje on, że konstrukcja listy (list) wyników przetargu, aukcji albo konkursu jest zależna od postanowień dokumentacji, </w:t>
      </w:r>
      <w:r w:rsidR="00B23E98">
        <w:br/>
      </w:r>
      <w:r w:rsidRPr="000C1ABA">
        <w:t xml:space="preserve">tj. dana lista może obejmować wyniki zarówno dla jednej, jak i dla kilku rezerwacji. </w:t>
      </w:r>
    </w:p>
    <w:p w14:paraId="60300348" w14:textId="77777777" w:rsidR="000C1ABA" w:rsidRPr="000C1ABA" w:rsidRDefault="000C1ABA" w:rsidP="009A2C2A">
      <w:pPr>
        <w:pStyle w:val="NIEARTTEKSTtekstnieartykuowanynppodstprawnarozplubpreambua"/>
      </w:pPr>
      <w:r w:rsidRPr="000C1ABA">
        <w:t>Art. 118b ust. 2</w:t>
      </w:r>
    </w:p>
    <w:p w14:paraId="2CFACCAE" w14:textId="77777777" w:rsidR="000C1ABA" w:rsidRPr="000C1ABA" w:rsidRDefault="000C1ABA" w:rsidP="009A2C2A">
      <w:pPr>
        <w:pStyle w:val="NIEARTTEKSTtekstnieartykuowanynppodstprawnarozplubpreambua"/>
      </w:pPr>
      <w:r w:rsidRPr="000C1ABA">
        <w:t>Zmiana ma charakter dostosowujący i jest konsekwencją zmiany wprowadzonej w art. 118c ust. 4, stanowiącej, iż postępowanie mające na celu udzielenie rezerwacji częstotliwości po przeprowadzeniu aukcji, przetargu albo konkursu następuje z urzędu, a nie – jak dotychczas miało to miejsce – na wniosek.</w:t>
      </w:r>
    </w:p>
    <w:p w14:paraId="2C8AFBCA" w14:textId="77777777" w:rsidR="000C1ABA" w:rsidRPr="000C1ABA" w:rsidRDefault="000C1ABA" w:rsidP="009A2C2A">
      <w:pPr>
        <w:pStyle w:val="NIEARTTEKSTtekstnieartykuowanynppodstprawnarozplubpreambua"/>
      </w:pPr>
      <w:r w:rsidRPr="000C1ABA">
        <w:t>Art. 118c ust. 1</w:t>
      </w:r>
    </w:p>
    <w:p w14:paraId="6AEA4048" w14:textId="77777777" w:rsidR="000C1ABA" w:rsidRPr="000C1ABA" w:rsidRDefault="000C1ABA" w:rsidP="009A2C2A">
      <w:pPr>
        <w:pStyle w:val="NIEARTTEKSTtekstnieartykuowanynppodstprawnarozplubpreambua"/>
      </w:pPr>
      <w:r w:rsidRPr="000C1ABA">
        <w:t>Zmiana ma na celu doprecyzowanie uprawnienia Prezesa UKE do opublikowania wyników procedury selekcyjnej w formie jednej bądź kilku list, zależnie od postanowień dokumentacji.</w:t>
      </w:r>
    </w:p>
    <w:p w14:paraId="37B10A6F" w14:textId="77777777" w:rsidR="000C1ABA" w:rsidRPr="000C1ABA" w:rsidRDefault="000C1ABA" w:rsidP="009A2C2A">
      <w:pPr>
        <w:pStyle w:val="NIEARTTEKSTtekstnieartykuowanynppodstprawnarozplubpreambua"/>
      </w:pPr>
      <w:r w:rsidRPr="000C1ABA">
        <w:t>Art. 118c ust. 2 i 3</w:t>
      </w:r>
    </w:p>
    <w:p w14:paraId="1DEA1CF7" w14:textId="77777777" w:rsidR="000C1ABA" w:rsidRDefault="000C1ABA" w:rsidP="009A2C2A">
      <w:pPr>
        <w:pStyle w:val="NIEARTTEKSTtekstnieartykuowanynppodstprawnarozplubpreambua"/>
      </w:pPr>
      <w:r w:rsidRPr="000C1ABA">
        <w:t>Kwestie prowadzenia odrębnych postępowań, w przypadku gdy przedmiotem aukcji albo konkursu była więcej niż jedna rezerwacja, uregulowane były w dwóch ustępach art. 118c (</w:t>
      </w:r>
      <w:r w:rsidR="008B5B2C">
        <w:t xml:space="preserve">ust. </w:t>
      </w:r>
      <w:r w:rsidRPr="000C1ABA">
        <w:t>2 i 3), co było nadmiarowe i mogło budzić wątpliwości. Zmiana ma na celu uchylenie jednego z</w:t>
      </w:r>
      <w:r w:rsidR="003B2FF3">
        <w:t xml:space="preserve"> </w:t>
      </w:r>
      <w:r w:rsidRPr="000C1ABA">
        <w:t>tych</w:t>
      </w:r>
      <w:r w:rsidR="003B2FF3">
        <w:t xml:space="preserve"> </w:t>
      </w:r>
      <w:r w:rsidRPr="000C1ABA">
        <w:t>przepisów.</w:t>
      </w:r>
      <w:r w:rsidR="003B2FF3">
        <w:t xml:space="preserve"> </w:t>
      </w:r>
      <w:r w:rsidRPr="000C1ABA">
        <w:t xml:space="preserve">Jednocześnie wskazano, iż kompetencja Prezesa UKE </w:t>
      </w:r>
      <w:r w:rsidR="00E71657">
        <w:t xml:space="preserve">do wszczęcia i prowadzenia </w:t>
      </w:r>
      <w:r w:rsidR="00F334E8">
        <w:t xml:space="preserve">jednego </w:t>
      </w:r>
      <w:r w:rsidR="00E71657">
        <w:t xml:space="preserve">postępowania </w:t>
      </w:r>
      <w:r w:rsidRPr="000C1ABA">
        <w:t>ma charakter fakultatywny</w:t>
      </w:r>
      <w:r w:rsidR="00F334E8">
        <w:t xml:space="preserve">, a </w:t>
      </w:r>
      <w:r w:rsidR="000B0737">
        <w:t xml:space="preserve">Prezes UKE wydaje </w:t>
      </w:r>
      <w:r w:rsidR="00F334E8">
        <w:t xml:space="preserve">także i w takim przypadku </w:t>
      </w:r>
      <w:r w:rsidR="000B0737">
        <w:t>odrębne decyzje dla każdej z rezerwacji</w:t>
      </w:r>
      <w:r w:rsidRPr="000C1ABA">
        <w:t>.</w:t>
      </w:r>
    </w:p>
    <w:p w14:paraId="39660500" w14:textId="77777777" w:rsidR="000C1ABA" w:rsidRPr="000C1ABA" w:rsidRDefault="000C1ABA" w:rsidP="009A2C2A">
      <w:pPr>
        <w:pStyle w:val="NIEARTTEKSTtekstnieartykuowanynppodstprawnarozplubpreambua"/>
      </w:pPr>
      <w:r w:rsidRPr="000C1ABA">
        <w:lastRenderedPageBreak/>
        <w:t>Art. 118c ust. 4</w:t>
      </w:r>
    </w:p>
    <w:p w14:paraId="19DA9F9A" w14:textId="77777777" w:rsidR="000C1ABA" w:rsidRPr="000C1ABA" w:rsidRDefault="000C1ABA" w:rsidP="009A2C2A">
      <w:pPr>
        <w:pStyle w:val="NIEARTTEKSTtekstnieartykuowanynppodstprawnarozplubpreambua"/>
      </w:pPr>
      <w:r w:rsidRPr="000C1ABA">
        <w:t xml:space="preserve">Zaproponowana zmiana wynika ze zmiany art. 118b ust. 1a oraz ma dostosować Prawo telekomunikacyjne do ustalonej praktyki w krajach UE, zgodnie z którą podmiot wyłoniony po zakończeniu postępowania selekcyjnego w ciągu kilku dni uzyskuje przydział częstotliwości i może rozpocząć wykorzystywanie częstotliwości. Jak pokazuje dotychczasowa praktyka, w warunkach polskich okres pomiędzy zakończeniem postępowania selekcyjnego a przydziałem częstotliwości może wynosić nawet pół roku, z uwagi na znaczne przeszkody procesowe wysuwane w toku postępowania rezerwacyjnego przez podmioty, które nie zostały podmiotami wyłonionymi, a mimo to złożyły wnioski o rezerwację częstotliwości. Kolejne pół roku zajmuje z reguły procedura odwoławcza wszczęta przez te podmioty, zaś dopiero po jej zakończeniu rezerwacje częstotliwości stają się ostateczne. Taka sytuacja jest niekorzystna, bowiem powoduje niepewność prawną po stronie podmiotów otrzymujących przydział rezerwacji, a w konsekwencji może opóźniać lub zmniejszać ich motywację do jak najszybszego rozwoju sieci i usług z wykorzystaniem przyznanego pasma. Tymczasem postępowanie rezerwacyjne toczące się w oparciu o wyniki procedury selekcyjnej winno cechować się swoistym automatyzmem, tj. przyznaniem rezerwacji podmiotowi wyłonionemu, z zastrzeżeniem enumeratywnie wymienionych w ustawie wyjątków. </w:t>
      </w:r>
    </w:p>
    <w:p w14:paraId="73299F2C" w14:textId="77777777" w:rsidR="000C1ABA" w:rsidRPr="000C1ABA" w:rsidRDefault="000C1ABA" w:rsidP="009A2C2A">
      <w:pPr>
        <w:pStyle w:val="NIEARTTEKSTtekstnieartykuowanynppodstprawnarozplubpreambua"/>
      </w:pPr>
      <w:r w:rsidRPr="000C1ABA">
        <w:t>Wobec powyższego proponuje się, aby rezerwacja częstotliwości w oparciu o wyniki procedury selekcyjnej była dokonywana z urzędu, zaś stroną postępowania był jedynie podmiot wyłoniony.</w:t>
      </w:r>
    </w:p>
    <w:p w14:paraId="1ECC5F16" w14:textId="77777777" w:rsidR="000C1ABA" w:rsidRPr="000C1ABA" w:rsidRDefault="000C1ABA" w:rsidP="009A2C2A">
      <w:pPr>
        <w:pStyle w:val="NIEARTTEKSTtekstnieartykuowanynppodstprawnarozplubpreambua"/>
      </w:pPr>
      <w:r w:rsidRPr="000C1ABA">
        <w:t>Jednocześnie podmioty uczestniczące w procedurze selekcyjnej zachowują uprawnienie do kwestionowania wyników postępowania selekcyjnego w procedurze postępowania o unieważnienie przetargu, konkursu albo aukcji.</w:t>
      </w:r>
    </w:p>
    <w:p w14:paraId="21688B76" w14:textId="77777777" w:rsidR="000C1ABA" w:rsidRDefault="000C1ABA" w:rsidP="009A2C2A">
      <w:pPr>
        <w:pStyle w:val="NIEARTTEKSTtekstnieartykuowanynppodstprawnarozplubpreambua"/>
      </w:pPr>
      <w:r w:rsidRPr="000C1ABA">
        <w:t>Mając na względzie konieczność zapewnienia podmiotowi wyłonionemu możliwości jak najszybszego przystąpienia do wykorzystania częstotliwości i rozwoju sieci oraz słuszny interes społeczny, decyzja winna posiadać rygor natychmiastowej wykonalności.</w:t>
      </w:r>
    </w:p>
    <w:p w14:paraId="42BAF7BF" w14:textId="77777777" w:rsidR="00ED2D9B" w:rsidRDefault="001C669A" w:rsidP="00FB1CBD">
      <w:pPr>
        <w:pStyle w:val="ARTartustawynprozporzdzenia"/>
      </w:pPr>
      <w:r>
        <w:t>W i</w:t>
      </w:r>
      <w:r w:rsidR="00ED2D9B" w:rsidRPr="00ED2D9B">
        <w:t>nter</w:t>
      </w:r>
      <w:r>
        <w:t xml:space="preserve">esie </w:t>
      </w:r>
      <w:r w:rsidR="00ED2D9B" w:rsidRPr="00ED2D9B">
        <w:t xml:space="preserve"> społeczny</w:t>
      </w:r>
      <w:r>
        <w:t>m leży bowiem konieczność</w:t>
      </w:r>
      <w:r w:rsidR="00ED2D9B" w:rsidRPr="00ED2D9B">
        <w:t xml:space="preserve"> umożliwienia </w:t>
      </w:r>
      <w:r w:rsidR="00FB1CBD">
        <w:t>podmiotowi wyłonionemu</w:t>
      </w:r>
      <w:r w:rsidR="00ED2D9B" w:rsidRPr="00ED2D9B">
        <w:t xml:space="preserve"> jak najszybszego</w:t>
      </w:r>
      <w:r w:rsidR="00ED2D9B">
        <w:t xml:space="preserve"> </w:t>
      </w:r>
      <w:r w:rsidR="00ED2D9B" w:rsidRPr="00ED2D9B">
        <w:t>świadczenia usług telekomunikacyjnych na bazie zarezerwowanej częstotliwości</w:t>
      </w:r>
      <w:r>
        <w:t>.</w:t>
      </w:r>
      <w:r w:rsidR="00ED2D9B">
        <w:t xml:space="preserve"> </w:t>
      </w:r>
      <w:r>
        <w:t>P</w:t>
      </w:r>
      <w:r w:rsidR="00ED2D9B" w:rsidRPr="00ED2D9B">
        <w:t>rzyczyni się to do przyspieszenia rozwoju konkurencji w zakresie świadczenia</w:t>
      </w:r>
      <w:r w:rsidR="00ED2D9B">
        <w:t xml:space="preserve"> </w:t>
      </w:r>
      <w:r w:rsidR="00ED2D9B" w:rsidRPr="00ED2D9B">
        <w:t>usług telekomunikacyjnych oraz zapewnienia użytkownikom dostępu do różnorodnych pod względem ceny i jakości usług</w:t>
      </w:r>
      <w:r w:rsidR="00ED2D9B">
        <w:t xml:space="preserve"> </w:t>
      </w:r>
      <w:r w:rsidR="00FB1CBD">
        <w:t xml:space="preserve">telekomunikacyjnych. </w:t>
      </w:r>
      <w:r w:rsidR="00ED2D9B" w:rsidRPr="00ED2D9B">
        <w:t xml:space="preserve">Należy </w:t>
      </w:r>
      <w:r>
        <w:t xml:space="preserve">przy tym </w:t>
      </w:r>
      <w:r w:rsidR="00ED2D9B" w:rsidRPr="00ED2D9B">
        <w:t>wskazać, że</w:t>
      </w:r>
      <w:r w:rsidR="00ED2D9B">
        <w:t xml:space="preserve"> </w:t>
      </w:r>
      <w:r w:rsidR="00ED2D9B" w:rsidRPr="00ED2D9B">
        <w:t>rozpoczęcie</w:t>
      </w:r>
      <w:r w:rsidR="00FB1CBD">
        <w:t xml:space="preserve"> świadczenia usług w oparciu o r</w:t>
      </w:r>
      <w:r w:rsidR="00ED2D9B" w:rsidRPr="00ED2D9B">
        <w:t>ezerwację, jak również realizacja</w:t>
      </w:r>
      <w:r w:rsidR="00ED2D9B">
        <w:t xml:space="preserve"> </w:t>
      </w:r>
      <w:r w:rsidR="00ED2D9B" w:rsidRPr="00ED2D9B">
        <w:lastRenderedPageBreak/>
        <w:t>zobowiązań aukcyjnych</w:t>
      </w:r>
      <w:r>
        <w:t xml:space="preserve"> lub przetargowych</w:t>
      </w:r>
      <w:r w:rsidR="00ED2D9B" w:rsidRPr="00ED2D9B">
        <w:t>, stanowią niezbędny element budowy społeczeństwa</w:t>
      </w:r>
      <w:r w:rsidR="00ED2D9B">
        <w:t xml:space="preserve"> </w:t>
      </w:r>
      <w:r w:rsidR="00ED2D9B" w:rsidRPr="00ED2D9B">
        <w:t>informacyjnego, co jest także czynnikiem wspierającym rozwój gospodarczy oraz</w:t>
      </w:r>
      <w:r w:rsidR="00ED2D9B">
        <w:t xml:space="preserve"> </w:t>
      </w:r>
      <w:r w:rsidR="00ED2D9B" w:rsidRPr="00ED2D9B">
        <w:t>zapewniającym poprawę jakości życia mieszkańców danego obszaru. Należy</w:t>
      </w:r>
      <w:r w:rsidR="00ED2D9B">
        <w:t xml:space="preserve"> </w:t>
      </w:r>
      <w:r w:rsidR="00FB1CBD">
        <w:t>również</w:t>
      </w:r>
      <w:r w:rsidR="00ED2D9B" w:rsidRPr="00ED2D9B">
        <w:t xml:space="preserve"> zwrócić uwagę na fakt, iż brak możliwości natychmiastowego korzystania</w:t>
      </w:r>
      <w:r w:rsidR="00ED2D9B">
        <w:t xml:space="preserve"> </w:t>
      </w:r>
      <w:r w:rsidR="00ED2D9B" w:rsidRPr="00ED2D9B">
        <w:t xml:space="preserve">przez </w:t>
      </w:r>
      <w:r w:rsidR="00FB1CBD">
        <w:t>podmiot wyłoniony</w:t>
      </w:r>
      <w:r w:rsidR="00ED2D9B" w:rsidRPr="00ED2D9B">
        <w:t xml:space="preserve"> z</w:t>
      </w:r>
      <w:r w:rsidR="006B3FC8">
        <w:t> </w:t>
      </w:r>
      <w:r w:rsidR="00ED2D9B" w:rsidRPr="00ED2D9B">
        <w:t>prawa do dysponowania częstotliwościami objętymi</w:t>
      </w:r>
      <w:r w:rsidR="00ED2D9B">
        <w:t xml:space="preserve"> </w:t>
      </w:r>
      <w:r w:rsidR="00B427F8">
        <w:t>r</w:t>
      </w:r>
      <w:r w:rsidR="00ED2D9B" w:rsidRPr="00ED2D9B">
        <w:t>ezerwacją oznaczałby w konsekwencji brak możliwości świadczenia przez ten</w:t>
      </w:r>
      <w:r w:rsidR="00ED2D9B">
        <w:t xml:space="preserve"> </w:t>
      </w:r>
      <w:r w:rsidR="00ED2D9B" w:rsidRPr="00ED2D9B">
        <w:t>podmiot usług telekomunikacyjnych z wykorzystaniem przedmiotowych</w:t>
      </w:r>
      <w:r w:rsidR="00ED2D9B">
        <w:t xml:space="preserve"> </w:t>
      </w:r>
      <w:r w:rsidR="00ED2D9B" w:rsidRPr="00ED2D9B">
        <w:t>częstotliwości.</w:t>
      </w:r>
    </w:p>
    <w:p w14:paraId="19BF37FA" w14:textId="77777777" w:rsidR="00294FAF" w:rsidRDefault="00294FAF" w:rsidP="00FB1CBD">
      <w:pPr>
        <w:pStyle w:val="ARTartustawynprozporzdzenia"/>
      </w:pPr>
      <w:r>
        <w:t>Art. 118d</w:t>
      </w:r>
      <w:r w:rsidR="00BC25F8" w:rsidRPr="00BC25F8">
        <w:t xml:space="preserve"> ust. 5 pkt 1, ust. 8 i 9 oraz art. 118e ust. 2</w:t>
      </w:r>
    </w:p>
    <w:p w14:paraId="57D32046" w14:textId="77777777" w:rsidR="00294FAF" w:rsidRPr="006E2A3A" w:rsidRDefault="004C79C1" w:rsidP="004C79C1">
      <w:pPr>
        <w:pStyle w:val="ARTartustawynprozporzdzenia"/>
      </w:pPr>
      <w:r w:rsidRPr="004C79C1">
        <w:t>W związku z podziałem na informacje zawarte w ogłoszeniu</w:t>
      </w:r>
      <w:r>
        <w:t xml:space="preserve"> </w:t>
      </w:r>
      <w:r w:rsidRPr="004C79C1">
        <w:t xml:space="preserve">o </w:t>
      </w:r>
      <w:r w:rsidR="00675CD1" w:rsidRPr="004C79C1">
        <w:t>przetargu</w:t>
      </w:r>
      <w:r w:rsidR="00675CD1">
        <w:t>,</w:t>
      </w:r>
      <w:r w:rsidR="00675CD1" w:rsidRPr="004C79C1">
        <w:t xml:space="preserve"> </w:t>
      </w:r>
      <w:r w:rsidRPr="004C79C1">
        <w:t>aukcji</w:t>
      </w:r>
      <w:r w:rsidR="00675CD1">
        <w:t xml:space="preserve"> albo k</w:t>
      </w:r>
      <w:r w:rsidRPr="004C79C1">
        <w:t xml:space="preserve">onkursie oraz w dokumentacji, a także dokonywaniem rezerwacji częstotliwości z urzędu na rzecz podmiotów wyłonionych w postępowaniu selekcyjnym, </w:t>
      </w:r>
      <w:r>
        <w:t>w</w:t>
      </w:r>
      <w:r w:rsidRPr="004C79C1">
        <w:t xml:space="preserve"> </w:t>
      </w:r>
      <w:r>
        <w:t>projekcie</w:t>
      </w:r>
      <w:r w:rsidRPr="004C79C1">
        <w:t xml:space="preserve"> </w:t>
      </w:r>
      <w:r>
        <w:t>do</w:t>
      </w:r>
      <w:r w:rsidR="009B5138">
        <w:t>kon</w:t>
      </w:r>
      <w:r>
        <w:t>ano</w:t>
      </w:r>
      <w:r w:rsidRPr="004C79C1">
        <w:t xml:space="preserve"> zmiany</w:t>
      </w:r>
      <w:r>
        <w:t xml:space="preserve"> w</w:t>
      </w:r>
      <w:r w:rsidRPr="004C79C1">
        <w:t xml:space="preserve"> art. 118d ust. 5 pkt 1, ust. 8 i 9 oraz art. 118e ust. 2</w:t>
      </w:r>
      <w:r w:rsidR="009B5138">
        <w:t>:</w:t>
      </w:r>
      <w:r w:rsidRPr="004C79C1">
        <w:t xml:space="preserve"> </w:t>
      </w:r>
      <w:r w:rsidR="009B5138">
        <w:t>p</w:t>
      </w:r>
      <w:r w:rsidR="006F3274">
        <w:t xml:space="preserve">rojektowane przepisy </w:t>
      </w:r>
      <w:r w:rsidR="006F3274" w:rsidRPr="006F3274">
        <w:t>118d ust. 5 pkt 1</w:t>
      </w:r>
      <w:r w:rsidR="006F3274">
        <w:t xml:space="preserve"> nie odsyłają do</w:t>
      </w:r>
      <w:r w:rsidRPr="004C79C1">
        <w:t xml:space="preserve"> ogłoszeni</w:t>
      </w:r>
      <w:r w:rsidR="006F3274">
        <w:t>a</w:t>
      </w:r>
      <w:r w:rsidRPr="004C79C1">
        <w:t xml:space="preserve"> </w:t>
      </w:r>
      <w:r w:rsidR="00675CD1" w:rsidRPr="00675CD1">
        <w:t>o przetargu, aukcji albo konkursie</w:t>
      </w:r>
      <w:r w:rsidR="006F3274">
        <w:t xml:space="preserve">; </w:t>
      </w:r>
      <w:r w:rsidR="006F3274" w:rsidRPr="006F3274">
        <w:t xml:space="preserve">przepisy </w:t>
      </w:r>
      <w:r w:rsidR="006F3274">
        <w:t>art. 118d</w:t>
      </w:r>
      <w:r w:rsidR="006F3274" w:rsidRPr="006F3274">
        <w:t xml:space="preserve"> ust. 8 i 9 </w:t>
      </w:r>
      <w:r w:rsidR="006F3274">
        <w:t>nie odsyłają do wnios</w:t>
      </w:r>
      <w:r w:rsidRPr="004C79C1">
        <w:t>k</w:t>
      </w:r>
      <w:r w:rsidR="006F3274">
        <w:t>u z</w:t>
      </w:r>
      <w:r w:rsidR="00DC387C">
        <w:t xml:space="preserve"> art. 118c ust. 4, zaś art. 118</w:t>
      </w:r>
      <w:r w:rsidR="006F3274">
        <w:t xml:space="preserve">e ust. 2 odsyła do terminu wskazanego w ogłoszeniu </w:t>
      </w:r>
      <w:r w:rsidR="00675CD1" w:rsidRPr="00675CD1">
        <w:t>o przetargu, aukcji albo konkursie</w:t>
      </w:r>
      <w:r w:rsidR="006F3274">
        <w:t xml:space="preserve">, a nie </w:t>
      </w:r>
      <w:r w:rsidR="00675CD1">
        <w:t xml:space="preserve">w </w:t>
      </w:r>
      <w:r w:rsidR="006F3274">
        <w:t xml:space="preserve">dokumentacji. </w:t>
      </w:r>
      <w:r w:rsidRPr="004C79C1">
        <w:t xml:space="preserve"> </w:t>
      </w:r>
    </w:p>
    <w:p w14:paraId="598A0EF2" w14:textId="77777777" w:rsidR="000C1ABA" w:rsidRPr="000C1ABA" w:rsidRDefault="000C1ABA" w:rsidP="009A2C2A">
      <w:pPr>
        <w:pStyle w:val="NIEARTTEKSTtekstnieartykuowanynppodstprawnarozplubpreambua"/>
      </w:pPr>
      <w:r w:rsidRPr="000C1ABA">
        <w:t>Art. 119 ust. 1</w:t>
      </w:r>
    </w:p>
    <w:p w14:paraId="206C3AE0" w14:textId="77777777" w:rsidR="000C1ABA" w:rsidRDefault="000C1ABA" w:rsidP="009A2C2A">
      <w:pPr>
        <w:pStyle w:val="NIEARTTEKSTtekstnieartykuowanynppodstprawnarozplubpreambua"/>
      </w:pPr>
      <w:r w:rsidRPr="000C1ABA">
        <w:t>Zaproponowana zmiana jest konsekwencją propozycji zmiany art. 118 ust. 2 przenoszącej większość informacji dotyczących danego postępowania selekcyjnego z ogłoszenia do dokumentacji aukcyjnej lub przetargowej.</w:t>
      </w:r>
      <w:r w:rsidR="009D69AF">
        <w:t xml:space="preserve"> Ponadto przepis doprecyzowano poprzez wskazanie kryteriów jakimi powinien kierować się Prezes UKE przy określaniu wysokości wadium.</w:t>
      </w:r>
    </w:p>
    <w:p w14:paraId="731B587F" w14:textId="77777777" w:rsidR="004160F7" w:rsidRPr="004160F7" w:rsidRDefault="004160F7" w:rsidP="00655D23">
      <w:pPr>
        <w:pStyle w:val="ARTartustawynprozporzdzenia"/>
      </w:pPr>
      <w:r>
        <w:t xml:space="preserve">Jednocześnie należy zauważyć, iż szczegółowe kwestie dotyczące wpłaty wadium są przedmiotem rozporządzenia z art. 120, a nowy akt wykonawczy powinien wskazywać, że wpłata następuje na oprocentowany rachunek bankowy UKE. </w:t>
      </w:r>
    </w:p>
    <w:p w14:paraId="7B1EF805" w14:textId="77777777" w:rsidR="000C1ABA" w:rsidRPr="000C1ABA" w:rsidRDefault="000C1ABA" w:rsidP="009A2C2A">
      <w:pPr>
        <w:pStyle w:val="NIEARTTEKSTtekstnieartykuowanynppodstprawnarozplubpreambua"/>
      </w:pPr>
      <w:r w:rsidRPr="000C1ABA">
        <w:t>Art. 119 ust. 2</w:t>
      </w:r>
    </w:p>
    <w:p w14:paraId="3B7B2653" w14:textId="77777777" w:rsidR="00F40800" w:rsidRDefault="000C1ABA" w:rsidP="000744C4">
      <w:pPr>
        <w:pStyle w:val="NIEARTTEKSTtekstnieartykuowanynppodstprawnarozplubpreambua"/>
      </w:pPr>
      <w:r w:rsidRPr="000C1ABA">
        <w:t>Podwyższenie wysokości wadium ma służyć ograniczeniu udziału uczestników procedury selekcyjnej, których celem nie jest uzyskanie rezerwacji częstotliwości, ale zakłócenie procesu selekcyjnego.</w:t>
      </w:r>
      <w:r w:rsidR="000744C4">
        <w:t xml:space="preserve"> Na konieczność takiej zmiany wskaz</w:t>
      </w:r>
      <w:r w:rsidR="00660249">
        <w:t>yw</w:t>
      </w:r>
      <w:r w:rsidR="000744C4">
        <w:t>ała</w:t>
      </w:r>
      <w:r w:rsidR="000744C4" w:rsidRPr="000744C4">
        <w:t xml:space="preserve"> KE </w:t>
      </w:r>
      <w:r w:rsidR="000744C4">
        <w:t xml:space="preserve">w uwagach </w:t>
      </w:r>
      <w:r w:rsidR="000744C4" w:rsidRPr="000744C4">
        <w:t xml:space="preserve">do aukcji na pasma 800 MHz i 2,6 GHz (jedynej dotychczas przeprowadzonej), w której podmiot wyłoniony po zakończeniu aukcji zrezygnował z rezerwacji po aktywnej licytacji. </w:t>
      </w:r>
      <w:r w:rsidR="00660249">
        <w:t>U</w:t>
      </w:r>
      <w:r w:rsidR="00660249" w:rsidRPr="00660249">
        <w:t>stalenie wysokiego wadium i możliwość jego wpłacenia jest jednym z czynników pozwalających na zbadanie wiarygodnośc</w:t>
      </w:r>
      <w:r w:rsidR="00660249">
        <w:t>i finansowej uczestnika aukcji/</w:t>
      </w:r>
      <w:r w:rsidR="00660249" w:rsidRPr="00660249">
        <w:t xml:space="preserve">przetargu. </w:t>
      </w:r>
    </w:p>
    <w:p w14:paraId="5BB7E923" w14:textId="4E33D82D" w:rsidR="005871D6" w:rsidRDefault="00F40800" w:rsidP="006A0462">
      <w:pPr>
        <w:pStyle w:val="NIEARTTEKSTtekstnieartykuowanynppodstprawnarozplubpreambua"/>
        <w:ind w:firstLine="0"/>
      </w:pPr>
      <w:r w:rsidRPr="00F40800">
        <w:lastRenderedPageBreak/>
        <w:t xml:space="preserve">Należy podkreślić, że podwyższeniu uległa górna granica </w:t>
      </w:r>
      <w:r>
        <w:t xml:space="preserve">wadium </w:t>
      </w:r>
      <w:r w:rsidRPr="00F40800">
        <w:t xml:space="preserve">a zatem w praktyce może się okazać, że wadium zostanie ustalone na dużo niższym poziomie niż 5000% opłaty rocznej za prawo do dysponowania częstotliwością. Minimalna wysokość wadium wynosi bowiem 5% tej opłaty. Należy również </w:t>
      </w:r>
      <w:r>
        <w:t>wskazać, że z</w:t>
      </w:r>
      <w:r w:rsidR="00B7545B">
        <w:t>godnie z projektem w</w:t>
      </w:r>
      <w:r w:rsidR="00660249" w:rsidRPr="00660249">
        <w:t xml:space="preserve">ysokość wadium będzie ustalana przez Prezesa UKE z uwzględnieniem społecznego i gospodarczego  znaczenia danego pasma. </w:t>
      </w:r>
      <w:r w:rsidR="005871D6">
        <w:t>Te czynniki będą miały zatem wpływ na to jaka wysokość wadium zostanie ustalona w przypadku konkretnej aukcji czy przetargu.</w:t>
      </w:r>
    </w:p>
    <w:p w14:paraId="6E1DC9A1" w14:textId="3977CE43" w:rsidR="000744C4" w:rsidRDefault="00660249" w:rsidP="006A0462">
      <w:pPr>
        <w:pStyle w:val="NIEARTTEKSTtekstnieartykuowanynppodstprawnarozplubpreambua"/>
        <w:ind w:firstLine="0"/>
      </w:pPr>
      <w:r w:rsidRPr="00660249">
        <w:t xml:space="preserve">Jednocześnie wysokość wadium jest określana w dokumentacji, która jest konsultowana z rynkiem. </w:t>
      </w:r>
      <w:r w:rsidR="00401128">
        <w:t>Należy wskazać, że w</w:t>
      </w:r>
      <w:r w:rsidRPr="00660249">
        <w:t xml:space="preserve"> konsultacjach aukcji na pasmo 800 MHz przedsiębiorcy telekomunikacyjni wskazywali na konieczność określenia wyższego wadium, w celu zabezpieczenia postępowania, co nie było możliwe w świetle obowiązujących przepisów.</w:t>
      </w:r>
    </w:p>
    <w:p w14:paraId="6B92F7B8" w14:textId="04268B1A" w:rsidR="005871D6" w:rsidRPr="005871D6" w:rsidRDefault="005871D6" w:rsidP="006A0462">
      <w:pPr>
        <w:pStyle w:val="ARTartustawynprozporzdzenia"/>
        <w:ind w:firstLine="0"/>
      </w:pPr>
      <w:r>
        <w:t xml:space="preserve">Ze względu zatem na kryteria i transparentność procesu ustalania wysokości wadium nie dojdzie do sytuacji ustalenia wadium na zbyt wysokim poziomie a co za tym idzie </w:t>
      </w:r>
      <w:r w:rsidRPr="005871D6">
        <w:t>ograniczenia warunków konkurencji w stosunku do potencjalnych uczestników postępowania selekcyjnego.</w:t>
      </w:r>
    </w:p>
    <w:p w14:paraId="07CD2266" w14:textId="77777777" w:rsidR="000C1ABA" w:rsidRPr="000C1ABA" w:rsidRDefault="000C1ABA" w:rsidP="009A2C2A">
      <w:pPr>
        <w:pStyle w:val="NIEARTTEKSTtekstnieartykuowanynppodstprawnarozplubpreambua"/>
      </w:pPr>
      <w:r w:rsidRPr="000C1ABA">
        <w:t>Art. 119 ust. 3</w:t>
      </w:r>
    </w:p>
    <w:p w14:paraId="63AD4EBC" w14:textId="77777777" w:rsidR="000C1ABA" w:rsidRDefault="000C1ABA" w:rsidP="009A2C2A">
      <w:pPr>
        <w:pStyle w:val="NIEARTTEKSTtekstnieartykuowanynppodstprawnarozplubpreambua"/>
      </w:pPr>
      <w:r w:rsidRPr="000C1ABA">
        <w:t xml:space="preserve">Zaproponowana zmiana jest konsekwencją zmiany art. 118c ust. 4, który </w:t>
      </w:r>
      <w:r w:rsidR="00B23E98">
        <w:br/>
      </w:r>
      <w:r w:rsidRPr="000C1ABA">
        <w:t>w proponowanym brzmieniu przewiduje wydawanie decyzji rezerwacyjnej z urzędu, a nie jak dotychczas, na wniosek, zatem sytuacja niezłożenia przez podmiot wyłoniony wniosku, która dotąd skutkowała przepadkiem wadium, nie będzie mogła już mieć miejsca.</w:t>
      </w:r>
    </w:p>
    <w:p w14:paraId="0F41972C" w14:textId="77777777" w:rsidR="000C1ABA" w:rsidRPr="000C1ABA" w:rsidRDefault="000C1ABA" w:rsidP="009A2C2A">
      <w:pPr>
        <w:pStyle w:val="NIEARTTEKSTtekstnieartykuowanynppodstprawnarozplubpreambua"/>
      </w:pPr>
      <w:r w:rsidRPr="000C1ABA">
        <w:t>Art. 119 ust. 5 i 6</w:t>
      </w:r>
    </w:p>
    <w:p w14:paraId="62512D5A" w14:textId="77777777" w:rsidR="000C1ABA" w:rsidRPr="000C1ABA" w:rsidRDefault="000C1ABA" w:rsidP="009A2C2A">
      <w:pPr>
        <w:pStyle w:val="NIEARTTEKSTtekstnieartykuowanynppodstprawnarozplubpreambua"/>
      </w:pPr>
      <w:r w:rsidRPr="000C1ABA">
        <w:t>Przepisy regulują sytuację zaliczenia wadium na poczet opłaty za rezerwację częstotliwości, zwrotu nadwyżki oraz zwrotu wadium. W stosunku do obecnego stanu prawnego wydłużono terminy na zwrot wadium, co pozwoli na zastosowanie ust. 3 (utrata wadium) w przypadku rezygnacji podmiotu wyłonionego z rezerwacji częstotliwości.</w:t>
      </w:r>
    </w:p>
    <w:p w14:paraId="5F45C2A4" w14:textId="77777777" w:rsidR="000C1ABA" w:rsidRPr="000C1ABA" w:rsidRDefault="000C1ABA" w:rsidP="009A2C2A">
      <w:pPr>
        <w:pStyle w:val="NIEARTTEKSTtekstnieartykuowanynppodstprawnarozplubpreambua"/>
      </w:pPr>
      <w:r w:rsidRPr="000C1ABA">
        <w:t>Art. 119 ust. 7</w:t>
      </w:r>
    </w:p>
    <w:p w14:paraId="1248EB77" w14:textId="77777777" w:rsidR="000C1ABA" w:rsidRPr="000C1ABA" w:rsidRDefault="000C1ABA" w:rsidP="009A2C2A">
      <w:pPr>
        <w:pStyle w:val="NIEARTTEKSTtekstnieartykuowanynppodstprawnarozplubpreambua"/>
      </w:pPr>
      <w:r w:rsidRPr="000C1ABA">
        <w:t>Sytuacja nie była dotąd uregulowana w przepisach. Należy zatem przewidzieć sytuację zwrotu wadium w przypadku unieważnienia postępowania selekcyjnego przed wydaniem decyzji rezerwacyjnej.</w:t>
      </w:r>
    </w:p>
    <w:p w14:paraId="79481E88" w14:textId="77777777" w:rsidR="00901AF2" w:rsidRDefault="00901AF2" w:rsidP="009A2C2A">
      <w:pPr>
        <w:pStyle w:val="NIEARTTEKSTtekstnieartykuowanynppodstprawnarozplubpreambua"/>
      </w:pPr>
    </w:p>
    <w:p w14:paraId="5EC848CE" w14:textId="77777777" w:rsidR="00901AF2" w:rsidRDefault="00901AF2" w:rsidP="009A2C2A">
      <w:pPr>
        <w:pStyle w:val="NIEARTTEKSTtekstnieartykuowanynppodstprawnarozplubpreambua"/>
      </w:pPr>
    </w:p>
    <w:p w14:paraId="127DFE90" w14:textId="77777777" w:rsidR="000C1ABA" w:rsidRPr="000C1ABA" w:rsidRDefault="000C1ABA" w:rsidP="009A2C2A">
      <w:pPr>
        <w:pStyle w:val="NIEARTTEKSTtekstnieartykuowanynppodstprawnarozplubpreambua"/>
      </w:pPr>
      <w:r w:rsidRPr="000C1ABA">
        <w:lastRenderedPageBreak/>
        <w:t>Art. 119a</w:t>
      </w:r>
    </w:p>
    <w:p w14:paraId="66E33639" w14:textId="7040562C" w:rsidR="009758D6" w:rsidRDefault="000C1ABA" w:rsidP="0000526A">
      <w:pPr>
        <w:pStyle w:val="ARTartustawynprozporzdzenia"/>
      </w:pPr>
      <w:r w:rsidRPr="000C1ABA">
        <w:t xml:space="preserve">W przypadku stosowania trybu aukcyjnego, konieczne jest wprowadzenie na poziomie ustawy instytucji depozytu, którego wnoszenie ma na celu m. in. zabezpieczenie postępowania selekcyjnego przed nierzetelnym zachowaniem uczestników oraz zapobieganie składaniu tzw. pozornych ofert w aukcji. </w:t>
      </w:r>
      <w:r w:rsidR="00DF0D9C" w:rsidRPr="00DF0D9C">
        <w:t>Instytucja depozytu będzie stanowiła</w:t>
      </w:r>
      <w:r w:rsidR="00747EC5">
        <w:t>,</w:t>
      </w:r>
      <w:r w:rsidR="00DF0D9C" w:rsidRPr="00DF0D9C">
        <w:t xml:space="preserve"> obok obowiązku wniesienia wadium</w:t>
      </w:r>
      <w:r w:rsidR="00747EC5">
        <w:t>,</w:t>
      </w:r>
      <w:r w:rsidR="00DF0D9C" w:rsidRPr="00DF0D9C">
        <w:t xml:space="preserve"> gwarancję prawidłowego przebiegu postępowania</w:t>
      </w:r>
      <w:r w:rsidR="00747EC5">
        <w:t xml:space="preserve"> selekcyjnego</w:t>
      </w:r>
      <w:r w:rsidR="00DF0D9C" w:rsidRPr="00DF0D9C">
        <w:t xml:space="preserve">. Wniesienie wadium ma na celu zabezpieczenie wykonania obowiązku polegającego na uczestnictwie w przetargu lub aukcji, </w:t>
      </w:r>
      <w:r w:rsidR="00945958">
        <w:t>(m.in. obowiązek zadeklarowania pierwszego postąpienia w aukcji) oraz zabezpieczenie przed wycofaniem się z oferty po upływie terminu na składanie ofert,</w:t>
      </w:r>
      <w:r w:rsidR="00DF0D9C" w:rsidRPr="00DF0D9C">
        <w:t xml:space="preserve">. </w:t>
      </w:r>
      <w:r w:rsidR="00747EC5">
        <w:t>Wysokość w</w:t>
      </w:r>
      <w:r w:rsidR="006722D2" w:rsidRPr="006722D2">
        <w:t>adium powiązan</w:t>
      </w:r>
      <w:r w:rsidR="00747EC5">
        <w:t>a</w:t>
      </w:r>
      <w:r w:rsidR="006722D2" w:rsidRPr="006722D2">
        <w:t xml:space="preserve"> jest </w:t>
      </w:r>
      <w:r w:rsidR="00747EC5">
        <w:t>przy tym</w:t>
      </w:r>
      <w:r w:rsidR="006722D2" w:rsidRPr="006722D2">
        <w:t xml:space="preserve"> z wartością częstotliwości</w:t>
      </w:r>
      <w:r w:rsidR="00747EC5">
        <w:t>.</w:t>
      </w:r>
      <w:r w:rsidR="006722D2" w:rsidRPr="006722D2">
        <w:t xml:space="preserve"> </w:t>
      </w:r>
      <w:r w:rsidR="00747EC5">
        <w:t>G</w:t>
      </w:r>
      <w:r w:rsidR="006722D2" w:rsidRPr="006722D2">
        <w:t xml:space="preserve">łówną funkcją depozytu jest </w:t>
      </w:r>
      <w:r w:rsidR="00747EC5">
        <w:t xml:space="preserve">natomiast </w:t>
      </w:r>
      <w:r w:rsidR="006722D2" w:rsidRPr="006722D2">
        <w:t xml:space="preserve">zabezpieczenie </w:t>
      </w:r>
      <w:r w:rsidR="00747EC5">
        <w:t xml:space="preserve">przede wszystkim </w:t>
      </w:r>
      <w:r w:rsidR="006722D2" w:rsidRPr="006722D2">
        <w:t xml:space="preserve">prawidłowego przebiegu </w:t>
      </w:r>
      <w:r w:rsidR="00747EC5">
        <w:t xml:space="preserve">licytacji, </w:t>
      </w:r>
      <w:r w:rsidR="006722D2" w:rsidRPr="006722D2">
        <w:t xml:space="preserve">w związku z </w:t>
      </w:r>
      <w:r w:rsidR="00747EC5">
        <w:t>czym</w:t>
      </w:r>
      <w:r w:rsidR="006722D2" w:rsidRPr="006722D2">
        <w:t xml:space="preserve"> powiązany jest z wysokością złożonych już przez uczestnika ofert. </w:t>
      </w:r>
      <w:r w:rsidR="00DF0D9C" w:rsidRPr="00DF0D9C">
        <w:t xml:space="preserve">Depozyt ma na celu dodatkowe zabezpieczenie jedynie postępowania aukcyjnego, gdyż w przypadku tego trybu rozdysponowania częstotliwości </w:t>
      </w:r>
      <w:r w:rsidR="009758D6">
        <w:t>długotrwałość postępowania, wielość rund licytacji, wiąże się ze szczególnym ryzykiem</w:t>
      </w:r>
      <w:r w:rsidR="00DF0D9C" w:rsidRPr="00DF0D9C">
        <w:t xml:space="preserve"> składania pozornych </w:t>
      </w:r>
      <w:r w:rsidR="00DF0D9C">
        <w:t>ofert</w:t>
      </w:r>
      <w:r w:rsidR="009758D6">
        <w:t xml:space="preserve">. </w:t>
      </w:r>
      <w:r w:rsidRPr="000C1ABA">
        <w:t xml:space="preserve">Oferty takie służą do sztucznego podbijania najwyższej zadeklarowanej kwoty w kolejnych rundach aukcji bez rzeczywistego zamiaru uzyskania rezerwacji, a jedynie w celu opóźnienia uzyskania rezerwacji przez pozostałych uczestników licytacji lub podniesienia ceny, po jakiej uzyskają oni rezerwacje. </w:t>
      </w:r>
    </w:p>
    <w:p w14:paraId="069B94FC" w14:textId="5AA26D57" w:rsidR="000C1ABA" w:rsidRDefault="000C1ABA" w:rsidP="009A2C2A">
      <w:pPr>
        <w:pStyle w:val="NIEARTTEKSTtekstnieartykuowanynppodstprawnarozplubpreambua"/>
        <w:ind w:firstLine="0"/>
      </w:pPr>
      <w:r w:rsidRPr="000C1ABA">
        <w:t xml:space="preserve">Należy zatem wprowadzić całościową regulację </w:t>
      </w:r>
      <w:r w:rsidR="00E23157" w:rsidRPr="000C1ABA">
        <w:t>dotycząc</w:t>
      </w:r>
      <w:r w:rsidR="00E23157">
        <w:t>ą zasad</w:t>
      </w:r>
      <w:r w:rsidR="00E23157" w:rsidRPr="000C1ABA">
        <w:t xml:space="preserve"> </w:t>
      </w:r>
      <w:r w:rsidRPr="000C1ABA">
        <w:t>wnoszenia depozytu</w:t>
      </w:r>
      <w:r w:rsidR="00E23157">
        <w:t>, sposobu ustalania jego wysokości</w:t>
      </w:r>
      <w:r w:rsidRPr="000C1ABA">
        <w:t xml:space="preserve"> oraz, tak jak w przypadku wadium, jego zaliczania na poczet opłaty za rezerwację częstotliwości, zwrotu i utraty.</w:t>
      </w:r>
    </w:p>
    <w:p w14:paraId="19AF43A4" w14:textId="77777777" w:rsidR="00C91C07" w:rsidRDefault="00C91C07" w:rsidP="00655D23">
      <w:pPr>
        <w:pStyle w:val="ARTartustawynprozporzdzenia"/>
      </w:pPr>
      <w:r>
        <w:t>Jednocześnie, biorąc pod uwagę cel instytucji depozytu, wprowadzono zasadę, w świetle której wniesiony depozyt ulega przepadkowi, w przypadku rezygnacji podmiotu pierwotnie wyłonionego, o którym mowa w art. 118b ust. 1.</w:t>
      </w:r>
    </w:p>
    <w:p w14:paraId="54C61719" w14:textId="6F36D549" w:rsidR="005B0278" w:rsidRPr="00C91C07" w:rsidRDefault="002847D1" w:rsidP="005B0278">
      <w:pPr>
        <w:pStyle w:val="ARTartustawynprozporzdzenia"/>
      </w:pPr>
      <w:r>
        <w:t>Należy także zauważyć</w:t>
      </w:r>
      <w:r w:rsidR="004160F7" w:rsidRPr="004160F7">
        <w:t xml:space="preserve">, iż szczegółowe kwestie dotyczące wpłaty </w:t>
      </w:r>
      <w:r w:rsidR="004160F7">
        <w:t>depozytu</w:t>
      </w:r>
      <w:r w:rsidR="004160F7" w:rsidRPr="004160F7">
        <w:t xml:space="preserve"> są przedmiotem rozporządzenia z art. 120, a nowy akt wykonawczy powinien wskazywać, że wpłata następuje na oprocentowany rachunek bankowy UKE. </w:t>
      </w:r>
      <w:r w:rsidR="005B0278">
        <w:t xml:space="preserve">Ponadto, należy wskazać, że </w:t>
      </w:r>
      <w:r w:rsidR="005B0278" w:rsidRPr="00BE5A5C">
        <w:t xml:space="preserve">terminy przewidziane dla zwrotu wadium oraz depozytu, </w:t>
      </w:r>
      <w:r w:rsidR="005B0278">
        <w:t>są</w:t>
      </w:r>
      <w:r w:rsidR="005B0278" w:rsidRPr="00BE5A5C">
        <w:t xml:space="preserve"> jednakowe – 21 dni od dnia, w którym decyzja o dokonaniu rezerwacji częstotliwości stała się ostateczna.</w:t>
      </w:r>
      <w:r w:rsidR="005B0278">
        <w:t xml:space="preserve"> Nie zachodzi bowiem potrzeba różnicowania tych terminów. T</w:t>
      </w:r>
      <w:r w:rsidR="005B0278" w:rsidRPr="00BE5A5C">
        <w:t>ermin jest powiązany z decyzją, aby zabezpieczyć postępowanie przed wycofaniem się uczestników z tego postępowania.</w:t>
      </w:r>
    </w:p>
    <w:p w14:paraId="0723A809" w14:textId="77777777" w:rsidR="000C1ABA" w:rsidRPr="000C1ABA" w:rsidRDefault="000C1ABA" w:rsidP="009A2C2A">
      <w:pPr>
        <w:pStyle w:val="NIEARTTEKSTtekstnieartykuowanynppodstprawnarozplubpreambua"/>
      </w:pPr>
      <w:r w:rsidRPr="000C1ABA">
        <w:lastRenderedPageBreak/>
        <w:t>Art. 120</w:t>
      </w:r>
    </w:p>
    <w:p w14:paraId="7DF20FCC" w14:textId="77777777" w:rsidR="004160F7" w:rsidRPr="004160F7" w:rsidRDefault="000C1ABA" w:rsidP="004160F7">
      <w:pPr>
        <w:pStyle w:val="NIEARTTEKSTtekstnieartykuowanynppodstprawnarozplubpreambua"/>
      </w:pPr>
      <w:r w:rsidRPr="000C1ABA">
        <w:t>Zaproponowane zmiany mają charakter dostosowujący i są konsekwencją propozycji zmiany art. 118 ust. 2 (rezygnacja z określania niektórych elementów w ogłoszeniu) i wprowadzeniu do ustawy instytucji depozytu.</w:t>
      </w:r>
    </w:p>
    <w:p w14:paraId="4A54FD98" w14:textId="77777777" w:rsidR="000C1ABA" w:rsidRPr="000C1ABA" w:rsidRDefault="000C1ABA" w:rsidP="009A2C2A">
      <w:pPr>
        <w:pStyle w:val="NIEARTTEKSTtekstnieartykuowanynppodstprawnarozplubpreambua"/>
      </w:pPr>
      <w:r w:rsidRPr="000C1ABA">
        <w:t>Art. 122 ust. 1</w:t>
      </w:r>
    </w:p>
    <w:p w14:paraId="39918D0E" w14:textId="77777777" w:rsidR="000C1ABA" w:rsidRPr="000C1ABA" w:rsidRDefault="000C1ABA" w:rsidP="009A2C2A">
      <w:pPr>
        <w:pStyle w:val="NIEARTTEKSTtekstnieartykuowanynppodstprawnarozplubpreambua"/>
      </w:pPr>
      <w:r w:rsidRPr="000C1ABA">
        <w:t>W związku z zaprzestaniem emisji telewizyjnych w sposób analogowy i brakiem rezerwacji dla tv analogowej, zasadne jest wykreślenie przepisu w zakresie odnoszącym się do programów telewizyjnych.</w:t>
      </w:r>
    </w:p>
    <w:p w14:paraId="1FDD2DF3" w14:textId="77777777" w:rsidR="000C1ABA" w:rsidRPr="000C1ABA" w:rsidRDefault="000C1ABA" w:rsidP="009A2C2A">
      <w:pPr>
        <w:pStyle w:val="NIEARTTEKSTtekstnieartykuowanynppodstprawnarozplubpreambua"/>
      </w:pPr>
      <w:r w:rsidRPr="000C1ABA">
        <w:t>Art. 123 ust. 1</w:t>
      </w:r>
      <w:r w:rsidR="00E1337A">
        <w:t xml:space="preserve"> pkt 9</w:t>
      </w:r>
    </w:p>
    <w:p w14:paraId="03389148" w14:textId="77777777" w:rsidR="000C1ABA" w:rsidRPr="000C1ABA" w:rsidRDefault="000C1ABA" w:rsidP="009A2C2A">
      <w:pPr>
        <w:pStyle w:val="NIEARTTEKSTtekstnieartykuowanynppodstprawnarozplubpreambua"/>
      </w:pPr>
      <w:r w:rsidRPr="000C1ABA">
        <w:t xml:space="preserve">Przesłanka dodana w tym przepisie pojawia się w kilku miejscach projektu, i uzasadnia  cofnięcie lub zmianę rezerwacji, odmowę jej udzielenia (art. 123 ust. 6), cofnięcie lub odmowę wydania pozwolenia radiowego (art. 123 ust. 7). </w:t>
      </w:r>
    </w:p>
    <w:p w14:paraId="2C2A2E01" w14:textId="77777777" w:rsidR="000C1ABA" w:rsidRPr="000C1ABA" w:rsidRDefault="000C1ABA" w:rsidP="009A2C2A">
      <w:pPr>
        <w:pStyle w:val="NIEARTTEKSTtekstnieartykuowanynppodstprawnarozplubpreambua"/>
      </w:pPr>
      <w:r w:rsidRPr="000C1ABA">
        <w:t xml:space="preserve">Wprowadzenie tej przesłanki jest konieczne, aby móc cofnąć lub zmienić rezerwację częstotliwości, która wprawdzie nie stanowi bezpośredniego naruszenia umów międzynarodowych (przykładowo umowa nie nakazuje wprost przeznaczenia danego zakresu częstotliwości na inny cel niż to wynika z rezerwacji), ale uniemożliwia realizację zobowiązań płynących z tych umów. Możliwa jest również sytuacja, w której konieczność cofnięcia lub zmiany rezerwacji będzie wynikać z zobowiązań płynących z </w:t>
      </w:r>
      <w:r w:rsidR="00A826E6">
        <w:t>aktów</w:t>
      </w:r>
      <w:r w:rsidR="00A826E6" w:rsidRPr="000C1ABA">
        <w:t xml:space="preserve"> </w:t>
      </w:r>
      <w:r w:rsidRPr="000C1ABA">
        <w:t>praw</w:t>
      </w:r>
      <w:r w:rsidR="00A826E6">
        <w:t>nych</w:t>
      </w:r>
      <w:r w:rsidRPr="000C1ABA">
        <w:t xml:space="preserve"> Unii Europejskiej. Przykładowo w decyzji Parlamentu Europejskiego i Rady (UE) 2017/899 z dnia 17 maja 2017 r. w sprawie wykorzystywania zakresu częstotliwości 470-790 MHz w Unii, państwa członkowskie zostały zobowiązane do zwolnienia zakresu 694-790 MHz i udostępnienia go na potrzeby systemów ruchomej łączności szerokopasmowej (tzw. druga dywidenda cyfrowa) oraz migracji usługi TV do zakresu poniżej, tj. 470-694 MHz, co oznacza konieczność zmian rezerwacji częstotliwości udzielonych dla naziemnej telewizji cyfrowej.</w:t>
      </w:r>
    </w:p>
    <w:p w14:paraId="6933B4B4" w14:textId="77777777" w:rsidR="000C1ABA" w:rsidRDefault="000C1ABA" w:rsidP="009A2C2A">
      <w:pPr>
        <w:pStyle w:val="NIEARTTEKSTtekstnieartykuowanynppodstprawnarozplubpreambua"/>
      </w:pPr>
      <w:r w:rsidRPr="000C1ABA">
        <w:t xml:space="preserve">Z uwagi na brak takiej przesłanki, przy pierwszej dywidendzie cyfrowej, Prezes UKE nie mógł z urzędu zmienić rezerwacji częstotliwości, lecz był zmuszony uzyskać zgodę interesariuszy na zmianę decyzji administracyjnej w trybie art. 155 Kpa. </w:t>
      </w:r>
    </w:p>
    <w:p w14:paraId="7102680F" w14:textId="77777777" w:rsidR="002F2C38" w:rsidRDefault="00E1337A" w:rsidP="00E1337A">
      <w:pPr>
        <w:pStyle w:val="ARTartustawynprozporzdzenia"/>
        <w:ind w:firstLine="0"/>
      </w:pPr>
      <w:r>
        <w:t>Art. 123 ust. 1 pkt 10, art. 123 ust. 1a i 1b</w:t>
      </w:r>
    </w:p>
    <w:p w14:paraId="7FA85426" w14:textId="045F02B6" w:rsidR="00E1337A" w:rsidRDefault="00E1337A" w:rsidP="00E1337A">
      <w:pPr>
        <w:pStyle w:val="ARTartustawynprozporzdzenia"/>
        <w:ind w:firstLine="0"/>
      </w:pPr>
      <w:r>
        <w:t>Projektowane przepisy dają Prezesowi UKE narzędzia w postaci możliwości cofnięcia rezerwacji w sytuacji</w:t>
      </w:r>
      <w:r w:rsidR="0071026E">
        <w:t>,</w:t>
      </w:r>
      <w:r>
        <w:t xml:space="preserve"> gdy w wyniku przekształceń własnościowych dojdzie do nadmiernego </w:t>
      </w:r>
      <w:r>
        <w:lastRenderedPageBreak/>
        <w:t>skupienia częstotliwości</w:t>
      </w:r>
      <w:r w:rsidR="00A000EB">
        <w:t xml:space="preserve"> w rękach jednego podmiotu</w:t>
      </w:r>
      <w:r>
        <w:t>.</w:t>
      </w:r>
      <w:r w:rsidR="00CE7600">
        <w:t xml:space="preserve"> W chwili obecnej Prezes UKE bada kwestie skupienia częstotliwości przy ich rozdysponowywaniu, np. określając </w:t>
      </w:r>
      <w:r>
        <w:t xml:space="preserve"> </w:t>
      </w:r>
      <w:r w:rsidR="00CE7600">
        <w:t xml:space="preserve">spectrum capy w postępowaniu selekcyjnym lub dokonując rezerwacji częstotliwości na kolejny okres. Przepisy ustawy nie regulują jednak kwestii nadmiernego skupienia częstotliwości, do którego może dojść w wyniku przekształceń własnościowych i które może przykładowo całkowicie zmienić obraz rynku wynikający z założeń określonego postępowania selekcyjnego. Należy podkreślić, że uprawnienie Prezesa UKE jest całkowicie niezależne od uprawnień Prezesa UOKiK w zakresie koncentracji. Prezes UKE nie wypowiada się w zakresie samej możliwości dokonania określonej transakcji handlowej, a jedynie zyskuje uprawnienie do cofnięcia rezerwacji jeżeli ta transakcja doprowadzi do nadmiernego skupienia częstotliwości, przy czym podmiot może w łatwy </w:t>
      </w:r>
      <w:r w:rsidR="002D68DB">
        <w:t xml:space="preserve">i szybki </w:t>
      </w:r>
      <w:r w:rsidR="00CE7600">
        <w:t>sposób, jeszcze przed dokonaniem takiej transakcji, uzyskać pewność cz</w:t>
      </w:r>
      <w:r w:rsidR="002D68DB">
        <w:t>y organ regulacyjny będzie mógł skorzystać ze swojego uprawnienia.</w:t>
      </w:r>
    </w:p>
    <w:p w14:paraId="4A39EDF2" w14:textId="45BFD58C" w:rsidR="0085332D" w:rsidRPr="0085332D" w:rsidRDefault="002F2C38" w:rsidP="0085332D">
      <w:pPr>
        <w:pStyle w:val="Nagwek"/>
      </w:pPr>
      <w:r>
        <w:t>Należy przy tym podkreślić, że art. 123 ust. 1</w:t>
      </w:r>
      <w:r w:rsidR="003838AA">
        <w:t xml:space="preserve"> pkt 1</w:t>
      </w:r>
      <w:r>
        <w:t>0 dotyczy</w:t>
      </w:r>
      <w:r w:rsidR="0085332D">
        <w:t xml:space="preserve"> sytuacji, gdy </w:t>
      </w:r>
      <w:r w:rsidR="0085332D" w:rsidRPr="0085332D">
        <w:t>strony tr</w:t>
      </w:r>
      <w:r w:rsidR="00532C5E">
        <w:t>ansakcji handlowej dysponują</w:t>
      </w:r>
      <w:r w:rsidR="0085332D" w:rsidRPr="0085332D">
        <w:t xml:space="preserve"> już rezerwacją częstotliwości</w:t>
      </w:r>
      <w:r w:rsidR="0085332D">
        <w:t xml:space="preserve">. </w:t>
      </w:r>
      <w:r w:rsidR="0085332D" w:rsidRPr="0085332D">
        <w:t>W przeciwnym razie nie doszłoby do nadmiernego skupienia częstotliwości przez podmiot lub grupę kapitałową. Jednocześnie druga strona transakcji nie musi bezpośrednio posiadać rezerwacji, ponieważ może nią dysponować inny podmiot grupy kapitałowej, do której należy np. podmiot przejmujący kontrolę. Dlatego przepis koncentruje się na skutku transakcji, czyli nadmiernym skupieniu częstotliwości.</w:t>
      </w:r>
    </w:p>
    <w:p w14:paraId="6AD67A33" w14:textId="11BE54D3" w:rsidR="00BF214A" w:rsidRPr="00BF214A" w:rsidRDefault="00BF214A" w:rsidP="00BF214A">
      <w:pPr>
        <w:pStyle w:val="Nagwek"/>
      </w:pPr>
      <w:r>
        <w:t xml:space="preserve">Przepis nie określa </w:t>
      </w:r>
      <w:r w:rsidRPr="00BF214A">
        <w:t>terminu na zgłoszenie zamiaru przeprowadzenia transakcji – należy uznać, że regulacja taka jest zbędna, szczególnie</w:t>
      </w:r>
      <w:r>
        <w:t>,</w:t>
      </w:r>
      <w:r w:rsidRPr="00BF214A">
        <w:t xml:space="preserve"> że funkcją tego przepisu jest danie podmiotowi określonego uprawnienia, z którego skorzystanie jest w pełni dobrowolne. Podmiot musi dokonać zgłoszenia przed dokonaniem transakcji, ponieważ przepis mówi wprost o „zamiarze” jej dokonania. Prezes UKE będzie miał zagwarantowany 30-dniowy termin na rozpatrzenie zgłoszenia i zawiadomienie stron o swoim stanowisku. W przypadku gdy strony dokonają transakcji zanim Prezes UKE rozpatrzy zgłoszenie - znajdzie zastosowanie art. 123 ust. 1 pkt 10, co powinien wziąć pod uwagę podmiot chcący skorzystać z projektowanego uprawnienia. </w:t>
      </w:r>
      <w:r>
        <w:t>Uzasadnione jest przy tym zakreślenie 30-dniowego terminu dla Prezesa UKE, biorąc</w:t>
      </w:r>
      <w:r w:rsidRPr="00BF214A">
        <w:t xml:space="preserve"> pod uwagę uregulowany w KPA termin na załatwienie sprawy wymagającej postępowania wyjaśniającego (co do zasady 1 miesiąc, a w przypadku sprawy szczególnie skomplikowanej maksymalnie 2 miesiące).</w:t>
      </w:r>
    </w:p>
    <w:p w14:paraId="5F76CB86" w14:textId="77777777" w:rsidR="006F1054" w:rsidRPr="002C28EB" w:rsidRDefault="006F1054" w:rsidP="006F1054">
      <w:pPr>
        <w:pStyle w:val="Nagwek"/>
      </w:pPr>
      <w:r w:rsidRPr="002C28EB">
        <w:t xml:space="preserve">W zakresie formy w jakiej może zostać przekazane Prezesowi UKE zgłoszenie należy wskazać, że ma ona na celu zachowanie spójności z w pozostałymi przepisami dotyczącymi m.in. przekazywania dokumentów Prezesowi UKE, stanowisk czy zawiadomień (np. przekazywanie </w:t>
      </w:r>
      <w:r w:rsidRPr="002C28EB">
        <w:lastRenderedPageBreak/>
        <w:t>stanowisk w ramach postępowania konsultacyjnego (art. 15), zawiadomienie o rozpoczęciu wykonywania działalności telekomunikacyjnej (art. 10 ust. 9).</w:t>
      </w:r>
    </w:p>
    <w:p w14:paraId="77B1322F" w14:textId="27330B5B" w:rsidR="000C1ABA" w:rsidRPr="000C1ABA" w:rsidRDefault="006F1054" w:rsidP="009A2C2A">
      <w:pPr>
        <w:pStyle w:val="NIEARTTEKSTtekstnieartykuowanynppodstprawnarozplubpreambua"/>
      </w:pPr>
      <w:r>
        <w:t>Wprowadzono ponadto wyłączenie stosowani</w:t>
      </w:r>
      <w:r w:rsidRPr="006F1054">
        <w:t xml:space="preserve">a art. 123 ust. 1 pkt 10 po upływie 5 lat od dnia dokonania transakcji handlowej. Podyktowane jest to potrzebą zagwarantowania pewności prawnej oraz ochroną dokonanych inwestycji, a ponadto zachowaniem spójności z przepisami zawartymi w ustawie o ochronie konkurencji i konsumentów, które zawierają analogiczny termin w odniesieniu do kwestii koncentracji przedsiębiorców (art. 21 ust. 3).  </w:t>
      </w:r>
      <w:r w:rsidR="000C1ABA" w:rsidRPr="000C1ABA">
        <w:t>Art. 123 ust. 2c</w:t>
      </w:r>
      <w:r w:rsidR="0084391B">
        <w:t xml:space="preserve"> i 2d</w:t>
      </w:r>
    </w:p>
    <w:p w14:paraId="21D81F62" w14:textId="5C7D9002" w:rsidR="00801A6A" w:rsidRPr="00801A6A" w:rsidRDefault="000C1ABA" w:rsidP="00801A6A">
      <w:pPr>
        <w:pStyle w:val="Nagwek"/>
      </w:pPr>
      <w:r w:rsidRPr="000C1ABA">
        <w:t>Projektowany</w:t>
      </w:r>
      <w:r w:rsidR="0084391B">
        <w:t xml:space="preserve"> </w:t>
      </w:r>
      <w:r w:rsidRPr="000C1ABA">
        <w:t xml:space="preserve">przepis </w:t>
      </w:r>
      <w:r w:rsidR="0084391B">
        <w:t>ust. 2c</w:t>
      </w:r>
      <w:r w:rsidR="0084391B" w:rsidRPr="000C1ABA">
        <w:t xml:space="preserve"> </w:t>
      </w:r>
      <w:r w:rsidRPr="000C1ABA">
        <w:t>pozwoli na dokonanie zmian udzielonych już rezerwacji częstotliwości</w:t>
      </w:r>
      <w:r w:rsidR="0084391B">
        <w:t xml:space="preserve"> poprzez zamianę częstotliwości objętych rezerwacją na częstotliwości o analogicznych cechach i właściwościach</w:t>
      </w:r>
      <w:r w:rsidRPr="000C1ABA">
        <w:t xml:space="preserve">, w celu uporządkowania przydziału widma w danym paśmie. </w:t>
      </w:r>
      <w:r w:rsidR="00801A6A" w:rsidRPr="00801A6A">
        <w:t xml:space="preserve">Zamiana częstotliwości jest dopuszczona wyłącznie w ściśle określonych sytuacjach, niezbędnych z punktu widzenia prawidłowej gospodarki częstotliwościami, czyli reshufflingu i konieczności realizacji zobowiązań międzynarodowych. Należy również wskazać, że przepis ma umożliwić kontynuowanie działalności prowadzonej przy wykorzystaniu dotychczas posiadanych częstotliwości (np. podmioty, które świadczą usługę LTE będą oczekiwały, iż na podstawie projektowanego przepisu </w:t>
      </w:r>
      <w:r w:rsidR="005B0278" w:rsidRPr="00801A6A">
        <w:t>otrzymają częstotliwości</w:t>
      </w:r>
      <w:r w:rsidR="005B0278">
        <w:t xml:space="preserve"> o analogicznych cechach i właściwościach, tj. takie</w:t>
      </w:r>
      <w:r w:rsidR="005B0278" w:rsidRPr="00801A6A">
        <w:t>, które umożliwią im dalsze świadczenie tej samem usługi</w:t>
      </w:r>
      <w:r w:rsidR="00801A6A" w:rsidRPr="00801A6A">
        <w:t>). Częstotliwościami analogicznymi powinny być przy tym takie, które mają to samo przeznaczenie (tj. przypisaną służbę) oraz użytkowanie – określone w KTPCz.</w:t>
      </w:r>
      <w:r w:rsidR="00801A6A">
        <w:t xml:space="preserve"> </w:t>
      </w:r>
      <w:r w:rsidR="00801A6A" w:rsidRPr="00801A6A">
        <w:t>Jednocześnie zgodnie z projektem wszelkie istotne zmiany rezerwacji będą podlegać obowiązkowym 30 – dniowym konsultacjom, podczas których zainteresowane podmioty będą mogły wyrazić opinię czy ich zdaniem przydzielane częstotliwości są analogiczne.</w:t>
      </w:r>
    </w:p>
    <w:p w14:paraId="35EDF295" w14:textId="6C477754" w:rsidR="00976755" w:rsidRDefault="000C1ABA" w:rsidP="00515529">
      <w:pPr>
        <w:pStyle w:val="NIEARTTEKSTtekstnieartykuowanynppodstprawnarozplubpreambua"/>
        <w:ind w:firstLine="0"/>
      </w:pPr>
      <w:r w:rsidRPr="000C1ABA">
        <w:t>Przeprowadzenie przedmiotowych zmian zapewni ład w gospodarce częstotliwościami oraz pozwoli na zwiększenie efektywności wykorzystywania częstotliwości</w:t>
      </w:r>
      <w:r w:rsidR="0084391B">
        <w:t xml:space="preserve">. Ponadto zmiany  będą mogły dotyczyć całości lub części częstotliwości objętych rezerwacją, zaś Prezes UKE będzie mógł wszczynać i prowadzić jedno postępowanie oraz wydać jedną decyzję </w:t>
      </w:r>
      <w:r w:rsidR="00F01C23" w:rsidRPr="00F01C23">
        <w:t>lub odrębne decyzje dla każdej z rezerwacji lub prowadzić odrębne postępowania zakończone wydaniem odrębnych decyzji</w:t>
      </w:r>
      <w:r w:rsidR="00F01C23" w:rsidRPr="00F01C23" w:rsidDel="00F01C23">
        <w:t xml:space="preserve"> </w:t>
      </w:r>
      <w:r w:rsidR="0084391B">
        <w:t>w przypadkach, o których mowa w ust. 2c</w:t>
      </w:r>
      <w:r w:rsidRPr="000C1ABA">
        <w:t>. W efekcie możliwe będzie wprowadzenie nowych technologii w rozdysponowanych już zasobach, a także zwiększenie jakości świadczonych usług.</w:t>
      </w:r>
      <w:r w:rsidR="00F01C23" w:rsidRPr="00F01C23">
        <w:t xml:space="preserve"> </w:t>
      </w:r>
    </w:p>
    <w:p w14:paraId="63DF22FE" w14:textId="0CB9B71F" w:rsidR="000C1ABA" w:rsidRDefault="00976755" w:rsidP="009A2C2A">
      <w:pPr>
        <w:pStyle w:val="NIEARTTEKSTtekstnieartykuowanynppodstprawnarozplubpreambua"/>
      </w:pPr>
      <w:r>
        <w:lastRenderedPageBreak/>
        <w:t>Jednocześnie należy wskazać, iż  w związku z faktem, że ustawa nie przewiduje nadzwyczajnego trybu przyznawania odszkodowania w sytuacjach, gdyby w wyniku zmian rezerwacji częstotliwości wynikającej z konieczności przeprowadzenia reshufflingu</w:t>
      </w:r>
      <w:r w:rsidR="00314FBA">
        <w:t>, podmiot poniósł straty, kwestie te będą rozstrzygane na zasadach ogólnych</w:t>
      </w:r>
      <w:r w:rsidR="002F2C38">
        <w:t xml:space="preserve"> uregulowanych w ustawie - Kodeks cywilny</w:t>
      </w:r>
      <w:r w:rsidR="00314FBA">
        <w:t>.</w:t>
      </w:r>
    </w:p>
    <w:p w14:paraId="024E5619" w14:textId="77777777" w:rsidR="002641A0" w:rsidRDefault="002641A0" w:rsidP="009F74AE">
      <w:pPr>
        <w:pStyle w:val="ARTartustawynprozporzdzenia"/>
      </w:pPr>
      <w:r>
        <w:t>Art. 123 ust. 3</w:t>
      </w:r>
    </w:p>
    <w:p w14:paraId="1249BF2C" w14:textId="77777777" w:rsidR="002641A0" w:rsidRPr="009F74AE" w:rsidRDefault="002641A0" w:rsidP="009F74AE">
      <w:pPr>
        <w:pStyle w:val="ARTartustawynprozporzdzenia"/>
        <w:rPr>
          <w:sz w:val="23"/>
          <w:szCs w:val="23"/>
        </w:rPr>
      </w:pPr>
      <w:r>
        <w:rPr>
          <w:sz w:val="23"/>
          <w:szCs w:val="23"/>
        </w:rPr>
        <w:t xml:space="preserve">Zmiana polega na dodaniu w art. 123 ust. 3 zdania drugiego, na podstawie którego niezajęcie przez Przewodniczącego Krajowej Rady Radiofonii i Telewizji stanowiska w terminie 30 dni od dnia otrzymania projektu decyzji będzie równoznaczne z jego uzgodnieniem (podobnie jak w przypadku art. 114 ust. 2 zdanie drugie ustawy z dnia 16 lipca 2004 r. – Prawo telekomunikacyjne). Zmiana ma na celu usprawnienie postępowania w sprawie </w:t>
      </w:r>
      <w:r w:rsidRPr="002641A0">
        <w:rPr>
          <w:sz w:val="23"/>
          <w:szCs w:val="23"/>
        </w:rPr>
        <w:t>z</w:t>
      </w:r>
      <w:r w:rsidRPr="009F74AE">
        <w:rPr>
          <w:sz w:val="23"/>
          <w:szCs w:val="23"/>
        </w:rPr>
        <w:t>miany warunków wykorzystania lub cofnięcia rezerwacji częstotliwości przeznaczonych do rozpowszechniania lub rozprowadzania programów radiofonicznych lub telewizyjnych</w:t>
      </w:r>
      <w:r>
        <w:rPr>
          <w:sz w:val="23"/>
          <w:szCs w:val="23"/>
        </w:rPr>
        <w:t>.</w:t>
      </w:r>
    </w:p>
    <w:p w14:paraId="3237B668" w14:textId="77777777" w:rsidR="000C1ABA" w:rsidRPr="000C1ABA" w:rsidRDefault="000C1ABA" w:rsidP="009A2C2A">
      <w:pPr>
        <w:pStyle w:val="NIEARTTEKSTtekstnieartykuowanynppodstprawnarozplubpreambua"/>
      </w:pPr>
      <w:r w:rsidRPr="000C1ABA">
        <w:t>Art. 123 ust. 6 i 7</w:t>
      </w:r>
    </w:p>
    <w:p w14:paraId="1E5D7FD6" w14:textId="77777777" w:rsidR="000C1ABA" w:rsidRDefault="000C1ABA" w:rsidP="009A2C2A">
      <w:pPr>
        <w:pStyle w:val="NIEARTTEKSTtekstnieartykuowanynppodstprawnarozplubpreambua"/>
      </w:pPr>
      <w:r w:rsidRPr="000C1ABA">
        <w:t xml:space="preserve">W celu zapewnienia możliwości realizacji zobowiązań międzynarodowych należy rozszerzyć katalog przypadków skutkujących odmową udzielenia rezerwacji o sytuację, kiedy udzielenie rezerwacji częstotliwości uniemożliwiałoby realizację zobowiązań wynikających z wiążących Rzeczpospolitą Polską umów międzynarodowych lub z </w:t>
      </w:r>
      <w:r w:rsidR="00DE7DBE">
        <w:t xml:space="preserve">aktów </w:t>
      </w:r>
      <w:r w:rsidRPr="000C1ABA">
        <w:t>praw</w:t>
      </w:r>
      <w:r w:rsidR="00DE7DBE">
        <w:t>nych</w:t>
      </w:r>
      <w:r w:rsidRPr="000C1ABA">
        <w:t xml:space="preserve"> Unii Europejskiej</w:t>
      </w:r>
      <w:r w:rsidR="00DE7DBE">
        <w:t>,</w:t>
      </w:r>
      <w:r w:rsidR="00DE7DBE" w:rsidRPr="00DE7DBE">
        <w:t xml:space="preserve"> </w:t>
      </w:r>
      <w:r w:rsidR="00DE7DBE" w:rsidRPr="000C1ABA">
        <w:t>dotyczących gospodarowania częstotliwościami</w:t>
      </w:r>
      <w:r w:rsidRPr="000C1ABA">
        <w:t xml:space="preserve">. Na tej samej zasadzie niemożność realizacji zobowiązań wynikających z wiążących Rzeczpospolitą Polską umów międzynarodowych lub z </w:t>
      </w:r>
      <w:r w:rsidR="00DE7DBE">
        <w:t>aktów</w:t>
      </w:r>
      <w:r w:rsidR="00DE7DBE" w:rsidRPr="000C1ABA">
        <w:t xml:space="preserve"> </w:t>
      </w:r>
      <w:r w:rsidRPr="000C1ABA">
        <w:t>praw</w:t>
      </w:r>
      <w:r w:rsidR="00DE7DBE">
        <w:t>nych</w:t>
      </w:r>
      <w:r w:rsidRPr="000C1ABA">
        <w:t xml:space="preserve"> Unii Europejskiej może być powodem odmowy wydania lub c</w:t>
      </w:r>
      <w:r w:rsidR="00B23E98">
        <w:t>ofnięcia pozwolenia radiowego.</w:t>
      </w:r>
    </w:p>
    <w:p w14:paraId="70CC71B2" w14:textId="77777777" w:rsidR="006A7D14" w:rsidRPr="003610DA" w:rsidRDefault="006A7D14" w:rsidP="006A7D14">
      <w:pPr>
        <w:pStyle w:val="ARTartustawynprozporzdzenia"/>
      </w:pPr>
      <w:r>
        <w:t>Przesłanka odmowy wydania lub cofnięcia pozwolenia</w:t>
      </w:r>
      <w:r w:rsidRPr="003610DA">
        <w:t xml:space="preserve"> radiowe</w:t>
      </w:r>
      <w:r>
        <w:t>go</w:t>
      </w:r>
      <w:r w:rsidRPr="003610DA">
        <w:t xml:space="preserve"> z powodu braku możliwości realizacji zobowiązań międzynarodowych</w:t>
      </w:r>
      <w:r>
        <w:t xml:space="preserve"> nie została </w:t>
      </w:r>
      <w:r w:rsidRPr="003610DA">
        <w:t>uwzględniona w przypadku dopuszczenia okazjonalnego przekazu informacji (art. 144a) i czasowego używania urządzenia radiowego w celu przeprowadzenia badań, testów lub eksperymentów (art. 144b).</w:t>
      </w:r>
      <w:r>
        <w:t xml:space="preserve"> </w:t>
      </w:r>
      <w:r w:rsidRPr="003610DA">
        <w:t xml:space="preserve">Należy zauważyć, iż przepisy art. 144a i 144b określają, że Prezes UKE może, ale nie musi wydać określone w nich pozwolenia. Obligatoryjny charakter mają natomiast wskazane w tych przepisach przesłanki odmowy – w określonych ustawą sytuacjach Prezes UKE jest obowiązany odmówić wydania decyzji lub ją cofnąć. Już w chwili obecnej nie są to wszystkie przesłanki z art. 123 ust. 7, a jedynie te które bezdyskusyjnie muszą zostać uwzględnione (zakłócenia, obronność, naruszenie umów międzynarodowych). Jednocześnie, z uwagi na </w:t>
      </w:r>
      <w:r w:rsidRPr="003610DA">
        <w:lastRenderedPageBreak/>
        <w:t>tymczasowy i krótkotrwały charakter tych pozwoleń nie ma potrzeby włączenia do tego katalogu przesłanki niemożności realizacji zobowiązań międzynarodowych.</w:t>
      </w:r>
    </w:p>
    <w:p w14:paraId="03FDF63C" w14:textId="77777777" w:rsidR="00B23E98" w:rsidRDefault="00C805B7" w:rsidP="009A2C2A">
      <w:pPr>
        <w:pStyle w:val="NIEARTTEKSTtekstnieartykuowanynppodstprawnarozplubpreambua"/>
      </w:pPr>
      <w:r>
        <w:t>Art. 123 ust.</w:t>
      </w:r>
      <w:r w:rsidR="00CD1569">
        <w:t xml:space="preserve"> </w:t>
      </w:r>
      <w:r>
        <w:t>13 i 14</w:t>
      </w:r>
    </w:p>
    <w:p w14:paraId="330EDA65" w14:textId="77777777" w:rsidR="00AA3C67" w:rsidRDefault="00CE6555" w:rsidP="006174C8">
      <w:pPr>
        <w:pStyle w:val="ARTartustawynprozporzdzenia"/>
      </w:pPr>
      <w:r>
        <w:t xml:space="preserve">Celem dodania </w:t>
      </w:r>
      <w:r w:rsidR="006174C8">
        <w:t>ust. 13 i 14</w:t>
      </w:r>
      <w:r w:rsidR="006174C8" w:rsidRPr="006174C8">
        <w:t xml:space="preserve"> </w:t>
      </w:r>
      <w:r>
        <w:t xml:space="preserve">jest </w:t>
      </w:r>
      <w:r w:rsidR="006174C8" w:rsidRPr="006174C8">
        <w:t xml:space="preserve">umożliwienie płynnego przeniesienia nadawców w zakres 470-694 MHz. Do realizacji tego celu niezbędne jest </w:t>
      </w:r>
      <w:r w:rsidR="006174C8">
        <w:t xml:space="preserve">również </w:t>
      </w:r>
      <w:r w:rsidR="006174C8" w:rsidRPr="006174C8">
        <w:t xml:space="preserve">dokonanie zmian w obowiązujących koncesjach w zakresie pasma 700 MHz. </w:t>
      </w:r>
      <w:r w:rsidR="006174C8">
        <w:t>A</w:t>
      </w:r>
      <w:r w:rsidR="006174C8" w:rsidRPr="006174C8">
        <w:t xml:space="preserve">by móc wszcząć postępowanie w sprawie zmiany koncesji nadawców obecnych w paśmie 700 MHz niezbędne jest wydanie przez Prezesa UKE decyzji o zmianie rezerwacji częstotliwości przeznaczonych do rozpowszechniania lub rozprowadzania programów w sposób cyfrowy drogą naziemną, zawierającej </w:t>
      </w:r>
      <w:r>
        <w:t xml:space="preserve">takie dane jak: </w:t>
      </w:r>
      <w:r w:rsidRPr="00CE6555">
        <w:t>multipleks, obszar rozpowszechniania oraz parametry sygnalizacyjne - identyfikatory ID</w:t>
      </w:r>
      <w:r w:rsidR="006174C8" w:rsidRPr="006174C8">
        <w:t>. Dopiero na podstawie takiej ostatecznej decyzji Przewodniczący KRRiT może wszcząć postępowanie w sprawie zmiany koncesji, a co za tym idzie dokonać zmiany koncesji.</w:t>
      </w:r>
      <w:r w:rsidR="00AA3C67">
        <w:t xml:space="preserve"> </w:t>
      </w:r>
    </w:p>
    <w:p w14:paraId="53D89265" w14:textId="70BD3A06" w:rsidR="006174C8" w:rsidRPr="006174C8" w:rsidRDefault="006174C8" w:rsidP="006924E0">
      <w:pPr>
        <w:pStyle w:val="ARTartustawynprozporzdzenia"/>
      </w:pPr>
      <w:r>
        <w:t xml:space="preserve">W przypadku </w:t>
      </w:r>
      <w:r w:rsidR="00BC068E">
        <w:t>z</w:t>
      </w:r>
      <w:r w:rsidR="00314FBA">
        <w:t>a</w:t>
      </w:r>
      <w:r w:rsidR="00BC068E">
        <w:t>miany częstotliwości dokonywanej na podstawie art. 123 ust. 1 pkt 9 lub ust. 2c</w:t>
      </w:r>
      <w:r>
        <w:t xml:space="preserve"> nie uruchamia się post</w:t>
      </w:r>
      <w:r w:rsidR="004A3A47">
        <w:t>ę</w:t>
      </w:r>
      <w:r>
        <w:t>powania selekcyjnego.</w:t>
      </w:r>
      <w:r w:rsidR="006924E0" w:rsidRPr="006924E0">
        <w:t xml:space="preserve"> </w:t>
      </w:r>
      <w:r w:rsidR="00314FBA">
        <w:t>Jest to niezbędne aby móc dokonać zamiany częstotliwości i np. dokonać przeniesienia podmiotu na inne częstotliwości niż dotychczas użytkowane lub zamienić użytkowane częstotliwości pomiędzy dwoma lub więcej podmiotami. Jednocześnie należy podkreślić, że jeżeli w wyniku dokonywanych zmian określone częstotliwości zostaną zwolnione ich dalsza dystrybucja będzie się odbywać już na zasadach ogólnych</w:t>
      </w:r>
      <w:r w:rsidR="00B74D8A">
        <w:t>, co oznacza że w razie braku dostatecznych zasobów będą podlegać postępowaniu selekcyjnemu</w:t>
      </w:r>
      <w:r w:rsidR="00314FBA">
        <w:t>.</w:t>
      </w:r>
    </w:p>
    <w:p w14:paraId="36751A9D" w14:textId="77777777" w:rsidR="000C1ABA" w:rsidRPr="000C1ABA" w:rsidRDefault="000C1ABA" w:rsidP="009A2C2A">
      <w:pPr>
        <w:pStyle w:val="NIEARTTEKSTtekstnieartykuowanynppodstprawnarozplubpreambua"/>
      </w:pPr>
      <w:r w:rsidRPr="000C1ABA">
        <w:t>Art. 124</w:t>
      </w:r>
    </w:p>
    <w:p w14:paraId="458ABE6B" w14:textId="77777777" w:rsidR="000C1ABA" w:rsidRPr="000C1ABA" w:rsidRDefault="000C1ABA" w:rsidP="009A2C2A">
      <w:pPr>
        <w:pStyle w:val="NIEARTTEKSTtekstnieartykuowanynppodstprawnarozplubpreambua"/>
      </w:pPr>
      <w:r w:rsidRPr="000C1ABA">
        <w:t>Zaproponowane zmiany (dodanie ust. 2</w:t>
      </w:r>
      <w:r w:rsidR="008D1983">
        <w:t>,</w:t>
      </w:r>
      <w:r w:rsidRPr="000C1ABA">
        <w:t xml:space="preserve"> 3</w:t>
      </w:r>
      <w:r w:rsidR="008D1983">
        <w:t xml:space="preserve"> i 4</w:t>
      </w:r>
      <w:r w:rsidRPr="000C1ABA">
        <w:t>) mają charakter prewencyjny i nakładają na podmiot wyłoniony, na rzecz którego dokonano rezerwacji po przetargu, aukcji albo konkursie, a który nie uiścił dodatkowej opłaty za dokonanie rezerwacji lub będąc podmiotem wyłonionym w procedurze selekcyjnej zrezygnował z ubiegania się o rezerwację, zakaz ubiegania się o rezerwację przez 6 lat.</w:t>
      </w:r>
    </w:p>
    <w:p w14:paraId="202DA612" w14:textId="7AFE6E46" w:rsidR="0012160D" w:rsidRDefault="0012160D" w:rsidP="006A0462">
      <w:pPr>
        <w:pStyle w:val="Nagwek"/>
      </w:pPr>
      <w:r w:rsidRPr="0012160D">
        <w:t xml:space="preserve">Wprowadzane mechanizmy mają nie tylko charakter sankcyjny, ale również prewencyjny, zabezpieczający prawidłowy przebieg bieżącego oraz kolejnych postępowań selekcyjnych. </w:t>
      </w:r>
      <w:r w:rsidR="000C1ABA" w:rsidRPr="000C1ABA">
        <w:t>Wskazany w ust. 2</w:t>
      </w:r>
      <w:r w:rsidR="008D1983">
        <w:t xml:space="preserve">, </w:t>
      </w:r>
      <w:r w:rsidR="000C1ABA" w:rsidRPr="000C1ABA">
        <w:t>3</w:t>
      </w:r>
      <w:r w:rsidR="008D1983">
        <w:t xml:space="preserve"> i 4</w:t>
      </w:r>
      <w:r w:rsidR="000C1ABA" w:rsidRPr="000C1ABA">
        <w:t xml:space="preserve"> termin 6 lat będzie odpowiednim środkiem prewencyjnym wobec podmiotów startujących w procedurach selekcyjnych, których zamiarem nie jest uzyskanie rezerwacji częstotliwości, a jedynie prowadzenie działań mających na celu utrudnienie </w:t>
      </w:r>
      <w:r w:rsidR="000C1ABA" w:rsidRPr="000C1ABA">
        <w:lastRenderedPageBreak/>
        <w:t xml:space="preserve">uzyskania stosownej rezerwacji przez konkurentów. </w:t>
      </w:r>
      <w:r w:rsidRPr="0012160D">
        <w:t>Chronione są w ten sposób interesy innych uczestników, jak i Skarbu Państwa.</w:t>
      </w:r>
    </w:p>
    <w:p w14:paraId="76B7F05A" w14:textId="5E199FE1" w:rsidR="000C1ABA" w:rsidRPr="000C1ABA" w:rsidRDefault="000C1ABA" w:rsidP="009A2C2A">
      <w:pPr>
        <w:pStyle w:val="NIEARTTEKSTtekstnieartykuowanynppodstprawnarozplubpreambua"/>
      </w:pPr>
      <w:r w:rsidRPr="000C1ABA">
        <w:t xml:space="preserve">Zaproponowany termin jest adekwatny biorąc pod uwagę fakt, że procedury selekcyjne (dotyczące najatrakcyjniejszych częstotliwości) przeprowadzane są coraz rzadziej (z uwagi na coraz mniejszą ilość widma radiowego, które może być przekazane do dysponowania). </w:t>
      </w:r>
      <w:r w:rsidR="0012160D" w:rsidRPr="0012160D">
        <w:t xml:space="preserve">6-leni okres zakazu jest </w:t>
      </w:r>
      <w:r w:rsidR="008B5A45">
        <w:t xml:space="preserve">zatem </w:t>
      </w:r>
      <w:r w:rsidR="0012160D" w:rsidRPr="0012160D">
        <w:t>skorelowany z dotychczasową częstotliwością prowadzenia procedur selekcyjnych.</w:t>
      </w:r>
      <w:r w:rsidR="0012160D">
        <w:t xml:space="preserve"> </w:t>
      </w:r>
      <w:r w:rsidRPr="000C1ABA">
        <w:t>Wprowadzenie krótszego okresu mogłoby doprowadzić do sytuacji, że taki nieuczciwy uczestnik procedury selekcyjnej nie poniósłby konsekwencji, a w związku z tym cel wprowadzenia ust. 2</w:t>
      </w:r>
      <w:r w:rsidR="008D1983">
        <w:t xml:space="preserve">, </w:t>
      </w:r>
      <w:r w:rsidRPr="000C1ABA">
        <w:t>3</w:t>
      </w:r>
      <w:r w:rsidR="008D1983">
        <w:t xml:space="preserve"> i 4</w:t>
      </w:r>
      <w:r w:rsidRPr="000C1ABA">
        <w:t xml:space="preserve"> nie zostałby osiągnięty. </w:t>
      </w:r>
    </w:p>
    <w:p w14:paraId="098C929A" w14:textId="77777777" w:rsidR="000C1ABA" w:rsidRPr="000C1ABA" w:rsidRDefault="000C1ABA" w:rsidP="009A2C2A">
      <w:pPr>
        <w:pStyle w:val="NIEARTTEKSTtekstnieartykuowanynppodstprawnarozplubpreambua"/>
      </w:pPr>
      <w:r w:rsidRPr="000C1ABA">
        <w:t>W ust. 1 doprecyzowano, o jakie obowiązki chodzi poprzez wskazanie konkretnych ustępów w art. 185.</w:t>
      </w:r>
    </w:p>
    <w:p w14:paraId="70E0D29E" w14:textId="77777777" w:rsidR="000C1ABA" w:rsidRPr="000C1ABA" w:rsidRDefault="000C1ABA" w:rsidP="009A2C2A">
      <w:pPr>
        <w:pStyle w:val="NIEARTTEKSTtekstnieartykuowanynppodstprawnarozplubpreambua"/>
      </w:pPr>
      <w:r w:rsidRPr="000C1ABA">
        <w:t>Art. 144c ust. 6 i 7</w:t>
      </w:r>
    </w:p>
    <w:p w14:paraId="7BFCEBD5" w14:textId="0647A2FB" w:rsidR="000C1ABA" w:rsidRDefault="000C1ABA" w:rsidP="009A2C2A">
      <w:pPr>
        <w:pStyle w:val="NIEARTTEKSTtekstnieartykuowanynppodstprawnarozplubpreambua"/>
      </w:pPr>
      <w:r w:rsidRPr="000C1ABA">
        <w:t xml:space="preserve">Zgodnie z aktualnie obowiązującą treścią ustawy, Prezes UKE dokonuje wpisu urządzeń do rejestru urządzeń w terminie 7 dni od dnia otrzymania wniosku. Niestety, termin ten często nie jest wystarczający do przeprowadzenia stosownych analiz kompatybilnościowych i przekazania podmiotowi informacji zwrotnej. Należy mieć bowiem na uwadze, że wnioski o wpis urządzeń do rejestru są </w:t>
      </w:r>
      <w:r w:rsidR="00C54224">
        <w:t>„</w:t>
      </w:r>
      <w:r w:rsidRPr="000C1ABA">
        <w:t>obszerne</w:t>
      </w:r>
      <w:r w:rsidR="00C54224">
        <w:t>”</w:t>
      </w:r>
      <w:r w:rsidRPr="000C1ABA">
        <w:t>, tj. zawierają nawet do 1300 pozycji, a ich średnia liczba to 300-400 pozycji. Dodanie do terminu wskazania na dni robocze podyktowane jest faktem, że wnioski o wpis do rejestru są czasami składane w piątki po zakończeniu pracy urzędu.</w:t>
      </w:r>
    </w:p>
    <w:p w14:paraId="30F05513" w14:textId="77777777" w:rsidR="00CA6C69" w:rsidRDefault="00CA6C69" w:rsidP="00CA6C69">
      <w:pPr>
        <w:pStyle w:val="ARTartustawynprozporzdzenia"/>
      </w:pPr>
      <w:r>
        <w:t>Art. 144d ust. 1</w:t>
      </w:r>
    </w:p>
    <w:p w14:paraId="0EFC75C6" w14:textId="77777777" w:rsidR="00CA6C69" w:rsidRPr="00CA6C69" w:rsidRDefault="00CA6C69" w:rsidP="00CA6C69">
      <w:pPr>
        <w:pStyle w:val="ARTartustawynprozporzdzenia"/>
        <w:ind w:firstLine="0"/>
      </w:pPr>
      <w:r>
        <w:t>W związku z</w:t>
      </w:r>
      <w:r w:rsidRPr="00CA6C69">
        <w:t xml:space="preserve"> dodani</w:t>
      </w:r>
      <w:r>
        <w:t>em pkt 5 w art. 123 ust. 7 zaistniała konieczność stosownej zmiany art. 144d polegającej na</w:t>
      </w:r>
      <w:r w:rsidRPr="00CA6C69">
        <w:t xml:space="preserve"> </w:t>
      </w:r>
      <w:r>
        <w:t xml:space="preserve">nadaniu nowego brzmienia ust. 1. </w:t>
      </w:r>
    </w:p>
    <w:p w14:paraId="063EE56E" w14:textId="77777777" w:rsidR="000C1ABA" w:rsidRPr="000C1ABA" w:rsidRDefault="000C1ABA" w:rsidP="009A2C2A">
      <w:pPr>
        <w:pStyle w:val="NIEARTTEKSTtekstnieartykuowanynppodstprawnarozplubpreambua"/>
      </w:pPr>
      <w:r w:rsidRPr="000C1ABA">
        <w:t>Art. 145 ust. 7</w:t>
      </w:r>
    </w:p>
    <w:p w14:paraId="35F45ECA" w14:textId="77777777" w:rsidR="000C1ABA" w:rsidRPr="000C1ABA" w:rsidRDefault="000C1ABA" w:rsidP="009A2C2A">
      <w:pPr>
        <w:pStyle w:val="NIEARTTEKSTtekstnieartykuowanynppodstprawnarozplubpreambua"/>
      </w:pPr>
      <w:r w:rsidRPr="000C1ABA">
        <w:t>Urządzenia radiowe pracujące w służbie radioamatorskiej często wytwarzane są przez samych radioamatorów i nie posiadają wskazanego wyróżnika typu urządzenia oraz nazwy producenta. Zaproponowana zmiana ma na celu dostosowanie przepisu do faktycznych warunków wydawania pozwoleń w służbie radioamatorskiej.</w:t>
      </w:r>
    </w:p>
    <w:p w14:paraId="449DFB59" w14:textId="77777777" w:rsidR="00901AF2" w:rsidRDefault="00901AF2" w:rsidP="009A2C2A">
      <w:pPr>
        <w:pStyle w:val="NIEARTTEKSTtekstnieartykuowanynppodstprawnarozplubpreambua"/>
      </w:pPr>
    </w:p>
    <w:p w14:paraId="7BC0707A" w14:textId="77777777" w:rsidR="00901AF2" w:rsidRDefault="00901AF2" w:rsidP="009A2C2A">
      <w:pPr>
        <w:pStyle w:val="NIEARTTEKSTtekstnieartykuowanynppodstprawnarozplubpreambua"/>
      </w:pPr>
    </w:p>
    <w:p w14:paraId="7AE53D34" w14:textId="77777777" w:rsidR="000C1ABA" w:rsidRPr="000C1ABA" w:rsidRDefault="000C1ABA" w:rsidP="009A2C2A">
      <w:pPr>
        <w:pStyle w:val="NIEARTTEKSTtekstnieartykuowanynppodstprawnarozplubpreambua"/>
      </w:pPr>
      <w:r w:rsidRPr="000C1ABA">
        <w:lastRenderedPageBreak/>
        <w:t>Art. 146</w:t>
      </w:r>
    </w:p>
    <w:p w14:paraId="4769DB37" w14:textId="77777777" w:rsidR="000C1ABA" w:rsidRPr="000C1ABA" w:rsidRDefault="000C1ABA" w:rsidP="009A2C2A">
      <w:pPr>
        <w:pStyle w:val="NIEARTTEKSTtekstnieartykuowanynppodstprawnarozplubpreambua"/>
      </w:pPr>
      <w:r w:rsidRPr="000C1ABA">
        <w:t>W pozwoleniach wydawanych dla służby radioamatorskiej nie są wskazane elementy techniczne wymienione w ust. 1 pkt 1 lit. d i e. Zaproponowana zmiana ma na celu dostosowanie przepisu do faktycznych warunków wydawania pozwoleń w służbie radioamatorskiej.</w:t>
      </w:r>
    </w:p>
    <w:p w14:paraId="430BB967" w14:textId="77777777" w:rsidR="000C1ABA" w:rsidRPr="000C1ABA" w:rsidRDefault="000C1ABA" w:rsidP="009A2C2A">
      <w:pPr>
        <w:pStyle w:val="NIEARTTEKSTtekstnieartykuowanynppodstprawnarozplubpreambua"/>
      </w:pPr>
      <w:r w:rsidRPr="000C1ABA">
        <w:t>W przepisie art. 145 ust. 1 pkt 6 jako element obligatoryjny wskazano już datę rozpoczęcia wykorzystywania częstotliwości, w związku z czym ust. 2 w art. 146 wskazujący na fakultatywną możliwość określenia tej daty wymaga uchylenia.</w:t>
      </w:r>
    </w:p>
    <w:p w14:paraId="33D477E4" w14:textId="77777777" w:rsidR="000C1ABA" w:rsidRPr="000C1ABA" w:rsidRDefault="000C1ABA" w:rsidP="009A2C2A">
      <w:pPr>
        <w:pStyle w:val="NIEARTTEKSTtekstnieartykuowanynppodstprawnarozplubpreambua"/>
      </w:pPr>
      <w:r w:rsidRPr="000C1ABA">
        <w:t>Art. 148 ust. 1 pkt 1</w:t>
      </w:r>
    </w:p>
    <w:p w14:paraId="790826A3" w14:textId="77777777" w:rsidR="000C1ABA" w:rsidRPr="000C1ABA" w:rsidRDefault="000C1ABA" w:rsidP="00D025BA">
      <w:pPr>
        <w:pStyle w:val="NIEARTTEKSTtekstnieartykuowanynppodstprawnarozplubpreambua"/>
      </w:pPr>
      <w:r w:rsidRPr="000C1ABA">
        <w:t>Zmiana jest konsekwencją dodania w art. 123 ust. 7 nowego pkt 5.</w:t>
      </w:r>
    </w:p>
    <w:p w14:paraId="48BF3FFD" w14:textId="77777777" w:rsidR="000C1ABA" w:rsidRPr="000C1ABA" w:rsidRDefault="000C1ABA" w:rsidP="009A2C2A">
      <w:pPr>
        <w:pStyle w:val="NIEARTTEKSTtekstnieartykuowanynppodstprawnarozplubpreambua"/>
      </w:pPr>
      <w:r w:rsidRPr="000C1ABA">
        <w:t>Art. 148 ust. 1 pkt 5</w:t>
      </w:r>
    </w:p>
    <w:p w14:paraId="6C06A1A7" w14:textId="77777777" w:rsidR="000C1ABA" w:rsidRPr="000C1ABA" w:rsidRDefault="000C1ABA" w:rsidP="009A2C2A">
      <w:pPr>
        <w:pStyle w:val="NIEARTTEKSTtekstnieartykuowanynppodstprawnarozplubpreambua"/>
      </w:pPr>
      <w:r w:rsidRPr="000C1ABA">
        <w:t>Urządzenia kontrolno-pomiarowe wykorzystywane są do realizacji ustawowych zadań Prezesa UKE, tj. prowadzenia obserwacji widma elektromagnetycznego, wykrywania zakłóceń elektromagnetycznych, prowadzenia pomiarów parametrów sygnałów radiowych oraz wykonywania innych czynności należących do kompetencji Prezesa UKE, a wynikających z ustawy Prawo telekomunikacyjne. Z uwagi na fakt, iż niezbędna jest ochrona tych urządzeń przed szkodliwym działaniem pól elektromagnetycznych, niezbędne jest, by w wyznaczonych obszarach nie były lokalizowane żadne urządzenia nadawcze operatorów, takie jak: BTS, radiolinie, nadajniki RLL, RTV i inne.</w:t>
      </w:r>
    </w:p>
    <w:p w14:paraId="55746E37" w14:textId="77777777" w:rsidR="000C1ABA" w:rsidRDefault="000C1ABA" w:rsidP="009A2C2A">
      <w:pPr>
        <w:pStyle w:val="NIEARTTEKSTtekstnieartykuowanynppodstprawnarozplubpreambua"/>
      </w:pPr>
      <w:r w:rsidRPr="000C1ABA">
        <w:t xml:space="preserve">Wykaz publikowany jest pod adresem </w:t>
      </w:r>
      <w:hyperlink r:id="rId10" w:history="1">
        <w:r w:rsidRPr="000C1ABA">
          <w:t>http://www.uke.gov.pl/obszary-z-urzadzeniami-pomiarowymi-uke-13174#</w:t>
        </w:r>
      </w:hyperlink>
      <w:r w:rsidRPr="000C1ABA">
        <w:t>. Obszary wskazywane są poprzez wskazanie współrzędnych geograficznych urządzenia kontrolno – pomiarowego UKE i wskazanie promienia od tego punktu, w którym nie mogą być zlokalizowane inne urządzenia radiowe. W tylko 1 przypadku promień ten jest większy niż 0,5 km i wynosi 2,5 km.</w:t>
      </w:r>
    </w:p>
    <w:p w14:paraId="6EB51935" w14:textId="77777777" w:rsidR="002945A1" w:rsidRDefault="002945A1" w:rsidP="002945A1">
      <w:pPr>
        <w:pStyle w:val="ARTartustawynprozporzdzenia"/>
      </w:pPr>
      <w:r>
        <w:t>Art. 149 ust. 1</w:t>
      </w:r>
      <w:r w:rsidR="00351736">
        <w:t>,</w:t>
      </w:r>
      <w:r>
        <w:t xml:space="preserve"> art. 150</w:t>
      </w:r>
      <w:r w:rsidR="00351736" w:rsidRPr="00351736">
        <w:t xml:space="preserve"> </w:t>
      </w:r>
      <w:r w:rsidR="00351736">
        <w:t>i art. 151</w:t>
      </w:r>
    </w:p>
    <w:p w14:paraId="3494EF4E" w14:textId="77777777" w:rsidR="00535ECD" w:rsidRDefault="00535ECD" w:rsidP="000D1A39">
      <w:pPr>
        <w:pStyle w:val="ARTartustawynprozporzdzenia"/>
      </w:pPr>
      <w:r>
        <w:t xml:space="preserve">W chwili obecnej ustawa Prawo telekomunikacyjne kompleksowo reguluje kwestie wydawania świadectw operatora urządzeń radiowych we wszystkich służbach radiokomunikacyjnych - amatorskiej, lotniczej, morskiej i żeglugi śródlądowej. Akty wykonawcze w tym zakresie wydawane są przez ministra właściwego do spraw informatyzacji, a same świadectwa przez organ regulacyjny rynku telekomunikacyjnego - Prezesa UKE. </w:t>
      </w:r>
      <w:r>
        <w:lastRenderedPageBreak/>
        <w:t>Należy przy tym podkreślić, że organy właściwe w sprawach telekomunikacji nie mają wiedzy o potrzebach innych służb niż służba radiokomunikacyjna amatorska. Zatem obecny system oparty jest na pewnej fikcji</w:t>
      </w:r>
      <w:r w:rsidR="002C7CC3">
        <w:t xml:space="preserve">, że to organy odpowiadające za telekomunikację regulują kwestie świadectw w służbie lotniczej, morskiej i żeglugi śródlądowej, kiedy w rzeczywistości to jedynie organy faktycznie odpowiadające za te działy mogą przesądzić jakie powinny być wymogi egzaminacyjne, określić wymiar wymaganej praktyki, zdecydować o możliwości odnowienia świadectwa itp. Próbą rozwiązania tej niepożądanej sytuacji było określenie w ustawie możliwości powierzenia przez Prezesa UKE przeprowadzania egzaminów w służbie morskiej i żeglugi śródlądowej Centralnej Morskiej Komisji Egzaminacyjnej lub centralnej komisji egzaminacyjnej działającej przy dyrektorze urzędu żeglugi śródlądowej, a </w:t>
      </w:r>
      <w:r>
        <w:t xml:space="preserve"> </w:t>
      </w:r>
      <w:r w:rsidR="002C7CC3">
        <w:t xml:space="preserve">w służbie lotniczej wpisanie na poziomie ustawy, że egzaminy przeprowadza Prezes Urzędu Lotnictwa Cywilnego. </w:t>
      </w:r>
      <w:r w:rsidR="00EF2780">
        <w:t xml:space="preserve">Co więcej obecna sytuacja może rodzić problemy dla adresatów przepisów, np. lotników i marynarzy, dla których właściwe ustawy przewidują określone wymogi, w tym też kwestie konieczności pozyskania świadectw czy certyfikatów, nie regulując tej kwestii kompleksowo, poprzez pozostawienie części niezbędnych wymogów w ustawie Prawo telekomunikacyjne. W związku z powyższym, należy </w:t>
      </w:r>
      <w:r w:rsidR="000D1A39">
        <w:t xml:space="preserve">dostosować stan prawny do rzeczywistych kompetencji organów, tak aby odpowiadały one za całość procesu, tzn. określenie wymogów, przeprowadzenie egzaminów i wydanie świadectwa. </w:t>
      </w:r>
      <w:r w:rsidR="00EF2780">
        <w:t xml:space="preserve">  </w:t>
      </w:r>
      <w:r w:rsidR="002945A1">
        <w:t xml:space="preserve">W związku </w:t>
      </w:r>
      <w:r w:rsidR="000D1A39">
        <w:t>z tym projekt przewiduje odpowiednie zmiany w ustawie Prawo telekomunikacyjne,</w:t>
      </w:r>
      <w:r w:rsidR="002945A1">
        <w:t xml:space="preserve"> </w:t>
      </w:r>
      <w:r w:rsidR="002945A1" w:rsidRPr="002945A1">
        <w:t>w ustaw</w:t>
      </w:r>
      <w:r w:rsidR="002945A1">
        <w:t>ie</w:t>
      </w:r>
      <w:r w:rsidR="002945A1" w:rsidRPr="002945A1">
        <w:t xml:space="preserve"> z dnia 21 grudnia 2000 r. o żegludze śródlądowej, ustawie z dnia 3 lipca 2002 r. - Prawo lotnicze i ustawie z dnia 18 sierpnia 2011 r. o bezpieczeństwie morskim</w:t>
      </w:r>
      <w:r w:rsidR="000D1A39">
        <w:t>.</w:t>
      </w:r>
      <w:r w:rsidR="002945A1">
        <w:t xml:space="preserve">  </w:t>
      </w:r>
    </w:p>
    <w:p w14:paraId="57FDBAD2" w14:textId="77777777" w:rsidR="006A7D14" w:rsidRPr="002945A1" w:rsidRDefault="006A7D14" w:rsidP="006A7D14">
      <w:pPr>
        <w:pStyle w:val="ARTartustawynprozporzdzenia"/>
      </w:pPr>
      <w:r>
        <w:t>Ponadto należy wskazać, że z</w:t>
      </w:r>
      <w:r w:rsidRPr="009D7B2F">
        <w:t>miana art. 150 ust. 4 polega zasadniczo jedynie na zmianie organów wydających rozporządzenie oraz ograniczeniu delegacji do świadectw operatora urządzeń radiowych w służbie radiokomunikacyjnej amatorskiej. Zatem zmiany w delegacji ustawowej polegają na wykreśleniu służb, które będą podlegać regulacjom właściwych dla nich merytorycznie ustaw. Katalog kwestii, jakie mają zostać uregulowane rozporządzeniem oraz wytyczne pozostały niezmienione i są</w:t>
      </w:r>
      <w:r>
        <w:t xml:space="preserve"> w taki sposób </w:t>
      </w:r>
      <w:r w:rsidRPr="009D7B2F">
        <w:t>regulowane już w chwili obecnej, co więcej taki zakres delegacji, z niewielkimi modyfikacjami, funkcjonuje już od 2004 r., czyli od początku obowiązywania ustawy.</w:t>
      </w:r>
    </w:p>
    <w:p w14:paraId="50AD5049" w14:textId="77777777" w:rsidR="000C1ABA" w:rsidRPr="000C1ABA" w:rsidRDefault="000C1ABA" w:rsidP="009A2C2A">
      <w:pPr>
        <w:pStyle w:val="NIEARTTEKSTtekstnieartykuowanynppodstprawnarozplubpreambua"/>
      </w:pPr>
      <w:r w:rsidRPr="000C1ABA">
        <w:t>Art. 154 ust. 1 i 5 oraz art. 209 ust. 1 pkt 11</w:t>
      </w:r>
    </w:p>
    <w:p w14:paraId="23EDEF44" w14:textId="77777777" w:rsidR="000C1ABA" w:rsidRPr="000C1ABA" w:rsidRDefault="000C1ABA" w:rsidP="009A2C2A">
      <w:pPr>
        <w:pStyle w:val="NIEARTTEKSTtekstnieartykuowanynppodstprawnarozplubpreambua"/>
      </w:pPr>
      <w:r w:rsidRPr="000C1ABA">
        <w:t xml:space="preserve">Przepis art. 10 ust. 10 dyrektywy 2014/53/UE z dnia 16 kwietnia 2014 r. w sprawie harmonizacji ustawodawstw państw członkowskich dotyczących udostępniania na rynku </w:t>
      </w:r>
      <w:r w:rsidRPr="000C1ABA">
        <w:lastRenderedPageBreak/>
        <w:t>urządzeń radiowych i uchylającej dyrektywę 1999/5/WE (dyrektywa RED) zobowiązuje producentów urządzeń radiowych do umieszczania na opakowaniu urządzeń informacji określających państwa członkowskie lub obszar geograficzny, w których istnieją ograniczenia w oddawaniu do użytku urządzenia lub wymóg uzyskania zezwolenia na używanie urządzenia. Przepis ten zastąpił art. 6 ust. 3 dyrektywy 1999/5/WE z dnia 9 marca 1999 r. w sprawie urządzeń radiowych i końcowych urządzeń telekomunikacyjnych oraz wzajemnego uznawania ich zgodności, który to przepis dodatkowo statuował obowiązek umieszczenia na urządzeniu znaku ostrzegawczego. Wzór znaku ostrzegawczego został określony w decyzji Komisji Europejskiej 2000/299/WE z dnia 6 kwietnia 2000 r. ustanawiającej wstępną klasyfikację urządzeń radiowych i końcowych urządzeń telekomunikacyjnych oraz związanych z nimi znaków identyfikacyjnych, która to decyzja nie została uchylona przez Komisję. W związku z brakiem uchylenia tej decyzji, w ustawie Prawo telekomunikacyjne w trakcie prac nad wdrożeniem dyrektywy RED pozostawiono regulacje dotyczące znaku ostrzegawczego. W chwili obecnej dostępne jest jednak stanowisko Komisji Europejskiej dotyczące stosowania przepisów dyrektywy RED, zawarte w Przewodniku do dyrektywy RED z dnia 19 maja 2017 r. Przewodnik nie ma mocy wiążącej, jednakże wyjaśnienia Komisji w nim zawarte mają pomóc w jednolitym stosowaniu przepisów dyrektywy RED. Zgodnie z przewodnikiem zaleca się producentom unikanie znaku ostrzegawczego. Wskazano również, iż wszelkie decyzje Komisji, przyjęte w ramach dyrektywy 1999/5/WE, pozostają w mocy w stopniu, w jakim są zgodne z postanowieniami dyrektywy RED, do czasu ich uchylenia. Komisja wskazała, iż mimo iż decyzja Komisji 2000/299/WE nie została uchylona, to nie obowiązują jednak postanowienia tej decyzji odnoszące się do znaku ostrzegawczego. W związku z tym zachodzi konieczność dostosowania w tym zakresie przepisów ustawy Prawo telekomunikacyjne poprzez wykreślenie obowiązku stosowania znaku ostrzegawczego, uchylenie upoważnienia do określenia przez ministra właściwego do spraw informatyzacji sposobu i wzoru oznakowania tym znakiem urządzeń radiowych i sankcji karnej za brak takiego oznakowania.</w:t>
      </w:r>
    </w:p>
    <w:p w14:paraId="7A00C902" w14:textId="77777777" w:rsidR="00E73D31" w:rsidRDefault="00E73D31" w:rsidP="00E73D31">
      <w:pPr>
        <w:pStyle w:val="NIEARTTEKSTtekstnieartykuowanynppodstprawnarozplubpreambua"/>
      </w:pPr>
      <w:r>
        <w:t>Art. 185 ust. 4a</w:t>
      </w:r>
    </w:p>
    <w:p w14:paraId="0B2C529B" w14:textId="77777777" w:rsidR="00E73D31" w:rsidRDefault="00E73D31" w:rsidP="00E73D31">
      <w:pPr>
        <w:pStyle w:val="ARTartustawynprozporzdzenia"/>
      </w:pPr>
      <w:r>
        <w:t xml:space="preserve">Zmiana polega na </w:t>
      </w:r>
      <w:r w:rsidR="00EA59C9">
        <w:t>do</w:t>
      </w:r>
      <w:r>
        <w:t xml:space="preserve">określeniu sposobu obliczania </w:t>
      </w:r>
      <w:r w:rsidRPr="00E73D31">
        <w:t>jednorazow</w:t>
      </w:r>
      <w:r>
        <w:t>ej</w:t>
      </w:r>
      <w:r w:rsidRPr="00E73D31">
        <w:t xml:space="preserve"> </w:t>
      </w:r>
      <w:r>
        <w:t xml:space="preserve">opłaty </w:t>
      </w:r>
      <w:r w:rsidRPr="00E73D31">
        <w:t>za dokonanie rezerwacji częstotliwości</w:t>
      </w:r>
      <w:r w:rsidR="00165E68" w:rsidRPr="00165E68">
        <w:t xml:space="preserve"> </w:t>
      </w:r>
      <w:r w:rsidR="00165E68">
        <w:t>poprzez</w:t>
      </w:r>
      <w:r w:rsidR="00165E68" w:rsidRPr="00165E68">
        <w:t xml:space="preserve"> </w:t>
      </w:r>
      <w:r w:rsidR="00CC6F12">
        <w:t>dopisaniu konieczności uwzględnienia przez Prezesa UKE</w:t>
      </w:r>
      <w:r w:rsidR="00165E68" w:rsidRPr="00165E68">
        <w:t xml:space="preserve"> czas</w:t>
      </w:r>
      <w:r w:rsidR="00165E68">
        <w:t>u</w:t>
      </w:r>
      <w:r w:rsidR="00165E68" w:rsidRPr="00165E68">
        <w:t xml:space="preserve"> na jaki jest wydawana rezerwacja</w:t>
      </w:r>
      <w:r w:rsidR="00CC6F12">
        <w:t xml:space="preserve"> częstotliwości, w sytuacji kiedy ten czas różni się od czasu na jaki wydano rezerwację stanowiącą podstawę do określenia wartości widma</w:t>
      </w:r>
      <w:r w:rsidR="00EA59C9">
        <w:t xml:space="preserve">. </w:t>
      </w:r>
    </w:p>
    <w:p w14:paraId="02B499CC" w14:textId="77777777" w:rsidR="000010A3" w:rsidRDefault="000010A3" w:rsidP="00E73D31">
      <w:pPr>
        <w:pStyle w:val="ARTartustawynprozporzdzenia"/>
      </w:pPr>
    </w:p>
    <w:p w14:paraId="02339A29" w14:textId="77777777" w:rsidR="000010A3" w:rsidRDefault="001513CC" w:rsidP="000010A3">
      <w:pPr>
        <w:pStyle w:val="ARTartustawynprozporzdzenia"/>
      </w:pPr>
      <w:r>
        <w:lastRenderedPageBreak/>
        <w:t>Art. 185 ust. 4c</w:t>
      </w:r>
    </w:p>
    <w:p w14:paraId="10CEE57D" w14:textId="4F894E37" w:rsidR="001513CC" w:rsidRPr="00E73D31" w:rsidRDefault="001513CC" w:rsidP="000010A3">
      <w:pPr>
        <w:pStyle w:val="ARTartustawynprozporzdzenia"/>
      </w:pPr>
      <w:r>
        <w:t xml:space="preserve">Zmiana polega na dodaniu zdania drugiego do obecnie obowiązującego ust. 4c. Ma to na celu usunięcie wątpliwości </w:t>
      </w:r>
      <w:r w:rsidRPr="001513CC">
        <w:t>interpretacyjnych dotyczących stosowania przepisu art. 185 ust. 4c w odniesieniu do podmiotów publicznych, o których mowa w art. 4 ustawy</w:t>
      </w:r>
      <w:r w:rsidR="000F333D">
        <w:t xml:space="preserve"> w zakresie częstotliwości przeznaczonych do użytkowania cywilno-rządowego</w:t>
      </w:r>
      <w:r w:rsidRPr="001513CC">
        <w:t xml:space="preserve">. Podmioty wymienione w art. 4 ustawy nie uczestniczą w mechanizmach rynkowych związanych z prowadzeniem działalności komercyjnej, </w:t>
      </w:r>
      <w:r w:rsidR="000F333D">
        <w:t>zatem p</w:t>
      </w:r>
      <w:r w:rsidRPr="001513CC">
        <w:t xml:space="preserve">owoływanie przez Prezesa </w:t>
      </w:r>
      <w:r w:rsidR="009E400E">
        <w:t>UKE</w:t>
      </w:r>
      <w:r w:rsidRPr="001513CC">
        <w:t xml:space="preserve"> biegłego lub biegłych w przedmiocie wartości rynkowej częstotliwości wykorzystywanych przez użytkowników publicznych jest niecelowe. </w:t>
      </w:r>
    </w:p>
    <w:p w14:paraId="3E69C7F8" w14:textId="77777777" w:rsidR="000C1ABA" w:rsidRPr="000C1ABA" w:rsidRDefault="000C1ABA" w:rsidP="009A2C2A">
      <w:pPr>
        <w:pStyle w:val="NIEARTTEKSTtekstnieartykuowanynppodstprawnarozplubpreambua"/>
      </w:pPr>
      <w:r w:rsidRPr="000C1ABA">
        <w:t>Art. 185 ust. 4d</w:t>
      </w:r>
    </w:p>
    <w:p w14:paraId="7B294FC1" w14:textId="77777777" w:rsidR="000C1ABA" w:rsidRDefault="000C1ABA" w:rsidP="009A2C2A">
      <w:pPr>
        <w:pStyle w:val="NIEARTTEKSTtekstnieartykuowanynppodstprawnarozplubpreambua"/>
      </w:pPr>
      <w:r w:rsidRPr="000C1ABA">
        <w:t>W związku z uchyleniem art. 116a należy uchylić ust. 4d w art. 185 określający sposób ustalenia opłaty w sytuacji zmiany decyzji rezerwacyjnej na podstawie art. 116a.</w:t>
      </w:r>
    </w:p>
    <w:p w14:paraId="2E55AA41" w14:textId="5619B3EA" w:rsidR="00B8554A" w:rsidRDefault="00B8554A" w:rsidP="00655D23">
      <w:pPr>
        <w:pStyle w:val="ARTartustawynprozporzdzenia"/>
      </w:pPr>
      <w:r w:rsidRPr="00B8554A">
        <w:t>Art. 192 ust. 1 pkt</w:t>
      </w:r>
      <w:r>
        <w:t xml:space="preserve"> 7 </w:t>
      </w:r>
    </w:p>
    <w:p w14:paraId="41E05495" w14:textId="549E9CAD" w:rsidR="00B8554A" w:rsidRDefault="00B8554A" w:rsidP="00655D23">
      <w:pPr>
        <w:pStyle w:val="ARTartustawynprozporzdzenia"/>
      </w:pPr>
      <w:r>
        <w:t xml:space="preserve">W związku ze zmianami wprowadzonymi w art. 3, 4 i 6 projektu konieczne jest usunięcie przepisu art. 192 ust. 1 pkt 7, który </w:t>
      </w:r>
      <w:r w:rsidR="0068167C">
        <w:t>uprawnia Prezes UKE do rozstrzygania w sprawach uprawnień zawodowych w dziedzinie telekomunikacji, określonych w przepisach odrębnych</w:t>
      </w:r>
      <w:r>
        <w:t xml:space="preserve">. </w:t>
      </w:r>
    </w:p>
    <w:p w14:paraId="7AE59712" w14:textId="77777777" w:rsidR="004160F7" w:rsidRPr="004160F7" w:rsidRDefault="004160F7" w:rsidP="00655D23">
      <w:pPr>
        <w:pStyle w:val="ARTartustawynprozporzdzenia"/>
      </w:pPr>
      <w:r>
        <w:t>Art. 192 ust. 1 pkt 8a</w:t>
      </w:r>
    </w:p>
    <w:p w14:paraId="54E18666" w14:textId="618A729D" w:rsidR="009E52D3" w:rsidRDefault="004160F7" w:rsidP="00430264">
      <w:pPr>
        <w:pStyle w:val="ARTartustawynprozporzdzenia"/>
        <w:ind w:firstLine="0"/>
      </w:pPr>
      <w:r>
        <w:t>W związku z wprowadzeniem nowego przepisu art. 111</w:t>
      </w:r>
      <w:r w:rsidR="00D915A3">
        <w:t xml:space="preserve"> ust. 4</w:t>
      </w:r>
      <w:r>
        <w:t xml:space="preserve"> dotyczącego możliwości określenia przez ministra właściwego do spraw informatyzacji harmonogramu rozdysponowania widma, należy </w:t>
      </w:r>
      <w:r w:rsidR="009E52D3">
        <w:t>dodać, w przepisie określającym zakres działania Prezesa UKE, konieczność realizacji takiego harmonogramu.</w:t>
      </w:r>
    </w:p>
    <w:p w14:paraId="6AEDD071" w14:textId="77777777" w:rsidR="00B95691" w:rsidRDefault="00B95691" w:rsidP="00430264">
      <w:pPr>
        <w:pStyle w:val="ARTartustawynprozporzdzenia"/>
        <w:ind w:firstLine="0"/>
      </w:pPr>
      <w:r>
        <w:tab/>
      </w:r>
      <w:r>
        <w:tab/>
      </w:r>
      <w:r>
        <w:tab/>
        <w:t>Art. 192 ust. 1 pkt 16a</w:t>
      </w:r>
    </w:p>
    <w:p w14:paraId="406273A4" w14:textId="12D77DAF" w:rsidR="00B95691" w:rsidRPr="00430264" w:rsidRDefault="00B95691" w:rsidP="00430264">
      <w:pPr>
        <w:pStyle w:val="ARTartustawynprozporzdzenia"/>
        <w:ind w:firstLine="0"/>
      </w:pPr>
      <w:r>
        <w:t xml:space="preserve">Nałożony w pkt 16a obowiązek prowadzenia </w:t>
      </w:r>
      <w:r w:rsidRPr="00B95691">
        <w:t>transgranicznych koordynacji częstotliwości z innymi państwami, co obejmuje także zawieranie niezbędnych porozumień</w:t>
      </w:r>
      <w:r>
        <w:t>,</w:t>
      </w:r>
      <w:r w:rsidRPr="00B95691">
        <w:t xml:space="preserve"> nie stanowi nowej kompetencji Prezesa UKE. </w:t>
      </w:r>
      <w:r w:rsidR="006A7D14" w:rsidRPr="00B95691">
        <w:t>Takie działania są już obecnie prowadzone przez</w:t>
      </w:r>
      <w:r w:rsidR="006A7D14">
        <w:t xml:space="preserve"> Prezesa UKE </w:t>
      </w:r>
      <w:r w:rsidR="006A7D14" w:rsidRPr="006A7D14">
        <w:t>i wynikają z ogólnych kompetencji Prezesa UKE jako regulatora rynku telekomunikacyjnego odpowiedzialnego za prowadzenie gospodarki widmem</w:t>
      </w:r>
      <w:r w:rsidRPr="00B95691">
        <w:t xml:space="preserve">. Jednakże w celu rozstrzygnięcia ewentualnych wątpliwości </w:t>
      </w:r>
      <w:r w:rsidR="006F1054">
        <w:t xml:space="preserve">co do formalnej </w:t>
      </w:r>
      <w:r w:rsidR="006F1054" w:rsidRPr="006F1054">
        <w:t>możliwości prowadzenia przez organ regulacyjny takich działań,</w:t>
      </w:r>
      <w:r w:rsidR="006F1054">
        <w:t xml:space="preserve"> </w:t>
      </w:r>
      <w:r w:rsidRPr="00B95691">
        <w:t xml:space="preserve">należy wprost wskazać, że takie koordynacje należą do zakresu działania Prezesa UKE, a co więcej to na regulatorze spoczywa odpowiedzialność </w:t>
      </w:r>
      <w:r>
        <w:t xml:space="preserve">za prowadzenie ich w </w:t>
      </w:r>
      <w:r w:rsidRPr="00B95691">
        <w:lastRenderedPageBreak/>
        <w:t>sposób i w terminach pozwalających na realizację zobowiązań wynikających z wiążących Rzeczpospolitą umów międzynarodowych lub aktów prawnych Unii Europejskiej dotyczących gospodarowania częstotliwościami</w:t>
      </w:r>
    </w:p>
    <w:p w14:paraId="1BFB2655" w14:textId="77777777" w:rsidR="000C1ABA" w:rsidRPr="000C1ABA" w:rsidRDefault="000C1ABA" w:rsidP="009A2C2A">
      <w:pPr>
        <w:pStyle w:val="NIEARTTEKSTtekstnieartykuowanynppodstprawnarozplubpreambua"/>
      </w:pPr>
      <w:r w:rsidRPr="000C1ABA">
        <w:t>Art. 209 ust. 1 pkt 11</w:t>
      </w:r>
    </w:p>
    <w:p w14:paraId="0CFA56DC" w14:textId="77777777" w:rsidR="000C1ABA" w:rsidRPr="000C1ABA" w:rsidRDefault="000C1ABA" w:rsidP="009A2C2A">
      <w:pPr>
        <w:pStyle w:val="NIEARTTEKSTtekstnieartykuowanynppodstprawnarozplubpreambua"/>
      </w:pPr>
      <w:r w:rsidRPr="000C1ABA">
        <w:t>Zmiana jest konsekwencją zmiany w art. 154, która znosi obowiązek znakowania urządzeń znakiem ostrzegawczym.</w:t>
      </w:r>
    </w:p>
    <w:p w14:paraId="7AE2F070" w14:textId="77777777" w:rsidR="00F7616C" w:rsidRDefault="00F7616C" w:rsidP="009A2C2A">
      <w:pPr>
        <w:pStyle w:val="NIEARTTEKSTtekstnieartykuowanynppodstprawnarozplubpreambua"/>
      </w:pPr>
      <w:r w:rsidRPr="009A2C2A">
        <w:rPr>
          <w:rStyle w:val="Ppogrubienie"/>
        </w:rPr>
        <w:t>Art. 2</w:t>
      </w:r>
      <w:r w:rsidRPr="000C1ABA">
        <w:t xml:space="preserve"> </w:t>
      </w:r>
      <w:r>
        <w:t xml:space="preserve">- art. 26 ust. 5 </w:t>
      </w:r>
      <w:r w:rsidRPr="00F7616C">
        <w:t>ustawy z dnia 29 grudnia 1992 r. o radiofonii i telewizji</w:t>
      </w:r>
    </w:p>
    <w:p w14:paraId="6F2EF391" w14:textId="77777777" w:rsidR="00C5131F" w:rsidRPr="00C5131F" w:rsidRDefault="00C5131F" w:rsidP="00C5131F">
      <w:pPr>
        <w:pStyle w:val="ARTartustawynprozporzdzenia"/>
      </w:pPr>
      <w:r w:rsidRPr="00C5131F">
        <w:t xml:space="preserve">Zmiana polega na wykreśleniu odesłania do art. 114 i 115 </w:t>
      </w:r>
      <w:r>
        <w:t xml:space="preserve">ustawy - </w:t>
      </w:r>
      <w:r w:rsidRPr="00C5131F">
        <w:t>Praw</w:t>
      </w:r>
      <w:r>
        <w:t>o</w:t>
      </w:r>
      <w:r w:rsidRPr="00C5131F">
        <w:t xml:space="preserve"> telekomunikacyjne</w:t>
      </w:r>
      <w:r>
        <w:t>,</w:t>
      </w:r>
      <w:r w:rsidRPr="00C5131F">
        <w:t xml:space="preserve"> </w:t>
      </w:r>
      <w:r>
        <w:t>ponieważ</w:t>
      </w:r>
      <w:r w:rsidRPr="00C5131F">
        <w:t xml:space="preserve"> </w:t>
      </w:r>
      <w:r>
        <w:t>k</w:t>
      </w:r>
      <w:r w:rsidRPr="00C5131F">
        <w:t>westie dotyczące zmian rezerwacji częstotliwości są uregulowane nie tylko w tych dwóch</w:t>
      </w:r>
      <w:r w:rsidR="00340C67">
        <w:t>,</w:t>
      </w:r>
      <w:r w:rsidRPr="00C5131F">
        <w:t xml:space="preserve"> ale również w dalszych przepisach ustawy.</w:t>
      </w:r>
      <w:r w:rsidR="00DD2427">
        <w:t xml:space="preserve"> Jednocześnie przepis przesądza o tym, że w stanów nim opisanych nie stosuje się przepisów dotyczących konieczności przeprowadz</w:t>
      </w:r>
      <w:r w:rsidR="00340C67">
        <w:t>ania</w:t>
      </w:r>
      <w:r w:rsidR="00DD2427">
        <w:t xml:space="preserve"> postępowania selekcyjnego. </w:t>
      </w:r>
    </w:p>
    <w:p w14:paraId="7742FDAE" w14:textId="77777777" w:rsidR="000C1ABA" w:rsidRPr="000C1ABA" w:rsidRDefault="000C1ABA" w:rsidP="009A2C2A">
      <w:pPr>
        <w:pStyle w:val="NIEARTTEKSTtekstnieartykuowanynppodstprawnarozplubpreambua"/>
      </w:pPr>
      <w:r w:rsidRPr="009A2C2A">
        <w:rPr>
          <w:rStyle w:val="Ppogrubienie"/>
        </w:rPr>
        <w:t>Art. 2</w:t>
      </w:r>
      <w:r w:rsidRPr="000C1ABA">
        <w:t xml:space="preserve"> – art. 37 ust. 3a ustawy z dnia 29 grudnia 1992 r. o radiofonii i telewizji</w:t>
      </w:r>
    </w:p>
    <w:p w14:paraId="600AEDBA" w14:textId="77777777" w:rsidR="000C1ABA" w:rsidRPr="000C1ABA" w:rsidRDefault="000C1ABA" w:rsidP="009A2C2A">
      <w:pPr>
        <w:pStyle w:val="NIEARTTEKSTtekstnieartykuowanynppodstprawnarozplubpreambua"/>
      </w:pPr>
      <w:r w:rsidRPr="000C1ABA">
        <w:t xml:space="preserve">Dotychczasowe brzmienie przepisu stwarzało trudności interpretacyjne w zakresie dotyczącym przypadków, w których Prezes UKE miał niezwłocznie wydać rezerwację na podstawie art. 37 ust. 3a urtv. Zaproponowane brzmienie jednoznacznie wskazuje, że taka rezerwacja dokonywana jest jedynie dla nadawców, którzy rozpowszechniają programy radiofoniczne w sposób analogowy drogą rozsiewczą naziemną. </w:t>
      </w:r>
    </w:p>
    <w:p w14:paraId="1E4ED99B" w14:textId="77777777" w:rsidR="000C1ABA" w:rsidRPr="000C1ABA" w:rsidRDefault="000C1ABA" w:rsidP="009A2C2A">
      <w:pPr>
        <w:pStyle w:val="NIEARTTEKSTtekstnieartykuowanynppodstprawnarozplubpreambua"/>
      </w:pPr>
      <w:r w:rsidRPr="000C1ABA">
        <w:t>Dodatkowo zrezygnowano ze wskazywania przepisów ustawy - Prawo telekomunikacyjne, które mają zastosowanie do rezerwacji częstotliwości, bowiem wskazanie to nie było kompleksowe i odnosiło się do materii uregulowanej w ustawie Prawo telekomunikacyjne.</w:t>
      </w:r>
    </w:p>
    <w:p w14:paraId="51FECB66" w14:textId="77777777" w:rsidR="000C1ABA" w:rsidRPr="000C1ABA" w:rsidRDefault="000C1ABA" w:rsidP="009A2C2A">
      <w:pPr>
        <w:pStyle w:val="NIEARTTEKSTtekstnieartykuowanynppodstprawnarozplubpreambua"/>
      </w:pPr>
      <w:r w:rsidRPr="009A2C2A">
        <w:rPr>
          <w:rStyle w:val="Ppogrubienie"/>
        </w:rPr>
        <w:t>Art. 2</w:t>
      </w:r>
      <w:r w:rsidRPr="000C1ABA">
        <w:t xml:space="preserve"> – art. 38b ustawy z dnia 29 grudnia 1992 r. o radiofonii i telewizji</w:t>
      </w:r>
    </w:p>
    <w:p w14:paraId="36CDFBD2" w14:textId="77777777" w:rsidR="000C1ABA" w:rsidRPr="000C1ABA" w:rsidRDefault="000C1ABA" w:rsidP="009A2C2A">
      <w:pPr>
        <w:pStyle w:val="NIEARTTEKSTtekstnieartykuowanynppodstprawnarozplubpreambua"/>
      </w:pPr>
      <w:r w:rsidRPr="000C1ABA">
        <w:t>Dla skutecznego przeprowadzenia procesu zmiany przeznaczenia pasma 700 MHz konieczna jest nowelizacja – obok ustawy – Prawo telekomunikacyjne – także ustawy z dnia 29 grudnia 1992 r. o radiofonii i telewizji umożliwiająca dokonanie zmiany przeznaczenia pasma 700 MHz zgodnie z datami wskazanymi w Decyzji Parlamentu Europejskiego i Rady (UE) 2017/899 z dnia 17 maja 2017 r. w sprawie wykorzystywania zakresu częstotliwości 470–790 MHz w Unii (Dz. Urz. WE L 138 z 25.5.2017, str. 131).</w:t>
      </w:r>
    </w:p>
    <w:p w14:paraId="1742731F" w14:textId="77777777" w:rsidR="000C1ABA" w:rsidRPr="000C1ABA" w:rsidRDefault="000C1ABA" w:rsidP="009A2C2A">
      <w:pPr>
        <w:pStyle w:val="NIEARTTEKSTtekstnieartykuowanynppodstprawnarozplubpreambua"/>
      </w:pPr>
      <w:r w:rsidRPr="000C1ABA">
        <w:lastRenderedPageBreak/>
        <w:t xml:space="preserve">Dodanie do ustawy o radiofonii i telewizji art. 38b ma na celu dostosowanie jej przepisów do powyższych zmian poprzez umożliwienie płynnego przeniesienia nadawców w zakres 470-694 MHz. Do realizacji tego celu niezbędne jest dokonanie zmian w obowiązujących koncesjach w zakresie pasma 700 MHz. Art. 37 ust. 1 urtv stanowi, iż koncesja – dla rozpowszechniania cyfrowego rozsiewczego naziemnego w multipleksie zawiera w szczególności: multipleks, obszar rozpowszechniania oraz parametry sygnalizacyjne - identyfikatory ID. Zatem, aby móc wszcząć postępowanie w sprawie zmiany koncesji nadawców obecnych w paśmie 700 MHz niezbędne jest wydanie przez uprawniony organ – Prezesa UKE – decyzji o zmianie rezerwacji częstotliwości przeznaczonych do rozpowszechniania lub rozprowadzania programów w sposób cyfrowy drogą naziemną, zawierającej ww. dane. Dopiero na podstawie takiej ostatecznej decyzji Przewodniczący KRRiT może wszcząć postępowanie w sprawie zmiany koncesji, a co za tym idzie dokonać zmiany koncesji. </w:t>
      </w:r>
    </w:p>
    <w:p w14:paraId="6B4718D7" w14:textId="43A80C21" w:rsidR="000C1ABA" w:rsidRDefault="000C1ABA" w:rsidP="006A0462">
      <w:pPr>
        <w:pStyle w:val="Nagwek"/>
      </w:pPr>
      <w:r w:rsidRPr="000C1ABA">
        <w:t xml:space="preserve">Aby zabezpieczyć proces uwalniania pasma 700 MHz należy </w:t>
      </w:r>
      <w:r w:rsidR="000F333D">
        <w:t>mieć na uwadze</w:t>
      </w:r>
      <w:r w:rsidRPr="000C1ABA">
        <w:t>, że zgoda strony na zmianę takiej decyzji nie jest wymagana. Mogłoby bowiem dojść do sytuacji zablokowania zmiany przez stronę wobec niewyrażenia przez nią zgody na ww. zmianę.</w:t>
      </w:r>
      <w:r w:rsidR="006541F7">
        <w:t xml:space="preserve"> </w:t>
      </w:r>
      <w:r w:rsidR="006541F7" w:rsidRPr="006541F7">
        <w:t xml:space="preserve">Zmiana koncesji nie wymaga </w:t>
      </w:r>
      <w:r w:rsidR="000F333D">
        <w:t xml:space="preserve">zatem </w:t>
      </w:r>
      <w:r w:rsidR="006541F7" w:rsidRPr="006541F7">
        <w:t xml:space="preserve">zgody strony, gdyż w tym przypadku jest ściśle powiązana ze zmianą rezerwacji. Ta natomiast jest zmieniana na podstawie przesłanek wynikających z ustawy </w:t>
      </w:r>
      <w:r w:rsidR="006F4855">
        <w:t xml:space="preserve">- </w:t>
      </w:r>
      <w:r w:rsidR="006541F7" w:rsidRPr="006541F7">
        <w:t>Prawo telekomunikacyjne. Należy podkreślić, iż w przypadku gdy w rezerwacji zostaną na podstawie Prawa telekomunikacyjnego zmienione określone zakresy częstotliwości, zmiana ta musi zostać odzwierciedlona w koncesji.</w:t>
      </w:r>
      <w:r w:rsidR="006541F7">
        <w:t xml:space="preserve"> W przeciwnym razie mogłoby dojść do sytuacji gdy</w:t>
      </w:r>
      <w:r w:rsidR="006541F7" w:rsidRPr="006541F7">
        <w:t xml:space="preserve"> treść i warunki wynikające z koncesji i rezerwacji się różnią</w:t>
      </w:r>
      <w:r w:rsidR="006541F7">
        <w:t>.</w:t>
      </w:r>
    </w:p>
    <w:p w14:paraId="26DC13BF" w14:textId="4744E00F" w:rsidR="006F1054" w:rsidRPr="000C1ABA" w:rsidRDefault="006F1054" w:rsidP="006A0462">
      <w:pPr>
        <w:pStyle w:val="Nagwek"/>
      </w:pPr>
      <w:r w:rsidRPr="008F0E02">
        <w:t xml:space="preserve">Przepis stanowi </w:t>
      </w:r>
      <w:r>
        <w:t xml:space="preserve">zatem </w:t>
      </w:r>
      <w:r w:rsidRPr="008F0E02">
        <w:t xml:space="preserve">normę szczególną wobec art. 155 </w:t>
      </w:r>
      <w:r>
        <w:t>Kodeksu postępowania administracyjnego</w:t>
      </w:r>
      <w:r w:rsidRPr="008F0E02">
        <w:t xml:space="preserve">, </w:t>
      </w:r>
      <w:r>
        <w:t>który</w:t>
      </w:r>
      <w:r w:rsidRPr="008F0E02">
        <w:t xml:space="preserve"> nie znajdzie tu zastosowania</w:t>
      </w:r>
      <w:r>
        <w:t>. P</w:t>
      </w:r>
      <w:r w:rsidRPr="008F0E02">
        <w:t xml:space="preserve">rzy </w:t>
      </w:r>
      <w:r>
        <w:t>t</w:t>
      </w:r>
      <w:r w:rsidRPr="008F0E02">
        <w:t xml:space="preserve">ym nie ma konieczności dokonywania takiego wyłączenia </w:t>
      </w:r>
      <w:r w:rsidR="000F333D">
        <w:t xml:space="preserve">wprost </w:t>
      </w:r>
      <w:r w:rsidRPr="008F0E02">
        <w:t xml:space="preserve">w </w:t>
      </w:r>
      <w:r>
        <w:t xml:space="preserve">ustawie </w:t>
      </w:r>
      <w:r w:rsidRPr="000C1ABA">
        <w:t>o radiofonii i telewizji</w:t>
      </w:r>
      <w:r w:rsidRPr="008F0E02">
        <w:t>. Samodzielną podstawą dokonania zmiany koncesji będzie właśnie przepis art.  38b</w:t>
      </w:r>
      <w:r>
        <w:t>.</w:t>
      </w:r>
    </w:p>
    <w:p w14:paraId="2190F33B" w14:textId="77777777" w:rsidR="00685BC1" w:rsidRDefault="000C1ABA" w:rsidP="00B23E98">
      <w:pPr>
        <w:pStyle w:val="NIEARTTEKSTtekstnieartykuowanynppodstprawnarozplubpreambua"/>
        <w:rPr>
          <w:rStyle w:val="Ppogrubienie"/>
        </w:rPr>
      </w:pPr>
      <w:r w:rsidRPr="00004F79">
        <w:rPr>
          <w:b/>
        </w:rPr>
        <w:t>Art</w:t>
      </w:r>
      <w:r w:rsidRPr="00004F79">
        <w:rPr>
          <w:rStyle w:val="Ppogrubienie"/>
          <w:b w:val="0"/>
        </w:rPr>
        <w:t>.</w:t>
      </w:r>
      <w:r w:rsidR="00B23E98" w:rsidRPr="00004F79">
        <w:rPr>
          <w:rStyle w:val="Ppogrubienie"/>
        </w:rPr>
        <w:t xml:space="preserve"> </w:t>
      </w:r>
      <w:r w:rsidRPr="00004F79">
        <w:rPr>
          <w:rStyle w:val="Ppogrubienie"/>
        </w:rPr>
        <w:t>3</w:t>
      </w:r>
      <w:r w:rsidR="00800E39">
        <w:rPr>
          <w:rStyle w:val="Ppogrubienie"/>
        </w:rPr>
        <w:t xml:space="preserve">, art. 4 i art. </w:t>
      </w:r>
      <w:r w:rsidR="000833FE">
        <w:rPr>
          <w:rStyle w:val="Ppogrubienie"/>
        </w:rPr>
        <w:t>6</w:t>
      </w:r>
      <w:r w:rsidR="00004F79" w:rsidRPr="00004F79">
        <w:rPr>
          <w:rStyle w:val="Ppogrubienie"/>
        </w:rPr>
        <w:t xml:space="preserve"> - </w:t>
      </w:r>
      <w:r w:rsidR="00004F79">
        <w:rPr>
          <w:rStyle w:val="Ppogrubienie"/>
        </w:rPr>
        <w:t>art. 40a-40c ustawy z dnia 21 grudnia 2000 r. o żegludze śródlądowej</w:t>
      </w:r>
      <w:r w:rsidR="003938A4">
        <w:rPr>
          <w:rStyle w:val="Ppogrubienie"/>
        </w:rPr>
        <w:t xml:space="preserve">; art. </w:t>
      </w:r>
      <w:r w:rsidR="002B751B">
        <w:rPr>
          <w:rStyle w:val="Ppogrubienie"/>
        </w:rPr>
        <w:t>22, art. 104a-104c ustawy z dnia 3 lipca 2002 r. - Prawo lotnicze, art. 82a-82c ustawy z dnia 18 sierpnia 2011 r. o bezpieczeństwie morskim</w:t>
      </w:r>
    </w:p>
    <w:p w14:paraId="50CFF37A" w14:textId="7D22403E" w:rsidR="00FA26E3" w:rsidRDefault="00800E39" w:rsidP="00813D01">
      <w:pPr>
        <w:pStyle w:val="ARTartustawynprozporzdzenia"/>
      </w:pPr>
      <w:r>
        <w:t>Zagadnienia związane ze świadectwami operatora urządzeń radiowych w służbie radiokomunikac</w:t>
      </w:r>
      <w:r w:rsidR="007C12FA">
        <w:t>y</w:t>
      </w:r>
      <w:r>
        <w:t>j</w:t>
      </w:r>
      <w:r w:rsidR="007C12FA">
        <w:t>nej</w:t>
      </w:r>
      <w:r>
        <w:t xml:space="preserve"> lotniczej, morskiej i żeglugi śródlądowej zostały uregulowane w dwóch aktach: ustawie Pt oraz </w:t>
      </w:r>
      <w:r w:rsidRPr="00800E39">
        <w:t>Rozporządzeni</w:t>
      </w:r>
      <w:r>
        <w:t>u</w:t>
      </w:r>
      <w:r w:rsidRPr="00800E39">
        <w:t xml:space="preserve"> Ministra Administracji i Cyfryzacji z 16 stycznia 2015 </w:t>
      </w:r>
      <w:r w:rsidRPr="00800E39">
        <w:lastRenderedPageBreak/>
        <w:t>r. w sprawie świadectw operatora urządzeń radiowych (Dz. U. poz. 99)</w:t>
      </w:r>
      <w:r>
        <w:t xml:space="preserve">. </w:t>
      </w:r>
      <w:r w:rsidR="00BA5C1B">
        <w:t>Zgodnie z art. 150 Pt ś</w:t>
      </w:r>
      <w:r w:rsidR="00BA5C1B" w:rsidRPr="00BA5C1B">
        <w:t>wiadectwa operatora urządzeń radiowych wydaje</w:t>
      </w:r>
      <w:r w:rsidR="00BA5C1B">
        <w:t xml:space="preserve"> Prezes U</w:t>
      </w:r>
      <w:r w:rsidR="00BA5C1B" w:rsidRPr="00BA5C1B">
        <w:t>K</w:t>
      </w:r>
      <w:r w:rsidR="00BA5C1B">
        <w:t>E</w:t>
      </w:r>
      <w:r w:rsidR="00BA5C1B" w:rsidRPr="00BA5C1B">
        <w:t xml:space="preserve"> na podstawie pozytywnego wyniku egzaminu z wiadomości i umiejętności osoby ubiegającej się o świadectwo operatora urządzeń radiowych oraz po udokumentowaniu przez nią wymaganej praktyki. </w:t>
      </w:r>
      <w:r>
        <w:t>Szczegółowe k</w:t>
      </w:r>
      <w:r w:rsidR="00907474">
        <w:t>westie związane z rodzajami</w:t>
      </w:r>
      <w:r w:rsidR="00907474" w:rsidRPr="00BA5C1B">
        <w:t xml:space="preserve"> świadectw operatora urządzeń radiowych</w:t>
      </w:r>
      <w:r w:rsidR="000B58FC" w:rsidRPr="000B58FC">
        <w:t xml:space="preserve"> </w:t>
      </w:r>
      <w:r w:rsidR="000B58FC">
        <w:t>w służbie radiokomunikac</w:t>
      </w:r>
      <w:r w:rsidR="007C12FA">
        <w:t>y</w:t>
      </w:r>
      <w:r w:rsidR="000B58FC">
        <w:t>j</w:t>
      </w:r>
      <w:r w:rsidR="007C12FA">
        <w:t>nej</w:t>
      </w:r>
      <w:r w:rsidR="000B58FC">
        <w:t xml:space="preserve"> </w:t>
      </w:r>
      <w:r w:rsidR="000B58FC" w:rsidRPr="00BA5C1B">
        <w:t>morsk</w:t>
      </w:r>
      <w:r w:rsidR="000B58FC">
        <w:t>iej</w:t>
      </w:r>
      <w:r w:rsidR="000B58FC" w:rsidRPr="00BA5C1B">
        <w:t xml:space="preserve">, </w:t>
      </w:r>
      <w:r w:rsidR="000B58FC">
        <w:t xml:space="preserve">żeglugi śródlądowej, </w:t>
      </w:r>
      <w:r w:rsidR="000B58FC" w:rsidRPr="00BA5C1B">
        <w:t>lotnicz</w:t>
      </w:r>
      <w:r w:rsidR="000B58FC">
        <w:t>ej i radioamatorskiej</w:t>
      </w:r>
      <w:r w:rsidR="00907474" w:rsidRPr="00BA5C1B">
        <w:t>, zakres</w:t>
      </w:r>
      <w:r w:rsidR="00907474">
        <w:t>em</w:t>
      </w:r>
      <w:r w:rsidR="00907474" w:rsidRPr="00BA5C1B">
        <w:t xml:space="preserve"> wymogów egzaminacyjnych</w:t>
      </w:r>
      <w:bookmarkStart w:id="7" w:name="mip30085492"/>
      <w:bookmarkEnd w:id="7"/>
      <w:r w:rsidR="00907474" w:rsidRPr="00BA5C1B">
        <w:t>, zakres</w:t>
      </w:r>
      <w:r w:rsidR="00907474">
        <w:t xml:space="preserve">em </w:t>
      </w:r>
      <w:r w:rsidR="00907474" w:rsidRPr="00BA5C1B">
        <w:t>niezbędnych szkoleń oraz praktyki</w:t>
      </w:r>
      <w:bookmarkStart w:id="8" w:name="mip30085493"/>
      <w:bookmarkEnd w:id="8"/>
      <w:r w:rsidR="00907474" w:rsidRPr="00BA5C1B">
        <w:t xml:space="preserve">, </w:t>
      </w:r>
      <w:r w:rsidR="00907474">
        <w:t>odnawianiem</w:t>
      </w:r>
      <w:r w:rsidR="00907474" w:rsidRPr="00BA5C1B">
        <w:t xml:space="preserve"> </w:t>
      </w:r>
      <w:r w:rsidR="00907474">
        <w:t>świadectw oraz</w:t>
      </w:r>
      <w:r w:rsidR="00907474" w:rsidRPr="00BA5C1B">
        <w:t xml:space="preserve"> tryb</w:t>
      </w:r>
      <w:r w:rsidR="00907474">
        <w:t>em</w:t>
      </w:r>
      <w:r w:rsidR="00907474" w:rsidRPr="00BA5C1B">
        <w:t xml:space="preserve"> przeprowadzania egzaminów</w:t>
      </w:r>
      <w:r w:rsidR="00907474">
        <w:t xml:space="preserve"> określa </w:t>
      </w:r>
      <w:r>
        <w:t>r</w:t>
      </w:r>
      <w:r w:rsidR="00BA5C1B" w:rsidRPr="00BA5C1B">
        <w:t>ozporządzenie w sprawie świadectw operatora urządzeń radiowych (Dz.</w:t>
      </w:r>
      <w:r w:rsidR="00BA5C1B">
        <w:t xml:space="preserve"> </w:t>
      </w:r>
      <w:r w:rsidR="00BA5C1B" w:rsidRPr="00BA5C1B">
        <w:t>U. poz. 99</w:t>
      </w:r>
      <w:r w:rsidR="00907474">
        <w:t xml:space="preserve">). </w:t>
      </w:r>
      <w:bookmarkStart w:id="9" w:name="mip30085491"/>
      <w:bookmarkEnd w:id="9"/>
      <w:r w:rsidR="00066A1C">
        <w:t>Powyższe</w:t>
      </w:r>
      <w:r w:rsidR="00DE58AA">
        <w:t xml:space="preserve"> rozwiązania prawne budzą </w:t>
      </w:r>
      <w:r w:rsidR="002B751B">
        <w:t xml:space="preserve">pewne </w:t>
      </w:r>
      <w:r w:rsidR="00DE58AA">
        <w:t xml:space="preserve">zastrzeżenia. </w:t>
      </w:r>
      <w:r w:rsidR="00FA26E3">
        <w:t>N</w:t>
      </w:r>
      <w:r w:rsidR="000B58FC">
        <w:t xml:space="preserve">ie wydaje się </w:t>
      </w:r>
      <w:r w:rsidR="00FA26E3">
        <w:t xml:space="preserve">bowiem </w:t>
      </w:r>
      <w:r w:rsidR="000B58FC">
        <w:t xml:space="preserve">zasadne, aby </w:t>
      </w:r>
      <w:r w:rsidR="00DE58AA">
        <w:t>do kompetencji</w:t>
      </w:r>
      <w:r w:rsidR="000B58FC">
        <w:t xml:space="preserve"> ministra właściwego do spraw informatyzacji </w:t>
      </w:r>
      <w:r w:rsidR="00DE58AA">
        <w:t xml:space="preserve">należało </w:t>
      </w:r>
      <w:r w:rsidR="000B58FC">
        <w:t xml:space="preserve">określanie </w:t>
      </w:r>
      <w:r w:rsidR="000B58FC" w:rsidRPr="000B58FC">
        <w:t>zakres</w:t>
      </w:r>
      <w:r w:rsidR="000B58FC">
        <w:t>u wymogów egzaminacyjnych,</w:t>
      </w:r>
      <w:r w:rsidR="000B58FC" w:rsidRPr="000B58FC">
        <w:t xml:space="preserve"> niezbędnych szkoleń oraz </w:t>
      </w:r>
      <w:r w:rsidR="000B58FC">
        <w:t>praktyki dla służb</w:t>
      </w:r>
      <w:r w:rsidR="007C12FA">
        <w:t>y</w:t>
      </w:r>
      <w:r w:rsidR="000B58FC">
        <w:t xml:space="preserve"> radiokomunikac</w:t>
      </w:r>
      <w:r w:rsidR="007C12FA">
        <w:t>y</w:t>
      </w:r>
      <w:r w:rsidR="000B58FC">
        <w:t>j</w:t>
      </w:r>
      <w:r w:rsidR="007C12FA">
        <w:t>nej</w:t>
      </w:r>
      <w:r w:rsidR="000B58FC">
        <w:t xml:space="preserve"> </w:t>
      </w:r>
      <w:r w:rsidR="000B58FC" w:rsidRPr="000B58FC">
        <w:t xml:space="preserve">morskiej, </w:t>
      </w:r>
      <w:r w:rsidR="000B58FC">
        <w:t>żeglugi śródlądowej i</w:t>
      </w:r>
      <w:r w:rsidR="00813D01">
        <w:t> </w:t>
      </w:r>
      <w:r w:rsidR="000B58FC" w:rsidRPr="000B58FC">
        <w:t>lotniczej</w:t>
      </w:r>
      <w:r w:rsidR="000B58FC">
        <w:t>, które</w:t>
      </w:r>
      <w:r w:rsidR="00DE58AA">
        <w:t xml:space="preserve"> to</w:t>
      </w:r>
      <w:r w:rsidR="000B58FC">
        <w:t xml:space="preserve"> nie wiążą się z </w:t>
      </w:r>
      <w:r w:rsidR="002B751B">
        <w:t>właściwością</w:t>
      </w:r>
      <w:r w:rsidR="000B58FC">
        <w:t xml:space="preserve"> tego organu</w:t>
      </w:r>
      <w:r w:rsidR="00FA26E3">
        <w:t xml:space="preserve"> i o których nie ma on w związku z czym wystarczającej wiedzy</w:t>
      </w:r>
      <w:r w:rsidR="000B58FC">
        <w:t>.</w:t>
      </w:r>
    </w:p>
    <w:p w14:paraId="54BC6F61" w14:textId="6A3EE756" w:rsidR="00A4243C" w:rsidRPr="00813D01" w:rsidRDefault="00FA26E3" w:rsidP="00813D01">
      <w:pPr>
        <w:pStyle w:val="ARTartustawynprozporzdzenia"/>
      </w:pPr>
      <w:r>
        <w:t>N</w:t>
      </w:r>
      <w:r w:rsidR="00DE58AA">
        <w:t xml:space="preserve">ależy </w:t>
      </w:r>
      <w:r>
        <w:t xml:space="preserve">przy tym </w:t>
      </w:r>
      <w:r w:rsidR="00DE58AA">
        <w:t xml:space="preserve">wskazać, że </w:t>
      </w:r>
      <w:r w:rsidR="00BA5C1B">
        <w:t>czynności Prezesa UKE</w:t>
      </w:r>
      <w:r w:rsidR="00DE58AA">
        <w:t xml:space="preserve"> związane z wydawaniem świadectw przez ten organ</w:t>
      </w:r>
      <w:r>
        <w:t xml:space="preserve"> w służbie radiokomunikac</w:t>
      </w:r>
      <w:r w:rsidR="007C12FA">
        <w:t>y</w:t>
      </w:r>
      <w:r>
        <w:t>j</w:t>
      </w:r>
      <w:r w:rsidR="007C12FA">
        <w:t>nej</w:t>
      </w:r>
      <w:r>
        <w:t xml:space="preserve"> lotniczej</w:t>
      </w:r>
      <w:r w:rsidR="00DE58AA">
        <w:t>, sprowadzają się jedy</w:t>
      </w:r>
      <w:r w:rsidR="00BA5C1B">
        <w:t>nie do czynności materialno-praw</w:t>
      </w:r>
      <w:r w:rsidR="00DE58AA">
        <w:t>nych</w:t>
      </w:r>
      <w:r w:rsidR="00BA5C1B">
        <w:t xml:space="preserve"> polegając</w:t>
      </w:r>
      <w:r w:rsidR="00DE58AA">
        <w:t>ych</w:t>
      </w:r>
      <w:r w:rsidR="00BA5C1B">
        <w:t xml:space="preserve"> na </w:t>
      </w:r>
      <w:r w:rsidR="00907474">
        <w:t>wydaniu świadectwa</w:t>
      </w:r>
      <w:r w:rsidR="00DE58AA">
        <w:t xml:space="preserve">. Wynika to </w:t>
      </w:r>
      <w:r w:rsidR="003938A4">
        <w:t>z</w:t>
      </w:r>
      <w:r w:rsidR="00813D01">
        <w:t> </w:t>
      </w:r>
      <w:r w:rsidR="003938A4">
        <w:t>przepisu art. 150 ust. 2 Pt, zgodnie z którym e</w:t>
      </w:r>
      <w:r w:rsidR="003938A4" w:rsidRPr="003938A4">
        <w:t>gzaminy osób ubiegających się o świadectwo operatora urządzeń radiowych w służbie radiokomunikac</w:t>
      </w:r>
      <w:r w:rsidR="007C12FA">
        <w:t>y</w:t>
      </w:r>
      <w:r w:rsidR="003938A4" w:rsidRPr="003938A4">
        <w:t>j</w:t>
      </w:r>
      <w:r w:rsidR="007C12FA">
        <w:t>nej</w:t>
      </w:r>
      <w:r w:rsidR="003938A4" w:rsidRPr="003938A4">
        <w:t xml:space="preserve"> lotniczej przeprowadza komisja powołana przez Prezesa Urzędu Lotnictwa Cywilnego.</w:t>
      </w:r>
      <w:r w:rsidR="002B751B">
        <w:t xml:space="preserve"> P</w:t>
      </w:r>
      <w:r w:rsidR="003938A4">
        <w:t>onadto</w:t>
      </w:r>
      <w:r w:rsidR="003938A4" w:rsidRPr="003938A4">
        <w:t xml:space="preserve"> Prezes UKE może </w:t>
      </w:r>
      <w:r>
        <w:t xml:space="preserve">także </w:t>
      </w:r>
      <w:r w:rsidR="003938A4" w:rsidRPr="003938A4">
        <w:t>powierzyć przeprowadzanie egzaminów</w:t>
      </w:r>
      <w:bookmarkStart w:id="10" w:name="mip40214833"/>
      <w:bookmarkStart w:id="11" w:name="mip40214834"/>
      <w:bookmarkEnd w:id="10"/>
      <w:bookmarkEnd w:id="11"/>
      <w:r w:rsidR="003938A4">
        <w:t xml:space="preserve"> </w:t>
      </w:r>
      <w:r w:rsidR="003938A4" w:rsidRPr="003938A4">
        <w:t>w służbie radiokomunikacyjnej morskiej i żeglugi śródlądowej - Centralnej Morskiej Komisji Egzaminacyjnej lub centralnej komisji egzaminacyjnej działającej przy dyrektorze urzędu żeglugi śródlądowej określonym przez ministra właściwego do spraw żeglugi śródlądowej</w:t>
      </w:r>
      <w:r w:rsidR="003938A4">
        <w:t xml:space="preserve">. Z tych względów w projekcie zaproponowano zmiany </w:t>
      </w:r>
      <w:r w:rsidR="002B751B">
        <w:t>w ustawie o</w:t>
      </w:r>
      <w:r w:rsidR="00813D01">
        <w:t> </w:t>
      </w:r>
      <w:r w:rsidR="002B751B">
        <w:t xml:space="preserve">żegludze śródlądowej, </w:t>
      </w:r>
      <w:r w:rsidR="00E64CDA" w:rsidRPr="00E64CDA">
        <w:t xml:space="preserve">ustawie </w:t>
      </w:r>
      <w:r w:rsidR="002B751B">
        <w:t xml:space="preserve">o bezpieczeństwie morskim i ustawie - Prawo lotnicze mające na celu </w:t>
      </w:r>
      <w:r w:rsidR="00170F55">
        <w:t>uregulowanie zagadnień związanych z określeniem m.in. wymogów egzaminacyjnych dla poszczególnych służb radiokomunikac</w:t>
      </w:r>
      <w:r w:rsidR="007C12FA">
        <w:t>y</w:t>
      </w:r>
      <w:r w:rsidR="00170F55">
        <w:t>j</w:t>
      </w:r>
      <w:r w:rsidR="007C12FA">
        <w:t>nych</w:t>
      </w:r>
      <w:r w:rsidR="00170F55">
        <w:t xml:space="preserve"> oraz kwestii zawiązanych wydawaniem świadectw operatora urządzeń radiowych zgodnie z kompetencjami organów, które są właściwe w</w:t>
      </w:r>
      <w:r w:rsidR="00813D01">
        <w:t> </w:t>
      </w:r>
      <w:r w:rsidR="00170F55">
        <w:t xml:space="preserve">zakresie </w:t>
      </w:r>
      <w:r w:rsidR="003E13F2" w:rsidRPr="003E13F2">
        <w:t>lotnictwa cywilnego</w:t>
      </w:r>
      <w:r w:rsidR="003E13F2">
        <w:t>,</w:t>
      </w:r>
      <w:r w:rsidR="003E13F2" w:rsidRPr="003E13F2">
        <w:t xml:space="preserve"> </w:t>
      </w:r>
      <w:r w:rsidR="00170F55">
        <w:t>żeglugi śród</w:t>
      </w:r>
      <w:r w:rsidR="003E13F2">
        <w:t>lądowej</w:t>
      </w:r>
      <w:r w:rsidR="00066A1C">
        <w:t xml:space="preserve"> </w:t>
      </w:r>
      <w:r w:rsidR="003E13F2" w:rsidRPr="003E13F2">
        <w:t xml:space="preserve">oraz </w:t>
      </w:r>
      <w:r w:rsidR="00066A1C">
        <w:t>morskiej</w:t>
      </w:r>
      <w:r w:rsidR="00170F55">
        <w:t xml:space="preserve">. </w:t>
      </w:r>
    </w:p>
    <w:p w14:paraId="4D62E918" w14:textId="77777777" w:rsidR="007D1015" w:rsidRDefault="007D1015" w:rsidP="006A0462">
      <w:pPr>
        <w:pStyle w:val="Nagwek"/>
      </w:pPr>
    </w:p>
    <w:p w14:paraId="5C09B0D5" w14:textId="4EF29738" w:rsidR="00A4243C" w:rsidRDefault="0044083C" w:rsidP="006A0462">
      <w:pPr>
        <w:pStyle w:val="Nagwek"/>
      </w:pPr>
      <w:r>
        <w:rPr>
          <w:rStyle w:val="Ppogrubienie"/>
        </w:rPr>
        <w:t>Art. 5</w:t>
      </w:r>
      <w:r w:rsidRPr="002847D1">
        <w:rPr>
          <w:rStyle w:val="Ppogrubienie"/>
        </w:rPr>
        <w:t xml:space="preserve">. </w:t>
      </w:r>
      <w:r w:rsidR="000946CA">
        <w:t xml:space="preserve">Wprowadzenie opłaty skarbowej za </w:t>
      </w:r>
      <w:r w:rsidR="008C69D2" w:rsidRPr="008C69D2">
        <w:t>wydanie decyzji w sprawie rezerwacji częstotliwości</w:t>
      </w:r>
      <w:r w:rsidR="008C69D2" w:rsidRPr="008C69D2" w:rsidDel="008C69D2">
        <w:t xml:space="preserve"> </w:t>
      </w:r>
      <w:r w:rsidR="000946CA">
        <w:t xml:space="preserve">ma ograniczyć przypadki składania </w:t>
      </w:r>
      <w:r w:rsidR="000946CA" w:rsidRPr="000946CA">
        <w:t xml:space="preserve">wniosków o rezerwację częstotliwości przez podmioty faktycznie niezainteresowane uzyskaniem tej rezerwacji, a mające na celu </w:t>
      </w:r>
      <w:r w:rsidR="000946CA" w:rsidRPr="000946CA">
        <w:lastRenderedPageBreak/>
        <w:t>wydłużenie uzyskania lub uniemożliwienie uzyskania rezerwacji przez konkurenta.</w:t>
      </w:r>
      <w:r w:rsidR="001410B3">
        <w:t xml:space="preserve"> </w:t>
      </w:r>
      <w:r w:rsidR="001410B3" w:rsidRPr="001410B3">
        <w:t xml:space="preserve">Częstotliwości radiowe są dobrem rzadkim. Niejednokrotnie ich sprawne rozdysponowanie ma wpływ na funkcjonowanie usług telekomunikacyjnych. Składanie wniosków o rezerwację przez podmioty faktycznie niezainteresowane ich uzyskaniem wpływa negatywnie nie tylko na ewentualne rozpoczęcie inwestycji telekomunikacyjnych ale także na użytkowników, dla których świadczone są usługi oparte na częstotliwościach. Wprowadzenie opłaty może spowodować, że tylko podmioty faktycznie zainteresowane danymi częstotliwościami złożą wniosek o rezerwację.  </w:t>
      </w:r>
    </w:p>
    <w:p w14:paraId="7AD1B7FD" w14:textId="4C9DCDBB" w:rsidR="000833FE" w:rsidRPr="00813D01" w:rsidRDefault="002D6459" w:rsidP="00655D23">
      <w:pPr>
        <w:pStyle w:val="ARTartustawynprozporzdzenia"/>
        <w:ind w:firstLine="0"/>
      </w:pPr>
      <w:r>
        <w:rPr>
          <w:rStyle w:val="Ppogrubienie"/>
        </w:rPr>
        <w:t>Art. 7</w:t>
      </w:r>
      <w:r w:rsidR="00710DD0" w:rsidRPr="002847D1">
        <w:rPr>
          <w:rStyle w:val="Ppogrubienie"/>
        </w:rPr>
        <w:t>.</w:t>
      </w:r>
      <w:r w:rsidR="00BA43DB">
        <w:rPr>
          <w:rStyle w:val="Ppogrubienie"/>
        </w:rPr>
        <w:t xml:space="preserve"> </w:t>
      </w:r>
      <w:r w:rsidR="00BA43DB">
        <w:t xml:space="preserve">Przepis przewiduje, że do wniosków o ponowną rezerwację częstotliwości złożonych przed dniem wejścia w życie nowelizacji będą miały zastosowanie </w:t>
      </w:r>
      <w:r w:rsidR="007F12FE">
        <w:t>znowelizowane</w:t>
      </w:r>
      <w:r w:rsidR="00BA43DB">
        <w:t xml:space="preserve"> przepisy.  Ponadto, w </w:t>
      </w:r>
      <w:r w:rsidR="000833FE">
        <w:t>związku ze zmianą terminu na złożenie wniosku o ponowną rezerwację częstotliwości, gwarant</w:t>
      </w:r>
      <w:r w:rsidR="00BA43DB">
        <w:t>uje</w:t>
      </w:r>
      <w:r w:rsidR="000833FE">
        <w:t xml:space="preserve"> podmiotom, których rezer</w:t>
      </w:r>
      <w:r w:rsidR="00FD4DFA">
        <w:t>wację kończą się przed upływem 3</w:t>
      </w:r>
      <w:r w:rsidR="000833FE">
        <w:t xml:space="preserve"> lat od momentu wejścia w życie ustawy, możliwość złożenia wniosku </w:t>
      </w:r>
      <w:r w:rsidR="00DE2883">
        <w:t>z uwzględnieniem dotychczasowych terminów</w:t>
      </w:r>
      <w:r w:rsidR="000833FE">
        <w:t>.</w:t>
      </w:r>
    </w:p>
    <w:p w14:paraId="5A8C523B" w14:textId="77777777" w:rsidR="000C1ABA" w:rsidRPr="000C1ABA" w:rsidRDefault="00A4243C" w:rsidP="00655D23">
      <w:pPr>
        <w:pStyle w:val="ARTartustawynprozporzdzenia"/>
        <w:ind w:firstLine="0"/>
      </w:pPr>
      <w:r w:rsidRPr="002847D1">
        <w:rPr>
          <w:rStyle w:val="Ppogrubienie"/>
        </w:rPr>
        <w:t>Art.</w:t>
      </w:r>
      <w:r w:rsidR="002D6459">
        <w:rPr>
          <w:rStyle w:val="Ppogrubienie"/>
        </w:rPr>
        <w:t xml:space="preserve"> 8</w:t>
      </w:r>
      <w:r w:rsidRPr="002847D1">
        <w:rPr>
          <w:rStyle w:val="Ppogrubienie"/>
        </w:rPr>
        <w:t>.</w:t>
      </w:r>
      <w:r w:rsidRPr="00813D01">
        <w:t xml:space="preserve"> </w:t>
      </w:r>
      <w:r w:rsidR="000C1ABA" w:rsidRPr="000C1ABA">
        <w:t xml:space="preserve">W związku z uchyleniem przepisu art. 116a stanowiącym w części wdrożenie przepisu art. 14 dyrektywy o zezwoleniach, który budzi pewne wątpliwości Komisji Europejskiej, zwłaszcza w związku z tym, że nie oddaje w pełni brzmienia przepisu dyrektywy, a jednocześnie reguluje inne kwestie, niewynikające bezpośrednio z prawa unijnego, niezasadne jest dalsze jego stosowanie. </w:t>
      </w:r>
    </w:p>
    <w:p w14:paraId="543B7BDF" w14:textId="77777777" w:rsidR="000C1ABA" w:rsidRDefault="000C1ABA" w:rsidP="00D025BA">
      <w:pPr>
        <w:pStyle w:val="NIEARTTEKSTtekstnieartykuowanynppodstprawnarozplubpreambua"/>
      </w:pPr>
      <w:r w:rsidRPr="000C1ABA">
        <w:t>W związku z powyższym przewiduje się, że do postępowań wszczętych na podstawie wniosku, o którym mowa w art. 116a i niezakończonych przed dniem wejścia w życie niniejszej ustawy zastosowanie znajdą przepisy ustawy w brzmieniu nadanym niniejszą ustawą.</w:t>
      </w:r>
    </w:p>
    <w:p w14:paraId="090BFD12" w14:textId="24AD1D7E" w:rsidR="000C1ABA" w:rsidRPr="000C1ABA" w:rsidRDefault="00B23E98" w:rsidP="00901AF2">
      <w:pPr>
        <w:pStyle w:val="NIEARTTEKSTtekstnieartykuowanynppodstprawnarozplubpreambua"/>
        <w:ind w:firstLine="0"/>
      </w:pPr>
      <w:r>
        <w:rPr>
          <w:rStyle w:val="Ppogrubienie"/>
        </w:rPr>
        <w:t xml:space="preserve">Art. </w:t>
      </w:r>
      <w:r w:rsidR="002D6459">
        <w:rPr>
          <w:rStyle w:val="Ppogrubienie"/>
        </w:rPr>
        <w:t>9</w:t>
      </w:r>
      <w:r w:rsidR="000C1ABA" w:rsidRPr="000C1ABA">
        <w:rPr>
          <w:rStyle w:val="Ppogrubienie"/>
        </w:rPr>
        <w:t>.</w:t>
      </w:r>
      <w:r w:rsidR="000C1ABA" w:rsidRPr="000C1ABA">
        <w:t xml:space="preserve"> Wprowadzenie tego przepisu umożliwi zakończenie postępowań wszczętych i niezakończonych przed dniem wejścia w życie projektowanej zmiany, na dotychczas obowiązujących zasadach</w:t>
      </w:r>
      <w:r w:rsidR="00DE2883">
        <w:t xml:space="preserve"> w zakresie terminów</w:t>
      </w:r>
      <w:r w:rsidR="000C1ABA" w:rsidRPr="000C1ABA">
        <w:t>. Stosując nowe przepisy nie byłoby możliwe udzielenie rezerwacji podmiotom, które złożyły wniosek przed terminem wskazanym w dodawanym art. 116b</w:t>
      </w:r>
      <w:r w:rsidR="00DE2883">
        <w:t>, ponieważ wniosek pozostawałby bez rozpoznania</w:t>
      </w:r>
      <w:r w:rsidR="000C1ABA" w:rsidRPr="000C1ABA">
        <w:t>.</w:t>
      </w:r>
    </w:p>
    <w:p w14:paraId="2BF853F6" w14:textId="77777777" w:rsidR="000C1ABA" w:rsidRPr="00B23E98" w:rsidRDefault="000C1ABA" w:rsidP="00901AF2">
      <w:pPr>
        <w:pStyle w:val="NIEARTTEKSTtekstnieartykuowanynppodstprawnarozplubpreambua"/>
        <w:ind w:firstLine="0"/>
        <w:rPr>
          <w:b/>
        </w:rPr>
      </w:pPr>
      <w:r w:rsidRPr="009F74AE">
        <w:rPr>
          <w:rStyle w:val="Ppogrubienie"/>
        </w:rPr>
        <w:t xml:space="preserve">Art. </w:t>
      </w:r>
      <w:r w:rsidR="002D6459">
        <w:rPr>
          <w:rStyle w:val="Ppogrubienie"/>
        </w:rPr>
        <w:t>10</w:t>
      </w:r>
      <w:r w:rsidRPr="009F74AE">
        <w:rPr>
          <w:rStyle w:val="Ppogrubienie"/>
        </w:rPr>
        <w:t xml:space="preserve">. </w:t>
      </w:r>
      <w:r w:rsidRPr="000C1ABA">
        <w:t>Zakres projektowanych zmian powoduje, że nowe zasady prowadzenia przetargów, aukcji albo konkursów nie powinny mieć zastosowania do postępowań selekcyjnych będących w toku.  W związku z tym przewiduje się, że do przetargu, aukcji albo konkursu wszczętych i niezakończonych przed dniem wejścia w życie niniejszej ustawy zastosowanie znajdą przepisy dotychczasowe.</w:t>
      </w:r>
    </w:p>
    <w:p w14:paraId="70B9D596" w14:textId="77777777" w:rsidR="000C1ABA" w:rsidRPr="000C1ABA" w:rsidRDefault="00B23E98" w:rsidP="00B23E98">
      <w:pPr>
        <w:pStyle w:val="NIEARTTEKSTtekstnieartykuowanynppodstprawnarozplubpreambua"/>
      </w:pPr>
      <w:r>
        <w:rPr>
          <w:rStyle w:val="Ppogrubienie"/>
        </w:rPr>
        <w:lastRenderedPageBreak/>
        <w:t xml:space="preserve">Art. </w:t>
      </w:r>
      <w:r w:rsidR="002D6459">
        <w:rPr>
          <w:rStyle w:val="Ppogrubienie"/>
        </w:rPr>
        <w:t>11</w:t>
      </w:r>
      <w:r w:rsidR="000C1ABA" w:rsidRPr="000C1ABA">
        <w:rPr>
          <w:rStyle w:val="Ppogrubienie"/>
        </w:rPr>
        <w:t>.</w:t>
      </w:r>
      <w:r w:rsidR="000C1ABA" w:rsidRPr="000C1ABA">
        <w:t xml:space="preserve"> Zakres projektowanych zmian powoduje, że nowe zasady prowadzenia postępowań w sprawie dokonania rezerwacji częstotliwości po przeprowadzeniu przetargu, aukcji albo konkursie wszczętych i niezakończonych przed dniem wejścia w życie niniejszej ustawy, nie powinny mieć zastosowania  do postępowań,  które są w toku. </w:t>
      </w:r>
    </w:p>
    <w:p w14:paraId="5C773646" w14:textId="28D51B50" w:rsidR="00CA487E" w:rsidRDefault="000C1ABA" w:rsidP="00CA487E">
      <w:pPr>
        <w:pStyle w:val="NIEARTTEKSTtekstnieartykuowanynppodstprawnarozplubpreambua"/>
      </w:pPr>
      <w:r w:rsidRPr="000C1ABA">
        <w:t xml:space="preserve">W związku z tym w projekcie wprowadzono przepis przejściowy umożliwiający stosowanie dotychczasowych przepisów do postępowań wszczętych i niezakończonych przed dniem wejścia w życie niniejszej ustawy. </w:t>
      </w:r>
    </w:p>
    <w:p w14:paraId="798EEE59" w14:textId="6A09C9DE" w:rsidR="003B4562" w:rsidRDefault="00FD463A" w:rsidP="00A31BF5">
      <w:pPr>
        <w:pStyle w:val="ARTartustawynprozporzdzenia"/>
      </w:pPr>
      <w:r>
        <w:rPr>
          <w:rStyle w:val="Ppogrubienie"/>
        </w:rPr>
        <w:t>Art. 12</w:t>
      </w:r>
      <w:r w:rsidRPr="002847D1">
        <w:rPr>
          <w:rStyle w:val="Ppogrubienie"/>
        </w:rPr>
        <w:t xml:space="preserve">. </w:t>
      </w:r>
    </w:p>
    <w:p w14:paraId="4727B934" w14:textId="7066C494" w:rsidR="003643A7" w:rsidRPr="003643A7" w:rsidRDefault="003643A7" w:rsidP="003643A7">
      <w:pPr>
        <w:pStyle w:val="ARTartustawynprozporzdzenia"/>
      </w:pPr>
      <w:r>
        <w:t xml:space="preserve">W celu </w:t>
      </w:r>
      <w:r w:rsidR="00A31BF5">
        <w:t>rozwiania</w:t>
      </w:r>
      <w:r>
        <w:t xml:space="preserve"> ewentualnych wątpliwości co do stosowania przepisu art. 123 ust. 1 pkt 10 postanawia się, że </w:t>
      </w:r>
      <w:r w:rsidRPr="003643A7">
        <w:t>nie</w:t>
      </w:r>
      <w:r>
        <w:t xml:space="preserve"> będzie on</w:t>
      </w:r>
      <w:r w:rsidRPr="003643A7">
        <w:t xml:space="preserve"> stos</w:t>
      </w:r>
      <w:r>
        <w:t>owany</w:t>
      </w:r>
      <w:r w:rsidRPr="003643A7">
        <w:t xml:space="preserve"> się do transakcji handlow</w:t>
      </w:r>
      <w:r>
        <w:t>ych</w:t>
      </w:r>
      <w:r w:rsidRPr="003643A7">
        <w:t xml:space="preserve"> zawart</w:t>
      </w:r>
      <w:r>
        <w:t>ych</w:t>
      </w:r>
      <w:r w:rsidRPr="003643A7">
        <w:t xml:space="preserve"> przed dniem wejścia w życie ustawy.</w:t>
      </w:r>
    </w:p>
    <w:p w14:paraId="05C42F38" w14:textId="20513302" w:rsidR="00AE49C5" w:rsidRDefault="00FD463A" w:rsidP="00A31BF5">
      <w:pPr>
        <w:pStyle w:val="ARTartustawynprozporzdzenia"/>
      </w:pPr>
      <w:r>
        <w:rPr>
          <w:rStyle w:val="Ppogrubienie"/>
        </w:rPr>
        <w:t>Art. 13</w:t>
      </w:r>
      <w:r w:rsidRPr="002847D1">
        <w:rPr>
          <w:rStyle w:val="Ppogrubienie"/>
        </w:rPr>
        <w:t xml:space="preserve">. </w:t>
      </w:r>
      <w:r w:rsidR="003B4562">
        <w:t xml:space="preserve">W związku z wprowadzeniem opłaty skarbowej za </w:t>
      </w:r>
      <w:r w:rsidR="003B4562" w:rsidRPr="003B4562">
        <w:t>wydanie decyzji w sprawie rezerwacji częstotliwości</w:t>
      </w:r>
      <w:r w:rsidR="003B4562">
        <w:t xml:space="preserve"> należy uregulować kwestię </w:t>
      </w:r>
      <w:r w:rsidR="00AE49C5">
        <w:t xml:space="preserve">stosowania, do </w:t>
      </w:r>
      <w:r w:rsidR="00AE49C5" w:rsidRPr="00AE49C5">
        <w:t>postępowań w sprawie dokonania rezerwacji częstotliwości wszczętych i niezakończonych przed dniem wejścia w życie niniejszej ustawy</w:t>
      </w:r>
      <w:r w:rsidR="00AE49C5">
        <w:t>,</w:t>
      </w:r>
      <w:r w:rsidR="00AE49C5" w:rsidRPr="00AE49C5">
        <w:t xml:space="preserve"> </w:t>
      </w:r>
      <w:r w:rsidR="00AE49C5">
        <w:t>dotychczas obowiązujących przepisów ustawy o opłacie skarbowej wyłączających pobieranie opłaty za wydanie decyzji przez Prezesa UKE w ramach realizacji jego zadań w zakresie telekomunikacji.</w:t>
      </w:r>
    </w:p>
    <w:p w14:paraId="46B1A477" w14:textId="4781CBE6" w:rsidR="00FD463A" w:rsidRPr="00BA43DB" w:rsidRDefault="003B4562" w:rsidP="0000526A">
      <w:pPr>
        <w:pStyle w:val="ARTartustawynprozporzdzenia"/>
      </w:pPr>
      <w:r>
        <w:t xml:space="preserve">W związku z tym w projekcie wprowadzono </w:t>
      </w:r>
      <w:r w:rsidR="00AE49C5">
        <w:t xml:space="preserve">przepis przejściowy wyłączający stosowanie przepisów ustawy o opłacie skarbowej </w:t>
      </w:r>
      <w:r w:rsidR="00AE49C5" w:rsidRPr="00AE49C5">
        <w:t>w brzmieniu nadanym niniejszą ustawą</w:t>
      </w:r>
      <w:r w:rsidR="00AE49C5">
        <w:t>.</w:t>
      </w:r>
    </w:p>
    <w:p w14:paraId="59BA9422" w14:textId="41564097" w:rsidR="00A81152" w:rsidRDefault="00B23E98" w:rsidP="00A4243C">
      <w:pPr>
        <w:pStyle w:val="NIEARTTEKSTtekstnieartykuowanynppodstprawnarozplubpreambua"/>
      </w:pPr>
      <w:r>
        <w:rPr>
          <w:rStyle w:val="Ppogrubienie"/>
        </w:rPr>
        <w:t xml:space="preserve">Art. </w:t>
      </w:r>
      <w:r w:rsidR="00FD463A">
        <w:rPr>
          <w:rStyle w:val="Ppogrubienie"/>
        </w:rPr>
        <w:t>14</w:t>
      </w:r>
      <w:r w:rsidR="000C1ABA" w:rsidRPr="009F74AE">
        <w:rPr>
          <w:rStyle w:val="Ppogrubienie"/>
        </w:rPr>
        <w:t>.</w:t>
      </w:r>
      <w:r>
        <w:rPr>
          <w:rStyle w:val="Ppogrubienie"/>
        </w:rPr>
        <w:t xml:space="preserve"> </w:t>
      </w:r>
      <w:r w:rsidR="00A64955" w:rsidRPr="00A64955">
        <w:t>W związku ze zmianami wprowadzonymi w ustawie z dnia 21 grudnia 2000 r. o żegludze śródlądowej, ustawie z dnia 3 lipca 2002 r. - Prawo lotnicze i ustawie z dnia 18 sierpnia 2011 r. o bezpieczeństwie morskim konieczne jest wprowadzenie przepisu przejściowego określającego zasady postępowania z dotychczas wydanymi świadectwami operatora urządzeń radiowych w służbie radiokomunikacyjnej lotniczej, morskiej i  żeglugi śródlądowej na podstawie przepisów ustawy - Prawo telekomunikacyjne, a także z wnioskami o wydanie świadectw operatora urządzeń radiowych, które zostaną złożone do Prezesa UKE przed wejściem w życie ustawy</w:t>
      </w:r>
      <w:r w:rsidR="00A64955">
        <w:t>.</w:t>
      </w:r>
    </w:p>
    <w:p w14:paraId="65D1D330" w14:textId="09793526" w:rsidR="00E63789" w:rsidRDefault="00ED1DF1" w:rsidP="00A4243C">
      <w:pPr>
        <w:pStyle w:val="NIEARTTEKSTtekstnieartykuowanynppodstprawnarozplubpreambua"/>
      </w:pPr>
      <w:r w:rsidRPr="00A81152">
        <w:rPr>
          <w:rStyle w:val="Ppogrubienie"/>
        </w:rPr>
        <w:t xml:space="preserve">Art. </w:t>
      </w:r>
      <w:r w:rsidR="00FD463A" w:rsidRPr="00A81152">
        <w:rPr>
          <w:rStyle w:val="Ppogrubienie"/>
        </w:rPr>
        <w:t>1</w:t>
      </w:r>
      <w:r w:rsidR="00FD463A">
        <w:rPr>
          <w:rStyle w:val="Ppogrubienie"/>
        </w:rPr>
        <w:t>5</w:t>
      </w:r>
      <w:r w:rsidR="00E63789" w:rsidRPr="00A81152">
        <w:rPr>
          <w:rStyle w:val="Ppogrubienie"/>
        </w:rPr>
        <w:t>.</w:t>
      </w:r>
      <w:r w:rsidR="00E63789">
        <w:t xml:space="preserve"> </w:t>
      </w:r>
      <w:r w:rsidR="00A4243C">
        <w:t xml:space="preserve"> </w:t>
      </w:r>
      <w:r w:rsidR="00A64955" w:rsidRPr="00A64955">
        <w:t xml:space="preserve">Wprowadzone nowelizacją zmiany będą skutkowały koniecznością wydania nowego rozporządzenia z art. 120 ustawy Prawo telekomunikacyjne. W związku z powyższym zachodzi konieczność utrzymania dotychczasowych przepisów wykonawczych, do czasu wejścia w życie nowych regulacji, jednak nie dłużej niż przez 6 miesięcy. Należy mieć na </w:t>
      </w:r>
      <w:r w:rsidR="00A64955" w:rsidRPr="00A64955">
        <w:lastRenderedPageBreak/>
        <w:t xml:space="preserve">uwadze, że na gruncie pozostawionego w mocy rozporządzenia nie istnieje możliwość przeprowadzenia aukcji i przetargu. </w:t>
      </w:r>
    </w:p>
    <w:p w14:paraId="3D9FB56D" w14:textId="48DB832C" w:rsidR="00C2482D" w:rsidRDefault="00FD463A" w:rsidP="0000526A">
      <w:pPr>
        <w:pStyle w:val="ARTartustawynprozporzdzenia"/>
        <w:ind w:firstLine="0"/>
      </w:pPr>
      <w:r>
        <w:tab/>
      </w:r>
      <w:r>
        <w:tab/>
      </w:r>
      <w:r w:rsidR="005B7D45" w:rsidRPr="00A81152">
        <w:rPr>
          <w:rStyle w:val="Ppogrubienie"/>
        </w:rPr>
        <w:t xml:space="preserve">Art. </w:t>
      </w:r>
      <w:r w:rsidRPr="00A81152">
        <w:rPr>
          <w:rStyle w:val="Ppogrubienie"/>
        </w:rPr>
        <w:t>1</w:t>
      </w:r>
      <w:r>
        <w:rPr>
          <w:rStyle w:val="Ppogrubienie"/>
        </w:rPr>
        <w:t>6</w:t>
      </w:r>
      <w:r w:rsidR="00E63789" w:rsidRPr="00A81152">
        <w:rPr>
          <w:rStyle w:val="Ppogrubienie"/>
        </w:rPr>
        <w:t>.</w:t>
      </w:r>
      <w:r w:rsidR="00A4243C">
        <w:t xml:space="preserve"> </w:t>
      </w:r>
      <w:r w:rsidR="000C1ABA" w:rsidRPr="000C1ABA">
        <w:t>Przewiduje się, że ustawa wejdzie w życie po upływie 30 dni od dnia ogłoszenia</w:t>
      </w:r>
      <w:r w:rsidR="0090772E">
        <w:t>, z wyjątkiem art. 1 pkt 28 i 29 oraz art. 3, 4 i 6, które wchodzą w życie po upływie 2 lat od dnia ogłoszenia</w:t>
      </w:r>
      <w:r w:rsidR="001102AC">
        <w:t xml:space="preserve"> (tj. przepisów dotyczących </w:t>
      </w:r>
      <w:r w:rsidR="001102AC" w:rsidRPr="001102AC">
        <w:t xml:space="preserve">przeniesienie kompetencji Prezesa UKE do wydawania świadectw </w:t>
      </w:r>
      <w:r w:rsidR="001102AC">
        <w:t xml:space="preserve">operatora urządzeń radiowych </w:t>
      </w:r>
      <w:r w:rsidR="001102AC" w:rsidRPr="001102AC">
        <w:t>na inne organy</w:t>
      </w:r>
      <w:r w:rsidR="001102AC">
        <w:t>)</w:t>
      </w:r>
    </w:p>
    <w:p w14:paraId="32FFDA09" w14:textId="31987863" w:rsidR="00CC03BD" w:rsidRPr="00CC03BD" w:rsidRDefault="00543F86" w:rsidP="00C25304">
      <w:pPr>
        <w:pStyle w:val="ARTartustawynprozporzdzenia"/>
        <w:ind w:firstLine="0"/>
      </w:pPr>
      <w:r>
        <w:t>P</w:t>
      </w:r>
      <w:r w:rsidR="00CC03BD" w:rsidRPr="00CC03BD">
        <w:t xml:space="preserve">rojekt przewiduje 30-dniowy termin wejścia w życie </w:t>
      </w:r>
      <w:r w:rsidR="00C17460">
        <w:t xml:space="preserve">ustawy, z wyjątkiem przepisów </w:t>
      </w:r>
      <w:r w:rsidR="00C17460" w:rsidRPr="00C17460">
        <w:t xml:space="preserve">dotyczących przeniesienia kompetencji Prezesa UKE do wydawania świadectw operatora urządzeń radiowych na inne organy. </w:t>
      </w:r>
      <w:r w:rsidR="00CC03BD" w:rsidRPr="00CC03BD">
        <w:t xml:space="preserve">. Przyjęcie </w:t>
      </w:r>
      <w:r w:rsidR="00C17460">
        <w:t>30-dniowego</w:t>
      </w:r>
      <w:r w:rsidR="00C17460" w:rsidRPr="00CC03BD">
        <w:t xml:space="preserve"> </w:t>
      </w:r>
      <w:r w:rsidR="00CC03BD" w:rsidRPr="00CC03BD">
        <w:t xml:space="preserve">terminu wejścia w życie wynika z tego, że </w:t>
      </w:r>
      <w:r w:rsidR="00C17460">
        <w:t>przepisy objęte tym terminem</w:t>
      </w:r>
      <w:r w:rsidR="00C17460" w:rsidRPr="00CC03BD">
        <w:t xml:space="preserve"> </w:t>
      </w:r>
      <w:r w:rsidR="00CC03BD" w:rsidRPr="00CC03BD">
        <w:t>ma</w:t>
      </w:r>
      <w:r w:rsidR="00C17460">
        <w:t>ją</w:t>
      </w:r>
      <w:r w:rsidR="00CC03BD" w:rsidRPr="00CC03BD">
        <w:t xml:space="preserve"> systemowy i kompleksowy charakter </w:t>
      </w:r>
      <w:r w:rsidR="00C17460">
        <w:t xml:space="preserve">Ponadto, </w:t>
      </w:r>
      <w:r w:rsidR="00CC03BD" w:rsidRPr="00CC03BD">
        <w:t xml:space="preserve">dłuższe vacatio legis nie znajduje uzasadnienia </w:t>
      </w:r>
      <w:r w:rsidR="00C17460">
        <w:t>ponieważ</w:t>
      </w:r>
      <w:r w:rsidR="00CC03BD" w:rsidRPr="00CC03BD">
        <w:t xml:space="preserve"> implementowane </w:t>
      </w:r>
      <w:r w:rsidR="00C17460">
        <w:t xml:space="preserve">projektem ustawy </w:t>
      </w:r>
      <w:r w:rsidR="00C17460" w:rsidRPr="00CC03BD">
        <w:t xml:space="preserve"> akty</w:t>
      </w:r>
      <w:r w:rsidR="00C17460">
        <w:t xml:space="preserve"> unijne</w:t>
      </w:r>
      <w:r w:rsidR="00C17460" w:rsidRPr="00CC03BD">
        <w:t xml:space="preserve"> </w:t>
      </w:r>
      <w:r w:rsidR="00CC03BD" w:rsidRPr="00CC03BD">
        <w:t xml:space="preserve">weszły już w życie. </w:t>
      </w:r>
      <w:r w:rsidR="00C17460">
        <w:t>N</w:t>
      </w:r>
      <w:r w:rsidR="00CC03BD" w:rsidRPr="00CC03BD">
        <w:t xml:space="preserve">iezasadne wydaje się </w:t>
      </w:r>
      <w:r w:rsidR="00C17460">
        <w:t xml:space="preserve">więc </w:t>
      </w:r>
      <w:r w:rsidR="00CC03BD" w:rsidRPr="00CC03BD">
        <w:t xml:space="preserve">wydłużanie proponowanego terminu wejścia w życie. </w:t>
      </w:r>
    </w:p>
    <w:p w14:paraId="1C5C5108" w14:textId="21D208B1" w:rsidR="00CC03BD" w:rsidRPr="00CC03BD" w:rsidRDefault="00CC03BD" w:rsidP="00CC03BD">
      <w:pPr>
        <w:pStyle w:val="ARTartustawynprozporzdzenia"/>
      </w:pPr>
      <w:r w:rsidRPr="00CC03BD">
        <w:t>Należy mieć również na uwadze, że termin wejścia w życie projektowanych zmian związany jest z postanowieniami Decyzji Parlamentu Europejskiego i Rady (UE) 2017/899 z dnia 17 maja 2017 r. w sprawie wykorzystywania zakresu częstotliwości 470—790 MHz w Unii. Decyzja obliguje państwa członkowskie do tego, aby nie później niż do dnia 30 czerwca 2018 r., przyjęły i ogłosiły publicznie swoje krajowe plany i harmonogramy (</w:t>
      </w:r>
      <w:r w:rsidR="00C54224">
        <w:t>„</w:t>
      </w:r>
      <w:r w:rsidRPr="00CC03BD">
        <w:t>krajowe plany działania</w:t>
      </w:r>
      <w:r w:rsidR="00C54224">
        <w:t>”</w:t>
      </w:r>
      <w:r w:rsidRPr="00CC03BD">
        <w:t>), dotyczące dopuszczenia do korzystania z zakresu częstotliwości 694– 790 MHz (</w:t>
      </w:r>
      <w:r w:rsidR="00C54224">
        <w:t>„</w:t>
      </w:r>
      <w:r w:rsidRPr="00CC03BD">
        <w:t>pasmo 700 MHz</w:t>
      </w:r>
      <w:r w:rsidR="00C54224">
        <w:t>”</w:t>
      </w:r>
      <w:r w:rsidRPr="00CC03BD">
        <w:t>) na potrzeby naziemnych systemów do zapewniania usług bezprzewodowej szerokopasmowej łączności elektronicznej (art. 5 ust. 1). Zaś do dnia 30 czerwca 2020 r. państwa członkowskie powinny dopuścić do korzystania z zakresu częstotliwości 694–790 MHz (</w:t>
      </w:r>
      <w:r w:rsidR="00C54224">
        <w:t>„</w:t>
      </w:r>
      <w:r w:rsidRPr="00CC03BD">
        <w:t>pasmo 700 MHz</w:t>
      </w:r>
      <w:r w:rsidR="00C54224">
        <w:t>”</w:t>
      </w:r>
      <w:r w:rsidRPr="00CC03BD">
        <w:t>) na potrzeby naziemnych systemów do zapewniania usług bezprzewodowej szerokopasmowej łączności elektronicznej (art. 1 ust. 1). W związku z tym konieczne jest sprawne wprowadzenie zaproponowanych w projekcie regulacji umożliwiających realizację krajowych planów działań w zakresie zmiany przeznaczenia pasma 700 MHz.</w:t>
      </w:r>
    </w:p>
    <w:p w14:paraId="5B115C59" w14:textId="4410ACA8" w:rsidR="001102AC" w:rsidRDefault="00CC03BD" w:rsidP="001102AC">
      <w:pPr>
        <w:pStyle w:val="ARTartustawynprozporzdzenia"/>
      </w:pPr>
      <w:r w:rsidRPr="00CC03BD">
        <w:t xml:space="preserve">Zaproponowany w projekcie 30-dniowy termin wejścia w życie dotyczy również zmian wynikających z Dyrektywy 2014/53/UE z dnia 16 kwietnia 2014 r. w sprawie harmonizacji ustawodawstw państw członkowskich dotyczących udostępniania na rynku urządzeń radiowych i uchylającej dyrektywę 1999/5/WE. Państwa członkowskie zobligowane zostały do stosowania przepisów ustawowych, wykonawczych i administracyjnych niezbędnych do </w:t>
      </w:r>
      <w:r w:rsidRPr="00CC03BD">
        <w:lastRenderedPageBreak/>
        <w:t xml:space="preserve">wykonania tej dyrektywy od dnia 13 czerwca 2016 r. W Polsce przepisy implementujące przedmiotową dyrektywę weszły w życie z dniem 20 kwietnia 2016 r., jednakże w związku ze stanowiskiem KE zawartym w Przewodniku z dnia 19 maja 2017 r. do Dyrektywy 2014/53/UE zawierającym wskazówki do jednolitego stosowania dyrektywy na terenie Unii zaistniała potrzeba dostosowania przepisów ustawy - Prawo telekomunikacyjne zgodnie ze wskazówkami zawartymi w Przewodniku KE do Dyrektywy 2014/53/UE. Przyjęcie 30-dniowego terminu wejścia w życie w stosunku do przepisów implementujących ww. dyrektywę wydaje się uzasadnione również ze względu na konieczność stosowania jednakowej praktyki w zakresie regulacji dotyczących urządzeń radiowych przez poszczególne państwa członkowskie UE. </w:t>
      </w:r>
    </w:p>
    <w:p w14:paraId="19078D92" w14:textId="414F4E96" w:rsidR="000B69DF" w:rsidRDefault="001102AC" w:rsidP="006A0462">
      <w:pPr>
        <w:pStyle w:val="ARTartustawynprozporzdzenia"/>
        <w:ind w:firstLine="0"/>
      </w:pPr>
      <w:r>
        <w:t xml:space="preserve">Proponuje się </w:t>
      </w:r>
      <w:r w:rsidR="00FD56A0">
        <w:t xml:space="preserve">natomiast </w:t>
      </w:r>
      <w:r>
        <w:t xml:space="preserve">dłuższy okres vacatio legis wynoszący 2 lata w odniesieniu do </w:t>
      </w:r>
      <w:r w:rsidR="001808AF">
        <w:t>przepisów dotyczących przeniesienia</w:t>
      </w:r>
      <w:r w:rsidR="001808AF" w:rsidRPr="001102AC">
        <w:t xml:space="preserve"> </w:t>
      </w:r>
      <w:r w:rsidR="001808AF" w:rsidRPr="001808AF">
        <w:t>kompetencji Prezesa UKE do wydawania świadectw operatora urządzeń radiowych na inne organy</w:t>
      </w:r>
      <w:r w:rsidR="001808AF">
        <w:t>.</w:t>
      </w:r>
      <w:r w:rsidR="000B69DF">
        <w:t xml:space="preserve"> Termin taki jest konieczny do </w:t>
      </w:r>
      <w:r w:rsidR="001808AF">
        <w:t xml:space="preserve"> </w:t>
      </w:r>
      <w:r w:rsidR="000B69DF">
        <w:t>zaplanowania, wdrożenia i uruchomienia</w:t>
      </w:r>
      <w:r w:rsidR="001808AF" w:rsidRPr="001808AF">
        <w:t xml:space="preserve"> systemu wydawania świadectw</w:t>
      </w:r>
      <w:r w:rsidR="000B69DF">
        <w:t xml:space="preserve"> operatora urządzeń radiowych przez organy, które dotychczas nie miały takich kompetencji oraz umożliwi zapewnienie odpowiednich środków finansowych do wykonywania nowych zadań.</w:t>
      </w:r>
    </w:p>
    <w:p w14:paraId="5B32C129" w14:textId="77777777" w:rsidR="00CC03BD" w:rsidRPr="00CC03BD" w:rsidRDefault="00CC03BD" w:rsidP="00CC03BD">
      <w:pPr>
        <w:pStyle w:val="ARTartustawynprozporzdzenia"/>
        <w:ind w:firstLine="0"/>
      </w:pPr>
    </w:p>
    <w:p w14:paraId="45291ECE" w14:textId="77777777" w:rsidR="000C1ABA" w:rsidRDefault="000C1ABA" w:rsidP="009A2C2A">
      <w:pPr>
        <w:pStyle w:val="NIEARTTEKSTtekstnieartykuowanynppodstprawnarozplubpreambua"/>
      </w:pPr>
      <w:r>
        <w:br w:type="page"/>
      </w:r>
    </w:p>
    <w:p w14:paraId="558FA7AA" w14:textId="77777777" w:rsidR="000C1ABA" w:rsidRPr="000C1ABA" w:rsidRDefault="000C1ABA" w:rsidP="009A2C2A">
      <w:pPr>
        <w:pStyle w:val="TYTDZPRZEDMprzedmiotregulacjitytuulubdziau"/>
      </w:pPr>
      <w:r w:rsidRPr="000C1ABA">
        <w:lastRenderedPageBreak/>
        <w:t>Ocena skutków regulacji</w:t>
      </w:r>
    </w:p>
    <w:tbl>
      <w:tblPr>
        <w:tblpPr w:leftFromText="141" w:rightFromText="141" w:vertAnchor="text" w:horzAnchor="page" w:tblpX="877" w:tblpY="2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100"/>
        <w:gridCol w:w="972"/>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970"/>
      </w:tblGrid>
      <w:tr w:rsidR="000C1ABA" w:rsidRPr="000C1ABA" w14:paraId="26135CEF" w14:textId="77777777" w:rsidTr="00FA7950">
        <w:trPr>
          <w:trHeight w:val="1611"/>
        </w:trPr>
        <w:tc>
          <w:tcPr>
            <w:tcW w:w="6631" w:type="dxa"/>
            <w:gridSpan w:val="17"/>
          </w:tcPr>
          <w:p w14:paraId="03201501" w14:textId="77777777" w:rsidR="000C1ABA" w:rsidRPr="000C1ABA" w:rsidRDefault="000C1ABA" w:rsidP="000C1ABA">
            <w:pPr>
              <w:spacing w:before="120" w:line="240" w:lineRule="auto"/>
              <w:ind w:hanging="45"/>
              <w:jc w:val="left"/>
              <w:rPr>
                <w:rFonts w:ascii="Calibri" w:eastAsia="Times New Roman" w:hAnsi="Calibri" w:cs="Times New Roman"/>
                <w:color w:val="000000"/>
                <w:szCs w:val="24"/>
              </w:rPr>
            </w:pPr>
            <w:bookmarkStart w:id="12" w:name="t1"/>
            <w:r w:rsidRPr="000C1ABA">
              <w:rPr>
                <w:rFonts w:ascii="Calibri" w:eastAsia="Times New Roman" w:hAnsi="Calibri" w:cs="Times New Roman"/>
                <w:b/>
                <w:color w:val="000000"/>
                <w:szCs w:val="24"/>
              </w:rPr>
              <w:t>Nazwa projektu</w:t>
            </w:r>
          </w:p>
          <w:p w14:paraId="00D27E97" w14:textId="77777777" w:rsidR="000C1ABA" w:rsidRPr="000C1ABA" w:rsidRDefault="000C1ABA" w:rsidP="000C1ABA">
            <w:pPr>
              <w:spacing w:line="240" w:lineRule="auto"/>
              <w:ind w:right="-120"/>
              <w:jc w:val="left"/>
              <w:rPr>
                <w:rFonts w:ascii="Calibri" w:eastAsia="Times New Roman" w:hAnsi="Calibri" w:cs="Times New Roman"/>
                <w:bCs/>
                <w:szCs w:val="24"/>
              </w:rPr>
            </w:pPr>
            <w:r w:rsidRPr="000C1ABA">
              <w:rPr>
                <w:rFonts w:ascii="Calibri" w:eastAsia="Times New Roman" w:hAnsi="Calibri" w:cs="Times New Roman"/>
                <w:bCs/>
                <w:szCs w:val="24"/>
              </w:rPr>
              <w:t xml:space="preserve">Projekt ustawy o zmianie ustawy - Prawo telekomunikacyjne oraz </w:t>
            </w:r>
            <w:r w:rsidR="00DA2052" w:rsidRPr="00DA2052">
              <w:t xml:space="preserve"> </w:t>
            </w:r>
            <w:r w:rsidR="00F56577">
              <w:t>niektórych innych ustaw</w:t>
            </w:r>
          </w:p>
          <w:p w14:paraId="264F1551" w14:textId="77777777" w:rsidR="000C1ABA" w:rsidRPr="000C1ABA" w:rsidRDefault="000C1ABA" w:rsidP="000C1ABA">
            <w:pPr>
              <w:spacing w:before="120" w:line="240" w:lineRule="auto"/>
              <w:ind w:hanging="45"/>
              <w:jc w:val="left"/>
              <w:rPr>
                <w:rFonts w:ascii="Calibri" w:eastAsia="Times New Roman" w:hAnsi="Calibri" w:cs="Times New Roman"/>
                <w:b/>
                <w:color w:val="000000"/>
                <w:szCs w:val="24"/>
              </w:rPr>
            </w:pPr>
            <w:r w:rsidRPr="000C1ABA">
              <w:rPr>
                <w:rFonts w:ascii="Calibri" w:eastAsia="Times New Roman" w:hAnsi="Calibri" w:cs="Times New Roman"/>
                <w:b/>
                <w:color w:val="000000"/>
                <w:szCs w:val="24"/>
              </w:rPr>
              <w:t>Ministerstwo wiodące i ministerstwa współpracujące</w:t>
            </w:r>
          </w:p>
          <w:bookmarkEnd w:id="12"/>
          <w:p w14:paraId="42F18036" w14:textId="77777777" w:rsidR="000C1ABA" w:rsidRPr="000C1ABA" w:rsidRDefault="000C1ABA" w:rsidP="000C1ABA">
            <w:pPr>
              <w:spacing w:line="240" w:lineRule="auto"/>
              <w:ind w:hanging="34"/>
              <w:jc w:val="left"/>
              <w:rPr>
                <w:rFonts w:ascii="Calibri" w:eastAsia="Times New Roman" w:hAnsi="Calibri" w:cs="Times New Roman"/>
                <w:color w:val="000000"/>
                <w:szCs w:val="24"/>
              </w:rPr>
            </w:pPr>
            <w:r w:rsidRPr="000C1ABA">
              <w:rPr>
                <w:rFonts w:ascii="Calibri" w:eastAsia="Times New Roman" w:hAnsi="Calibri" w:cs="Times New Roman"/>
                <w:color w:val="000000"/>
                <w:szCs w:val="24"/>
              </w:rPr>
              <w:t>Ministerstwo Cyfryzacji</w:t>
            </w:r>
          </w:p>
          <w:p w14:paraId="45D082BA" w14:textId="77777777" w:rsidR="000C1ABA" w:rsidRPr="000C1ABA" w:rsidRDefault="000C1ABA" w:rsidP="000C1ABA">
            <w:pPr>
              <w:spacing w:line="240" w:lineRule="auto"/>
              <w:ind w:hanging="34"/>
              <w:jc w:val="left"/>
              <w:rPr>
                <w:rFonts w:ascii="Calibri" w:eastAsia="Times New Roman" w:hAnsi="Calibri" w:cs="Times New Roman"/>
                <w:color w:val="000000"/>
                <w:szCs w:val="24"/>
              </w:rPr>
            </w:pPr>
          </w:p>
          <w:p w14:paraId="6B33F954" w14:textId="77777777" w:rsidR="000C1ABA" w:rsidRPr="000C1ABA" w:rsidRDefault="000C1ABA" w:rsidP="000C1ABA">
            <w:pPr>
              <w:spacing w:line="240" w:lineRule="auto"/>
              <w:jc w:val="left"/>
              <w:rPr>
                <w:rFonts w:ascii="Calibri" w:eastAsia="Times New Roman" w:hAnsi="Calibri" w:cs="Times New Roman"/>
                <w:b/>
                <w:szCs w:val="24"/>
              </w:rPr>
            </w:pPr>
            <w:r w:rsidRPr="000C1ABA">
              <w:rPr>
                <w:rFonts w:ascii="Calibri" w:eastAsia="Times New Roman" w:hAnsi="Calibri" w:cs="Times New Roman"/>
                <w:b/>
                <w:szCs w:val="24"/>
              </w:rPr>
              <w:t xml:space="preserve">Osoba odpowiedzialna za projekt w randze Ministra, Sekretarza Stanu lub Podsekretarza Stanu </w:t>
            </w:r>
          </w:p>
          <w:p w14:paraId="43F0EA9A" w14:textId="77777777" w:rsidR="000C1ABA" w:rsidRPr="000C1ABA" w:rsidRDefault="008B7099" w:rsidP="000C1ABA">
            <w:pPr>
              <w:spacing w:line="240" w:lineRule="auto"/>
              <w:rPr>
                <w:rFonts w:ascii="Calibri" w:eastAsia="Times New Roman" w:hAnsi="Calibri" w:cs="Times New Roman"/>
                <w:szCs w:val="24"/>
              </w:rPr>
            </w:pPr>
            <w:r>
              <w:t>Podsekretarz Stanu w Ministerstwie Cyfryzacji Wanda Buk</w:t>
            </w:r>
          </w:p>
          <w:p w14:paraId="0C64DCC2" w14:textId="77777777" w:rsidR="000C1ABA" w:rsidRPr="000C1ABA" w:rsidRDefault="000C1ABA" w:rsidP="000C1ABA">
            <w:pPr>
              <w:widowControl/>
              <w:autoSpaceDE/>
              <w:autoSpaceDN/>
              <w:adjustRightInd/>
              <w:spacing w:line="240" w:lineRule="auto"/>
              <w:ind w:hanging="34"/>
              <w:jc w:val="left"/>
              <w:rPr>
                <w:rFonts w:ascii="Calibri" w:eastAsia="Calibri" w:hAnsi="Calibri" w:cs="Times New Roman"/>
                <w:szCs w:val="24"/>
                <w:lang w:eastAsia="en-US"/>
              </w:rPr>
            </w:pPr>
            <w:r w:rsidRPr="000C1ABA">
              <w:rPr>
                <w:rFonts w:ascii="Calibri" w:eastAsia="Calibri" w:hAnsi="Calibri" w:cs="Times New Roman"/>
                <w:b/>
                <w:szCs w:val="24"/>
                <w:lang w:eastAsia="en-US"/>
              </w:rPr>
              <w:t>Kontakt do opiekuna merytorycznego projektu</w:t>
            </w:r>
          </w:p>
          <w:p w14:paraId="1475A48B" w14:textId="77777777" w:rsidR="000C1ABA" w:rsidRPr="000C1ABA" w:rsidRDefault="000C1ABA" w:rsidP="000C1ABA">
            <w:pPr>
              <w:widowControl/>
              <w:autoSpaceDE/>
              <w:autoSpaceDN/>
              <w:adjustRightInd/>
              <w:spacing w:line="240" w:lineRule="auto"/>
              <w:ind w:hanging="45"/>
              <w:jc w:val="left"/>
              <w:rPr>
                <w:rFonts w:ascii="Calibri" w:eastAsia="Calibri" w:hAnsi="Calibri" w:cs="Times New Roman"/>
                <w:color w:val="000000"/>
                <w:szCs w:val="24"/>
                <w:lang w:eastAsia="en-US"/>
              </w:rPr>
            </w:pPr>
            <w:r w:rsidRPr="000C1ABA">
              <w:rPr>
                <w:rFonts w:ascii="Calibri" w:eastAsia="Times New Roman" w:hAnsi="Calibri" w:cs="Times New Roman"/>
                <w:bCs/>
                <w:szCs w:val="24"/>
              </w:rPr>
              <w:t>Beata Dobrzyńska-Borucka – Wydział Regulacyjny w Departamencie Telekomunikacji w Ministerstwie Cyfryzacji, tel. 22 245-57-87</w:t>
            </w:r>
          </w:p>
        </w:tc>
        <w:tc>
          <w:tcPr>
            <w:tcW w:w="3854" w:type="dxa"/>
            <w:gridSpan w:val="12"/>
            <w:shd w:val="clear" w:color="auto" w:fill="FFFFFF"/>
          </w:tcPr>
          <w:p w14:paraId="00362677" w14:textId="184EF0BA" w:rsidR="000C1ABA" w:rsidRPr="000C1ABA" w:rsidRDefault="000C1ABA" w:rsidP="000C1ABA">
            <w:pPr>
              <w:spacing w:line="240" w:lineRule="auto"/>
              <w:jc w:val="left"/>
              <w:rPr>
                <w:rFonts w:ascii="Calibri" w:eastAsia="Times New Roman" w:hAnsi="Calibri" w:cs="Times New Roman"/>
                <w:b/>
                <w:szCs w:val="24"/>
              </w:rPr>
            </w:pPr>
            <w:r w:rsidRPr="000C1ABA">
              <w:rPr>
                <w:rFonts w:ascii="Calibri" w:eastAsia="Times New Roman" w:hAnsi="Calibri" w:cs="Times New Roman"/>
                <w:b/>
                <w:szCs w:val="24"/>
              </w:rPr>
              <w:t xml:space="preserve">Data sporządzenia </w:t>
            </w:r>
            <w:r w:rsidR="00180BB7">
              <w:t>11</w:t>
            </w:r>
            <w:r w:rsidR="00180BB7">
              <w:rPr>
                <w:rFonts w:ascii="Calibri" w:eastAsia="Times New Roman" w:hAnsi="Calibri" w:cs="Times New Roman"/>
                <w:szCs w:val="24"/>
              </w:rPr>
              <w:t>.</w:t>
            </w:r>
            <w:r w:rsidR="00180BB7">
              <w:t>12</w:t>
            </w:r>
            <w:r w:rsidRPr="000C1ABA">
              <w:rPr>
                <w:rFonts w:ascii="Calibri" w:eastAsia="Times New Roman" w:hAnsi="Calibri" w:cs="Times New Roman"/>
                <w:szCs w:val="24"/>
              </w:rPr>
              <w:t>.2018</w:t>
            </w:r>
          </w:p>
          <w:p w14:paraId="386E5F06" w14:textId="77777777" w:rsidR="000C1ABA" w:rsidRPr="000C1ABA" w:rsidRDefault="000C1ABA" w:rsidP="000C1ABA">
            <w:pPr>
              <w:spacing w:line="240" w:lineRule="auto"/>
              <w:jc w:val="left"/>
              <w:rPr>
                <w:rFonts w:ascii="Calibri" w:eastAsia="Times New Roman" w:hAnsi="Calibri" w:cs="Times New Roman"/>
                <w:b/>
                <w:szCs w:val="24"/>
              </w:rPr>
            </w:pPr>
          </w:p>
          <w:p w14:paraId="7D404112" w14:textId="77777777" w:rsidR="000C1ABA" w:rsidRPr="000C1ABA" w:rsidRDefault="000C1ABA" w:rsidP="000C1ABA">
            <w:pPr>
              <w:spacing w:line="240" w:lineRule="auto"/>
              <w:jc w:val="left"/>
              <w:rPr>
                <w:rFonts w:ascii="Calibri" w:eastAsia="Times New Roman" w:hAnsi="Calibri" w:cs="Times New Roman"/>
                <w:b/>
                <w:szCs w:val="24"/>
              </w:rPr>
            </w:pPr>
            <w:r w:rsidRPr="000C1ABA">
              <w:rPr>
                <w:rFonts w:ascii="Calibri" w:eastAsia="Times New Roman" w:hAnsi="Calibri" w:cs="Times New Roman"/>
                <w:b/>
                <w:szCs w:val="24"/>
              </w:rPr>
              <w:t xml:space="preserve">Źródło: </w:t>
            </w:r>
            <w:bookmarkStart w:id="13" w:name="Lista1"/>
          </w:p>
          <w:bookmarkEnd w:id="13"/>
          <w:p w14:paraId="250D3A3D" w14:textId="77777777" w:rsidR="000C1ABA" w:rsidRPr="000C1ABA" w:rsidRDefault="000C1ABA" w:rsidP="000C1ABA">
            <w:pPr>
              <w:spacing w:line="240" w:lineRule="auto"/>
              <w:jc w:val="left"/>
              <w:rPr>
                <w:rFonts w:ascii="Calibri" w:eastAsia="Times New Roman" w:hAnsi="Calibri"/>
                <w:sz w:val="20"/>
              </w:rPr>
            </w:pPr>
            <w:r w:rsidRPr="000C1ABA">
              <w:rPr>
                <w:rFonts w:ascii="Calibri" w:eastAsia="Times New Roman" w:hAnsi="Calibri"/>
                <w:sz w:val="20"/>
              </w:rPr>
              <w:t>-Zarzuty formalne Komisji Europejskiej (uchybienie nr 2016/2122);</w:t>
            </w:r>
          </w:p>
          <w:p w14:paraId="078002D1" w14:textId="77777777" w:rsidR="000C1ABA" w:rsidRPr="000C1ABA" w:rsidRDefault="000C1ABA" w:rsidP="000C1ABA">
            <w:pPr>
              <w:spacing w:line="240" w:lineRule="auto"/>
              <w:jc w:val="left"/>
              <w:rPr>
                <w:rFonts w:ascii="Calibri" w:eastAsia="Times New Roman" w:hAnsi="Calibri"/>
                <w:sz w:val="20"/>
              </w:rPr>
            </w:pPr>
            <w:r w:rsidRPr="000C1ABA">
              <w:rPr>
                <w:rFonts w:ascii="Calibri" w:eastAsia="Times New Roman" w:hAnsi="Calibri"/>
                <w:sz w:val="20"/>
              </w:rPr>
              <w:t>-</w:t>
            </w:r>
            <w:r w:rsidRPr="000C1ABA">
              <w:rPr>
                <w:rFonts w:ascii="Calibri" w:eastAsia="Times New Roman" w:hAnsi="Calibri" w:cs="Times New Roman"/>
                <w:sz w:val="20"/>
                <w:lang w:eastAsia="en-US"/>
              </w:rPr>
              <w:t>Decyzja Parlamentu Europejskiego i Rady (UE) 2017/899 z dnia 17 maja 2017 r. w sprawie wykorzystywania zakresu c</w:t>
            </w:r>
            <w:r w:rsidRPr="000C1ABA">
              <w:rPr>
                <w:rFonts w:ascii="Calibri" w:eastAsia="Times New Roman" w:hAnsi="Calibri"/>
                <w:sz w:val="20"/>
              </w:rPr>
              <w:t>zęstotliwości 470–790 MHz w Unii;</w:t>
            </w:r>
          </w:p>
          <w:p w14:paraId="54F8B86F" w14:textId="77777777" w:rsidR="000C1ABA" w:rsidRPr="000C1ABA" w:rsidRDefault="000C1ABA" w:rsidP="000C1ABA">
            <w:pPr>
              <w:spacing w:line="240" w:lineRule="auto"/>
              <w:jc w:val="left"/>
              <w:rPr>
                <w:rFonts w:ascii="Calibri" w:eastAsia="Times New Roman" w:hAnsi="Calibri"/>
                <w:sz w:val="20"/>
              </w:rPr>
            </w:pPr>
            <w:r w:rsidRPr="000C1ABA">
              <w:rPr>
                <w:rFonts w:ascii="Calibri" w:eastAsia="Times New Roman" w:hAnsi="Calibri"/>
                <w:sz w:val="20"/>
              </w:rPr>
              <w:t>-</w:t>
            </w:r>
            <w:r w:rsidRPr="000C1ABA">
              <w:rPr>
                <w:rFonts w:ascii="Calibri" w:eastAsia="Times New Roman" w:hAnsi="Calibri" w:cs="Calibri"/>
                <w:sz w:val="20"/>
              </w:rPr>
              <w:t xml:space="preserve"> </w:t>
            </w:r>
            <w:r w:rsidRPr="000C1ABA">
              <w:rPr>
                <w:rFonts w:ascii="Calibri" w:eastAsia="Times New Roman" w:hAnsi="Calibri"/>
                <w:sz w:val="20"/>
              </w:rPr>
              <w:t>Dyrektywa</w:t>
            </w:r>
            <w:r w:rsidRPr="000C1ABA">
              <w:rPr>
                <w:rFonts w:ascii="Calibri" w:eastAsia="Times New Roman" w:hAnsi="Calibri" w:cs="Times New Roman"/>
                <w:sz w:val="20"/>
                <w:lang w:eastAsia="en-US"/>
              </w:rPr>
              <w:t xml:space="preserve"> 2014/53/UE z dni</w:t>
            </w:r>
            <w:r w:rsidRPr="000C1ABA">
              <w:rPr>
                <w:rFonts w:ascii="Calibri" w:eastAsia="Times New Roman" w:hAnsi="Calibri"/>
                <w:sz w:val="20"/>
              </w:rPr>
              <w:t xml:space="preserve">a 16 kwietnia 2014 r. w sprawie harmonizacji </w:t>
            </w:r>
            <w:r w:rsidRPr="000C1ABA">
              <w:rPr>
                <w:rFonts w:ascii="Calibri" w:eastAsia="Times New Roman" w:hAnsi="Calibri" w:cs="Times New Roman"/>
                <w:sz w:val="20"/>
                <w:lang w:eastAsia="en-US"/>
              </w:rPr>
              <w:t>ustawodawstw państw członkowskich dot</w:t>
            </w:r>
            <w:r w:rsidRPr="000C1ABA">
              <w:rPr>
                <w:rFonts w:ascii="Calibri" w:eastAsia="Times New Roman" w:hAnsi="Calibri"/>
                <w:sz w:val="20"/>
              </w:rPr>
              <w:t xml:space="preserve">yczących udostępniania na rynku </w:t>
            </w:r>
            <w:r w:rsidRPr="000C1ABA">
              <w:rPr>
                <w:rFonts w:ascii="Calibri" w:eastAsia="Times New Roman" w:hAnsi="Calibri" w:cs="Times New Roman"/>
                <w:sz w:val="20"/>
                <w:lang w:eastAsia="en-US"/>
              </w:rPr>
              <w:t>urządzeń ra</w:t>
            </w:r>
            <w:r w:rsidRPr="000C1ABA">
              <w:rPr>
                <w:rFonts w:ascii="Calibri" w:eastAsia="Times New Roman" w:hAnsi="Calibri"/>
                <w:sz w:val="20"/>
              </w:rPr>
              <w:t xml:space="preserve">diowych i uchylającej dyrektywę </w:t>
            </w:r>
            <w:r w:rsidRPr="000C1ABA">
              <w:rPr>
                <w:rFonts w:ascii="Calibri" w:eastAsia="Times New Roman" w:hAnsi="Calibri" w:cs="Times New Roman"/>
                <w:sz w:val="20"/>
                <w:lang w:eastAsia="en-US"/>
              </w:rPr>
              <w:t>1999/5/WE</w:t>
            </w:r>
            <w:r w:rsidRPr="000C1ABA">
              <w:rPr>
                <w:rFonts w:ascii="Calibri" w:eastAsia="Times New Roman" w:hAnsi="Calibri"/>
                <w:sz w:val="20"/>
              </w:rPr>
              <w:t>;</w:t>
            </w:r>
          </w:p>
          <w:p w14:paraId="64C8501D" w14:textId="77777777" w:rsidR="00A81152" w:rsidRDefault="000C1ABA" w:rsidP="000C1ABA">
            <w:pPr>
              <w:spacing w:line="240" w:lineRule="auto"/>
              <w:jc w:val="left"/>
            </w:pPr>
            <w:r w:rsidRPr="000C1ABA">
              <w:rPr>
                <w:rFonts w:ascii="Calibri" w:eastAsia="Times New Roman" w:hAnsi="Calibri"/>
                <w:sz w:val="20"/>
              </w:rPr>
              <w:t>-Konieczność usprawnienia regulacji prawnych w zakresie gospodarowania częstotliwościami</w:t>
            </w:r>
            <w:r w:rsidR="00D0029B">
              <w:t>;</w:t>
            </w:r>
          </w:p>
          <w:p w14:paraId="73B667E9" w14:textId="1A869FCE" w:rsidR="00D0029B" w:rsidRPr="000C1ABA" w:rsidRDefault="00A60FBD" w:rsidP="000C1ABA">
            <w:pPr>
              <w:spacing w:line="240" w:lineRule="auto"/>
              <w:jc w:val="left"/>
              <w:rPr>
                <w:rFonts w:ascii="Calibri" w:eastAsia="Times New Roman" w:hAnsi="Calibri" w:cs="Times New Roman"/>
                <w:sz w:val="20"/>
              </w:rPr>
            </w:pPr>
            <w:r>
              <w:t>-P</w:t>
            </w:r>
            <w:r w:rsidR="00D0029B">
              <w:t xml:space="preserve">otrzeba </w:t>
            </w:r>
            <w:r>
              <w:t>uregulowania</w:t>
            </w:r>
            <w:r w:rsidR="00D0029B">
              <w:t xml:space="preserve"> </w:t>
            </w:r>
            <w:r>
              <w:t>zagadnień</w:t>
            </w:r>
            <w:r w:rsidR="00D0029B">
              <w:t xml:space="preserve"> związanych z</w:t>
            </w:r>
            <w:r>
              <w:t xml:space="preserve">e </w:t>
            </w:r>
            <w:r w:rsidR="00D0029B">
              <w:t>świadectw</w:t>
            </w:r>
            <w:r>
              <w:t>ami</w:t>
            </w:r>
            <w:r w:rsidR="00D0029B">
              <w:t xml:space="preserve"> urządzeń </w:t>
            </w:r>
            <w:r>
              <w:t>radiowych</w:t>
            </w:r>
            <w:r w:rsidR="00D0029B">
              <w:t xml:space="preserve"> w służbie radiokomunikac</w:t>
            </w:r>
            <w:r w:rsidR="007C12FA">
              <w:t>y</w:t>
            </w:r>
            <w:r w:rsidR="00D0029B">
              <w:t>j</w:t>
            </w:r>
            <w:r w:rsidR="007C12FA">
              <w:t>nej</w:t>
            </w:r>
            <w:r w:rsidR="00D0029B">
              <w:t xml:space="preserve"> lotniczej, morskiej i </w:t>
            </w:r>
            <w:r>
              <w:t>żeglugi</w:t>
            </w:r>
            <w:r w:rsidR="00D0029B">
              <w:t xml:space="preserve"> śródlądowej zgodnie z kompetencjami </w:t>
            </w:r>
            <w:r>
              <w:t>organów właściwych w tych sprawach</w:t>
            </w:r>
          </w:p>
          <w:p w14:paraId="37BD4DC1" w14:textId="77777777" w:rsidR="000C1ABA" w:rsidRPr="000C1ABA" w:rsidRDefault="000C1ABA" w:rsidP="000C1ABA">
            <w:pPr>
              <w:spacing w:before="120" w:line="240" w:lineRule="auto"/>
              <w:jc w:val="left"/>
              <w:rPr>
                <w:rFonts w:ascii="Calibri" w:eastAsia="Times New Roman" w:hAnsi="Calibri" w:cs="Times New Roman"/>
                <w:b/>
                <w:color w:val="000000"/>
                <w:szCs w:val="24"/>
              </w:rPr>
            </w:pPr>
            <w:r w:rsidRPr="000C1ABA">
              <w:rPr>
                <w:rFonts w:ascii="Calibri" w:eastAsia="Times New Roman" w:hAnsi="Calibri" w:cs="Times New Roman"/>
                <w:b/>
                <w:color w:val="000000"/>
                <w:szCs w:val="24"/>
              </w:rPr>
              <w:t>Nr w wykazie prac Rady Ministrów:</w:t>
            </w:r>
          </w:p>
          <w:p w14:paraId="745CC58B" w14:textId="77777777" w:rsidR="000C1ABA" w:rsidRPr="000C1ABA" w:rsidRDefault="00686602" w:rsidP="000C1ABA">
            <w:pPr>
              <w:spacing w:before="120" w:line="240" w:lineRule="auto"/>
              <w:jc w:val="left"/>
              <w:rPr>
                <w:rFonts w:ascii="Calibri" w:eastAsia="Times New Roman" w:hAnsi="Calibri" w:cs="Times New Roman"/>
                <w:b/>
                <w:color w:val="000000"/>
                <w:szCs w:val="24"/>
              </w:rPr>
            </w:pPr>
            <w:r>
              <w:rPr>
                <w:rFonts w:ascii="Calibri" w:eastAsia="Times New Roman" w:hAnsi="Calibri" w:cs="Times New Roman"/>
                <w:b/>
                <w:color w:val="000000"/>
                <w:szCs w:val="24"/>
              </w:rPr>
              <w:t>UC113</w:t>
            </w:r>
          </w:p>
        </w:tc>
      </w:tr>
      <w:tr w:rsidR="000C1ABA" w:rsidRPr="000C1ABA" w14:paraId="0688E7F4" w14:textId="77777777" w:rsidTr="00FA7950">
        <w:trPr>
          <w:trHeight w:val="142"/>
        </w:trPr>
        <w:tc>
          <w:tcPr>
            <w:tcW w:w="10485" w:type="dxa"/>
            <w:gridSpan w:val="29"/>
            <w:shd w:val="clear" w:color="auto" w:fill="99CCFF"/>
          </w:tcPr>
          <w:p w14:paraId="4FE104FB" w14:textId="77777777" w:rsidR="000C1ABA" w:rsidRPr="000C1ABA" w:rsidRDefault="000C1ABA" w:rsidP="000C1ABA">
            <w:pPr>
              <w:spacing w:line="240" w:lineRule="auto"/>
              <w:ind w:left="57"/>
              <w:jc w:val="center"/>
              <w:rPr>
                <w:rFonts w:ascii="Calibri" w:eastAsia="Times New Roman" w:hAnsi="Calibri" w:cs="Times New Roman"/>
                <w:b/>
                <w:color w:val="FFFFFF"/>
                <w:szCs w:val="24"/>
              </w:rPr>
            </w:pPr>
            <w:r w:rsidRPr="000C1ABA">
              <w:rPr>
                <w:rFonts w:ascii="Calibri" w:eastAsia="Times New Roman" w:hAnsi="Calibri" w:cs="Times New Roman"/>
                <w:b/>
                <w:color w:val="FFFFFF"/>
                <w:szCs w:val="24"/>
              </w:rPr>
              <w:t>OCENA SKUTKÓW REGULACJI</w:t>
            </w:r>
          </w:p>
        </w:tc>
      </w:tr>
      <w:tr w:rsidR="000C1ABA" w:rsidRPr="000C1ABA" w14:paraId="5B0B8D11" w14:textId="77777777" w:rsidTr="00FA7950">
        <w:trPr>
          <w:trHeight w:val="235"/>
        </w:trPr>
        <w:tc>
          <w:tcPr>
            <w:tcW w:w="10485" w:type="dxa"/>
            <w:gridSpan w:val="29"/>
            <w:shd w:val="clear" w:color="auto" w:fill="99CCFF"/>
            <w:vAlign w:val="center"/>
          </w:tcPr>
          <w:p w14:paraId="4D373C27" w14:textId="77777777" w:rsidR="000C1ABA" w:rsidRPr="000C1ABA" w:rsidRDefault="000C1ABA" w:rsidP="00F56577">
            <w:pPr>
              <w:widowControl/>
              <w:numPr>
                <w:ilvl w:val="0"/>
                <w:numId w:val="1"/>
              </w:numPr>
              <w:autoSpaceDE/>
              <w:autoSpaceDN/>
              <w:adjustRightInd/>
              <w:spacing w:before="60" w:after="60" w:line="240" w:lineRule="auto"/>
              <w:ind w:left="318" w:hanging="284"/>
              <w:jc w:val="left"/>
              <w:rPr>
                <w:rFonts w:ascii="Calibri" w:eastAsia="Times New Roman" w:hAnsi="Calibri" w:cs="Times New Roman"/>
                <w:b/>
                <w:color w:val="000000"/>
                <w:szCs w:val="24"/>
              </w:rPr>
            </w:pPr>
            <w:r w:rsidRPr="000C1ABA">
              <w:rPr>
                <w:rFonts w:ascii="Calibri" w:eastAsia="Times New Roman" w:hAnsi="Calibri" w:cs="Times New Roman"/>
                <w:b/>
                <w:szCs w:val="24"/>
              </w:rPr>
              <w:t>Jaki problem jest rozwiązywany?</w:t>
            </w:r>
            <w:bookmarkStart w:id="14" w:name="Wybór1"/>
            <w:bookmarkEnd w:id="14"/>
          </w:p>
        </w:tc>
      </w:tr>
      <w:tr w:rsidR="000C1ABA" w:rsidRPr="000C1ABA" w14:paraId="06EF3F62" w14:textId="77777777" w:rsidTr="00FA7950">
        <w:trPr>
          <w:trHeight w:val="142"/>
        </w:trPr>
        <w:tc>
          <w:tcPr>
            <w:tcW w:w="10485" w:type="dxa"/>
            <w:gridSpan w:val="29"/>
            <w:shd w:val="clear" w:color="auto" w:fill="FFFFFF"/>
          </w:tcPr>
          <w:p w14:paraId="652FAA67" w14:textId="77777777" w:rsidR="000C1ABA" w:rsidRPr="000C1ABA" w:rsidRDefault="000C1ABA" w:rsidP="000C1ABA">
            <w:pPr>
              <w:spacing w:line="240" w:lineRule="auto"/>
              <w:rPr>
                <w:rFonts w:ascii="Calibri" w:eastAsia="Times New Roman" w:hAnsi="Calibri"/>
                <w:color w:val="000000"/>
                <w:sz w:val="22"/>
                <w:szCs w:val="22"/>
              </w:rPr>
            </w:pPr>
            <w:r w:rsidRPr="000C1ABA">
              <w:rPr>
                <w:rFonts w:ascii="Calibri" w:eastAsia="Times New Roman" w:hAnsi="Calibri"/>
                <w:color w:val="000000"/>
                <w:sz w:val="22"/>
                <w:szCs w:val="22"/>
              </w:rPr>
              <w:t xml:space="preserve">1. W związku z prowadzonym przez Komisję Europejską przeciw RP </w:t>
            </w:r>
            <w:r w:rsidR="0092170C" w:rsidRPr="000C1ABA">
              <w:rPr>
                <w:rFonts w:ascii="Calibri" w:eastAsia="Times New Roman" w:hAnsi="Calibri"/>
                <w:color w:val="000000"/>
                <w:sz w:val="22"/>
                <w:szCs w:val="22"/>
              </w:rPr>
              <w:t>postępowani</w:t>
            </w:r>
            <w:r w:rsidR="0092170C">
              <w:t>em</w:t>
            </w:r>
            <w:r w:rsidR="0092170C" w:rsidRPr="000C1ABA">
              <w:rPr>
                <w:rFonts w:ascii="Calibri" w:eastAsia="Times New Roman" w:hAnsi="Calibri"/>
                <w:color w:val="000000"/>
                <w:sz w:val="22"/>
                <w:szCs w:val="22"/>
              </w:rPr>
              <w:t xml:space="preserve"> </w:t>
            </w:r>
            <w:r w:rsidRPr="000C1ABA">
              <w:rPr>
                <w:rFonts w:ascii="Calibri" w:eastAsia="Times New Roman" w:hAnsi="Calibri"/>
                <w:color w:val="000000"/>
                <w:sz w:val="22"/>
                <w:szCs w:val="22"/>
              </w:rPr>
              <w:t>w sprawie uchybienia 2016/2122 dotyczącym nieprawidłowego stosowania dyrektywy 2002/20/WE w sprawie zezwoleń na udostępnienie sieci i usług łączności elektronicznej, jak również nieprawidłowego stosowania dyrektywy 2002/21/WE w sprawie wspólnych ram regulacyjnych sieci i usług łączności elektronicznej oraz dyrektywy 2002/77/WE w sprawie konkurencji na rynkach sieci i usług łączności elektronicznej, a także nieprawidłowej transpozycji dyrektywy 2002/20/WE w sprawie zezwoleń na udostępnienie sieci i usług łączności elektronicznej zachodzi konieczność nowelizacji przepisów ustawy Prawo telekomunikacyjne;</w:t>
            </w:r>
          </w:p>
          <w:p w14:paraId="70A91A77" w14:textId="77777777" w:rsidR="000C1ABA" w:rsidRPr="000C1ABA" w:rsidRDefault="000C1ABA" w:rsidP="000C1ABA">
            <w:pPr>
              <w:spacing w:line="240" w:lineRule="auto"/>
              <w:rPr>
                <w:rFonts w:ascii="Calibri" w:eastAsia="Times New Roman" w:hAnsi="Calibri"/>
                <w:color w:val="000000"/>
                <w:sz w:val="22"/>
                <w:szCs w:val="22"/>
              </w:rPr>
            </w:pPr>
            <w:r w:rsidRPr="000C1ABA">
              <w:rPr>
                <w:rFonts w:ascii="Calibri" w:eastAsia="Times New Roman" w:hAnsi="Calibri"/>
                <w:color w:val="000000"/>
                <w:sz w:val="22"/>
                <w:szCs w:val="22"/>
              </w:rPr>
              <w:t xml:space="preserve">2. </w:t>
            </w:r>
            <w:r w:rsidRPr="000C1ABA">
              <w:rPr>
                <w:rFonts w:ascii="Calibri" w:eastAsia="Times New Roman" w:hAnsi="Calibri" w:cs="Times New Roman"/>
                <w:color w:val="000000"/>
                <w:sz w:val="22"/>
                <w:szCs w:val="22"/>
                <w:lang w:eastAsia="en-US"/>
              </w:rPr>
              <w:t>Decyzja Parlamentu Europejskiego i Rady (UE) 2017/899 z dnia 17 maja 2017 r. w sprawie wykorzystywania zakresu częstotliwości 470–790 MHz w Unii</w:t>
            </w:r>
            <w:r w:rsidRPr="000C1ABA">
              <w:rPr>
                <w:rFonts w:ascii="Calibri" w:eastAsia="Times New Roman" w:hAnsi="Calibri"/>
                <w:color w:val="000000"/>
                <w:sz w:val="22"/>
                <w:szCs w:val="22"/>
              </w:rPr>
              <w:t xml:space="preserve"> zakłada zmianę przeznaczenia pasma 700 MHz we wszystkich państwach członkowskich UE. W związku z tym zachodzi konieczność wprowadzenia regulacji, które umożliwią przeprowadzenie takiej zmiany na terenie RP;</w:t>
            </w:r>
          </w:p>
          <w:p w14:paraId="22693A66" w14:textId="5956B753" w:rsidR="000C1ABA" w:rsidRPr="000C1ABA" w:rsidRDefault="000C1ABA" w:rsidP="000C1ABA">
            <w:pPr>
              <w:spacing w:line="240" w:lineRule="auto"/>
              <w:rPr>
                <w:rFonts w:ascii="Calibri" w:eastAsia="Times New Roman" w:hAnsi="Calibri" w:cs="Times New Roman"/>
                <w:color w:val="000000"/>
                <w:sz w:val="22"/>
                <w:szCs w:val="22"/>
                <w:lang w:eastAsia="en-US"/>
              </w:rPr>
            </w:pPr>
            <w:r w:rsidRPr="000C1ABA">
              <w:rPr>
                <w:rFonts w:ascii="Calibri" w:eastAsia="Times New Roman" w:hAnsi="Calibri"/>
                <w:sz w:val="22"/>
                <w:szCs w:val="22"/>
              </w:rPr>
              <w:t xml:space="preserve">3. </w:t>
            </w:r>
            <w:r w:rsidRPr="000C1ABA">
              <w:rPr>
                <w:rFonts w:ascii="Calibri" w:eastAsia="Times New Roman" w:hAnsi="Calibri"/>
                <w:color w:val="000000"/>
                <w:sz w:val="22"/>
                <w:szCs w:val="22"/>
              </w:rPr>
              <w:t>Dyrektywa</w:t>
            </w:r>
            <w:r w:rsidRPr="000C1ABA">
              <w:rPr>
                <w:rFonts w:ascii="Calibri" w:eastAsia="Times New Roman" w:hAnsi="Calibri" w:cs="Times New Roman"/>
                <w:color w:val="000000"/>
                <w:sz w:val="22"/>
                <w:szCs w:val="22"/>
                <w:lang w:eastAsia="en-US"/>
              </w:rPr>
              <w:t xml:space="preserve"> 2014/53/UE z dni</w:t>
            </w:r>
            <w:r w:rsidRPr="000C1ABA">
              <w:rPr>
                <w:rFonts w:ascii="Calibri" w:eastAsia="Times New Roman" w:hAnsi="Calibri"/>
                <w:color w:val="000000"/>
                <w:sz w:val="22"/>
                <w:szCs w:val="22"/>
              </w:rPr>
              <w:t xml:space="preserve">a 16 kwietnia 2014 r. w sprawie </w:t>
            </w:r>
            <w:r w:rsidRPr="000C1ABA">
              <w:rPr>
                <w:rFonts w:ascii="Calibri" w:eastAsia="Times New Roman" w:hAnsi="Calibri" w:cs="Times New Roman"/>
                <w:color w:val="000000"/>
                <w:sz w:val="22"/>
                <w:szCs w:val="22"/>
                <w:lang w:eastAsia="en-US"/>
              </w:rPr>
              <w:t>harmonizacji ustawodawstw państw członkowskich dot</w:t>
            </w:r>
            <w:r w:rsidRPr="000C1ABA">
              <w:rPr>
                <w:rFonts w:ascii="Calibri" w:eastAsia="Times New Roman" w:hAnsi="Calibri"/>
                <w:color w:val="000000"/>
                <w:sz w:val="22"/>
                <w:szCs w:val="22"/>
              </w:rPr>
              <w:t xml:space="preserve">yczących udostępniania na rynku </w:t>
            </w:r>
            <w:r w:rsidRPr="000C1ABA">
              <w:rPr>
                <w:rFonts w:ascii="Calibri" w:eastAsia="Times New Roman" w:hAnsi="Calibri" w:cs="Times New Roman"/>
                <w:color w:val="000000"/>
                <w:sz w:val="22"/>
                <w:szCs w:val="22"/>
                <w:lang w:eastAsia="en-US"/>
              </w:rPr>
              <w:t xml:space="preserve">urządzeń radiowych i uchylającej dyrektywę 1999/5/WE, dalej: </w:t>
            </w:r>
            <w:r w:rsidR="00C54224">
              <w:rPr>
                <w:rFonts w:ascii="Calibri" w:eastAsia="Times New Roman" w:hAnsi="Calibri" w:cs="Times New Roman"/>
                <w:color w:val="000000"/>
                <w:sz w:val="22"/>
                <w:szCs w:val="22"/>
                <w:lang w:eastAsia="en-US"/>
              </w:rPr>
              <w:t>„</w:t>
            </w:r>
            <w:r w:rsidRPr="000C1ABA">
              <w:rPr>
                <w:rFonts w:ascii="Calibri" w:eastAsia="Times New Roman" w:hAnsi="Calibri" w:cs="Times New Roman"/>
                <w:color w:val="000000"/>
                <w:sz w:val="22"/>
                <w:szCs w:val="22"/>
                <w:lang w:eastAsia="en-US"/>
              </w:rPr>
              <w:t>dyrektywa RED</w:t>
            </w:r>
            <w:r w:rsidR="00C54224">
              <w:rPr>
                <w:rFonts w:ascii="Calibri" w:eastAsia="Times New Roman" w:hAnsi="Calibri" w:cs="Times New Roman"/>
                <w:color w:val="000000"/>
                <w:sz w:val="22"/>
                <w:szCs w:val="22"/>
                <w:lang w:eastAsia="en-US"/>
              </w:rPr>
              <w:t>”</w:t>
            </w:r>
            <w:r w:rsidRPr="000C1ABA">
              <w:rPr>
                <w:rFonts w:ascii="Calibri" w:eastAsia="Times New Roman" w:hAnsi="Calibri" w:cs="Times New Roman"/>
                <w:color w:val="000000"/>
                <w:sz w:val="22"/>
                <w:szCs w:val="22"/>
                <w:lang w:eastAsia="en-US"/>
              </w:rPr>
              <w:t>,</w:t>
            </w:r>
            <w:r w:rsidRPr="000C1ABA">
              <w:rPr>
                <w:rFonts w:ascii="Calibri" w:eastAsia="Times New Roman" w:hAnsi="Calibri"/>
                <w:color w:val="000000"/>
                <w:sz w:val="22"/>
                <w:szCs w:val="22"/>
              </w:rPr>
              <w:t xml:space="preserve"> w</w:t>
            </w:r>
            <w:r w:rsidRPr="000C1ABA">
              <w:rPr>
                <w:rFonts w:ascii="Calibri" w:eastAsia="Times New Roman" w:hAnsi="Calibri" w:cs="Times New Roman"/>
                <w:color w:val="000000"/>
                <w:sz w:val="22"/>
                <w:szCs w:val="22"/>
                <w:lang w:eastAsia="en-US"/>
              </w:rPr>
              <w:t xml:space="preserve"> art. 10 ust. 10 zobowiązuje producentów urządzeń radiowych do umieszczania na opakowaniu urządzeń informacji określających państwa członkowskie lub obszar geograficzny, w których istnieją ograniczenia w oddawaniu do użytku urządzenia lub wymóg uzyskania zezwolenia na używanie urządzenia. Przepis ten zastąpił art. 6 ust. 3 dyrektywy 1999/5/WE z dnia 9 marca 1999 r. w sprawie urządzeń radiowych i końcowych urządzeń telekomunikacyjnych oraz wzajemnego uznawania ich zgodności, który to przepis dodatkowo statuował obowiązek </w:t>
            </w:r>
            <w:r w:rsidRPr="000C1ABA">
              <w:rPr>
                <w:rFonts w:ascii="Calibri" w:eastAsia="Times New Roman" w:hAnsi="Calibri" w:cs="Times New Roman"/>
                <w:color w:val="000000"/>
                <w:sz w:val="22"/>
                <w:szCs w:val="22"/>
                <w:lang w:eastAsia="en-US"/>
              </w:rPr>
              <w:lastRenderedPageBreak/>
              <w:t xml:space="preserve">umieszczenia na urządzeniu znaku </w:t>
            </w:r>
            <w:r w:rsidRPr="000C1ABA">
              <w:rPr>
                <w:rFonts w:ascii="Calibri" w:eastAsia="Times New Roman" w:hAnsi="Calibri"/>
                <w:color w:val="000000"/>
                <w:sz w:val="22"/>
                <w:szCs w:val="22"/>
              </w:rPr>
              <w:t>ostrzegawczego</w:t>
            </w:r>
            <w:r w:rsidRPr="000C1ABA">
              <w:rPr>
                <w:rFonts w:ascii="Calibri" w:eastAsia="Times New Roman" w:hAnsi="Calibri" w:cs="Times New Roman"/>
                <w:color w:val="000000"/>
                <w:sz w:val="22"/>
                <w:szCs w:val="22"/>
                <w:lang w:eastAsia="en-US"/>
              </w:rPr>
              <w:t xml:space="preserve">. </w:t>
            </w:r>
            <w:r w:rsidRPr="000C1ABA">
              <w:rPr>
                <w:rFonts w:ascii="Calibri" w:eastAsia="Times New Roman" w:hAnsi="Calibri"/>
                <w:color w:val="000000"/>
                <w:sz w:val="22"/>
                <w:szCs w:val="22"/>
              </w:rPr>
              <w:t>W</w:t>
            </w:r>
            <w:r w:rsidRPr="000C1ABA">
              <w:rPr>
                <w:rFonts w:ascii="Calibri" w:eastAsia="Times New Roman" w:hAnsi="Calibri" w:cs="Times New Roman"/>
                <w:color w:val="000000"/>
                <w:sz w:val="22"/>
                <w:szCs w:val="22"/>
                <w:lang w:eastAsia="en-US"/>
              </w:rPr>
              <w:t xml:space="preserve">zór znaku ostrzegawczego został określony w decyzji Komisji Europejskiej 2000/299/WE z dnia 6 kwietnia 2000 r. ustanawiającej wstępną klasyfikację urządzeń radiowych i końcowych urządzeń telekomunikacyjnych oraz związanych z nimi znaków identyfikacyjnych, która </w:t>
            </w:r>
            <w:r w:rsidRPr="000C1ABA">
              <w:rPr>
                <w:rFonts w:ascii="Calibri" w:eastAsia="Times New Roman" w:hAnsi="Calibri"/>
                <w:color w:val="000000"/>
                <w:sz w:val="22"/>
                <w:szCs w:val="22"/>
              </w:rPr>
              <w:t xml:space="preserve">to decyzja </w:t>
            </w:r>
            <w:r w:rsidRPr="000C1ABA">
              <w:rPr>
                <w:rFonts w:ascii="Calibri" w:eastAsia="Times New Roman" w:hAnsi="Calibri" w:cs="Times New Roman"/>
                <w:color w:val="000000"/>
                <w:sz w:val="22"/>
                <w:szCs w:val="22"/>
                <w:lang w:eastAsia="en-US"/>
              </w:rPr>
              <w:t>nie została uchylona. W związku z brakiem uchylenia tej decyzji w Prawie telekomunikacyjnym pozostawiono regulacje dotyczące znaku ostrzegawczego. W chwili obecnej dostępne jest stanowisko Komisji Europejskiej dotyczące stosowania przepisów dyrektywy RED, zawarte w Przewodniku do dyrektywy RED z dnia 19 maja 2017 r. Przewodnik nie ma mocy wiążącej, jednakże wyjaśnienia Komisji w nim zawarte mają pomóc w jednolitym stosowaniu przepisów dyrektywy RED. Zgodnie z przewodnikiem zaleca się producentom unikanie znaku ostrzegawczego. Wskazano również, iż wszelkie decyzje Komisji, przyjęte w ramach dyrektywy 1999/5/WE, pozostają w mocy w stopniu, w jakim są zgodne z postanowieniami dyrektywy RED, do czasu ich uchylenia. Komisja wskazała, że mimo iż decyzja Komisji 2000/299/WE nie została uchylona, to nie obowiązują jednak postanowienia tej decyzji odnoszące się do znaku ostrzegaw</w:t>
            </w:r>
            <w:r w:rsidRPr="000C1ABA">
              <w:rPr>
                <w:rFonts w:ascii="Calibri" w:eastAsia="Times New Roman" w:hAnsi="Calibri"/>
                <w:color w:val="000000"/>
                <w:sz w:val="22"/>
                <w:szCs w:val="22"/>
              </w:rPr>
              <w:t>czego. W związku z tym zachodzi konieczność dostosowania w tym zakresie przepisów ustawy Prawo telekomunikacyjne</w:t>
            </w:r>
            <w:r w:rsidRPr="000C1ABA">
              <w:rPr>
                <w:rFonts w:ascii="Calibri" w:eastAsia="Times New Roman" w:hAnsi="Calibri" w:cs="Times New Roman"/>
                <w:color w:val="000000"/>
                <w:sz w:val="22"/>
                <w:szCs w:val="22"/>
                <w:lang w:eastAsia="en-US"/>
              </w:rPr>
              <w:t>;</w:t>
            </w:r>
          </w:p>
          <w:p w14:paraId="39F21593" w14:textId="77777777" w:rsidR="000C1ABA" w:rsidRDefault="000C1ABA" w:rsidP="000C1ABA">
            <w:pPr>
              <w:spacing w:line="240" w:lineRule="auto"/>
            </w:pPr>
            <w:r w:rsidRPr="000C1ABA">
              <w:rPr>
                <w:rFonts w:ascii="Calibri" w:eastAsia="Times New Roman" w:hAnsi="Calibri"/>
                <w:color w:val="000000"/>
                <w:sz w:val="22"/>
                <w:szCs w:val="22"/>
              </w:rPr>
              <w:t xml:space="preserve">4. Kwestia gospodarowania zasobami częstotliwości, które są dobrem rzadkim, ma kluczowe znaczenie dla rozwoju </w:t>
            </w:r>
            <w:r w:rsidR="008B7099">
              <w:t xml:space="preserve">całego </w:t>
            </w:r>
            <w:r w:rsidRPr="000C1ABA">
              <w:rPr>
                <w:rFonts w:ascii="Calibri" w:eastAsia="Times New Roman" w:hAnsi="Calibri"/>
                <w:color w:val="000000"/>
                <w:sz w:val="22"/>
                <w:szCs w:val="22"/>
              </w:rPr>
              <w:t>rynku telekomunikacyjnego. W związku z tym zaistniała konieczność nowelizacji przepisów prawa w tym zakresie tak aby zwiększyć efektywność gospodarowania widmem radiowym i zapewnić wzrost zainteresowania  wdrażaniem na rynku telekomunikacyjnym nowych technologii</w:t>
            </w:r>
            <w:r w:rsidR="008B7099">
              <w:t>, w tym także w zakresie sieci 5G</w:t>
            </w:r>
            <w:r w:rsidRPr="000C1ABA">
              <w:rPr>
                <w:rFonts w:ascii="Calibri" w:eastAsia="Times New Roman" w:hAnsi="Calibri"/>
                <w:color w:val="000000"/>
                <w:sz w:val="22"/>
                <w:szCs w:val="22"/>
              </w:rPr>
              <w:t>.</w:t>
            </w:r>
          </w:p>
          <w:p w14:paraId="17327CED" w14:textId="7ED7664C" w:rsidR="00A60FBD" w:rsidRPr="000C1ABA" w:rsidRDefault="00A60FBD" w:rsidP="00E83FCC">
            <w:pPr>
              <w:spacing w:line="240" w:lineRule="auto"/>
              <w:rPr>
                <w:rFonts w:ascii="Calibri" w:eastAsia="Times New Roman" w:hAnsi="Calibri"/>
                <w:szCs w:val="24"/>
              </w:rPr>
            </w:pPr>
            <w:r>
              <w:t xml:space="preserve">5. </w:t>
            </w:r>
            <w:r w:rsidR="001F577E">
              <w:t>O</w:t>
            </w:r>
            <w:r>
              <w:t>becnie Prezes U</w:t>
            </w:r>
            <w:r w:rsidR="001F577E">
              <w:t>KE</w:t>
            </w:r>
            <w:r>
              <w:t xml:space="preserve"> wydaje świadectwa operatora urz</w:t>
            </w:r>
            <w:r w:rsidR="001F577E">
              <w:t>ą</w:t>
            </w:r>
            <w:r>
              <w:t xml:space="preserve">dzeń radiowych nie tylko dla służby </w:t>
            </w:r>
            <w:r w:rsidR="001F577E">
              <w:t>radiokomunikac</w:t>
            </w:r>
            <w:r w:rsidR="007C12FA">
              <w:t>y</w:t>
            </w:r>
            <w:r w:rsidR="001F577E">
              <w:t>j</w:t>
            </w:r>
            <w:r w:rsidR="007C12FA">
              <w:t>nej</w:t>
            </w:r>
            <w:r>
              <w:t xml:space="preserve"> amatorskiej, ale również w </w:t>
            </w:r>
            <w:r w:rsidR="007C12FA">
              <w:t xml:space="preserve">służbie </w:t>
            </w:r>
            <w:r w:rsidR="001F577E">
              <w:t>radiokomunikac</w:t>
            </w:r>
            <w:r w:rsidR="007C12FA">
              <w:t>y</w:t>
            </w:r>
            <w:r w:rsidR="001F577E">
              <w:t>j</w:t>
            </w:r>
            <w:r w:rsidR="007C12FA">
              <w:t>nej</w:t>
            </w:r>
            <w:r>
              <w:t xml:space="preserve"> lotniczej, morskiej i żeglugi śródlądowej</w:t>
            </w:r>
            <w:r w:rsidR="001F577E">
              <w:t xml:space="preserve">, zaś minister właściwy ds. informatyzacji określa w drodze rozporządzenia zakres wymogów egzaminacyjnych oraz niezbędnych szkoleń i praktyk w </w:t>
            </w:r>
            <w:r w:rsidR="00E83FCC">
              <w:t xml:space="preserve">służbie </w:t>
            </w:r>
            <w:r w:rsidR="001F577E">
              <w:t>radiokomunikac</w:t>
            </w:r>
            <w:r w:rsidR="00E83FCC">
              <w:t>y</w:t>
            </w:r>
            <w:r w:rsidR="001F577E">
              <w:t>j</w:t>
            </w:r>
            <w:r w:rsidR="00E83FCC">
              <w:t>nej</w:t>
            </w:r>
            <w:r w:rsidR="001F577E">
              <w:t xml:space="preserve"> </w:t>
            </w:r>
            <w:r w:rsidR="00777C75">
              <w:t xml:space="preserve">amatorskiej, </w:t>
            </w:r>
            <w:r w:rsidR="001F577E">
              <w:t xml:space="preserve">lotniczej, morskiej i żeglugi śródlądowej. </w:t>
            </w:r>
            <w:r>
              <w:t xml:space="preserve">W </w:t>
            </w:r>
            <w:r w:rsidR="001F577E">
              <w:t>z</w:t>
            </w:r>
            <w:r>
              <w:t xml:space="preserve">wiązku z tym zaistniała potrzeba </w:t>
            </w:r>
            <w:r w:rsidR="001F577E">
              <w:t>uporządkowania</w:t>
            </w:r>
            <w:r>
              <w:t xml:space="preserve"> kwestii związanych z </w:t>
            </w:r>
            <w:r w:rsidR="001F577E">
              <w:t>wydawaniem</w:t>
            </w:r>
            <w:r>
              <w:t xml:space="preserve"> świadectw</w:t>
            </w:r>
            <w:r w:rsidR="001F577E">
              <w:t>,</w:t>
            </w:r>
            <w:r>
              <w:t xml:space="preserve"> jak i </w:t>
            </w:r>
            <w:r w:rsidR="001F577E">
              <w:t>określeniem</w:t>
            </w:r>
            <w:r>
              <w:t xml:space="preserve"> wymogów koniecznych do uzyskania </w:t>
            </w:r>
            <w:r w:rsidR="001F577E">
              <w:t>świadectwa</w:t>
            </w:r>
            <w:r>
              <w:t xml:space="preserve"> </w:t>
            </w:r>
            <w:r w:rsidR="007778F8" w:rsidRPr="007778F8">
              <w:t xml:space="preserve"> zgodnie z kompetencjami organów, które są właściwe w zakresie lotnictwa cywilnego, żeglugi śródlądowej oraz morskiej</w:t>
            </w:r>
          </w:p>
        </w:tc>
      </w:tr>
      <w:tr w:rsidR="000C1ABA" w:rsidRPr="000C1ABA" w14:paraId="16D9F86B" w14:textId="77777777" w:rsidTr="00FA7950">
        <w:trPr>
          <w:trHeight w:val="142"/>
        </w:trPr>
        <w:tc>
          <w:tcPr>
            <w:tcW w:w="10485" w:type="dxa"/>
            <w:gridSpan w:val="29"/>
            <w:shd w:val="clear" w:color="auto" w:fill="99CCFF"/>
            <w:vAlign w:val="center"/>
          </w:tcPr>
          <w:p w14:paraId="235F3752" w14:textId="77777777" w:rsidR="000C1ABA" w:rsidRPr="000C1ABA" w:rsidRDefault="000C1ABA" w:rsidP="00F56577">
            <w:pPr>
              <w:widowControl/>
              <w:numPr>
                <w:ilvl w:val="0"/>
                <w:numId w:val="1"/>
              </w:numPr>
              <w:autoSpaceDE/>
              <w:autoSpaceDN/>
              <w:adjustRightInd/>
              <w:spacing w:before="60" w:after="60" w:line="240" w:lineRule="auto"/>
              <w:ind w:left="318" w:hanging="284"/>
              <w:jc w:val="left"/>
              <w:rPr>
                <w:rFonts w:ascii="Calibri" w:eastAsia="Times New Roman" w:hAnsi="Calibri" w:cs="Times New Roman"/>
                <w:b/>
                <w:color w:val="000000"/>
                <w:szCs w:val="24"/>
              </w:rPr>
            </w:pPr>
            <w:r w:rsidRPr="000C1ABA">
              <w:rPr>
                <w:rFonts w:ascii="Calibri" w:eastAsia="Times New Roman" w:hAnsi="Calibri" w:cs="Times New Roman"/>
                <w:b/>
                <w:color w:val="000000"/>
                <w:spacing w:val="-2"/>
                <w:szCs w:val="24"/>
              </w:rPr>
              <w:lastRenderedPageBreak/>
              <w:t>Rekomendowane rozwiązanie, w tym planowane narzędzia interwencji, i oczekiwany efekt</w:t>
            </w:r>
          </w:p>
        </w:tc>
      </w:tr>
      <w:tr w:rsidR="000C1ABA" w:rsidRPr="000C1ABA" w14:paraId="25E2C9E2" w14:textId="77777777" w:rsidTr="00FA7950">
        <w:trPr>
          <w:trHeight w:val="142"/>
        </w:trPr>
        <w:tc>
          <w:tcPr>
            <w:tcW w:w="10485" w:type="dxa"/>
            <w:gridSpan w:val="29"/>
            <w:shd w:val="clear" w:color="auto" w:fill="auto"/>
          </w:tcPr>
          <w:p w14:paraId="431BDA1E" w14:textId="77777777" w:rsidR="000C1ABA" w:rsidRPr="000C1ABA" w:rsidRDefault="000C1ABA" w:rsidP="000C1ABA">
            <w:pPr>
              <w:spacing w:line="240" w:lineRule="auto"/>
              <w:rPr>
                <w:rFonts w:ascii="Calibri" w:eastAsia="Times New Roman" w:hAnsi="Calibri"/>
                <w:color w:val="000000"/>
                <w:spacing w:val="-2"/>
                <w:sz w:val="22"/>
                <w:szCs w:val="22"/>
                <w:u w:val="single"/>
              </w:rPr>
            </w:pPr>
            <w:r w:rsidRPr="000C1ABA">
              <w:rPr>
                <w:rFonts w:ascii="Calibri" w:eastAsia="Times New Roman" w:hAnsi="Calibri"/>
                <w:color w:val="000000"/>
                <w:spacing w:val="-2"/>
                <w:sz w:val="22"/>
                <w:szCs w:val="22"/>
                <w:u w:val="single"/>
              </w:rPr>
              <w:t>Ad. 1</w:t>
            </w:r>
          </w:p>
          <w:p w14:paraId="1E8B820C" w14:textId="77777777" w:rsidR="000C1ABA" w:rsidRPr="000C1ABA" w:rsidRDefault="000C1ABA" w:rsidP="000C1ABA">
            <w:pPr>
              <w:spacing w:line="240" w:lineRule="auto"/>
              <w:rPr>
                <w:rFonts w:ascii="Calibri" w:eastAsia="Times New Roman" w:hAnsi="Calibri"/>
                <w:color w:val="000000"/>
                <w:spacing w:val="-2"/>
                <w:sz w:val="22"/>
                <w:szCs w:val="22"/>
              </w:rPr>
            </w:pPr>
            <w:r w:rsidRPr="000C1ABA">
              <w:rPr>
                <w:rFonts w:ascii="Calibri" w:eastAsia="Times New Roman" w:hAnsi="Calibri"/>
                <w:color w:val="000000"/>
                <w:spacing w:val="-2"/>
                <w:sz w:val="22"/>
                <w:szCs w:val="22"/>
              </w:rPr>
              <w:t>- Rozszerzenie katalogu przypadków, w których zmiana decyzji w sprawie rezerwacji częstotliwości wymaga przeprowadzenia konsultacji z rynkiem telekomunikacyjnym;</w:t>
            </w:r>
          </w:p>
          <w:p w14:paraId="6908D555" w14:textId="10C7B906" w:rsidR="000C1ABA" w:rsidRPr="000C1ABA" w:rsidRDefault="000C1ABA" w:rsidP="000C1ABA">
            <w:pPr>
              <w:spacing w:line="240" w:lineRule="auto"/>
              <w:rPr>
                <w:rFonts w:ascii="Calibri" w:eastAsia="Times New Roman" w:hAnsi="Calibri"/>
                <w:color w:val="000000"/>
                <w:spacing w:val="-2"/>
                <w:sz w:val="22"/>
                <w:szCs w:val="22"/>
              </w:rPr>
            </w:pPr>
            <w:r w:rsidRPr="000C1ABA">
              <w:rPr>
                <w:rFonts w:ascii="Calibri" w:eastAsia="Times New Roman" w:hAnsi="Calibri"/>
                <w:color w:val="000000"/>
                <w:spacing w:val="-2"/>
                <w:sz w:val="22"/>
                <w:szCs w:val="22"/>
              </w:rPr>
              <w:t xml:space="preserve">- Usprawnienie przewidzianego przepisami ustawy Prawo telekomunikacyjne postępowania selekcyjnego na rezerwację częstotliwości (przetarg, aukcja, konkurs) poprzez: wprowadzenie do ustawy instytucji depozytu w  przypadku aukcji; zwiększenie kwoty wadium w przypadku przetargu lub aukcji; określenie przypadków, w których depozyt lub wadium ulega przepadkowi; modyfikację przepisów określających warunki uczestnictwa w postępowaniu selekcyjnym, w tym także w zakresie </w:t>
            </w:r>
            <w:r w:rsidR="00C54224">
              <w:rPr>
                <w:rFonts w:ascii="Calibri" w:eastAsia="Times New Roman" w:hAnsi="Calibri"/>
                <w:color w:val="000000"/>
                <w:spacing w:val="-2"/>
                <w:sz w:val="22"/>
                <w:szCs w:val="22"/>
              </w:rPr>
              <w:t>„</w:t>
            </w:r>
            <w:r w:rsidRPr="000C1ABA">
              <w:rPr>
                <w:rFonts w:ascii="Calibri" w:eastAsia="Times New Roman" w:hAnsi="Calibri"/>
                <w:color w:val="000000"/>
                <w:spacing w:val="-2"/>
                <w:sz w:val="22"/>
                <w:szCs w:val="22"/>
              </w:rPr>
              <w:t>spectrum capów</w:t>
            </w:r>
            <w:r w:rsidR="00C54224">
              <w:rPr>
                <w:rFonts w:ascii="Calibri" w:eastAsia="Times New Roman" w:hAnsi="Calibri"/>
                <w:color w:val="000000"/>
                <w:spacing w:val="-2"/>
                <w:sz w:val="22"/>
                <w:szCs w:val="22"/>
              </w:rPr>
              <w:t>”</w:t>
            </w:r>
            <w:r w:rsidRPr="000C1ABA">
              <w:rPr>
                <w:rFonts w:ascii="Calibri" w:eastAsia="Times New Roman" w:hAnsi="Calibri"/>
                <w:color w:val="000000"/>
                <w:spacing w:val="-2"/>
                <w:sz w:val="22"/>
                <w:szCs w:val="22"/>
              </w:rPr>
              <w:t>; wprowadzenie zasady, że dla podmiotów wyłonionych w postępowaniu selekcyjnym decyzja rezerwacyjna wydawana jest z urzędu, a nie wymaga, jak to jest obecnie, złożenia wniosku; określenie konsekwencji nieuczciwych zachowań uczestników podczas postępowania selekcyjnego dla udziału w kolejnych postępowaniach zmierzających do rozdysponowania częstotliwości;</w:t>
            </w:r>
          </w:p>
          <w:p w14:paraId="12ED08F4" w14:textId="77777777" w:rsidR="000C1ABA" w:rsidRPr="000C1ABA" w:rsidRDefault="000C1ABA" w:rsidP="000C1ABA">
            <w:pPr>
              <w:spacing w:line="240" w:lineRule="auto"/>
              <w:rPr>
                <w:rFonts w:ascii="Calibri" w:eastAsia="Times New Roman" w:hAnsi="Calibri"/>
                <w:color w:val="000000"/>
                <w:spacing w:val="-2"/>
                <w:sz w:val="22"/>
                <w:szCs w:val="22"/>
                <w:u w:val="single"/>
              </w:rPr>
            </w:pPr>
            <w:r w:rsidRPr="000C1ABA">
              <w:rPr>
                <w:rFonts w:ascii="Calibri" w:eastAsia="Times New Roman" w:hAnsi="Calibri"/>
                <w:color w:val="000000"/>
                <w:spacing w:val="-2"/>
                <w:sz w:val="22"/>
                <w:szCs w:val="22"/>
                <w:u w:val="single"/>
              </w:rPr>
              <w:t>Ad. 2</w:t>
            </w:r>
          </w:p>
          <w:p w14:paraId="2A7D41C6" w14:textId="77777777" w:rsidR="000C1ABA" w:rsidRPr="000C1ABA" w:rsidRDefault="000C1ABA" w:rsidP="000C1ABA">
            <w:pPr>
              <w:spacing w:line="240" w:lineRule="auto"/>
              <w:rPr>
                <w:rFonts w:ascii="Calibri" w:eastAsia="Times New Roman" w:hAnsi="Calibri"/>
                <w:color w:val="000000"/>
                <w:spacing w:val="-2"/>
                <w:sz w:val="22"/>
                <w:szCs w:val="22"/>
              </w:rPr>
            </w:pPr>
            <w:r w:rsidRPr="000C1ABA">
              <w:rPr>
                <w:rFonts w:ascii="Calibri" w:eastAsia="Times New Roman" w:hAnsi="Calibri"/>
                <w:color w:val="000000"/>
                <w:spacing w:val="-2"/>
                <w:sz w:val="22"/>
                <w:szCs w:val="22"/>
              </w:rPr>
              <w:t>- Wprowadzenie dodatkowej przesłanki umożliwiającej cofnięcie lub zmianę rezerwacji częstotliwości przez Prezesa UKE z urzędu, w związku z koniecznością realizacji zobowiązań wynikających z wiążących Rzeczpospolitą Polską umów międzynarodowych dotyczących gospodarowania częstotliwościami lub z prawa Unii Europejskiej;</w:t>
            </w:r>
          </w:p>
          <w:p w14:paraId="22510732" w14:textId="77777777" w:rsidR="000C1ABA" w:rsidRPr="000C1ABA" w:rsidRDefault="000C1ABA" w:rsidP="000C1ABA">
            <w:pPr>
              <w:spacing w:line="240" w:lineRule="auto"/>
              <w:rPr>
                <w:rFonts w:ascii="Calibri" w:eastAsia="Times New Roman" w:hAnsi="Calibri"/>
                <w:color w:val="000000"/>
                <w:spacing w:val="-2"/>
                <w:sz w:val="22"/>
                <w:szCs w:val="22"/>
              </w:rPr>
            </w:pPr>
            <w:r w:rsidRPr="000C1ABA">
              <w:rPr>
                <w:rFonts w:ascii="Calibri" w:eastAsia="Times New Roman" w:hAnsi="Calibri"/>
                <w:color w:val="000000"/>
                <w:spacing w:val="-2"/>
                <w:sz w:val="22"/>
                <w:szCs w:val="22"/>
              </w:rPr>
              <w:t>- Modyfikacja zasad przyznawania rezerwacji częstotliwości na kolejny okres na wniosek podmiotu, w tym w szczególności wprowadzenie dodatkowej przesłanki odmowy dokonania przez Prezesa UKE takiego przedłużenia w sytuacji kiedy uniemożliwiałoby to realizację zobowiązań wynikających z wiążących Rzeczpospolitą Polską umów międzynarodowych dotyczących gospodarowania częstotliwościami lub z prawa Unii Europejskiej;</w:t>
            </w:r>
          </w:p>
          <w:p w14:paraId="198DE0D5" w14:textId="77777777" w:rsidR="008B7099" w:rsidRDefault="000C1ABA" w:rsidP="000C1ABA">
            <w:pPr>
              <w:spacing w:line="240" w:lineRule="auto"/>
            </w:pPr>
            <w:r w:rsidRPr="000C1ABA">
              <w:rPr>
                <w:rFonts w:ascii="Calibri" w:eastAsia="Times New Roman" w:hAnsi="Calibri"/>
                <w:color w:val="000000"/>
                <w:spacing w:val="-2"/>
                <w:sz w:val="22"/>
                <w:szCs w:val="22"/>
              </w:rPr>
              <w:t>- Wprowadzenie regulacji pozwalającej Prezesowi UKE na ogłoszenie z własnej inicjatywy przetargu, aukcji albo konkursu na rezerwację częstotliwości nie tylko w przypadku posiadania wiedzy o zainteresowaniu zasobami częstotliwości, które są już dostępne. Postępowanie będzie mogło być ogłoszone także w stosunku do zasobów, które będą dostępne dopiero w przyszłości z zastrzeżeniem, że częstotliwości te będą mogły być wykorzystywane po tym jak staną się dostępne;</w:t>
            </w:r>
          </w:p>
          <w:p w14:paraId="72F712C8" w14:textId="77777777" w:rsidR="008B7099" w:rsidRPr="008B7099" w:rsidRDefault="008B7099" w:rsidP="000C1ABA">
            <w:pPr>
              <w:spacing w:line="240" w:lineRule="auto"/>
              <w:rPr>
                <w:rFonts w:ascii="Calibri" w:eastAsia="Times New Roman" w:hAnsi="Calibri"/>
                <w:color w:val="000000"/>
                <w:spacing w:val="-2"/>
                <w:sz w:val="22"/>
                <w:szCs w:val="22"/>
              </w:rPr>
            </w:pPr>
            <w:r>
              <w:lastRenderedPageBreak/>
              <w:t>- wprowadzenie możliwości dla ministra właściwego do spraw informatyzacji określenia harmonogramu rozdysponowania określonych zasobów częstotliwości, tak aby możliwa była realizacja polityki państwa w zakresie gospodarki częstotliwościami.</w:t>
            </w:r>
          </w:p>
          <w:p w14:paraId="0B9886D5" w14:textId="77777777" w:rsidR="000C1ABA" w:rsidRPr="000C1ABA" w:rsidRDefault="000C1ABA" w:rsidP="000C1ABA">
            <w:pPr>
              <w:spacing w:line="240" w:lineRule="auto"/>
              <w:rPr>
                <w:rFonts w:ascii="Calibri" w:eastAsia="Times New Roman" w:hAnsi="Calibri"/>
                <w:sz w:val="22"/>
                <w:szCs w:val="22"/>
                <w:u w:val="single"/>
              </w:rPr>
            </w:pPr>
            <w:r w:rsidRPr="000C1ABA">
              <w:rPr>
                <w:rFonts w:ascii="Calibri" w:eastAsia="Times New Roman" w:hAnsi="Calibri"/>
                <w:color w:val="000000"/>
                <w:spacing w:val="-2"/>
                <w:sz w:val="22"/>
                <w:szCs w:val="22"/>
                <w:u w:val="single"/>
              </w:rPr>
              <w:t>Ad. 3</w:t>
            </w:r>
          </w:p>
          <w:p w14:paraId="75795CBD" w14:textId="77777777" w:rsidR="000C1ABA" w:rsidRPr="000C1ABA" w:rsidRDefault="000C1ABA" w:rsidP="000C1ABA">
            <w:pPr>
              <w:spacing w:line="240" w:lineRule="auto"/>
              <w:rPr>
                <w:rFonts w:ascii="Calibri" w:eastAsia="Times New Roman" w:hAnsi="Calibri"/>
                <w:color w:val="000000"/>
                <w:spacing w:val="-2"/>
                <w:sz w:val="22"/>
                <w:szCs w:val="22"/>
              </w:rPr>
            </w:pPr>
            <w:r w:rsidRPr="000C1ABA">
              <w:rPr>
                <w:rFonts w:ascii="Calibri" w:eastAsia="Times New Roman" w:hAnsi="Calibri"/>
                <w:color w:val="000000"/>
                <w:spacing w:val="-2"/>
                <w:sz w:val="22"/>
                <w:szCs w:val="22"/>
              </w:rPr>
              <w:t xml:space="preserve">- Uchylenie obowiązku oznaczania  znakiem ostrzegawczym urządzenia radiowego stanowiącego urządzenie klasy 2 (tj. urządzenie, wobec którego państwo członkowskie stosuje ograniczenia w zakresie wprowadzania go do obrotu lub oddawania do użytku lub wobec którego istnieje wymóg uzyskania pozwolenia na jego używanie), oraz delegacji do wydania przez ministra właściwego do spraw informatyzacji rozporządzenia określającego sposób i wzór oznakowania znakiem ostrzegawczym, a także uchylenie przepisu o karach grożących za brak oznakowania; </w:t>
            </w:r>
          </w:p>
          <w:p w14:paraId="4BE7A3D0" w14:textId="77777777" w:rsidR="000C1ABA" w:rsidRPr="000C1ABA" w:rsidRDefault="000C1ABA" w:rsidP="000C1ABA">
            <w:pPr>
              <w:spacing w:line="240" w:lineRule="auto"/>
              <w:rPr>
                <w:rFonts w:ascii="Calibri" w:eastAsia="Times New Roman" w:hAnsi="Calibri"/>
                <w:color w:val="000000"/>
                <w:spacing w:val="-2"/>
                <w:sz w:val="22"/>
                <w:szCs w:val="22"/>
                <w:u w:val="single"/>
              </w:rPr>
            </w:pPr>
            <w:r w:rsidRPr="000C1ABA">
              <w:rPr>
                <w:rFonts w:ascii="Calibri" w:eastAsia="Times New Roman" w:hAnsi="Calibri"/>
                <w:color w:val="000000"/>
                <w:spacing w:val="-2"/>
                <w:sz w:val="22"/>
                <w:szCs w:val="22"/>
                <w:u w:val="single"/>
              </w:rPr>
              <w:t>Ad. 4</w:t>
            </w:r>
          </w:p>
          <w:p w14:paraId="108444CC" w14:textId="77777777" w:rsidR="000C1ABA" w:rsidRDefault="000C1ABA" w:rsidP="000C1ABA">
            <w:pPr>
              <w:spacing w:line="240" w:lineRule="auto"/>
            </w:pPr>
            <w:r w:rsidRPr="000C1ABA">
              <w:rPr>
                <w:rFonts w:ascii="Calibri" w:eastAsia="Times New Roman" w:hAnsi="Calibri"/>
                <w:color w:val="000000"/>
                <w:spacing w:val="-2"/>
                <w:sz w:val="22"/>
                <w:szCs w:val="22"/>
              </w:rPr>
              <w:t>- Wprowadzenie możliwości dokonania przez Prezesa UKE w drodze decyzji, zmiany przydzielonych rezerwacji częstotliwości w celu zapewnienia ładu w gospodarce częstotliwościami oraz zwiększenia efektywności wykorzystywanych częstotliwości;</w:t>
            </w:r>
          </w:p>
          <w:p w14:paraId="3D4FFE9B" w14:textId="77777777" w:rsidR="008B7099" w:rsidRPr="000C1ABA" w:rsidRDefault="008B7099" w:rsidP="000C1ABA">
            <w:pPr>
              <w:spacing w:line="240" w:lineRule="auto"/>
              <w:rPr>
                <w:rFonts w:ascii="Calibri" w:eastAsia="Times New Roman" w:hAnsi="Calibri"/>
                <w:color w:val="000000"/>
                <w:spacing w:val="-2"/>
                <w:sz w:val="22"/>
                <w:szCs w:val="22"/>
              </w:rPr>
            </w:pPr>
            <w:r>
              <w:t>- wyposażenie ministra właściwego do spraw informatyzacji w nowe narzędzie, czyli możliwość określenia harmonogramu rozdysponowania częstotliwości w celu realizacji polityki państwa w kluczowym obszarze gospodarowania częstotliwościami.</w:t>
            </w:r>
          </w:p>
          <w:p w14:paraId="40E75880" w14:textId="77777777" w:rsidR="000C1ABA" w:rsidRDefault="000C1ABA" w:rsidP="000C1ABA">
            <w:pPr>
              <w:spacing w:line="240" w:lineRule="auto"/>
            </w:pPr>
            <w:r w:rsidRPr="000C1ABA">
              <w:rPr>
                <w:rFonts w:ascii="Calibri" w:eastAsia="Times New Roman" w:hAnsi="Calibri"/>
                <w:color w:val="000000"/>
                <w:spacing w:val="-2"/>
                <w:sz w:val="22"/>
                <w:szCs w:val="22"/>
              </w:rPr>
              <w:t>- Inne kwestie wynikające min. z konieczności dostosowania/aktualizacji przepisów ustawy Prawo telekomunikacyjne min. w zakresie dopasowania przepisów do zmian technologicznych w służbie radiodyfuzyjnej, braku prowadzenia obecnie emisji telewizyjnych w sposób analogowy, wydłużenia terminu na wpis urządzeń do rejestru urządzeń prowadzonego przez Prezesa UKE, faktycznych warunków wydawania pozwoleń w służbie radioamatorskiej.</w:t>
            </w:r>
          </w:p>
          <w:p w14:paraId="063AF853" w14:textId="77777777" w:rsidR="009B2BA2" w:rsidRDefault="009B2BA2" w:rsidP="000C1ABA">
            <w:pPr>
              <w:spacing w:line="240" w:lineRule="auto"/>
            </w:pPr>
            <w:r>
              <w:t>Ad. 5</w:t>
            </w:r>
          </w:p>
          <w:p w14:paraId="1F55491E" w14:textId="77777777" w:rsidR="009B2BA2" w:rsidRPr="000C1ABA" w:rsidRDefault="009B2BA2" w:rsidP="001A4783">
            <w:pPr>
              <w:spacing w:line="240" w:lineRule="auto"/>
              <w:rPr>
                <w:rFonts w:ascii="Calibri" w:eastAsia="Times New Roman" w:hAnsi="Calibri"/>
                <w:szCs w:val="24"/>
              </w:rPr>
            </w:pPr>
            <w:r>
              <w:t xml:space="preserve">- Wprowadzenie zmian do </w:t>
            </w:r>
            <w:r w:rsidR="001A4783">
              <w:t>u</w:t>
            </w:r>
            <w:r>
              <w:t>stawy</w:t>
            </w:r>
            <w:r w:rsidR="001A4783" w:rsidRPr="001A4783">
              <w:t xml:space="preserve"> z dnia 21 grudnia 2000 r. o żegludze śródlądowej,  ustawy z dnia 3 lipca 2</w:t>
            </w:r>
            <w:r w:rsidR="001A4783">
              <w:t>002 r. - Prawo lotnicze i ustawy</w:t>
            </w:r>
            <w:r w:rsidR="001A4783" w:rsidRPr="001A4783">
              <w:t xml:space="preserve"> z dnia 18 sierpnia 2011 r. o bezpieczeństwie morskim</w:t>
            </w:r>
            <w:r w:rsidR="001A4783">
              <w:t xml:space="preserve"> mających na celu </w:t>
            </w:r>
            <w:r w:rsidR="001A4783" w:rsidRPr="001A4783">
              <w:t>uporządkowani</w:t>
            </w:r>
            <w:r w:rsidR="001A4783">
              <w:t>e</w:t>
            </w:r>
            <w:r w:rsidR="001A4783" w:rsidRPr="001A4783">
              <w:t xml:space="preserve"> kwestii związanych z wydawaniem świadectw, jak i określeniem wymogów koniecznych do uzyskania świadectwa</w:t>
            </w:r>
            <w:r w:rsidR="00777C75">
              <w:t>,</w:t>
            </w:r>
            <w:r w:rsidR="001A4783" w:rsidRPr="001A4783">
              <w:t xml:space="preserve"> zgodnie z właściwością organów.</w:t>
            </w:r>
          </w:p>
        </w:tc>
      </w:tr>
      <w:tr w:rsidR="000C1ABA" w:rsidRPr="000C1ABA" w14:paraId="0CC8923F" w14:textId="77777777" w:rsidTr="00FA7950">
        <w:trPr>
          <w:trHeight w:val="307"/>
        </w:trPr>
        <w:tc>
          <w:tcPr>
            <w:tcW w:w="10485" w:type="dxa"/>
            <w:gridSpan w:val="29"/>
            <w:shd w:val="clear" w:color="auto" w:fill="99CCFF"/>
            <w:vAlign w:val="center"/>
          </w:tcPr>
          <w:p w14:paraId="0867AF9B" w14:textId="77777777" w:rsidR="000C1ABA" w:rsidRPr="000C1ABA" w:rsidRDefault="000C1ABA" w:rsidP="00F56577">
            <w:pPr>
              <w:widowControl/>
              <w:numPr>
                <w:ilvl w:val="0"/>
                <w:numId w:val="1"/>
              </w:numPr>
              <w:autoSpaceDE/>
              <w:autoSpaceDN/>
              <w:adjustRightInd/>
              <w:spacing w:before="60" w:after="60" w:line="240" w:lineRule="auto"/>
              <w:ind w:left="318" w:hanging="284"/>
              <w:jc w:val="left"/>
              <w:rPr>
                <w:rFonts w:ascii="Calibri" w:eastAsia="Times New Roman" w:hAnsi="Calibri" w:cs="Times New Roman"/>
                <w:b/>
                <w:color w:val="000000"/>
                <w:szCs w:val="24"/>
              </w:rPr>
            </w:pPr>
            <w:r w:rsidRPr="000C1ABA">
              <w:rPr>
                <w:rFonts w:ascii="Calibri" w:eastAsia="Times New Roman" w:hAnsi="Calibri" w:cs="Times New Roman"/>
                <w:b/>
                <w:spacing w:val="-2"/>
                <w:szCs w:val="24"/>
              </w:rPr>
              <w:lastRenderedPageBreak/>
              <w:t>Jak problem został rozwiązany w innych krajach, w szczególności krajach członkowskich OECD/UE</w:t>
            </w:r>
            <w:r w:rsidRPr="000C1ABA">
              <w:rPr>
                <w:rFonts w:ascii="Calibri" w:eastAsia="Times New Roman" w:hAnsi="Calibri" w:cs="Times New Roman"/>
                <w:b/>
                <w:color w:val="000000"/>
                <w:szCs w:val="24"/>
              </w:rPr>
              <w:t>?</w:t>
            </w:r>
            <w:r w:rsidRPr="000C1ABA">
              <w:rPr>
                <w:rFonts w:ascii="Calibri" w:eastAsia="Times New Roman" w:hAnsi="Calibri" w:cs="Times New Roman"/>
                <w:i/>
                <w:color w:val="000000"/>
                <w:szCs w:val="24"/>
              </w:rPr>
              <w:t xml:space="preserve"> </w:t>
            </w:r>
          </w:p>
        </w:tc>
      </w:tr>
      <w:tr w:rsidR="000C1ABA" w:rsidRPr="000C1ABA" w14:paraId="4CD4C6C5" w14:textId="77777777" w:rsidTr="00FA7950">
        <w:trPr>
          <w:trHeight w:val="142"/>
        </w:trPr>
        <w:tc>
          <w:tcPr>
            <w:tcW w:w="10485" w:type="dxa"/>
            <w:gridSpan w:val="29"/>
            <w:shd w:val="clear" w:color="auto" w:fill="auto"/>
          </w:tcPr>
          <w:p w14:paraId="059F3290" w14:textId="77777777" w:rsidR="000C1ABA" w:rsidRPr="000C1ABA" w:rsidRDefault="000C1ABA" w:rsidP="000C1ABA">
            <w:pPr>
              <w:spacing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Ad. 1-3. Kwestie wynikają z prawodawstwa UE.</w:t>
            </w:r>
          </w:p>
          <w:p w14:paraId="47637037" w14:textId="77777777" w:rsidR="000C1ABA" w:rsidRPr="000C1ABA" w:rsidRDefault="000C1ABA" w:rsidP="000C1ABA">
            <w:pPr>
              <w:spacing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Ad. 4</w:t>
            </w:r>
            <w:r w:rsidR="001D3A94">
              <w:t xml:space="preserve"> - 5</w:t>
            </w:r>
            <w:r w:rsidRPr="000C1ABA">
              <w:rPr>
                <w:rFonts w:ascii="Calibri" w:eastAsia="Times New Roman" w:hAnsi="Calibri" w:cs="Times New Roman"/>
                <w:color w:val="000000"/>
                <w:spacing w:val="-2"/>
                <w:szCs w:val="24"/>
              </w:rPr>
              <w:t xml:space="preserve">. Regulacje są autonomiczną decyzją państw członkowskich, brak regulacji sektorowych na poziomie UE. </w:t>
            </w:r>
          </w:p>
        </w:tc>
      </w:tr>
      <w:tr w:rsidR="000C1ABA" w:rsidRPr="000C1ABA" w14:paraId="683FB049" w14:textId="77777777" w:rsidTr="00FA7950">
        <w:trPr>
          <w:trHeight w:val="359"/>
        </w:trPr>
        <w:tc>
          <w:tcPr>
            <w:tcW w:w="10485" w:type="dxa"/>
            <w:gridSpan w:val="29"/>
            <w:shd w:val="clear" w:color="auto" w:fill="99CCFF"/>
            <w:vAlign w:val="center"/>
          </w:tcPr>
          <w:p w14:paraId="19DA56C6" w14:textId="77777777" w:rsidR="000C1ABA" w:rsidRPr="000C1ABA" w:rsidRDefault="000C1ABA" w:rsidP="00F56577">
            <w:pPr>
              <w:widowControl/>
              <w:numPr>
                <w:ilvl w:val="0"/>
                <w:numId w:val="1"/>
              </w:numPr>
              <w:autoSpaceDE/>
              <w:autoSpaceDN/>
              <w:adjustRightInd/>
              <w:spacing w:before="60" w:after="60" w:line="240" w:lineRule="auto"/>
              <w:ind w:left="318" w:hanging="284"/>
              <w:jc w:val="left"/>
              <w:rPr>
                <w:rFonts w:ascii="Calibri" w:eastAsia="Times New Roman" w:hAnsi="Calibri" w:cs="Times New Roman"/>
                <w:b/>
                <w:color w:val="000000"/>
                <w:szCs w:val="24"/>
              </w:rPr>
            </w:pPr>
            <w:r w:rsidRPr="000C1ABA">
              <w:rPr>
                <w:rFonts w:ascii="Calibri" w:eastAsia="Times New Roman" w:hAnsi="Calibri" w:cs="Times New Roman"/>
                <w:b/>
                <w:color w:val="000000"/>
                <w:szCs w:val="24"/>
              </w:rPr>
              <w:t>Podmioty, na które oddziałuje projekt</w:t>
            </w:r>
          </w:p>
        </w:tc>
      </w:tr>
      <w:tr w:rsidR="000C1ABA" w:rsidRPr="000C1ABA" w14:paraId="2F79549A" w14:textId="77777777" w:rsidTr="00FA7950">
        <w:trPr>
          <w:trHeight w:val="142"/>
        </w:trPr>
        <w:tc>
          <w:tcPr>
            <w:tcW w:w="2668" w:type="dxa"/>
            <w:gridSpan w:val="3"/>
            <w:shd w:val="clear" w:color="auto" w:fill="auto"/>
          </w:tcPr>
          <w:p w14:paraId="6E5ACFDC" w14:textId="77777777" w:rsidR="000C1ABA" w:rsidRPr="000C1ABA" w:rsidRDefault="000C1ABA" w:rsidP="000C1ABA">
            <w:pPr>
              <w:spacing w:before="40"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Grupa</w:t>
            </w:r>
          </w:p>
        </w:tc>
        <w:tc>
          <w:tcPr>
            <w:tcW w:w="2292" w:type="dxa"/>
            <w:gridSpan w:val="8"/>
            <w:shd w:val="clear" w:color="auto" w:fill="auto"/>
          </w:tcPr>
          <w:p w14:paraId="2CE527FB" w14:textId="77777777" w:rsidR="000C1ABA" w:rsidRPr="000C1ABA" w:rsidRDefault="000C1ABA" w:rsidP="000C1ABA">
            <w:pPr>
              <w:spacing w:before="40"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Wielkość</w:t>
            </w:r>
          </w:p>
        </w:tc>
        <w:tc>
          <w:tcPr>
            <w:tcW w:w="2996" w:type="dxa"/>
            <w:gridSpan w:val="12"/>
            <w:shd w:val="clear" w:color="auto" w:fill="auto"/>
          </w:tcPr>
          <w:p w14:paraId="6E3B81CD" w14:textId="77777777" w:rsidR="000C1ABA" w:rsidRPr="000C1ABA" w:rsidRDefault="000C1ABA" w:rsidP="000C1ABA">
            <w:pPr>
              <w:spacing w:before="40"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Źródło danych</w:t>
            </w:r>
            <w:r w:rsidRPr="000C1ABA" w:rsidDel="00260F33">
              <w:rPr>
                <w:rFonts w:ascii="Calibri" w:eastAsia="Times New Roman" w:hAnsi="Calibri" w:cs="Times New Roman"/>
                <w:color w:val="000000"/>
                <w:spacing w:val="-2"/>
                <w:szCs w:val="24"/>
              </w:rPr>
              <w:t xml:space="preserve"> </w:t>
            </w:r>
          </w:p>
        </w:tc>
        <w:tc>
          <w:tcPr>
            <w:tcW w:w="2529" w:type="dxa"/>
            <w:gridSpan w:val="6"/>
            <w:shd w:val="clear" w:color="auto" w:fill="auto"/>
          </w:tcPr>
          <w:p w14:paraId="7BEF8975" w14:textId="77777777" w:rsidR="000C1ABA" w:rsidRPr="000C1ABA" w:rsidRDefault="000C1ABA" w:rsidP="000C1ABA">
            <w:pPr>
              <w:spacing w:before="40"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Oddziaływanie</w:t>
            </w:r>
          </w:p>
        </w:tc>
      </w:tr>
      <w:tr w:rsidR="000C1ABA" w:rsidRPr="000C1ABA" w14:paraId="7CB30009" w14:textId="77777777" w:rsidTr="00FA7950">
        <w:trPr>
          <w:trHeight w:val="142"/>
        </w:trPr>
        <w:tc>
          <w:tcPr>
            <w:tcW w:w="2668" w:type="dxa"/>
            <w:gridSpan w:val="3"/>
            <w:shd w:val="clear" w:color="auto" w:fill="auto"/>
          </w:tcPr>
          <w:p w14:paraId="5CAF5E9A" w14:textId="77777777" w:rsidR="000C1ABA" w:rsidRPr="000C1ABA" w:rsidRDefault="000C1ABA" w:rsidP="000C1ABA">
            <w:pPr>
              <w:spacing w:line="240" w:lineRule="auto"/>
              <w:jc w:val="left"/>
              <w:rPr>
                <w:rFonts w:ascii="Calibri" w:eastAsia="Times New Roman" w:hAnsi="Calibri" w:cs="Times New Roman"/>
                <w:color w:val="000000"/>
                <w:spacing w:val="-2"/>
                <w:szCs w:val="24"/>
              </w:rPr>
            </w:pPr>
            <w:r w:rsidRPr="000C1ABA">
              <w:rPr>
                <w:rFonts w:ascii="Calibri" w:eastAsia="Times New Roman" w:hAnsi="Calibri" w:cs="Times New Roman"/>
                <w:szCs w:val="24"/>
              </w:rPr>
              <w:t>Prezes Urzędu Komunikacji Elektronicznej</w:t>
            </w:r>
          </w:p>
        </w:tc>
        <w:tc>
          <w:tcPr>
            <w:tcW w:w="2292" w:type="dxa"/>
            <w:gridSpan w:val="8"/>
            <w:shd w:val="clear" w:color="auto" w:fill="auto"/>
          </w:tcPr>
          <w:p w14:paraId="4ECD1ECC" w14:textId="77777777" w:rsidR="000C1ABA" w:rsidRPr="000C1ABA" w:rsidRDefault="000C1ABA" w:rsidP="000C1ABA">
            <w:pPr>
              <w:spacing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1</w:t>
            </w:r>
          </w:p>
        </w:tc>
        <w:tc>
          <w:tcPr>
            <w:tcW w:w="2996" w:type="dxa"/>
            <w:gridSpan w:val="12"/>
            <w:shd w:val="clear" w:color="auto" w:fill="auto"/>
          </w:tcPr>
          <w:p w14:paraId="2E2364AF" w14:textId="77777777" w:rsidR="000C1ABA" w:rsidRPr="000C1ABA" w:rsidRDefault="000C1ABA" w:rsidP="000C1ABA">
            <w:pPr>
              <w:spacing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ustawa - Prawo telekomunikacyjne</w:t>
            </w:r>
          </w:p>
        </w:tc>
        <w:tc>
          <w:tcPr>
            <w:tcW w:w="2529" w:type="dxa"/>
            <w:gridSpan w:val="6"/>
            <w:shd w:val="clear" w:color="auto" w:fill="auto"/>
          </w:tcPr>
          <w:p w14:paraId="1EDA489F" w14:textId="77777777" w:rsidR="000C1ABA" w:rsidRPr="000C1ABA" w:rsidRDefault="000C1ABA" w:rsidP="000C1ABA">
            <w:pPr>
              <w:spacing w:line="240" w:lineRule="auto"/>
              <w:jc w:val="left"/>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 xml:space="preserve">Prezes UKE jest organem regulacyjnym w dziedzinie rynku usług telekomunikacyjnych. Prezes UKE prowadzi postepowanie selekcyjne, wydaje decyzje </w:t>
            </w:r>
            <w:r w:rsidRPr="000C1ABA">
              <w:rPr>
                <w:rFonts w:ascii="Calibri" w:eastAsia="Times New Roman" w:hAnsi="Calibri"/>
                <w:szCs w:val="24"/>
              </w:rPr>
              <w:t xml:space="preserve"> w sprawie rezerwacji częstotliwości. Prezes UKE będzie również zobligowany do prowadzenia konsultacji w przypadku zmiany </w:t>
            </w:r>
            <w:r w:rsidRPr="000C1ABA">
              <w:rPr>
                <w:rFonts w:ascii="Calibri" w:eastAsia="Times New Roman" w:hAnsi="Calibri"/>
                <w:szCs w:val="24"/>
              </w:rPr>
              <w:lastRenderedPageBreak/>
              <w:t>wydanych decyzji rezerwacyjnych.</w:t>
            </w:r>
          </w:p>
          <w:p w14:paraId="3720B455" w14:textId="77777777" w:rsidR="000C1ABA" w:rsidRPr="000C1ABA" w:rsidRDefault="000C1ABA" w:rsidP="000C1ABA">
            <w:pPr>
              <w:spacing w:line="240" w:lineRule="auto"/>
              <w:jc w:val="left"/>
              <w:rPr>
                <w:rFonts w:ascii="Calibri" w:eastAsia="Times New Roman" w:hAnsi="Calibri" w:cs="Times New Roman"/>
                <w:color w:val="000000"/>
                <w:spacing w:val="-2"/>
                <w:szCs w:val="24"/>
              </w:rPr>
            </w:pPr>
          </w:p>
        </w:tc>
      </w:tr>
      <w:tr w:rsidR="001D3A94" w:rsidRPr="000C1ABA" w14:paraId="662C79CC" w14:textId="77777777" w:rsidTr="00FA7950">
        <w:trPr>
          <w:trHeight w:val="142"/>
        </w:trPr>
        <w:tc>
          <w:tcPr>
            <w:tcW w:w="2668" w:type="dxa"/>
            <w:gridSpan w:val="3"/>
            <w:shd w:val="clear" w:color="auto" w:fill="auto"/>
          </w:tcPr>
          <w:p w14:paraId="7A154D55" w14:textId="77777777" w:rsidR="001D3A94" w:rsidRPr="000C1ABA" w:rsidRDefault="001D3A94" w:rsidP="000C1ABA">
            <w:pPr>
              <w:spacing w:line="240" w:lineRule="auto"/>
              <w:jc w:val="left"/>
              <w:rPr>
                <w:rFonts w:ascii="Calibri" w:eastAsia="Times New Roman" w:hAnsi="Calibri" w:cs="Times New Roman"/>
                <w:szCs w:val="24"/>
              </w:rPr>
            </w:pPr>
            <w:r>
              <w:lastRenderedPageBreak/>
              <w:t>Minister właściwy do spraw informatyzacji</w:t>
            </w:r>
          </w:p>
        </w:tc>
        <w:tc>
          <w:tcPr>
            <w:tcW w:w="2292" w:type="dxa"/>
            <w:gridSpan w:val="8"/>
            <w:shd w:val="clear" w:color="auto" w:fill="auto"/>
          </w:tcPr>
          <w:p w14:paraId="1E449DA8" w14:textId="77777777" w:rsidR="001D3A94" w:rsidRPr="000C1ABA" w:rsidRDefault="001D3A94" w:rsidP="000C1ABA">
            <w:pPr>
              <w:spacing w:line="240" w:lineRule="auto"/>
              <w:jc w:val="center"/>
              <w:rPr>
                <w:rFonts w:ascii="Calibri" w:eastAsia="Times New Roman" w:hAnsi="Calibri" w:cs="Times New Roman"/>
                <w:color w:val="000000"/>
                <w:spacing w:val="-2"/>
                <w:szCs w:val="24"/>
              </w:rPr>
            </w:pPr>
            <w:r>
              <w:t>1</w:t>
            </w:r>
          </w:p>
        </w:tc>
        <w:tc>
          <w:tcPr>
            <w:tcW w:w="2996" w:type="dxa"/>
            <w:gridSpan w:val="12"/>
            <w:shd w:val="clear" w:color="auto" w:fill="auto"/>
          </w:tcPr>
          <w:p w14:paraId="4960FF89" w14:textId="77777777" w:rsidR="001D3A94" w:rsidRPr="000C1ABA" w:rsidRDefault="001D3A94"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29380BE1" w14:textId="77777777" w:rsidR="001D3A94" w:rsidRPr="000C1ABA" w:rsidRDefault="001D3A94" w:rsidP="000C1ABA">
            <w:pPr>
              <w:spacing w:line="240" w:lineRule="auto"/>
              <w:jc w:val="left"/>
              <w:rPr>
                <w:rFonts w:ascii="Calibri" w:eastAsia="Times New Roman" w:hAnsi="Calibri" w:cs="Times New Roman"/>
                <w:color w:val="000000"/>
                <w:spacing w:val="-2"/>
                <w:szCs w:val="24"/>
              </w:rPr>
            </w:pPr>
            <w:r>
              <w:t>Przygotowywanie i określanie harmonogramu rozdysponowania częstotliwości</w:t>
            </w:r>
          </w:p>
        </w:tc>
      </w:tr>
      <w:tr w:rsidR="00EA5B66" w:rsidRPr="000C1ABA" w14:paraId="0DF30A77" w14:textId="77777777" w:rsidTr="00FA7950">
        <w:trPr>
          <w:trHeight w:val="142"/>
        </w:trPr>
        <w:tc>
          <w:tcPr>
            <w:tcW w:w="2668" w:type="dxa"/>
            <w:gridSpan w:val="3"/>
            <w:shd w:val="clear" w:color="auto" w:fill="auto"/>
          </w:tcPr>
          <w:p w14:paraId="534976C0" w14:textId="77777777" w:rsidR="00EA5B66" w:rsidRPr="000C1ABA" w:rsidRDefault="00EA5B66" w:rsidP="000C1ABA">
            <w:pPr>
              <w:spacing w:line="240" w:lineRule="auto"/>
              <w:jc w:val="left"/>
              <w:rPr>
                <w:rFonts w:ascii="Calibri" w:eastAsia="Times New Roman" w:hAnsi="Calibri" w:cs="Times New Roman"/>
                <w:szCs w:val="24"/>
              </w:rPr>
            </w:pPr>
            <w:r>
              <w:t>Krajowa Rada Radiofonii i Telewizji</w:t>
            </w:r>
          </w:p>
        </w:tc>
        <w:tc>
          <w:tcPr>
            <w:tcW w:w="2292" w:type="dxa"/>
            <w:gridSpan w:val="8"/>
            <w:shd w:val="clear" w:color="auto" w:fill="auto"/>
          </w:tcPr>
          <w:p w14:paraId="445D9651" w14:textId="77777777" w:rsidR="00EA5B66" w:rsidRPr="000C1ABA" w:rsidRDefault="00EA5B66" w:rsidP="000C1ABA">
            <w:pPr>
              <w:spacing w:line="240" w:lineRule="auto"/>
              <w:jc w:val="center"/>
              <w:rPr>
                <w:rFonts w:ascii="Calibri" w:eastAsia="Times New Roman" w:hAnsi="Calibri" w:cs="Times New Roman"/>
                <w:color w:val="000000"/>
                <w:spacing w:val="-2"/>
                <w:szCs w:val="24"/>
              </w:rPr>
            </w:pPr>
            <w:r>
              <w:t>1</w:t>
            </w:r>
          </w:p>
        </w:tc>
        <w:tc>
          <w:tcPr>
            <w:tcW w:w="2996" w:type="dxa"/>
            <w:gridSpan w:val="12"/>
            <w:shd w:val="clear" w:color="auto" w:fill="auto"/>
          </w:tcPr>
          <w:p w14:paraId="555C70D9" w14:textId="77777777" w:rsidR="00EA5B66" w:rsidRPr="000C1ABA" w:rsidRDefault="00EA5B66"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5662235A" w14:textId="77777777" w:rsidR="00EA5B66" w:rsidRPr="000C1ABA" w:rsidRDefault="001D3A94" w:rsidP="000C1ABA">
            <w:pPr>
              <w:spacing w:line="240" w:lineRule="auto"/>
              <w:jc w:val="left"/>
              <w:rPr>
                <w:rFonts w:ascii="Calibri" w:eastAsia="Times New Roman" w:hAnsi="Calibri" w:cs="Times New Roman"/>
                <w:color w:val="000000"/>
                <w:spacing w:val="-2"/>
                <w:szCs w:val="24"/>
              </w:rPr>
            </w:pPr>
            <w:r>
              <w:t>Zmiany w ustawie o radiofonii i telewizji w zakresie rezerwacji i koncesji.</w:t>
            </w:r>
          </w:p>
        </w:tc>
      </w:tr>
      <w:tr w:rsidR="003D0659" w:rsidRPr="000C1ABA" w14:paraId="290D61AD" w14:textId="77777777" w:rsidTr="00FA7950">
        <w:trPr>
          <w:trHeight w:val="142"/>
        </w:trPr>
        <w:tc>
          <w:tcPr>
            <w:tcW w:w="2668" w:type="dxa"/>
            <w:gridSpan w:val="3"/>
            <w:shd w:val="clear" w:color="auto" w:fill="auto"/>
          </w:tcPr>
          <w:p w14:paraId="3FE537BE" w14:textId="77777777" w:rsidR="003D0659" w:rsidRDefault="003D0659" w:rsidP="000C1ABA">
            <w:pPr>
              <w:spacing w:line="240" w:lineRule="auto"/>
              <w:jc w:val="left"/>
            </w:pPr>
            <w:r w:rsidRPr="003D0659">
              <w:t>Prezes Urzędu Lotnictwa</w:t>
            </w:r>
            <w:r>
              <w:t xml:space="preserve"> </w:t>
            </w:r>
            <w:r w:rsidRPr="003D0659">
              <w:t>Cywilnego</w:t>
            </w:r>
          </w:p>
        </w:tc>
        <w:tc>
          <w:tcPr>
            <w:tcW w:w="2292" w:type="dxa"/>
            <w:gridSpan w:val="8"/>
            <w:shd w:val="clear" w:color="auto" w:fill="auto"/>
          </w:tcPr>
          <w:p w14:paraId="57985CEC" w14:textId="77777777" w:rsidR="003D0659" w:rsidRDefault="003D0659" w:rsidP="000C1ABA">
            <w:pPr>
              <w:spacing w:line="240" w:lineRule="auto"/>
              <w:jc w:val="center"/>
            </w:pPr>
            <w:r>
              <w:t>1</w:t>
            </w:r>
          </w:p>
        </w:tc>
        <w:tc>
          <w:tcPr>
            <w:tcW w:w="2996" w:type="dxa"/>
            <w:gridSpan w:val="12"/>
            <w:shd w:val="clear" w:color="auto" w:fill="auto"/>
          </w:tcPr>
          <w:p w14:paraId="0B31AEF7" w14:textId="77777777" w:rsidR="003D0659" w:rsidRPr="000C1ABA" w:rsidRDefault="003D0659"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0C11FC6C" w14:textId="287C70C4" w:rsidR="003D0659" w:rsidRPr="000C1ABA" w:rsidRDefault="003D0659" w:rsidP="00E83FCC">
            <w:pPr>
              <w:spacing w:line="240" w:lineRule="auto"/>
              <w:jc w:val="left"/>
              <w:rPr>
                <w:rFonts w:ascii="Calibri" w:eastAsia="Times New Roman" w:hAnsi="Calibri" w:cs="Times New Roman"/>
                <w:color w:val="000000"/>
                <w:spacing w:val="-2"/>
                <w:szCs w:val="24"/>
              </w:rPr>
            </w:pPr>
            <w:r w:rsidRPr="003D0659">
              <w:t>Zmiana przepisów dotyczących wydawania świadectw operatora urządzeń radiowych w służbie radiokomunikac</w:t>
            </w:r>
            <w:r w:rsidR="00E83FCC">
              <w:t>y</w:t>
            </w:r>
            <w:r w:rsidRPr="003D0659">
              <w:t>j</w:t>
            </w:r>
            <w:r w:rsidR="00E83FCC">
              <w:t>nej</w:t>
            </w:r>
            <w:r w:rsidRPr="003D0659">
              <w:t xml:space="preserve"> lotniczej</w:t>
            </w:r>
          </w:p>
        </w:tc>
      </w:tr>
      <w:tr w:rsidR="00F56577" w:rsidRPr="000C1ABA" w14:paraId="7E04DDEC" w14:textId="77777777" w:rsidTr="00FA7950">
        <w:trPr>
          <w:trHeight w:val="142"/>
        </w:trPr>
        <w:tc>
          <w:tcPr>
            <w:tcW w:w="2668" w:type="dxa"/>
            <w:gridSpan w:val="3"/>
            <w:shd w:val="clear" w:color="auto" w:fill="auto"/>
          </w:tcPr>
          <w:p w14:paraId="0168E44C" w14:textId="77777777" w:rsidR="00F56577" w:rsidRDefault="003D0659" w:rsidP="000C1ABA">
            <w:pPr>
              <w:spacing w:line="240" w:lineRule="auto"/>
              <w:jc w:val="left"/>
            </w:pPr>
            <w:r>
              <w:t>Minister właściwy ds. transportu</w:t>
            </w:r>
          </w:p>
        </w:tc>
        <w:tc>
          <w:tcPr>
            <w:tcW w:w="2292" w:type="dxa"/>
            <w:gridSpan w:val="8"/>
            <w:shd w:val="clear" w:color="auto" w:fill="auto"/>
          </w:tcPr>
          <w:p w14:paraId="300ADECC" w14:textId="77777777" w:rsidR="00F56577" w:rsidRDefault="00F56577" w:rsidP="000C1ABA">
            <w:pPr>
              <w:spacing w:line="240" w:lineRule="auto"/>
              <w:jc w:val="center"/>
            </w:pPr>
            <w:r>
              <w:t>1</w:t>
            </w:r>
          </w:p>
        </w:tc>
        <w:tc>
          <w:tcPr>
            <w:tcW w:w="2996" w:type="dxa"/>
            <w:gridSpan w:val="12"/>
            <w:shd w:val="clear" w:color="auto" w:fill="auto"/>
          </w:tcPr>
          <w:p w14:paraId="2C1211E0" w14:textId="77777777" w:rsidR="00F56577" w:rsidRPr="000C1ABA" w:rsidRDefault="00F56577"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4C449494" w14:textId="48FECC1F" w:rsidR="00F56577" w:rsidRPr="000C1ABA" w:rsidRDefault="003D0659" w:rsidP="00E83FCC">
            <w:pPr>
              <w:spacing w:line="240" w:lineRule="auto"/>
              <w:jc w:val="left"/>
              <w:rPr>
                <w:rFonts w:ascii="Calibri" w:eastAsia="Times New Roman" w:hAnsi="Calibri" w:cs="Times New Roman"/>
                <w:color w:val="000000"/>
                <w:spacing w:val="-2"/>
                <w:szCs w:val="24"/>
              </w:rPr>
            </w:pPr>
            <w:r w:rsidRPr="003D0659">
              <w:t>Zmiana przepisów dotyczących wydawania świadectw operatora urządzeń radiowych w służbie radiokomunikac</w:t>
            </w:r>
            <w:r w:rsidR="00E83FCC">
              <w:t>y</w:t>
            </w:r>
            <w:r w:rsidRPr="003D0659">
              <w:t>j</w:t>
            </w:r>
            <w:r w:rsidR="00E83FCC">
              <w:t>nej</w:t>
            </w:r>
            <w:r w:rsidRPr="003D0659">
              <w:t xml:space="preserve"> lotniczej</w:t>
            </w:r>
          </w:p>
        </w:tc>
      </w:tr>
      <w:tr w:rsidR="00F56577" w:rsidRPr="000C1ABA" w14:paraId="6E06C270" w14:textId="77777777" w:rsidTr="00FA7950">
        <w:trPr>
          <w:trHeight w:val="142"/>
        </w:trPr>
        <w:tc>
          <w:tcPr>
            <w:tcW w:w="2668" w:type="dxa"/>
            <w:gridSpan w:val="3"/>
            <w:shd w:val="clear" w:color="auto" w:fill="auto"/>
          </w:tcPr>
          <w:p w14:paraId="1BC29B53" w14:textId="77777777" w:rsidR="00F56577" w:rsidRDefault="00F56577" w:rsidP="000C1ABA">
            <w:pPr>
              <w:spacing w:line="240" w:lineRule="auto"/>
              <w:jc w:val="left"/>
            </w:pPr>
            <w:r>
              <w:t>Minister właściwy ds. żeglugi śródlądowej</w:t>
            </w:r>
          </w:p>
        </w:tc>
        <w:tc>
          <w:tcPr>
            <w:tcW w:w="2292" w:type="dxa"/>
            <w:gridSpan w:val="8"/>
            <w:shd w:val="clear" w:color="auto" w:fill="auto"/>
          </w:tcPr>
          <w:p w14:paraId="13CD8AE8" w14:textId="77777777" w:rsidR="00F56577" w:rsidRDefault="00F56577" w:rsidP="000C1ABA">
            <w:pPr>
              <w:spacing w:line="240" w:lineRule="auto"/>
              <w:jc w:val="center"/>
            </w:pPr>
            <w:r>
              <w:t>1</w:t>
            </w:r>
          </w:p>
        </w:tc>
        <w:tc>
          <w:tcPr>
            <w:tcW w:w="2996" w:type="dxa"/>
            <w:gridSpan w:val="12"/>
            <w:shd w:val="clear" w:color="auto" w:fill="auto"/>
          </w:tcPr>
          <w:p w14:paraId="4F56B242" w14:textId="77777777" w:rsidR="00F56577" w:rsidRPr="000C1ABA" w:rsidRDefault="00F56577"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4C016EDC" w14:textId="71E98E96" w:rsidR="00F56577" w:rsidRPr="000C1ABA" w:rsidRDefault="00F56577" w:rsidP="00E83FCC">
            <w:pPr>
              <w:spacing w:line="240" w:lineRule="auto"/>
              <w:jc w:val="left"/>
              <w:rPr>
                <w:rFonts w:ascii="Calibri" w:eastAsia="Times New Roman" w:hAnsi="Calibri" w:cs="Times New Roman"/>
                <w:color w:val="000000"/>
                <w:spacing w:val="-2"/>
                <w:szCs w:val="24"/>
              </w:rPr>
            </w:pPr>
            <w:r w:rsidRPr="00F56577">
              <w:t xml:space="preserve">Zmiana przepisów dotyczących wydawania świadectw operatora urządzeń radiowych w służbie </w:t>
            </w:r>
            <w:r w:rsidR="00C83212">
              <w:t>radio</w:t>
            </w:r>
            <w:r w:rsidRPr="00F56577">
              <w:t>komunikac</w:t>
            </w:r>
            <w:r w:rsidR="00E83FCC">
              <w:t>y</w:t>
            </w:r>
            <w:r w:rsidRPr="00F56577">
              <w:t>j</w:t>
            </w:r>
            <w:r w:rsidR="00E83FCC">
              <w:t>nej</w:t>
            </w:r>
            <w:r w:rsidRPr="00F56577">
              <w:t xml:space="preserve"> </w:t>
            </w:r>
            <w:r>
              <w:t>żeglugi śródlądowej</w:t>
            </w:r>
          </w:p>
        </w:tc>
      </w:tr>
      <w:tr w:rsidR="00F56577" w:rsidRPr="000C1ABA" w14:paraId="6CD59A1E" w14:textId="77777777" w:rsidTr="00FA7950">
        <w:trPr>
          <w:trHeight w:val="142"/>
        </w:trPr>
        <w:tc>
          <w:tcPr>
            <w:tcW w:w="2668" w:type="dxa"/>
            <w:gridSpan w:val="3"/>
            <w:shd w:val="clear" w:color="auto" w:fill="auto"/>
          </w:tcPr>
          <w:p w14:paraId="145E3EB2" w14:textId="77777777" w:rsidR="00F56577" w:rsidRDefault="00F56577" w:rsidP="000C1ABA">
            <w:pPr>
              <w:spacing w:line="240" w:lineRule="auto"/>
              <w:jc w:val="left"/>
            </w:pPr>
            <w:r>
              <w:t>Minister właściwy do spraw gospodarki morskiej</w:t>
            </w:r>
          </w:p>
        </w:tc>
        <w:tc>
          <w:tcPr>
            <w:tcW w:w="2292" w:type="dxa"/>
            <w:gridSpan w:val="8"/>
            <w:shd w:val="clear" w:color="auto" w:fill="auto"/>
          </w:tcPr>
          <w:p w14:paraId="7E97FDD0" w14:textId="77777777" w:rsidR="00F56577" w:rsidRDefault="00F56577" w:rsidP="000C1ABA">
            <w:pPr>
              <w:spacing w:line="240" w:lineRule="auto"/>
              <w:jc w:val="center"/>
            </w:pPr>
            <w:r>
              <w:t>1</w:t>
            </w:r>
          </w:p>
        </w:tc>
        <w:tc>
          <w:tcPr>
            <w:tcW w:w="2996" w:type="dxa"/>
            <w:gridSpan w:val="12"/>
            <w:shd w:val="clear" w:color="auto" w:fill="auto"/>
          </w:tcPr>
          <w:p w14:paraId="27F11BE3" w14:textId="77777777" w:rsidR="00F56577" w:rsidRPr="000C1ABA" w:rsidRDefault="00F56577"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67C788BD" w14:textId="280FFBB7" w:rsidR="00F56577" w:rsidRPr="000C1ABA" w:rsidRDefault="00F56577" w:rsidP="00E83FCC">
            <w:pPr>
              <w:spacing w:line="240" w:lineRule="auto"/>
              <w:jc w:val="left"/>
              <w:rPr>
                <w:rFonts w:ascii="Calibri" w:eastAsia="Times New Roman" w:hAnsi="Calibri" w:cs="Times New Roman"/>
                <w:color w:val="000000"/>
                <w:spacing w:val="-2"/>
                <w:szCs w:val="24"/>
              </w:rPr>
            </w:pPr>
            <w:r w:rsidRPr="00F56577">
              <w:t xml:space="preserve">Zmiana przepisów dotyczących wydawania świadectw operatora urządzeń radiowych w służbie </w:t>
            </w:r>
            <w:r w:rsidR="00C83212">
              <w:t>radio</w:t>
            </w:r>
            <w:r w:rsidRPr="00F56577">
              <w:t>komunikac</w:t>
            </w:r>
            <w:r w:rsidR="00E83FCC">
              <w:t>y</w:t>
            </w:r>
            <w:r w:rsidRPr="00F56577">
              <w:t>j</w:t>
            </w:r>
            <w:r w:rsidR="00E83FCC">
              <w:t>nej</w:t>
            </w:r>
            <w:r w:rsidRPr="00F56577">
              <w:t xml:space="preserve"> </w:t>
            </w:r>
            <w:r>
              <w:t>morskiej</w:t>
            </w:r>
          </w:p>
        </w:tc>
      </w:tr>
      <w:tr w:rsidR="00684565" w:rsidRPr="000C1ABA" w14:paraId="39FF25CA" w14:textId="77777777" w:rsidTr="00FA7950">
        <w:trPr>
          <w:trHeight w:val="142"/>
        </w:trPr>
        <w:tc>
          <w:tcPr>
            <w:tcW w:w="2668" w:type="dxa"/>
            <w:gridSpan w:val="3"/>
            <w:shd w:val="clear" w:color="auto" w:fill="auto"/>
          </w:tcPr>
          <w:p w14:paraId="5B5BE762" w14:textId="66989996" w:rsidR="00684565" w:rsidRDefault="0009378B" w:rsidP="0009378B">
            <w:pPr>
              <w:spacing w:line="240" w:lineRule="auto"/>
              <w:jc w:val="left"/>
            </w:pPr>
            <w:r>
              <w:t>Gminy</w:t>
            </w:r>
            <w:r w:rsidR="00684565">
              <w:t xml:space="preserve"> </w:t>
            </w:r>
          </w:p>
        </w:tc>
        <w:tc>
          <w:tcPr>
            <w:tcW w:w="2292" w:type="dxa"/>
            <w:gridSpan w:val="8"/>
            <w:shd w:val="clear" w:color="auto" w:fill="auto"/>
          </w:tcPr>
          <w:p w14:paraId="6FC89089" w14:textId="07490582" w:rsidR="00684565" w:rsidRDefault="00684565" w:rsidP="000C1ABA">
            <w:pPr>
              <w:spacing w:line="240" w:lineRule="auto"/>
              <w:jc w:val="center"/>
            </w:pPr>
          </w:p>
        </w:tc>
        <w:tc>
          <w:tcPr>
            <w:tcW w:w="2996" w:type="dxa"/>
            <w:gridSpan w:val="12"/>
            <w:shd w:val="clear" w:color="auto" w:fill="auto"/>
          </w:tcPr>
          <w:p w14:paraId="7C5DD439" w14:textId="77777777" w:rsidR="00684565" w:rsidRPr="000C1ABA" w:rsidRDefault="00684565" w:rsidP="000C1ABA">
            <w:pPr>
              <w:spacing w:line="240" w:lineRule="auto"/>
              <w:jc w:val="center"/>
              <w:rPr>
                <w:rFonts w:ascii="Calibri" w:eastAsia="Times New Roman" w:hAnsi="Calibri" w:cs="Times New Roman"/>
                <w:color w:val="000000"/>
                <w:spacing w:val="-2"/>
                <w:szCs w:val="24"/>
              </w:rPr>
            </w:pPr>
          </w:p>
        </w:tc>
        <w:tc>
          <w:tcPr>
            <w:tcW w:w="2529" w:type="dxa"/>
            <w:gridSpan w:val="6"/>
            <w:shd w:val="clear" w:color="auto" w:fill="auto"/>
          </w:tcPr>
          <w:p w14:paraId="36A383AC" w14:textId="628E3187" w:rsidR="00684565" w:rsidRPr="00F56577" w:rsidRDefault="000D39C6" w:rsidP="006F48CE">
            <w:pPr>
              <w:spacing w:line="240" w:lineRule="auto"/>
              <w:jc w:val="left"/>
            </w:pPr>
            <w:r>
              <w:t xml:space="preserve">Opłata skarbowa za wydanie decyzji </w:t>
            </w:r>
            <w:r w:rsidR="00382B1E">
              <w:t>w sprawie rezerwacji częstotliwości</w:t>
            </w:r>
            <w:r>
              <w:t xml:space="preserve"> </w:t>
            </w:r>
            <w:r w:rsidR="006F48CE">
              <w:t>będzie wpływała do budżetu gminy</w:t>
            </w:r>
          </w:p>
        </w:tc>
      </w:tr>
      <w:tr w:rsidR="00014949" w:rsidRPr="000C1ABA" w14:paraId="206659B1" w14:textId="77777777" w:rsidTr="00FA7950">
        <w:trPr>
          <w:trHeight w:val="1691"/>
        </w:trPr>
        <w:tc>
          <w:tcPr>
            <w:tcW w:w="2668" w:type="dxa"/>
            <w:gridSpan w:val="3"/>
            <w:shd w:val="clear" w:color="auto" w:fill="auto"/>
          </w:tcPr>
          <w:p w14:paraId="59865A79" w14:textId="083872A0" w:rsidR="00014949" w:rsidRPr="000C1ABA" w:rsidRDefault="00014949" w:rsidP="00E83FCC">
            <w:pPr>
              <w:spacing w:line="240" w:lineRule="auto"/>
              <w:rPr>
                <w:rFonts w:ascii="Calibri" w:eastAsia="Times New Roman" w:hAnsi="Calibri" w:cs="Times New Roman"/>
                <w:szCs w:val="24"/>
              </w:rPr>
            </w:pPr>
            <w:r>
              <w:lastRenderedPageBreak/>
              <w:t>Osoby posiadające świadectwa urządzeń operatora urządzeń radiowych</w:t>
            </w:r>
            <w:r w:rsidR="0066392B">
              <w:t xml:space="preserve"> w służbie radiokomunikac</w:t>
            </w:r>
            <w:r w:rsidR="00E83FCC">
              <w:t>y</w:t>
            </w:r>
            <w:r w:rsidR="0066392B">
              <w:t>j</w:t>
            </w:r>
            <w:r w:rsidR="00E83FCC">
              <w:t>nej</w:t>
            </w:r>
            <w:r w:rsidR="0066392B">
              <w:t xml:space="preserve"> lotniczej, morskiej i żeglugi śródlądowej</w:t>
            </w:r>
          </w:p>
        </w:tc>
        <w:tc>
          <w:tcPr>
            <w:tcW w:w="2292" w:type="dxa"/>
            <w:gridSpan w:val="8"/>
            <w:shd w:val="clear" w:color="auto" w:fill="auto"/>
          </w:tcPr>
          <w:p w14:paraId="1249AB40" w14:textId="77777777" w:rsidR="00014949" w:rsidRPr="000C1ABA" w:rsidRDefault="00014949" w:rsidP="000C1ABA">
            <w:pPr>
              <w:spacing w:line="240" w:lineRule="auto"/>
              <w:jc w:val="center"/>
              <w:rPr>
                <w:rFonts w:ascii="Calibri" w:eastAsia="Times New Roman" w:hAnsi="Calibri" w:cs="Times New Roman"/>
                <w:color w:val="000000"/>
                <w:spacing w:val="-2"/>
                <w:szCs w:val="24"/>
              </w:rPr>
            </w:pPr>
          </w:p>
        </w:tc>
        <w:tc>
          <w:tcPr>
            <w:tcW w:w="2996" w:type="dxa"/>
            <w:gridSpan w:val="12"/>
            <w:shd w:val="clear" w:color="auto" w:fill="auto"/>
          </w:tcPr>
          <w:p w14:paraId="2F3B812E" w14:textId="77777777" w:rsidR="00014949" w:rsidRPr="000C1ABA" w:rsidRDefault="00014949" w:rsidP="000C1ABA">
            <w:pPr>
              <w:spacing w:line="240" w:lineRule="auto"/>
              <w:rPr>
                <w:rFonts w:ascii="Calibri" w:eastAsia="Times New Roman" w:hAnsi="Calibri" w:cs="Times New Roman"/>
                <w:color w:val="000000"/>
                <w:spacing w:val="-2"/>
                <w:szCs w:val="24"/>
              </w:rPr>
            </w:pPr>
          </w:p>
        </w:tc>
        <w:tc>
          <w:tcPr>
            <w:tcW w:w="2529" w:type="dxa"/>
            <w:gridSpan w:val="6"/>
            <w:shd w:val="clear" w:color="auto" w:fill="auto"/>
          </w:tcPr>
          <w:p w14:paraId="18D78DC4" w14:textId="77777777" w:rsidR="00014949" w:rsidRPr="000C1ABA" w:rsidRDefault="001D3A94" w:rsidP="000C1ABA">
            <w:pPr>
              <w:widowControl/>
              <w:autoSpaceDE/>
              <w:autoSpaceDN/>
              <w:adjustRightInd/>
              <w:spacing w:after="120" w:line="240" w:lineRule="auto"/>
              <w:rPr>
                <w:rFonts w:ascii="Calibri" w:eastAsia="Times New Roman" w:hAnsi="Calibri" w:cs="Times New Roman"/>
                <w:color w:val="000000"/>
                <w:spacing w:val="-2"/>
                <w:szCs w:val="24"/>
              </w:rPr>
            </w:pPr>
            <w:r>
              <w:t>Zmiana właściwości organu wydającego świadectwo i prowadzącego egzaminy</w:t>
            </w:r>
          </w:p>
        </w:tc>
      </w:tr>
      <w:tr w:rsidR="000C1ABA" w:rsidRPr="000C1ABA" w14:paraId="1D22654D" w14:textId="77777777" w:rsidTr="00FA7950">
        <w:trPr>
          <w:trHeight w:val="1691"/>
        </w:trPr>
        <w:tc>
          <w:tcPr>
            <w:tcW w:w="2668" w:type="dxa"/>
            <w:gridSpan w:val="3"/>
            <w:shd w:val="clear" w:color="auto" w:fill="auto"/>
          </w:tcPr>
          <w:p w14:paraId="118BABB4" w14:textId="77777777" w:rsidR="000C1ABA" w:rsidRPr="000C1ABA" w:rsidRDefault="000C1ABA" w:rsidP="000C1ABA">
            <w:pPr>
              <w:spacing w:line="240" w:lineRule="auto"/>
              <w:rPr>
                <w:rFonts w:ascii="Calibri" w:eastAsia="Times New Roman" w:hAnsi="Calibri" w:cs="Times New Roman"/>
                <w:color w:val="000000"/>
                <w:spacing w:val="-2"/>
                <w:szCs w:val="24"/>
              </w:rPr>
            </w:pPr>
            <w:r w:rsidRPr="000C1ABA">
              <w:rPr>
                <w:rFonts w:ascii="Calibri" w:eastAsia="Times New Roman" w:hAnsi="Calibri" w:cs="Times New Roman"/>
                <w:szCs w:val="24"/>
              </w:rPr>
              <w:t>Przedsiębiorcy telekomunikacyjni</w:t>
            </w:r>
          </w:p>
        </w:tc>
        <w:tc>
          <w:tcPr>
            <w:tcW w:w="2292" w:type="dxa"/>
            <w:gridSpan w:val="8"/>
            <w:shd w:val="clear" w:color="auto" w:fill="auto"/>
          </w:tcPr>
          <w:p w14:paraId="3646C80C" w14:textId="77777777" w:rsidR="000C1ABA" w:rsidRPr="000C1ABA" w:rsidRDefault="000C1ABA" w:rsidP="000C1ABA">
            <w:pPr>
              <w:spacing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ok. 6370</w:t>
            </w:r>
          </w:p>
          <w:p w14:paraId="54753BEA" w14:textId="77777777" w:rsidR="000C1ABA" w:rsidRPr="000C1ABA" w:rsidRDefault="000C1ABA" w:rsidP="000C1ABA">
            <w:pPr>
              <w:spacing w:line="240" w:lineRule="auto"/>
              <w:jc w:val="center"/>
              <w:rPr>
                <w:rFonts w:ascii="Calibri" w:eastAsia="Times New Roman" w:hAnsi="Calibri" w:cs="Times New Roman"/>
                <w:color w:val="000000"/>
                <w:spacing w:val="-2"/>
                <w:szCs w:val="24"/>
              </w:rPr>
            </w:pPr>
          </w:p>
        </w:tc>
        <w:tc>
          <w:tcPr>
            <w:tcW w:w="2996" w:type="dxa"/>
            <w:gridSpan w:val="12"/>
            <w:shd w:val="clear" w:color="auto" w:fill="auto"/>
          </w:tcPr>
          <w:p w14:paraId="30886BC2" w14:textId="77777777" w:rsidR="000C1ABA" w:rsidRPr="000C1ABA" w:rsidRDefault="000C1ABA" w:rsidP="000C1ABA">
            <w:pPr>
              <w:spacing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Rejestr Przedsiębiorców Telekomunikacyjnych prowadzony przez Prezesa Urzędu Komunikacji Elektronicznej;</w:t>
            </w:r>
          </w:p>
          <w:p w14:paraId="7C9AAC97" w14:textId="77777777" w:rsidR="000C1ABA" w:rsidRPr="000C1ABA" w:rsidRDefault="000C1ABA" w:rsidP="000C1ABA">
            <w:pPr>
              <w:spacing w:line="240" w:lineRule="auto"/>
              <w:rPr>
                <w:rFonts w:ascii="Calibri" w:eastAsia="Times New Roman" w:hAnsi="Calibri" w:cs="Times New Roman"/>
                <w:color w:val="000000"/>
                <w:spacing w:val="-2"/>
                <w:szCs w:val="24"/>
              </w:rPr>
            </w:pPr>
          </w:p>
        </w:tc>
        <w:tc>
          <w:tcPr>
            <w:tcW w:w="2529" w:type="dxa"/>
            <w:gridSpan w:val="6"/>
            <w:shd w:val="clear" w:color="auto" w:fill="auto"/>
          </w:tcPr>
          <w:p w14:paraId="54DC291F" w14:textId="77777777" w:rsidR="000C1ABA" w:rsidRPr="000C1ABA" w:rsidRDefault="000C1ABA" w:rsidP="000C1ABA">
            <w:pPr>
              <w:widowControl/>
              <w:autoSpaceDE/>
              <w:autoSpaceDN/>
              <w:adjustRightInd/>
              <w:spacing w:after="120"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Zmiany przepisów regulujących gospodarowanie częstotliwościami.</w:t>
            </w:r>
          </w:p>
        </w:tc>
      </w:tr>
      <w:tr w:rsidR="000C1ABA" w:rsidRPr="000C1ABA" w14:paraId="41C5E794" w14:textId="77777777" w:rsidTr="00FA7950">
        <w:trPr>
          <w:trHeight w:val="1691"/>
        </w:trPr>
        <w:tc>
          <w:tcPr>
            <w:tcW w:w="2668" w:type="dxa"/>
            <w:gridSpan w:val="3"/>
            <w:shd w:val="clear" w:color="auto" w:fill="auto"/>
          </w:tcPr>
          <w:p w14:paraId="4B95090C" w14:textId="77777777" w:rsidR="000C1ABA" w:rsidRPr="000C1ABA" w:rsidRDefault="000C1ABA" w:rsidP="000C1ABA">
            <w:pPr>
              <w:spacing w:line="240" w:lineRule="auto"/>
              <w:rPr>
                <w:rFonts w:ascii="Calibri" w:eastAsia="Times New Roman" w:hAnsi="Calibri" w:cs="Times New Roman"/>
                <w:szCs w:val="24"/>
              </w:rPr>
            </w:pPr>
            <w:r w:rsidRPr="000C1ABA">
              <w:rPr>
                <w:rFonts w:ascii="Calibri" w:eastAsia="Times New Roman" w:hAnsi="Calibri" w:cs="Times New Roman"/>
                <w:szCs w:val="24"/>
              </w:rPr>
              <w:t xml:space="preserve">Nadawcy telewizyjni posiadający rezerwacje obejmujące pasmo 700 MHz </w:t>
            </w:r>
          </w:p>
        </w:tc>
        <w:tc>
          <w:tcPr>
            <w:tcW w:w="2292" w:type="dxa"/>
            <w:gridSpan w:val="8"/>
            <w:shd w:val="clear" w:color="auto" w:fill="auto"/>
          </w:tcPr>
          <w:p w14:paraId="2F88F58A" w14:textId="77777777" w:rsidR="000C1ABA" w:rsidRPr="000C1ABA" w:rsidRDefault="000C1ABA" w:rsidP="000C1ABA">
            <w:pPr>
              <w:spacing w:line="240" w:lineRule="auto"/>
              <w:jc w:val="center"/>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 xml:space="preserve">17 nadawców telewizyjnych, </w:t>
            </w:r>
          </w:p>
        </w:tc>
        <w:tc>
          <w:tcPr>
            <w:tcW w:w="2996" w:type="dxa"/>
            <w:gridSpan w:val="12"/>
            <w:shd w:val="clear" w:color="auto" w:fill="auto"/>
          </w:tcPr>
          <w:p w14:paraId="3440835A" w14:textId="77777777" w:rsidR="000C1ABA" w:rsidRPr="000C1ABA" w:rsidRDefault="000C1ABA" w:rsidP="000C1ABA">
            <w:pPr>
              <w:spacing w:line="240" w:lineRule="auto"/>
              <w:rPr>
                <w:rFonts w:ascii="Calibri" w:eastAsia="Times New Roman" w:hAnsi="Calibri" w:cs="Times New Roman"/>
                <w:color w:val="000000"/>
                <w:spacing w:val="-2"/>
                <w:szCs w:val="24"/>
              </w:rPr>
            </w:pPr>
          </w:p>
        </w:tc>
        <w:tc>
          <w:tcPr>
            <w:tcW w:w="2529" w:type="dxa"/>
            <w:gridSpan w:val="6"/>
            <w:shd w:val="clear" w:color="auto" w:fill="auto"/>
          </w:tcPr>
          <w:p w14:paraId="29FBF3D4" w14:textId="77777777" w:rsidR="000C1ABA" w:rsidRPr="000C1ABA" w:rsidRDefault="000C1ABA" w:rsidP="000C1ABA">
            <w:pPr>
              <w:widowControl/>
              <w:autoSpaceDE/>
              <w:autoSpaceDN/>
              <w:adjustRightInd/>
              <w:spacing w:after="120"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Wprowadzone zmiany</w:t>
            </w:r>
            <w:r w:rsidR="000729A1">
              <w:rPr>
                <w:rFonts w:ascii="Calibri" w:eastAsia="Times New Roman" w:hAnsi="Calibri" w:cs="Times New Roman"/>
                <w:color w:val="000000"/>
                <w:spacing w:val="-2"/>
                <w:szCs w:val="24"/>
              </w:rPr>
              <w:t xml:space="preserve"> umożliwiają zmianę udzielonych</w:t>
            </w:r>
            <w:r w:rsidRPr="000C1ABA">
              <w:rPr>
                <w:rFonts w:ascii="Calibri" w:eastAsia="Times New Roman" w:hAnsi="Calibri" w:cs="Times New Roman"/>
                <w:color w:val="000000"/>
                <w:spacing w:val="-2"/>
                <w:szCs w:val="24"/>
              </w:rPr>
              <w:t xml:space="preserve"> rezerwacji w zakresie przydzielonych kanałów TV, w celu uwolnienia pasma 700 MHz. </w:t>
            </w:r>
          </w:p>
        </w:tc>
      </w:tr>
      <w:tr w:rsidR="000C1ABA" w:rsidRPr="000C1ABA" w14:paraId="6D689799" w14:textId="77777777" w:rsidTr="00FA7950">
        <w:trPr>
          <w:trHeight w:val="1691"/>
        </w:trPr>
        <w:tc>
          <w:tcPr>
            <w:tcW w:w="2668" w:type="dxa"/>
            <w:gridSpan w:val="3"/>
            <w:shd w:val="clear" w:color="auto" w:fill="auto"/>
          </w:tcPr>
          <w:p w14:paraId="6051F141" w14:textId="77777777" w:rsidR="000C1ABA" w:rsidRPr="000C1ABA" w:rsidRDefault="000C1ABA" w:rsidP="000C1ABA">
            <w:pPr>
              <w:spacing w:line="240" w:lineRule="auto"/>
              <w:rPr>
                <w:rFonts w:ascii="Calibri" w:eastAsia="Times New Roman" w:hAnsi="Calibri" w:cs="Times New Roman"/>
                <w:szCs w:val="24"/>
              </w:rPr>
            </w:pPr>
            <w:r w:rsidRPr="000C1ABA">
              <w:rPr>
                <w:rFonts w:ascii="Calibri" w:eastAsia="Times New Roman" w:hAnsi="Calibri" w:cs="Times New Roman"/>
                <w:szCs w:val="24"/>
              </w:rPr>
              <w:t>Podmioty wprowadzające na rynek lub oddające do użytku urządzenia radiowe klasy 2</w:t>
            </w:r>
          </w:p>
        </w:tc>
        <w:tc>
          <w:tcPr>
            <w:tcW w:w="2292" w:type="dxa"/>
            <w:gridSpan w:val="8"/>
            <w:shd w:val="clear" w:color="auto" w:fill="auto"/>
          </w:tcPr>
          <w:p w14:paraId="42A1384F" w14:textId="77777777" w:rsidR="000C1ABA" w:rsidRPr="000C1ABA" w:rsidRDefault="000C1ABA" w:rsidP="000C1ABA">
            <w:pPr>
              <w:spacing w:line="240" w:lineRule="auto"/>
              <w:jc w:val="center"/>
              <w:rPr>
                <w:rFonts w:ascii="Calibri" w:eastAsia="Times New Roman" w:hAnsi="Calibri" w:cs="Times New Roman"/>
                <w:color w:val="000000"/>
                <w:spacing w:val="-2"/>
                <w:szCs w:val="24"/>
              </w:rPr>
            </w:pPr>
          </w:p>
        </w:tc>
        <w:tc>
          <w:tcPr>
            <w:tcW w:w="2996" w:type="dxa"/>
            <w:gridSpan w:val="12"/>
            <w:shd w:val="clear" w:color="auto" w:fill="auto"/>
          </w:tcPr>
          <w:p w14:paraId="3DFA058B" w14:textId="77777777" w:rsidR="000C1ABA" w:rsidRPr="000C1ABA" w:rsidRDefault="000C1ABA" w:rsidP="000C1ABA">
            <w:pPr>
              <w:spacing w:line="240" w:lineRule="auto"/>
              <w:rPr>
                <w:rFonts w:ascii="Calibri" w:eastAsia="Times New Roman" w:hAnsi="Calibri" w:cs="Times New Roman"/>
                <w:color w:val="000000"/>
                <w:spacing w:val="-2"/>
                <w:szCs w:val="24"/>
              </w:rPr>
            </w:pPr>
          </w:p>
        </w:tc>
        <w:tc>
          <w:tcPr>
            <w:tcW w:w="2529" w:type="dxa"/>
            <w:gridSpan w:val="6"/>
            <w:shd w:val="clear" w:color="auto" w:fill="auto"/>
          </w:tcPr>
          <w:p w14:paraId="3BB36CFA" w14:textId="77777777" w:rsidR="000C1ABA" w:rsidRPr="000C1ABA" w:rsidRDefault="000C1ABA" w:rsidP="000C1ABA">
            <w:pPr>
              <w:widowControl/>
              <w:autoSpaceDE/>
              <w:autoSpaceDN/>
              <w:adjustRightInd/>
              <w:spacing w:after="120" w:line="240" w:lineRule="auto"/>
              <w:rPr>
                <w:rFonts w:ascii="Calibri" w:eastAsia="Times New Roman" w:hAnsi="Calibri" w:cs="Times New Roman"/>
                <w:color w:val="000000"/>
                <w:spacing w:val="-2"/>
                <w:szCs w:val="24"/>
              </w:rPr>
            </w:pPr>
            <w:r w:rsidRPr="000C1ABA">
              <w:rPr>
                <w:rFonts w:ascii="Calibri" w:eastAsia="Times New Roman" w:hAnsi="Calibri" w:cs="Times New Roman"/>
                <w:color w:val="000000"/>
                <w:spacing w:val="-2"/>
                <w:szCs w:val="24"/>
              </w:rPr>
              <w:t>Brak konieczności oznakowania urządzeń klasy 2 znakiem ostrzegawczym</w:t>
            </w:r>
          </w:p>
        </w:tc>
      </w:tr>
      <w:tr w:rsidR="000C1ABA" w:rsidRPr="000C1ABA" w14:paraId="1003269B" w14:textId="77777777" w:rsidTr="00FA7950">
        <w:trPr>
          <w:trHeight w:val="302"/>
        </w:trPr>
        <w:tc>
          <w:tcPr>
            <w:tcW w:w="10485" w:type="dxa"/>
            <w:gridSpan w:val="29"/>
            <w:shd w:val="clear" w:color="auto" w:fill="99CCFF"/>
            <w:vAlign w:val="center"/>
          </w:tcPr>
          <w:p w14:paraId="608CAE2F" w14:textId="77777777" w:rsidR="000C1ABA" w:rsidRPr="000C1ABA" w:rsidRDefault="000C1ABA" w:rsidP="00F56577">
            <w:pPr>
              <w:widowControl/>
              <w:numPr>
                <w:ilvl w:val="0"/>
                <w:numId w:val="1"/>
              </w:numPr>
              <w:autoSpaceDE/>
              <w:autoSpaceDN/>
              <w:adjustRightInd/>
              <w:spacing w:before="60" w:after="60" w:line="240" w:lineRule="auto"/>
              <w:ind w:left="318" w:hanging="284"/>
              <w:jc w:val="left"/>
              <w:rPr>
                <w:rFonts w:ascii="Calibri" w:eastAsia="Times New Roman" w:hAnsi="Calibri" w:cs="Times New Roman"/>
                <w:b/>
                <w:color w:val="000000"/>
                <w:szCs w:val="24"/>
              </w:rPr>
            </w:pPr>
            <w:r w:rsidRPr="000C1ABA">
              <w:rPr>
                <w:rFonts w:ascii="Calibri" w:eastAsia="Times New Roman" w:hAnsi="Calibri" w:cs="Times New Roman"/>
                <w:b/>
                <w:color w:val="000000"/>
                <w:szCs w:val="24"/>
              </w:rPr>
              <w:t>Informacje na temat zakresu, czasu trwania i podsumowanie wyników konsultacji</w:t>
            </w:r>
          </w:p>
        </w:tc>
      </w:tr>
      <w:tr w:rsidR="000C1ABA" w:rsidRPr="000C1ABA" w14:paraId="677438A4" w14:textId="77777777" w:rsidTr="00FA7950">
        <w:trPr>
          <w:trHeight w:val="342"/>
        </w:trPr>
        <w:tc>
          <w:tcPr>
            <w:tcW w:w="10485" w:type="dxa"/>
            <w:gridSpan w:val="29"/>
            <w:shd w:val="clear" w:color="auto" w:fill="FFFFFF"/>
          </w:tcPr>
          <w:p w14:paraId="63ECC081" w14:textId="77777777" w:rsidR="000C1ABA" w:rsidRPr="000C1ABA" w:rsidRDefault="000C1ABA" w:rsidP="000C1ABA">
            <w:pPr>
              <w:widowControl/>
              <w:autoSpaceDE/>
              <w:autoSpaceDN/>
              <w:adjustRightInd/>
              <w:spacing w:after="120" w:line="240" w:lineRule="auto"/>
              <w:rPr>
                <w:rFonts w:ascii="Calibri" w:eastAsia="Times New Roman" w:hAnsi="Calibri" w:cs="Times New Roman"/>
                <w:color w:val="000000"/>
                <w:szCs w:val="24"/>
              </w:rPr>
            </w:pPr>
            <w:r w:rsidRPr="000C1ABA">
              <w:rPr>
                <w:rFonts w:ascii="Calibri" w:eastAsia="Times New Roman" w:hAnsi="Calibri" w:cs="Times New Roman"/>
                <w:color w:val="000000"/>
                <w:szCs w:val="24"/>
              </w:rPr>
              <w:t xml:space="preserve">Projekt </w:t>
            </w:r>
            <w:r w:rsidR="00D0029B" w:rsidRPr="000C1ABA">
              <w:rPr>
                <w:rFonts w:ascii="Calibri" w:eastAsia="Times New Roman" w:hAnsi="Calibri" w:cs="Times New Roman"/>
                <w:color w:val="000000"/>
                <w:szCs w:val="24"/>
              </w:rPr>
              <w:t>zosta</w:t>
            </w:r>
            <w:r w:rsidR="00D0029B">
              <w:t>ł</w:t>
            </w:r>
            <w:r w:rsidR="00D0029B" w:rsidRPr="000C1ABA">
              <w:rPr>
                <w:rFonts w:ascii="Calibri" w:eastAsia="Times New Roman" w:hAnsi="Calibri" w:cs="Times New Roman"/>
                <w:color w:val="000000"/>
                <w:szCs w:val="24"/>
              </w:rPr>
              <w:t xml:space="preserve"> </w:t>
            </w:r>
            <w:r w:rsidRPr="000C1ABA">
              <w:rPr>
                <w:rFonts w:ascii="Calibri" w:eastAsia="Times New Roman" w:hAnsi="Calibri" w:cs="Times New Roman"/>
                <w:color w:val="000000"/>
                <w:szCs w:val="24"/>
              </w:rPr>
              <w:t>poddany konsultacjom publicznym oraz opiniowaniu.</w:t>
            </w:r>
          </w:p>
          <w:p w14:paraId="0CA1F78C" w14:textId="77777777" w:rsidR="000C1ABA" w:rsidRPr="000C1ABA" w:rsidRDefault="000C1ABA" w:rsidP="000C1ABA">
            <w:pPr>
              <w:widowControl/>
              <w:autoSpaceDE/>
              <w:autoSpaceDN/>
              <w:adjustRightInd/>
              <w:spacing w:after="120" w:line="240" w:lineRule="auto"/>
              <w:rPr>
                <w:rFonts w:ascii="Calibri" w:eastAsia="Times New Roman" w:hAnsi="Calibri" w:cs="Times New Roman"/>
                <w:color w:val="000000"/>
                <w:szCs w:val="24"/>
              </w:rPr>
            </w:pPr>
            <w:r w:rsidRPr="000C1ABA">
              <w:rPr>
                <w:rFonts w:ascii="Calibri" w:eastAsia="Times New Roman" w:hAnsi="Calibri" w:cs="Times New Roman"/>
                <w:color w:val="000000"/>
                <w:szCs w:val="24"/>
              </w:rPr>
              <w:t xml:space="preserve">W ramach konsultacji i opiniowania projekt zostanie przesłany do: </w:t>
            </w:r>
          </w:p>
          <w:p w14:paraId="3CA271CD"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Polskiej Izby Informatyki i Telekomunikacji, </w:t>
            </w:r>
          </w:p>
          <w:p w14:paraId="3EF4AB4D"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Krajowej Izby Gospodarczej Elektroniki i Telekomunikacji, </w:t>
            </w:r>
          </w:p>
          <w:p w14:paraId="4B5C7D0B"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Polskiej Izby Komunikacji Elektronicznej, </w:t>
            </w:r>
          </w:p>
          <w:p w14:paraId="3635E131"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Krajowej Izby Gospodarczej, </w:t>
            </w:r>
          </w:p>
          <w:p w14:paraId="4C0CF89B"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Krajowej Izby Komunikacji Ethernetowej, </w:t>
            </w:r>
          </w:p>
          <w:p w14:paraId="28AA2A0D"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Polskiej Izby Radiodyfuzji Cyfrowej,</w:t>
            </w:r>
          </w:p>
          <w:p w14:paraId="231C031A"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Polskiej Izby Handlu,</w:t>
            </w:r>
          </w:p>
          <w:p w14:paraId="04AFAFC6"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Fundacji Bezpieczna Cyberprzestrzeń, </w:t>
            </w:r>
          </w:p>
          <w:p w14:paraId="62F702AA"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Polskiego Towarzystwa Informatycznego, </w:t>
            </w:r>
          </w:p>
          <w:p w14:paraId="392E1564"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Fundacji Nowoczesna Polska, </w:t>
            </w:r>
          </w:p>
          <w:p w14:paraId="37F76ACE"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Fundacji Projekt Polska, </w:t>
            </w:r>
          </w:p>
          <w:p w14:paraId="29C933A2"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Internet Society Poland, </w:t>
            </w:r>
          </w:p>
          <w:p w14:paraId="26CE9CAE"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Stowarzyszenia Inżynierów Telekomunikacji, </w:t>
            </w:r>
          </w:p>
          <w:p w14:paraId="5F5D75FB"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Fundacji Panoptykon, </w:t>
            </w:r>
          </w:p>
          <w:p w14:paraId="1F8415EC"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Związku Przedsiębiorców i Pracodawców,</w:t>
            </w:r>
          </w:p>
          <w:p w14:paraId="2949BC41"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Związku Pracodawców Mediów Publicznych,  </w:t>
            </w:r>
          </w:p>
          <w:p w14:paraId="0CC7C1F6"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lastRenderedPageBreak/>
              <w:t xml:space="preserve">Związku Pracodawców Branży Internetowej IAB Polska, </w:t>
            </w:r>
          </w:p>
          <w:p w14:paraId="6668C49E"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Federacji Związków Zawodowych Pracowników Telekomunikacji;</w:t>
            </w:r>
          </w:p>
          <w:p w14:paraId="5C4BE1D3"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Polskiego Centrum Badań i Certyfikacji S.A.,</w:t>
            </w:r>
          </w:p>
          <w:p w14:paraId="6623423A"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Polskiej Organizacji Handlu i Dystrybucji,</w:t>
            </w:r>
          </w:p>
          <w:p w14:paraId="71B09E75"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Naczelnej Radzie Zrzeszeń Handlu i Usług,</w:t>
            </w:r>
          </w:p>
          <w:p w14:paraId="1FBBE438"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Polskiej Izby Producentów Urządzeń i Usług na rzecz Kolei,</w:t>
            </w:r>
          </w:p>
          <w:p w14:paraId="062EF99C" w14:textId="5381DE10"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Związku Importerów i Producentów Sprzętu Elektrycznego i Elektronicznego Branży RTV i IT – ZIPSEE </w:t>
            </w:r>
            <w:r w:rsidR="00C54224">
              <w:rPr>
                <w:rFonts w:ascii="Calibri" w:eastAsia="Times New Roman" w:hAnsi="Calibri" w:cs="Times New Roman"/>
                <w:bCs/>
                <w:szCs w:val="24"/>
              </w:rPr>
              <w:t>„</w:t>
            </w:r>
            <w:r w:rsidRPr="000C1ABA">
              <w:rPr>
                <w:rFonts w:ascii="Calibri" w:eastAsia="Times New Roman" w:hAnsi="Calibri" w:cs="Times New Roman"/>
                <w:bCs/>
                <w:szCs w:val="24"/>
              </w:rPr>
              <w:t>Cyfrowa Polska</w:t>
            </w:r>
            <w:r w:rsidR="00C54224">
              <w:rPr>
                <w:rFonts w:ascii="Calibri" w:eastAsia="Times New Roman" w:hAnsi="Calibri" w:cs="Times New Roman"/>
                <w:bCs/>
                <w:szCs w:val="24"/>
              </w:rPr>
              <w:t>”</w:t>
            </w:r>
            <w:r w:rsidRPr="000C1ABA">
              <w:rPr>
                <w:rFonts w:ascii="Calibri" w:eastAsia="Times New Roman" w:hAnsi="Calibri" w:cs="Times New Roman"/>
                <w:bCs/>
                <w:szCs w:val="24"/>
              </w:rPr>
              <w:t>,</w:t>
            </w:r>
          </w:p>
          <w:p w14:paraId="532A912A"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Fundacji ePaństwo.</w:t>
            </w:r>
          </w:p>
          <w:p w14:paraId="230FDAA4"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Telewizja Polska S.AESKA TV S.A.</w:t>
            </w:r>
          </w:p>
          <w:p w14:paraId="32438C03"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STAVKA sp. z o.o.</w:t>
            </w:r>
          </w:p>
          <w:p w14:paraId="645F1F09"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lang w:val="en-US"/>
              </w:rPr>
            </w:pPr>
            <w:r w:rsidRPr="000C1ABA">
              <w:rPr>
                <w:rFonts w:ascii="Calibri" w:eastAsia="Times New Roman" w:hAnsi="Calibri" w:cs="Times New Roman"/>
                <w:bCs/>
                <w:szCs w:val="24"/>
                <w:lang w:val="en-US"/>
              </w:rPr>
              <w:t>Lemon Records sp. z o.o.</w:t>
            </w:r>
          </w:p>
          <w:p w14:paraId="30369535"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ATM Grupa S.A.</w:t>
            </w:r>
          </w:p>
          <w:p w14:paraId="3906CC2D"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Fundacja LUX VERITATIS</w:t>
            </w:r>
          </w:p>
          <w:p w14:paraId="54D39D7C"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Stopklatka S.A. </w:t>
            </w:r>
          </w:p>
          <w:p w14:paraId="554D6E4B"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TV Spektrum sp. z o.o.</w:t>
            </w:r>
          </w:p>
          <w:p w14:paraId="168D21B1"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Telewizja Polsat sp. z o.o.</w:t>
            </w:r>
          </w:p>
          <w:p w14:paraId="3F52531A"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TVN S.A.</w:t>
            </w:r>
          </w:p>
          <w:p w14:paraId="544AD114"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Telewizja Puls sp. z o.o.</w:t>
            </w:r>
          </w:p>
          <w:p w14:paraId="5543D4CA"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INFO-TV-FM Sp. z o.o.</w:t>
            </w:r>
          </w:p>
          <w:p w14:paraId="26473222"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Telewizja Łużyce sp. z o.o</w:t>
            </w:r>
          </w:p>
          <w:p w14:paraId="145B19A5"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Telewizja TVT sp. z o.o.</w:t>
            </w:r>
          </w:p>
          <w:p w14:paraId="05F399E0"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 xml:space="preserve">NTL Radomsko sp. z o.o.  </w:t>
            </w:r>
          </w:p>
          <w:p w14:paraId="6D62CC10"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Telewizja Dolnośląska ECHO sp. z o.o.</w:t>
            </w:r>
          </w:p>
          <w:p w14:paraId="023B69AB" w14:textId="77777777" w:rsidR="000C1ABA" w:rsidRPr="000C1ABA" w:rsidRDefault="000C1ABA" w:rsidP="00F56577">
            <w:pPr>
              <w:widowControl/>
              <w:numPr>
                <w:ilvl w:val="0"/>
                <w:numId w:val="2"/>
              </w:numPr>
              <w:autoSpaceDE/>
              <w:autoSpaceDN/>
              <w:adjustRightInd/>
              <w:spacing w:line="240" w:lineRule="auto"/>
              <w:jc w:val="left"/>
              <w:rPr>
                <w:rFonts w:ascii="Calibri" w:eastAsia="Times New Roman" w:hAnsi="Calibri" w:cs="Times New Roman"/>
                <w:bCs/>
                <w:szCs w:val="24"/>
              </w:rPr>
            </w:pPr>
            <w:r w:rsidRPr="000C1ABA">
              <w:rPr>
                <w:rFonts w:ascii="Calibri" w:eastAsia="Times New Roman" w:hAnsi="Calibri" w:cs="Times New Roman"/>
                <w:bCs/>
                <w:szCs w:val="24"/>
              </w:rPr>
              <w:t>TVL sp. z o.o.</w:t>
            </w:r>
          </w:p>
          <w:p w14:paraId="3C516F4E" w14:textId="77777777" w:rsidR="000C1ABA" w:rsidRPr="000C1ABA" w:rsidRDefault="000C1ABA" w:rsidP="000C1ABA">
            <w:pPr>
              <w:widowControl/>
              <w:autoSpaceDE/>
              <w:autoSpaceDN/>
              <w:adjustRightInd/>
              <w:spacing w:line="240" w:lineRule="auto"/>
              <w:rPr>
                <w:rFonts w:ascii="Calibri" w:eastAsia="Times New Roman" w:hAnsi="Calibri" w:cs="Times New Roman"/>
                <w:bCs/>
                <w:szCs w:val="24"/>
              </w:rPr>
            </w:pPr>
            <w:r w:rsidRPr="000C1ABA">
              <w:rPr>
                <w:rFonts w:ascii="Calibri" w:eastAsia="Times New Roman" w:hAnsi="Calibri" w:cs="Times New Roman"/>
                <w:bCs/>
                <w:szCs w:val="24"/>
              </w:rPr>
              <w:t>Konsultacje trwały 30 dni</w:t>
            </w:r>
            <w:r w:rsidR="0066392B">
              <w:t>,</w:t>
            </w:r>
            <w:r w:rsidRPr="000C1ABA">
              <w:rPr>
                <w:rFonts w:ascii="Calibri" w:eastAsia="Times New Roman" w:hAnsi="Calibri" w:cs="Times New Roman"/>
                <w:bCs/>
                <w:szCs w:val="24"/>
              </w:rPr>
              <w:t xml:space="preserve"> </w:t>
            </w:r>
            <w:r w:rsidR="0066392B">
              <w:t>w ich</w:t>
            </w:r>
            <w:r w:rsidRPr="000C1ABA">
              <w:rPr>
                <w:rFonts w:ascii="Calibri" w:eastAsia="Times New Roman" w:hAnsi="Calibri" w:cs="Times New Roman"/>
                <w:bCs/>
                <w:szCs w:val="24"/>
              </w:rPr>
              <w:t xml:space="preserve"> wynik</w:t>
            </w:r>
            <w:r w:rsidR="0066392B">
              <w:t xml:space="preserve">u </w:t>
            </w:r>
            <w:r w:rsidRPr="000C1ABA">
              <w:rPr>
                <w:rFonts w:ascii="Calibri" w:eastAsia="Times New Roman" w:hAnsi="Calibri" w:cs="Times New Roman"/>
                <w:bCs/>
                <w:szCs w:val="24"/>
              </w:rPr>
              <w:t xml:space="preserve"> </w:t>
            </w:r>
            <w:r w:rsidR="0066392B">
              <w:t>zostały zgłoszone uwagi, głownie przez izby telekomunikacyjne</w:t>
            </w:r>
            <w:r w:rsidRPr="000C1ABA">
              <w:rPr>
                <w:rFonts w:ascii="Calibri" w:eastAsia="Times New Roman" w:hAnsi="Calibri" w:cs="Times New Roman"/>
                <w:bCs/>
                <w:szCs w:val="24"/>
              </w:rPr>
              <w:t>.</w:t>
            </w:r>
            <w:r w:rsidR="0066392B">
              <w:t xml:space="preserve"> Uwagi te w części zostały uznane za zasadne.</w:t>
            </w:r>
          </w:p>
          <w:p w14:paraId="1B27E74C" w14:textId="77777777" w:rsidR="000C1ABA" w:rsidRDefault="000C1ABA" w:rsidP="000C1ABA">
            <w:pPr>
              <w:widowControl/>
              <w:autoSpaceDE/>
              <w:autoSpaceDN/>
              <w:adjustRightInd/>
              <w:spacing w:line="240" w:lineRule="auto"/>
            </w:pPr>
          </w:p>
          <w:p w14:paraId="64E0FE90" w14:textId="77777777" w:rsidR="00B733A6" w:rsidRDefault="00B733A6" w:rsidP="000C1ABA">
            <w:pPr>
              <w:widowControl/>
              <w:autoSpaceDE/>
              <w:autoSpaceDN/>
              <w:adjustRightInd/>
              <w:spacing w:line="240" w:lineRule="auto"/>
            </w:pPr>
            <w:r w:rsidRPr="00FA316E">
              <w:rPr>
                <w:rStyle w:val="Ppogrubienie"/>
              </w:rPr>
              <w:t>Ponadto projekt ustawy zostanie przekazany do zaopiniowania przez</w:t>
            </w:r>
            <w:r>
              <w:t>:</w:t>
            </w:r>
          </w:p>
          <w:p w14:paraId="2692BDBF" w14:textId="77777777" w:rsidR="00B733A6" w:rsidRPr="00B733A6" w:rsidRDefault="00B733A6" w:rsidP="00B733A6">
            <w:r>
              <w:t xml:space="preserve">1) </w:t>
            </w:r>
            <w:r w:rsidRPr="00B733A6">
              <w:t>Rad</w:t>
            </w:r>
            <w:r>
              <w:t>ę</w:t>
            </w:r>
            <w:r w:rsidRPr="00B733A6">
              <w:t xml:space="preserve"> Dialogu Społecznego,</w:t>
            </w:r>
          </w:p>
          <w:p w14:paraId="6685FD49" w14:textId="77777777" w:rsidR="00B733A6" w:rsidRPr="00B733A6" w:rsidRDefault="00B733A6" w:rsidP="00B733A6">
            <w:r>
              <w:t xml:space="preserve">2) </w:t>
            </w:r>
            <w:r w:rsidRPr="00B733A6">
              <w:t xml:space="preserve">Business Centre Club – Związek Pracodawców, </w:t>
            </w:r>
          </w:p>
          <w:p w14:paraId="3D52BC80" w14:textId="12707581" w:rsidR="00B733A6" w:rsidRPr="00B733A6" w:rsidRDefault="00B733A6" w:rsidP="00B733A6">
            <w:r>
              <w:t xml:space="preserve">3) </w:t>
            </w:r>
            <w:r w:rsidRPr="00B733A6">
              <w:t>Niezależn</w:t>
            </w:r>
            <w:r>
              <w:t>y</w:t>
            </w:r>
            <w:r w:rsidRPr="00B733A6">
              <w:t xml:space="preserve"> Samorząd</w:t>
            </w:r>
            <w:r>
              <w:t>ny</w:t>
            </w:r>
            <w:r w:rsidRPr="00B733A6">
              <w:t xml:space="preserve"> Związ</w:t>
            </w:r>
            <w:r>
              <w:t>ek</w:t>
            </w:r>
            <w:r w:rsidRPr="00B733A6">
              <w:t xml:space="preserve"> Zawodow</w:t>
            </w:r>
            <w:r>
              <w:t>y</w:t>
            </w:r>
            <w:r w:rsidRPr="00B733A6">
              <w:t xml:space="preserve"> </w:t>
            </w:r>
            <w:r w:rsidR="00C54224">
              <w:t>„</w:t>
            </w:r>
            <w:r w:rsidRPr="00B733A6">
              <w:t>Solidarność</w:t>
            </w:r>
            <w:r w:rsidR="00C54224">
              <w:t>”</w:t>
            </w:r>
            <w:r w:rsidR="005F0828">
              <w:t>;</w:t>
            </w:r>
          </w:p>
          <w:p w14:paraId="2A165251" w14:textId="77777777" w:rsidR="00B733A6" w:rsidRPr="00B733A6" w:rsidRDefault="00B733A6" w:rsidP="00B733A6">
            <w:r>
              <w:t>4) Ogólnopolskie</w:t>
            </w:r>
            <w:r w:rsidRPr="00B733A6">
              <w:t xml:space="preserve"> Porozumieni</w:t>
            </w:r>
            <w:r>
              <w:t>e</w:t>
            </w:r>
            <w:r w:rsidRPr="00B733A6">
              <w:t xml:space="preserve"> Związków Zawodowych</w:t>
            </w:r>
            <w:r w:rsidR="005F0828">
              <w:t>;</w:t>
            </w:r>
            <w:r w:rsidRPr="00B733A6">
              <w:t xml:space="preserve"> </w:t>
            </w:r>
          </w:p>
          <w:p w14:paraId="3560C2C5" w14:textId="77777777" w:rsidR="00B733A6" w:rsidRPr="00B733A6" w:rsidRDefault="00B733A6" w:rsidP="00B733A6">
            <w:r>
              <w:t xml:space="preserve">5) </w:t>
            </w:r>
            <w:r w:rsidRPr="00B733A6">
              <w:t>Forum Związków Zawodowych</w:t>
            </w:r>
            <w:r w:rsidR="005F0828">
              <w:t>;</w:t>
            </w:r>
          </w:p>
          <w:p w14:paraId="5C1CD522" w14:textId="77777777" w:rsidR="00B733A6" w:rsidRPr="00B733A6" w:rsidRDefault="00B733A6" w:rsidP="00B733A6">
            <w:r>
              <w:t xml:space="preserve">6) </w:t>
            </w:r>
            <w:r w:rsidRPr="00B733A6">
              <w:t>Pracodawc</w:t>
            </w:r>
            <w:r>
              <w:t xml:space="preserve">ów </w:t>
            </w:r>
            <w:r w:rsidRPr="00B733A6">
              <w:t>Rzeczypospolitej Polskiej</w:t>
            </w:r>
            <w:r w:rsidR="005F0828">
              <w:t>;</w:t>
            </w:r>
          </w:p>
          <w:p w14:paraId="592963D3" w14:textId="77777777" w:rsidR="00B733A6" w:rsidRDefault="00B733A6" w:rsidP="00B733A6">
            <w:r>
              <w:t xml:space="preserve">7) </w:t>
            </w:r>
            <w:r w:rsidRPr="00B733A6">
              <w:t>Konfederacj</w:t>
            </w:r>
            <w:r>
              <w:t>ę</w:t>
            </w:r>
            <w:r w:rsidRPr="00B733A6">
              <w:t xml:space="preserve"> Lewiatan</w:t>
            </w:r>
            <w:r w:rsidR="005F0828">
              <w:t>;</w:t>
            </w:r>
          </w:p>
          <w:p w14:paraId="23E773C4" w14:textId="77777777" w:rsidR="002A679E" w:rsidRPr="00B733A6" w:rsidRDefault="002A679E" w:rsidP="00B733A6">
            <w:r>
              <w:t>8) Związek Rzemiosła Polskiego.</w:t>
            </w:r>
          </w:p>
          <w:p w14:paraId="0150DF14" w14:textId="77777777" w:rsidR="00B733A6" w:rsidRPr="00FA316E" w:rsidRDefault="002A679E" w:rsidP="000C1ABA">
            <w:pPr>
              <w:widowControl/>
              <w:autoSpaceDE/>
              <w:autoSpaceDN/>
              <w:adjustRightInd/>
              <w:spacing w:line="240" w:lineRule="auto"/>
              <w:rPr>
                <w:rStyle w:val="Ppogrubienie"/>
              </w:rPr>
            </w:pPr>
            <w:r w:rsidRPr="00FA316E">
              <w:rPr>
                <w:rStyle w:val="Ppogrubienie"/>
              </w:rPr>
              <w:t>oraz</w:t>
            </w:r>
          </w:p>
          <w:p w14:paraId="168AB093" w14:textId="77777777" w:rsidR="002A679E" w:rsidRDefault="002A679E" w:rsidP="00B733A6">
            <w:r>
              <w:t>9) Krajową Radę Radiofonii i Telewizji;</w:t>
            </w:r>
          </w:p>
          <w:p w14:paraId="61A4B49E" w14:textId="77777777" w:rsidR="00FA316E" w:rsidRDefault="00FA316E" w:rsidP="00B733A6">
            <w:r>
              <w:t xml:space="preserve">10) </w:t>
            </w:r>
            <w:r w:rsidRPr="00FA316E">
              <w:t>Prezes</w:t>
            </w:r>
            <w:r>
              <w:t>a</w:t>
            </w:r>
            <w:r w:rsidRPr="00FA316E">
              <w:t xml:space="preserve"> Urzędu Oc</w:t>
            </w:r>
            <w:r w:rsidR="005F0828">
              <w:t>hrony Konkurencji i Konsumentów;</w:t>
            </w:r>
          </w:p>
          <w:p w14:paraId="06B2061A" w14:textId="77777777" w:rsidR="00B733A6" w:rsidRDefault="00FA316E" w:rsidP="00B733A6">
            <w:r>
              <w:t>11</w:t>
            </w:r>
            <w:r w:rsidR="002A679E">
              <w:t xml:space="preserve">) </w:t>
            </w:r>
            <w:r w:rsidR="00B733A6" w:rsidRPr="00B733A6">
              <w:t>Naczeln</w:t>
            </w:r>
            <w:r w:rsidR="002A679E">
              <w:t>ą</w:t>
            </w:r>
            <w:r w:rsidR="00B733A6" w:rsidRPr="00B733A6">
              <w:t xml:space="preserve"> Organizacj</w:t>
            </w:r>
            <w:r w:rsidR="002A679E">
              <w:t>ę</w:t>
            </w:r>
            <w:r w:rsidR="00B733A6" w:rsidRPr="00B733A6">
              <w:t xml:space="preserve"> Techniczn</w:t>
            </w:r>
            <w:r w:rsidR="002A679E">
              <w:t>ą</w:t>
            </w:r>
            <w:r w:rsidR="005F0828">
              <w:t>;</w:t>
            </w:r>
          </w:p>
          <w:p w14:paraId="76A0D66E" w14:textId="77777777" w:rsidR="002A679E" w:rsidRPr="002A679E" w:rsidRDefault="00FA316E" w:rsidP="002A679E">
            <w:r>
              <w:t>12</w:t>
            </w:r>
            <w:r w:rsidR="002A679E">
              <w:t>) Polski Komitet Normalizacyjny</w:t>
            </w:r>
            <w:r w:rsidR="005F0828">
              <w:t>;</w:t>
            </w:r>
          </w:p>
          <w:p w14:paraId="134F22A4" w14:textId="77777777" w:rsidR="00581029" w:rsidRDefault="00FA316E" w:rsidP="00581029">
            <w:r>
              <w:lastRenderedPageBreak/>
              <w:t xml:space="preserve">13) </w:t>
            </w:r>
            <w:r w:rsidR="00581029">
              <w:t>Wojskowe Biuro Zarządzania Częstotliwościami</w:t>
            </w:r>
            <w:r w:rsidR="00581029" w:rsidRPr="00581029">
              <w:t xml:space="preserve">. </w:t>
            </w:r>
          </w:p>
          <w:p w14:paraId="5DF0979D" w14:textId="77777777" w:rsidR="00B733A6" w:rsidRPr="000C1ABA" w:rsidRDefault="00B733A6" w:rsidP="000C1ABA">
            <w:pPr>
              <w:widowControl/>
              <w:autoSpaceDE/>
              <w:autoSpaceDN/>
              <w:adjustRightInd/>
              <w:spacing w:line="240" w:lineRule="auto"/>
              <w:rPr>
                <w:rFonts w:ascii="Calibri" w:eastAsia="Times New Roman" w:hAnsi="Calibri" w:cs="Times New Roman"/>
                <w:bCs/>
                <w:szCs w:val="24"/>
              </w:rPr>
            </w:pPr>
          </w:p>
          <w:p w14:paraId="71F5380D" w14:textId="77777777" w:rsidR="000C1ABA" w:rsidRPr="000B0FD2" w:rsidRDefault="000C1ABA" w:rsidP="00D0029B">
            <w:pPr>
              <w:widowControl/>
              <w:autoSpaceDE/>
              <w:autoSpaceDN/>
              <w:adjustRightInd/>
              <w:spacing w:line="240" w:lineRule="auto"/>
              <w:rPr>
                <w:rFonts w:ascii="Calibri" w:eastAsia="Times New Roman" w:hAnsi="Calibri" w:cs="Times New Roman"/>
                <w:bCs/>
                <w:szCs w:val="24"/>
              </w:rPr>
            </w:pPr>
            <w:r w:rsidRPr="000C1ABA">
              <w:rPr>
                <w:rFonts w:ascii="Calibri" w:eastAsia="Times New Roman" w:hAnsi="Calibri" w:cs="Times New Roman"/>
                <w:bCs/>
                <w:szCs w:val="24"/>
              </w:rPr>
              <w:t xml:space="preserve">Zgodnie z art. 5 ustawy z dnia 7 lipca 2005 r. o działalności lobbingowej w procesie stanowienia prawa (Dz. U. z 2017 r. poz. 248) </w:t>
            </w:r>
            <w:r w:rsidR="00D0029B" w:rsidRPr="000C1ABA">
              <w:rPr>
                <w:rFonts w:ascii="Calibri" w:eastAsia="Times New Roman" w:hAnsi="Calibri" w:cs="Times New Roman"/>
                <w:bCs/>
                <w:szCs w:val="24"/>
              </w:rPr>
              <w:t>projektowan</w:t>
            </w:r>
            <w:r w:rsidR="00D0029B">
              <w:t>a</w:t>
            </w:r>
            <w:r w:rsidR="00D0029B">
              <w:rPr>
                <w:rFonts w:ascii="Calibri" w:eastAsia="Times New Roman" w:hAnsi="Calibri" w:cs="Times New Roman"/>
                <w:bCs/>
                <w:szCs w:val="24"/>
              </w:rPr>
              <w:t xml:space="preserve"> ustawa</w:t>
            </w:r>
            <w:r w:rsidR="006B677B">
              <w:t xml:space="preserve"> </w:t>
            </w:r>
            <w:r w:rsidR="00D0029B" w:rsidRPr="000C1ABA">
              <w:rPr>
                <w:rFonts w:ascii="Calibri" w:eastAsia="Times New Roman" w:hAnsi="Calibri" w:cs="Times New Roman"/>
                <w:bCs/>
                <w:szCs w:val="24"/>
              </w:rPr>
              <w:t>zosta</w:t>
            </w:r>
            <w:r w:rsidR="00D0029B">
              <w:t>ła</w:t>
            </w:r>
            <w:r w:rsidR="00D0029B" w:rsidRPr="000C1ABA">
              <w:rPr>
                <w:rFonts w:ascii="Calibri" w:eastAsia="Times New Roman" w:hAnsi="Calibri" w:cs="Times New Roman"/>
                <w:bCs/>
                <w:szCs w:val="24"/>
              </w:rPr>
              <w:t xml:space="preserve"> udostępnion</w:t>
            </w:r>
            <w:r w:rsidR="00D0029B">
              <w:t>a</w:t>
            </w:r>
            <w:r w:rsidR="00D0029B" w:rsidRPr="000C1ABA">
              <w:rPr>
                <w:rFonts w:ascii="Calibri" w:eastAsia="Times New Roman" w:hAnsi="Calibri" w:cs="Times New Roman"/>
                <w:bCs/>
                <w:szCs w:val="24"/>
              </w:rPr>
              <w:t xml:space="preserve"> </w:t>
            </w:r>
            <w:r w:rsidRPr="000C1ABA">
              <w:rPr>
                <w:rFonts w:ascii="Calibri" w:eastAsia="Times New Roman" w:hAnsi="Calibri" w:cs="Times New Roman"/>
                <w:bCs/>
                <w:szCs w:val="24"/>
              </w:rPr>
              <w:t xml:space="preserve">na stronie podmiotowej Biuletynu Informacji Publicznej MC oraz </w:t>
            </w:r>
            <w:r w:rsidRPr="000C1ABA">
              <w:rPr>
                <w:rFonts w:ascii="Calibri" w:eastAsia="Calibri" w:hAnsi="Calibri" w:cs="Times New Roman"/>
                <w:bCs/>
                <w:szCs w:val="24"/>
              </w:rPr>
              <w:t>w Biuletynie Informacji Publicznej na stronie podmiotowej Rządowego Centrum Legislacji, w serwisie Rządowy Proces Legislacyjny.</w:t>
            </w:r>
          </w:p>
        </w:tc>
      </w:tr>
      <w:tr w:rsidR="000C1ABA" w:rsidRPr="000C1ABA" w14:paraId="582D4C81" w14:textId="77777777" w:rsidTr="00FA7950">
        <w:trPr>
          <w:trHeight w:val="363"/>
        </w:trPr>
        <w:tc>
          <w:tcPr>
            <w:tcW w:w="10485" w:type="dxa"/>
            <w:gridSpan w:val="29"/>
            <w:shd w:val="clear" w:color="auto" w:fill="99CCFF"/>
            <w:vAlign w:val="center"/>
          </w:tcPr>
          <w:p w14:paraId="70ADD766" w14:textId="77777777" w:rsidR="000C1ABA" w:rsidRPr="000C1ABA" w:rsidRDefault="000C1ABA" w:rsidP="00F56577">
            <w:pPr>
              <w:widowControl/>
              <w:numPr>
                <w:ilvl w:val="0"/>
                <w:numId w:val="1"/>
              </w:numPr>
              <w:autoSpaceDE/>
              <w:autoSpaceDN/>
              <w:adjustRightInd/>
              <w:spacing w:before="60" w:after="60" w:line="240" w:lineRule="auto"/>
              <w:ind w:left="318" w:hanging="284"/>
              <w:jc w:val="left"/>
              <w:rPr>
                <w:rFonts w:ascii="Calibri" w:eastAsia="Times New Roman" w:hAnsi="Calibri" w:cs="Times New Roman"/>
                <w:b/>
                <w:color w:val="000000"/>
                <w:szCs w:val="24"/>
              </w:rPr>
            </w:pPr>
            <w:r w:rsidRPr="000C1ABA">
              <w:rPr>
                <w:rFonts w:ascii="Calibri" w:eastAsia="Times New Roman" w:hAnsi="Calibri" w:cs="Times New Roman"/>
                <w:b/>
                <w:color w:val="000000"/>
                <w:szCs w:val="24"/>
              </w:rPr>
              <w:lastRenderedPageBreak/>
              <w:t xml:space="preserve"> Wpływ na sektor finansów publicznych</w:t>
            </w:r>
          </w:p>
        </w:tc>
      </w:tr>
      <w:tr w:rsidR="000C1ABA" w:rsidRPr="000C1ABA" w14:paraId="06D74466" w14:textId="77777777" w:rsidTr="00FA7950">
        <w:trPr>
          <w:trHeight w:val="142"/>
        </w:trPr>
        <w:tc>
          <w:tcPr>
            <w:tcW w:w="3133" w:type="dxa"/>
            <w:gridSpan w:val="4"/>
            <w:vMerge w:val="restart"/>
            <w:shd w:val="clear" w:color="auto" w:fill="FFFFFF"/>
          </w:tcPr>
          <w:p w14:paraId="5CDCD2CB" w14:textId="77777777" w:rsidR="000C1ABA" w:rsidRPr="000C1ABA" w:rsidRDefault="000C1ABA" w:rsidP="008C12F2">
            <w:pPr>
              <w:spacing w:before="40" w:after="40" w:line="240" w:lineRule="auto"/>
              <w:jc w:val="left"/>
              <w:rPr>
                <w:rFonts w:ascii="Calibri" w:eastAsia="Times New Roman" w:hAnsi="Calibri" w:cs="Times New Roman"/>
                <w:i/>
                <w:color w:val="000000"/>
                <w:szCs w:val="24"/>
              </w:rPr>
            </w:pPr>
            <w:r w:rsidRPr="000C1ABA">
              <w:rPr>
                <w:rFonts w:ascii="Calibri" w:eastAsia="Times New Roman" w:hAnsi="Calibri" w:cs="Times New Roman"/>
                <w:color w:val="000000"/>
                <w:szCs w:val="24"/>
              </w:rPr>
              <w:t>(ceny stałe z 201</w:t>
            </w:r>
            <w:r w:rsidR="008C12F2">
              <w:t>7</w:t>
            </w:r>
            <w:r w:rsidRPr="000C1ABA">
              <w:rPr>
                <w:rFonts w:ascii="Calibri" w:eastAsia="Times New Roman" w:hAnsi="Calibri" w:cs="Times New Roman"/>
                <w:color w:val="000000"/>
                <w:szCs w:val="24"/>
              </w:rPr>
              <w:t xml:space="preserve"> r.)</w:t>
            </w:r>
          </w:p>
        </w:tc>
        <w:tc>
          <w:tcPr>
            <w:tcW w:w="7352" w:type="dxa"/>
            <w:gridSpan w:val="25"/>
            <w:shd w:val="clear" w:color="auto" w:fill="FFFFFF"/>
          </w:tcPr>
          <w:p w14:paraId="1E8F9F19" w14:textId="77777777" w:rsidR="000C1ABA" w:rsidRPr="000C1ABA" w:rsidRDefault="000C1ABA" w:rsidP="000C1ABA">
            <w:pPr>
              <w:spacing w:before="40" w:after="40" w:line="240" w:lineRule="auto"/>
              <w:jc w:val="center"/>
              <w:rPr>
                <w:rFonts w:ascii="Calibri" w:eastAsia="Times New Roman" w:hAnsi="Calibri" w:cs="Times New Roman"/>
                <w:i/>
                <w:color w:val="000000"/>
                <w:spacing w:val="-2"/>
                <w:szCs w:val="24"/>
              </w:rPr>
            </w:pPr>
            <w:r w:rsidRPr="000C1ABA">
              <w:rPr>
                <w:rFonts w:ascii="Calibri" w:eastAsia="Times New Roman" w:hAnsi="Calibri" w:cs="Times New Roman"/>
                <w:color w:val="000000"/>
                <w:szCs w:val="24"/>
              </w:rPr>
              <w:t>Skutki w okresie 10 lat od wejścia w życie zmian [mln zł]</w:t>
            </w:r>
          </w:p>
        </w:tc>
      </w:tr>
      <w:tr w:rsidR="000C1ABA" w:rsidRPr="000C1ABA" w14:paraId="281ACF83" w14:textId="77777777" w:rsidTr="00FA7950">
        <w:trPr>
          <w:trHeight w:val="142"/>
        </w:trPr>
        <w:tc>
          <w:tcPr>
            <w:tcW w:w="3133" w:type="dxa"/>
            <w:gridSpan w:val="4"/>
            <w:vMerge/>
            <w:shd w:val="clear" w:color="auto" w:fill="FFFFFF"/>
          </w:tcPr>
          <w:p w14:paraId="0B67A705" w14:textId="77777777" w:rsidR="000C1ABA" w:rsidRPr="000C1ABA" w:rsidRDefault="000C1ABA" w:rsidP="000C1ABA">
            <w:pPr>
              <w:spacing w:before="40" w:after="40" w:line="240" w:lineRule="auto"/>
              <w:jc w:val="left"/>
              <w:rPr>
                <w:rFonts w:ascii="Calibri" w:eastAsia="Times New Roman" w:hAnsi="Calibri" w:cs="Times New Roman"/>
                <w:i/>
                <w:color w:val="000000"/>
                <w:szCs w:val="24"/>
              </w:rPr>
            </w:pPr>
          </w:p>
        </w:tc>
        <w:tc>
          <w:tcPr>
            <w:tcW w:w="569" w:type="dxa"/>
            <w:gridSpan w:val="2"/>
            <w:shd w:val="clear" w:color="auto" w:fill="FFFFFF"/>
          </w:tcPr>
          <w:p w14:paraId="227F1381"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0</w:t>
            </w:r>
          </w:p>
        </w:tc>
        <w:tc>
          <w:tcPr>
            <w:tcW w:w="570" w:type="dxa"/>
            <w:gridSpan w:val="2"/>
            <w:shd w:val="clear" w:color="auto" w:fill="FFFFFF"/>
          </w:tcPr>
          <w:p w14:paraId="001C078C"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1</w:t>
            </w:r>
          </w:p>
        </w:tc>
        <w:tc>
          <w:tcPr>
            <w:tcW w:w="570" w:type="dxa"/>
            <w:gridSpan w:val="2"/>
            <w:shd w:val="clear" w:color="auto" w:fill="FFFFFF"/>
          </w:tcPr>
          <w:p w14:paraId="4E5A2481"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2</w:t>
            </w:r>
          </w:p>
        </w:tc>
        <w:tc>
          <w:tcPr>
            <w:tcW w:w="569" w:type="dxa"/>
            <w:gridSpan w:val="3"/>
            <w:shd w:val="clear" w:color="auto" w:fill="FFFFFF"/>
          </w:tcPr>
          <w:p w14:paraId="73374DDE"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3</w:t>
            </w:r>
          </w:p>
        </w:tc>
        <w:tc>
          <w:tcPr>
            <w:tcW w:w="570" w:type="dxa"/>
            <w:gridSpan w:val="2"/>
            <w:shd w:val="clear" w:color="auto" w:fill="FFFFFF"/>
          </w:tcPr>
          <w:p w14:paraId="2BB3202E"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4</w:t>
            </w:r>
          </w:p>
        </w:tc>
        <w:tc>
          <w:tcPr>
            <w:tcW w:w="570" w:type="dxa"/>
            <w:shd w:val="clear" w:color="auto" w:fill="FFFFFF"/>
          </w:tcPr>
          <w:p w14:paraId="11E65929"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5</w:t>
            </w:r>
          </w:p>
        </w:tc>
        <w:tc>
          <w:tcPr>
            <w:tcW w:w="570" w:type="dxa"/>
            <w:gridSpan w:val="3"/>
            <w:shd w:val="clear" w:color="auto" w:fill="FFFFFF"/>
          </w:tcPr>
          <w:p w14:paraId="4CF72235"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6</w:t>
            </w:r>
          </w:p>
        </w:tc>
        <w:tc>
          <w:tcPr>
            <w:tcW w:w="569" w:type="dxa"/>
            <w:gridSpan w:val="3"/>
            <w:shd w:val="clear" w:color="auto" w:fill="FFFFFF"/>
          </w:tcPr>
          <w:p w14:paraId="3FE81A74"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7</w:t>
            </w:r>
          </w:p>
        </w:tc>
        <w:tc>
          <w:tcPr>
            <w:tcW w:w="570" w:type="dxa"/>
            <w:gridSpan w:val="2"/>
            <w:shd w:val="clear" w:color="auto" w:fill="FFFFFF"/>
          </w:tcPr>
          <w:p w14:paraId="464BADC1"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8</w:t>
            </w:r>
          </w:p>
        </w:tc>
        <w:tc>
          <w:tcPr>
            <w:tcW w:w="570" w:type="dxa"/>
            <w:gridSpan w:val="2"/>
            <w:shd w:val="clear" w:color="auto" w:fill="FFFFFF"/>
          </w:tcPr>
          <w:p w14:paraId="6055A83E"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9</w:t>
            </w:r>
          </w:p>
        </w:tc>
        <w:tc>
          <w:tcPr>
            <w:tcW w:w="570" w:type="dxa"/>
            <w:shd w:val="clear" w:color="auto" w:fill="FFFFFF"/>
          </w:tcPr>
          <w:p w14:paraId="51243846" w14:textId="77777777" w:rsidR="000C1ABA" w:rsidRPr="000C1ABA" w:rsidRDefault="000C1ABA" w:rsidP="000C1ABA">
            <w:pPr>
              <w:spacing w:line="240" w:lineRule="auto"/>
              <w:jc w:val="center"/>
              <w:rPr>
                <w:rFonts w:ascii="Calibri" w:eastAsia="Times New Roman" w:hAnsi="Calibri" w:cs="Times New Roman"/>
                <w:color w:val="000000"/>
                <w:szCs w:val="24"/>
              </w:rPr>
            </w:pPr>
            <w:r w:rsidRPr="000C1ABA">
              <w:rPr>
                <w:rFonts w:ascii="Calibri" w:eastAsia="Times New Roman" w:hAnsi="Calibri" w:cs="Times New Roman"/>
                <w:color w:val="000000"/>
                <w:szCs w:val="24"/>
              </w:rPr>
              <w:t>10</w:t>
            </w:r>
          </w:p>
        </w:tc>
        <w:tc>
          <w:tcPr>
            <w:tcW w:w="1085" w:type="dxa"/>
            <w:gridSpan w:val="2"/>
            <w:shd w:val="clear" w:color="auto" w:fill="FFFFFF"/>
          </w:tcPr>
          <w:p w14:paraId="758FC8E4" w14:textId="77777777" w:rsidR="000C1ABA" w:rsidRPr="000C1ABA" w:rsidRDefault="000C1ABA" w:rsidP="000C1ABA">
            <w:pPr>
              <w:spacing w:before="40" w:after="40" w:line="240" w:lineRule="auto"/>
              <w:jc w:val="center"/>
              <w:rPr>
                <w:rFonts w:ascii="Calibri" w:eastAsia="Times New Roman" w:hAnsi="Calibri" w:cs="Times New Roman"/>
                <w:i/>
                <w:color w:val="000000"/>
                <w:spacing w:val="-2"/>
                <w:szCs w:val="24"/>
              </w:rPr>
            </w:pPr>
            <w:r w:rsidRPr="000C1ABA">
              <w:rPr>
                <w:rFonts w:ascii="Calibri" w:eastAsia="Times New Roman" w:hAnsi="Calibri" w:cs="Times New Roman"/>
                <w:i/>
                <w:color w:val="000000"/>
                <w:spacing w:val="-2"/>
                <w:szCs w:val="24"/>
              </w:rPr>
              <w:t>Łącznie (0-10)</w:t>
            </w:r>
          </w:p>
        </w:tc>
      </w:tr>
      <w:tr w:rsidR="000C1ABA" w:rsidRPr="000C1ABA" w14:paraId="548E2995" w14:textId="77777777" w:rsidTr="00FA7950">
        <w:trPr>
          <w:trHeight w:val="321"/>
        </w:trPr>
        <w:tc>
          <w:tcPr>
            <w:tcW w:w="3133" w:type="dxa"/>
            <w:gridSpan w:val="4"/>
            <w:shd w:val="clear" w:color="auto" w:fill="FFFFFF"/>
            <w:vAlign w:val="center"/>
          </w:tcPr>
          <w:p w14:paraId="279791A9"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cs="Times New Roman"/>
                <w:b/>
                <w:color w:val="000000"/>
                <w:szCs w:val="24"/>
              </w:rPr>
              <w:t>Dochody ogółem</w:t>
            </w:r>
          </w:p>
        </w:tc>
        <w:tc>
          <w:tcPr>
            <w:tcW w:w="569" w:type="dxa"/>
            <w:gridSpan w:val="2"/>
            <w:shd w:val="clear" w:color="auto" w:fill="FFFFFF"/>
          </w:tcPr>
          <w:p w14:paraId="7CBBB54A" w14:textId="2ECA4EFA" w:rsidR="000C1ABA" w:rsidRPr="000C1ABA" w:rsidRDefault="00696F8A" w:rsidP="000C1ABA">
            <w:pPr>
              <w:spacing w:line="240" w:lineRule="auto"/>
              <w:jc w:val="left"/>
              <w:rPr>
                <w:rFonts w:ascii="Calibri" w:eastAsia="Times New Roman" w:hAnsi="Calibri" w:cs="Times New Roman"/>
                <w:color w:val="000000"/>
                <w:szCs w:val="24"/>
              </w:rPr>
            </w:pPr>
            <w:r>
              <w:t>0,06</w:t>
            </w:r>
          </w:p>
        </w:tc>
        <w:tc>
          <w:tcPr>
            <w:tcW w:w="570" w:type="dxa"/>
            <w:gridSpan w:val="2"/>
            <w:shd w:val="clear" w:color="auto" w:fill="FFFFFF"/>
          </w:tcPr>
          <w:p w14:paraId="4826E13A" w14:textId="58A467E5" w:rsidR="000C1ABA" w:rsidRPr="000C1ABA" w:rsidRDefault="00696F8A" w:rsidP="000C1ABA">
            <w:pPr>
              <w:spacing w:line="240" w:lineRule="auto"/>
              <w:jc w:val="left"/>
              <w:rPr>
                <w:rFonts w:ascii="Calibri" w:eastAsia="Times New Roman" w:hAnsi="Calibri" w:cs="Times New Roman"/>
                <w:color w:val="000000"/>
                <w:szCs w:val="24"/>
              </w:rPr>
            </w:pPr>
            <w:r>
              <w:t>0,06</w:t>
            </w:r>
          </w:p>
        </w:tc>
        <w:tc>
          <w:tcPr>
            <w:tcW w:w="570" w:type="dxa"/>
            <w:gridSpan w:val="2"/>
            <w:shd w:val="clear" w:color="auto" w:fill="FFFFFF"/>
          </w:tcPr>
          <w:p w14:paraId="169B45F7" w14:textId="718A4CC0"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69" w:type="dxa"/>
            <w:gridSpan w:val="3"/>
            <w:shd w:val="clear" w:color="auto" w:fill="FFFFFF"/>
          </w:tcPr>
          <w:p w14:paraId="5DD7CAAD" w14:textId="1DBFAE1F"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70" w:type="dxa"/>
            <w:gridSpan w:val="2"/>
            <w:shd w:val="clear" w:color="auto" w:fill="FFFFFF"/>
          </w:tcPr>
          <w:p w14:paraId="3A8746A9" w14:textId="26EA33DF"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70" w:type="dxa"/>
            <w:shd w:val="clear" w:color="auto" w:fill="FFFFFF"/>
          </w:tcPr>
          <w:p w14:paraId="72AE85E0" w14:textId="6E0F19F1"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70" w:type="dxa"/>
            <w:gridSpan w:val="3"/>
            <w:shd w:val="clear" w:color="auto" w:fill="FFFFFF"/>
          </w:tcPr>
          <w:p w14:paraId="2C52E354" w14:textId="28556323"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69" w:type="dxa"/>
            <w:gridSpan w:val="3"/>
            <w:shd w:val="clear" w:color="auto" w:fill="FFFFFF"/>
          </w:tcPr>
          <w:p w14:paraId="02E7D839" w14:textId="4E6C9034"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70" w:type="dxa"/>
            <w:gridSpan w:val="2"/>
            <w:shd w:val="clear" w:color="auto" w:fill="FFFFFF"/>
          </w:tcPr>
          <w:p w14:paraId="135EB9DB" w14:textId="20D366C0"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70" w:type="dxa"/>
            <w:gridSpan w:val="2"/>
            <w:shd w:val="clear" w:color="auto" w:fill="FFFFFF"/>
          </w:tcPr>
          <w:p w14:paraId="340CD46A" w14:textId="747FA29C"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570" w:type="dxa"/>
            <w:shd w:val="clear" w:color="auto" w:fill="FFFFFF"/>
          </w:tcPr>
          <w:p w14:paraId="6B3DA66B" w14:textId="648F25A1" w:rsidR="000C1ABA" w:rsidRPr="000C1ABA" w:rsidRDefault="00696F8A" w:rsidP="00B37E27">
            <w:pPr>
              <w:spacing w:line="240" w:lineRule="auto"/>
              <w:jc w:val="left"/>
              <w:rPr>
                <w:rFonts w:ascii="Calibri" w:eastAsia="Times New Roman" w:hAnsi="Calibri" w:cs="Times New Roman"/>
                <w:color w:val="000000"/>
                <w:szCs w:val="24"/>
              </w:rPr>
            </w:pPr>
            <w:r>
              <w:t>0,06</w:t>
            </w:r>
          </w:p>
        </w:tc>
        <w:tc>
          <w:tcPr>
            <w:tcW w:w="1085" w:type="dxa"/>
            <w:gridSpan w:val="2"/>
            <w:shd w:val="clear" w:color="auto" w:fill="FFFFFF"/>
          </w:tcPr>
          <w:p w14:paraId="372654C0" w14:textId="03C5DF09" w:rsidR="000C1ABA" w:rsidRPr="000C1ABA" w:rsidRDefault="00696F8A" w:rsidP="000C1ABA">
            <w:pPr>
              <w:spacing w:line="240" w:lineRule="auto"/>
              <w:jc w:val="left"/>
              <w:rPr>
                <w:rFonts w:ascii="Calibri" w:eastAsia="Times New Roman" w:hAnsi="Calibri" w:cs="Times New Roman"/>
                <w:color w:val="000000"/>
                <w:spacing w:val="-2"/>
                <w:szCs w:val="24"/>
              </w:rPr>
            </w:pPr>
            <w:r>
              <w:t>0,</w:t>
            </w:r>
            <w:r w:rsidR="00391880">
              <w:t>6</w:t>
            </w:r>
            <w:r>
              <w:t>6</w:t>
            </w:r>
          </w:p>
        </w:tc>
      </w:tr>
      <w:tr w:rsidR="000C1ABA" w:rsidRPr="000C1ABA" w14:paraId="6C0E93B7" w14:textId="77777777" w:rsidTr="00FA7950">
        <w:trPr>
          <w:trHeight w:val="321"/>
        </w:trPr>
        <w:tc>
          <w:tcPr>
            <w:tcW w:w="3133" w:type="dxa"/>
            <w:gridSpan w:val="4"/>
            <w:shd w:val="clear" w:color="auto" w:fill="FFFFFF"/>
            <w:vAlign w:val="center"/>
          </w:tcPr>
          <w:p w14:paraId="6CDE1F2E"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cs="Times New Roman"/>
                <w:color w:val="000000"/>
                <w:szCs w:val="24"/>
              </w:rPr>
              <w:t>budżet państwa</w:t>
            </w:r>
          </w:p>
        </w:tc>
        <w:tc>
          <w:tcPr>
            <w:tcW w:w="569" w:type="dxa"/>
            <w:gridSpan w:val="2"/>
            <w:shd w:val="clear" w:color="auto" w:fill="FFFFFF"/>
          </w:tcPr>
          <w:p w14:paraId="205F10B0" w14:textId="7155CC34" w:rsidR="000C1ABA" w:rsidRPr="000C1ABA" w:rsidRDefault="00877102" w:rsidP="000C1ABA">
            <w:pPr>
              <w:spacing w:line="240" w:lineRule="auto"/>
              <w:jc w:val="left"/>
              <w:rPr>
                <w:rFonts w:ascii="Calibri" w:eastAsia="Times New Roman" w:hAnsi="Calibri" w:cs="Times New Roman"/>
                <w:color w:val="000000"/>
                <w:szCs w:val="24"/>
              </w:rPr>
            </w:pPr>
            <w:r>
              <w:t>0</w:t>
            </w:r>
          </w:p>
        </w:tc>
        <w:tc>
          <w:tcPr>
            <w:tcW w:w="570" w:type="dxa"/>
            <w:gridSpan w:val="2"/>
            <w:shd w:val="clear" w:color="auto" w:fill="FFFFFF"/>
          </w:tcPr>
          <w:p w14:paraId="7A0FF5D8" w14:textId="0E5205B6" w:rsidR="000C1ABA" w:rsidRPr="000C1ABA" w:rsidRDefault="00877102" w:rsidP="000C1ABA">
            <w:pPr>
              <w:spacing w:line="240" w:lineRule="auto"/>
              <w:jc w:val="left"/>
              <w:rPr>
                <w:rFonts w:ascii="Calibri" w:eastAsia="Times New Roman" w:hAnsi="Calibri" w:cs="Times New Roman"/>
                <w:color w:val="000000"/>
                <w:szCs w:val="24"/>
              </w:rPr>
            </w:pPr>
            <w:r>
              <w:t>0</w:t>
            </w:r>
          </w:p>
        </w:tc>
        <w:tc>
          <w:tcPr>
            <w:tcW w:w="570" w:type="dxa"/>
            <w:gridSpan w:val="2"/>
            <w:shd w:val="clear" w:color="auto" w:fill="FFFFFF"/>
          </w:tcPr>
          <w:p w14:paraId="51574B5D" w14:textId="6D712981"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69" w:type="dxa"/>
            <w:gridSpan w:val="3"/>
            <w:shd w:val="clear" w:color="auto" w:fill="FFFFFF"/>
          </w:tcPr>
          <w:p w14:paraId="1CF31E35" w14:textId="4D88699A"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70" w:type="dxa"/>
            <w:gridSpan w:val="2"/>
            <w:shd w:val="clear" w:color="auto" w:fill="FFFFFF"/>
          </w:tcPr>
          <w:p w14:paraId="35DA8E8D" w14:textId="397B5564"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70" w:type="dxa"/>
            <w:shd w:val="clear" w:color="auto" w:fill="FFFFFF"/>
          </w:tcPr>
          <w:p w14:paraId="1C9B9303" w14:textId="2E2679D7"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70" w:type="dxa"/>
            <w:gridSpan w:val="3"/>
            <w:shd w:val="clear" w:color="auto" w:fill="FFFFFF"/>
          </w:tcPr>
          <w:p w14:paraId="1763A120" w14:textId="14DFAC41"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69" w:type="dxa"/>
            <w:gridSpan w:val="3"/>
            <w:shd w:val="clear" w:color="auto" w:fill="FFFFFF"/>
          </w:tcPr>
          <w:p w14:paraId="64290397" w14:textId="21A870BE"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70" w:type="dxa"/>
            <w:gridSpan w:val="2"/>
            <w:shd w:val="clear" w:color="auto" w:fill="FFFFFF"/>
          </w:tcPr>
          <w:p w14:paraId="147BB630" w14:textId="720D984F"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70" w:type="dxa"/>
            <w:gridSpan w:val="2"/>
            <w:shd w:val="clear" w:color="auto" w:fill="FFFFFF"/>
          </w:tcPr>
          <w:p w14:paraId="69090C5A" w14:textId="205C2B90" w:rsidR="000C1ABA" w:rsidRPr="000C1ABA" w:rsidRDefault="00877102" w:rsidP="000C1ABA">
            <w:pPr>
              <w:spacing w:line="240" w:lineRule="auto"/>
              <w:jc w:val="left"/>
              <w:rPr>
                <w:rFonts w:ascii="Calibri" w:eastAsia="Times New Roman" w:hAnsi="Calibri" w:cs="Times New Roman"/>
                <w:color w:val="000000"/>
                <w:szCs w:val="24"/>
              </w:rPr>
            </w:pPr>
            <w:r w:rsidRPr="00877102">
              <w:t>0</w:t>
            </w:r>
          </w:p>
        </w:tc>
        <w:tc>
          <w:tcPr>
            <w:tcW w:w="570" w:type="dxa"/>
            <w:shd w:val="clear" w:color="auto" w:fill="FFFFFF"/>
          </w:tcPr>
          <w:p w14:paraId="1B2BCC63" w14:textId="1756B8C6" w:rsidR="000C1ABA" w:rsidRPr="000C1ABA" w:rsidRDefault="00877102" w:rsidP="00696F8A">
            <w:pPr>
              <w:spacing w:line="240" w:lineRule="auto"/>
              <w:jc w:val="left"/>
              <w:rPr>
                <w:rFonts w:ascii="Calibri" w:eastAsia="Times New Roman" w:hAnsi="Calibri" w:cs="Times New Roman"/>
                <w:color w:val="000000"/>
                <w:szCs w:val="24"/>
              </w:rPr>
            </w:pPr>
            <w:r w:rsidRPr="00877102">
              <w:t>0</w:t>
            </w:r>
          </w:p>
        </w:tc>
        <w:tc>
          <w:tcPr>
            <w:tcW w:w="1085" w:type="dxa"/>
            <w:gridSpan w:val="2"/>
            <w:shd w:val="clear" w:color="auto" w:fill="FFFFFF"/>
          </w:tcPr>
          <w:p w14:paraId="7A4CB6D2" w14:textId="74FB2F16" w:rsidR="000C1ABA" w:rsidRPr="000C1ABA" w:rsidRDefault="00877102" w:rsidP="000C1ABA">
            <w:pPr>
              <w:spacing w:line="240" w:lineRule="auto"/>
              <w:jc w:val="left"/>
              <w:rPr>
                <w:rFonts w:ascii="Calibri" w:eastAsia="Times New Roman" w:hAnsi="Calibri" w:cs="Times New Roman"/>
                <w:color w:val="000000"/>
                <w:spacing w:val="-2"/>
                <w:szCs w:val="24"/>
              </w:rPr>
            </w:pPr>
            <w:r w:rsidRPr="00877102">
              <w:t>0</w:t>
            </w:r>
          </w:p>
        </w:tc>
      </w:tr>
      <w:tr w:rsidR="000C1ABA" w:rsidRPr="000C1ABA" w14:paraId="2398F9B8" w14:textId="77777777" w:rsidTr="00FA7950">
        <w:trPr>
          <w:trHeight w:val="344"/>
        </w:trPr>
        <w:tc>
          <w:tcPr>
            <w:tcW w:w="3133" w:type="dxa"/>
            <w:gridSpan w:val="4"/>
            <w:shd w:val="clear" w:color="auto" w:fill="FFFFFF"/>
            <w:vAlign w:val="center"/>
          </w:tcPr>
          <w:p w14:paraId="0645D662"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cs="Times New Roman"/>
                <w:color w:val="000000"/>
                <w:szCs w:val="24"/>
              </w:rPr>
              <w:t>JST</w:t>
            </w:r>
          </w:p>
        </w:tc>
        <w:tc>
          <w:tcPr>
            <w:tcW w:w="569" w:type="dxa"/>
            <w:gridSpan w:val="2"/>
            <w:shd w:val="clear" w:color="auto" w:fill="FFFFFF"/>
          </w:tcPr>
          <w:p w14:paraId="403E2DAA" w14:textId="634A50CE"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gridSpan w:val="2"/>
            <w:shd w:val="clear" w:color="auto" w:fill="FFFFFF"/>
          </w:tcPr>
          <w:p w14:paraId="2C6AB836" w14:textId="350AEBBE"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gridSpan w:val="2"/>
            <w:shd w:val="clear" w:color="auto" w:fill="FFFFFF"/>
          </w:tcPr>
          <w:p w14:paraId="1529C736" w14:textId="7F02A9FE"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69" w:type="dxa"/>
            <w:gridSpan w:val="3"/>
            <w:shd w:val="clear" w:color="auto" w:fill="FFFFFF"/>
          </w:tcPr>
          <w:p w14:paraId="7ECC230D" w14:textId="24406A8A"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gridSpan w:val="2"/>
            <w:shd w:val="clear" w:color="auto" w:fill="FFFFFF"/>
          </w:tcPr>
          <w:p w14:paraId="7869B204" w14:textId="5643EDF3"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shd w:val="clear" w:color="auto" w:fill="FFFFFF"/>
          </w:tcPr>
          <w:p w14:paraId="09DF2CE2" w14:textId="070C5780"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gridSpan w:val="3"/>
            <w:shd w:val="clear" w:color="auto" w:fill="FFFFFF"/>
          </w:tcPr>
          <w:p w14:paraId="51C97D18" w14:textId="7F858344"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69" w:type="dxa"/>
            <w:gridSpan w:val="3"/>
            <w:shd w:val="clear" w:color="auto" w:fill="FFFFFF"/>
          </w:tcPr>
          <w:p w14:paraId="39D0D4E4" w14:textId="4009C9A1"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gridSpan w:val="2"/>
            <w:shd w:val="clear" w:color="auto" w:fill="FFFFFF"/>
          </w:tcPr>
          <w:p w14:paraId="1B83FA22" w14:textId="5288FE21"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gridSpan w:val="2"/>
            <w:shd w:val="clear" w:color="auto" w:fill="FFFFFF"/>
          </w:tcPr>
          <w:p w14:paraId="311FB2E2" w14:textId="6C8A0D41"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570" w:type="dxa"/>
            <w:shd w:val="clear" w:color="auto" w:fill="FFFFFF"/>
          </w:tcPr>
          <w:p w14:paraId="281E5B59" w14:textId="072B6B95"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r w:rsidR="00696F8A">
              <w:t>,06</w:t>
            </w:r>
          </w:p>
        </w:tc>
        <w:tc>
          <w:tcPr>
            <w:tcW w:w="1085" w:type="dxa"/>
            <w:gridSpan w:val="2"/>
            <w:shd w:val="clear" w:color="auto" w:fill="FFFFFF"/>
          </w:tcPr>
          <w:p w14:paraId="2FA3379B" w14:textId="2B5CF83F" w:rsidR="000C1ABA" w:rsidRPr="000C1ABA" w:rsidRDefault="00696F8A" w:rsidP="000C1ABA">
            <w:pPr>
              <w:spacing w:line="240" w:lineRule="auto"/>
              <w:jc w:val="left"/>
              <w:rPr>
                <w:rFonts w:ascii="Calibri" w:eastAsia="Times New Roman" w:hAnsi="Calibri" w:cs="Times New Roman"/>
                <w:color w:val="000000"/>
                <w:szCs w:val="24"/>
              </w:rPr>
            </w:pPr>
            <w:r>
              <w:t>0,</w:t>
            </w:r>
            <w:r w:rsidR="00391880">
              <w:t>6</w:t>
            </w:r>
            <w:r>
              <w:t>6</w:t>
            </w:r>
          </w:p>
        </w:tc>
      </w:tr>
      <w:tr w:rsidR="000C1ABA" w:rsidRPr="000C1ABA" w14:paraId="5C885AAC" w14:textId="77777777" w:rsidTr="00FA7950">
        <w:trPr>
          <w:trHeight w:val="344"/>
        </w:trPr>
        <w:tc>
          <w:tcPr>
            <w:tcW w:w="3133" w:type="dxa"/>
            <w:gridSpan w:val="4"/>
            <w:shd w:val="clear" w:color="auto" w:fill="FFFFFF"/>
            <w:vAlign w:val="center"/>
          </w:tcPr>
          <w:p w14:paraId="3EB0DB77"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cs="Times New Roman"/>
                <w:color w:val="000000"/>
                <w:szCs w:val="24"/>
              </w:rPr>
              <w:t>pozostałe jednostki (oddzielnie)</w:t>
            </w:r>
          </w:p>
        </w:tc>
        <w:tc>
          <w:tcPr>
            <w:tcW w:w="569" w:type="dxa"/>
            <w:gridSpan w:val="2"/>
            <w:shd w:val="clear" w:color="auto" w:fill="FFFFFF"/>
          </w:tcPr>
          <w:p w14:paraId="21E032FB"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gridSpan w:val="2"/>
            <w:shd w:val="clear" w:color="auto" w:fill="FFFFFF"/>
          </w:tcPr>
          <w:p w14:paraId="31109D5A"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gridSpan w:val="2"/>
            <w:shd w:val="clear" w:color="auto" w:fill="FFFFFF"/>
          </w:tcPr>
          <w:p w14:paraId="65715B30"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69" w:type="dxa"/>
            <w:gridSpan w:val="3"/>
            <w:shd w:val="clear" w:color="auto" w:fill="FFFFFF"/>
          </w:tcPr>
          <w:p w14:paraId="48C423F1"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gridSpan w:val="2"/>
            <w:shd w:val="clear" w:color="auto" w:fill="FFFFFF"/>
          </w:tcPr>
          <w:p w14:paraId="27A3B6C9"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shd w:val="clear" w:color="auto" w:fill="FFFFFF"/>
          </w:tcPr>
          <w:p w14:paraId="4EA7F584"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gridSpan w:val="3"/>
            <w:shd w:val="clear" w:color="auto" w:fill="FFFFFF"/>
          </w:tcPr>
          <w:p w14:paraId="1C82A125"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69" w:type="dxa"/>
            <w:gridSpan w:val="3"/>
            <w:shd w:val="clear" w:color="auto" w:fill="FFFFFF"/>
          </w:tcPr>
          <w:p w14:paraId="5A6CDA43"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gridSpan w:val="2"/>
            <w:shd w:val="clear" w:color="auto" w:fill="FFFFFF"/>
          </w:tcPr>
          <w:p w14:paraId="1CFE23AB"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gridSpan w:val="2"/>
            <w:shd w:val="clear" w:color="auto" w:fill="FFFFFF"/>
          </w:tcPr>
          <w:p w14:paraId="5CAB1D1A"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570" w:type="dxa"/>
            <w:shd w:val="clear" w:color="auto" w:fill="FFFFFF"/>
          </w:tcPr>
          <w:p w14:paraId="2B886150"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c>
          <w:tcPr>
            <w:tcW w:w="1085" w:type="dxa"/>
            <w:gridSpan w:val="2"/>
            <w:shd w:val="clear" w:color="auto" w:fill="FFFFFF"/>
          </w:tcPr>
          <w:p w14:paraId="2A09FF00" w14:textId="77777777" w:rsidR="000C1ABA" w:rsidRPr="000C1ABA" w:rsidRDefault="000C1ABA" w:rsidP="000C1ABA">
            <w:pPr>
              <w:spacing w:line="240" w:lineRule="auto"/>
              <w:jc w:val="left"/>
              <w:rPr>
                <w:rFonts w:ascii="Calibri" w:eastAsia="Times New Roman" w:hAnsi="Calibri" w:cs="Times New Roman"/>
                <w:color w:val="000000"/>
                <w:szCs w:val="24"/>
              </w:rPr>
            </w:pPr>
            <w:r w:rsidRPr="000C1ABA">
              <w:rPr>
                <w:rFonts w:ascii="Calibri" w:eastAsia="Times New Roman" w:hAnsi="Calibri"/>
                <w:szCs w:val="24"/>
              </w:rPr>
              <w:t>0</w:t>
            </w:r>
          </w:p>
        </w:tc>
      </w:tr>
      <w:tr w:rsidR="00877102" w:rsidRPr="000C1ABA" w14:paraId="5E359F1D" w14:textId="77777777" w:rsidTr="00FA7950">
        <w:trPr>
          <w:trHeight w:val="330"/>
        </w:trPr>
        <w:tc>
          <w:tcPr>
            <w:tcW w:w="3133" w:type="dxa"/>
            <w:gridSpan w:val="4"/>
            <w:shd w:val="clear" w:color="auto" w:fill="FFFFFF"/>
            <w:vAlign w:val="center"/>
          </w:tcPr>
          <w:p w14:paraId="760B50BF" w14:textId="77777777" w:rsidR="00877102" w:rsidRPr="00877102" w:rsidRDefault="00877102" w:rsidP="00877102">
            <w:r w:rsidRPr="00877102">
              <w:t>Wydatki ogółem</w:t>
            </w:r>
          </w:p>
        </w:tc>
        <w:tc>
          <w:tcPr>
            <w:tcW w:w="569" w:type="dxa"/>
            <w:gridSpan w:val="2"/>
            <w:shd w:val="clear" w:color="auto" w:fill="FFFFFF"/>
          </w:tcPr>
          <w:p w14:paraId="2B25AE8B" w14:textId="28AC4129" w:rsidR="00877102" w:rsidRPr="00877102" w:rsidRDefault="00B44971" w:rsidP="008E7772">
            <w:r>
              <w:t>0</w:t>
            </w:r>
          </w:p>
        </w:tc>
        <w:tc>
          <w:tcPr>
            <w:tcW w:w="570" w:type="dxa"/>
            <w:gridSpan w:val="2"/>
            <w:shd w:val="clear" w:color="auto" w:fill="FFFFFF"/>
          </w:tcPr>
          <w:p w14:paraId="5FA5C769" w14:textId="734C852D" w:rsidR="00877102" w:rsidRPr="00877102" w:rsidRDefault="001534EF" w:rsidP="00F15128">
            <w:r>
              <w:t>1</w:t>
            </w:r>
            <w:r w:rsidR="00F15D05">
              <w:t>,</w:t>
            </w:r>
            <w:r>
              <w:t>053127</w:t>
            </w:r>
          </w:p>
        </w:tc>
        <w:tc>
          <w:tcPr>
            <w:tcW w:w="570" w:type="dxa"/>
            <w:gridSpan w:val="2"/>
            <w:shd w:val="clear" w:color="auto" w:fill="FFFFFF"/>
          </w:tcPr>
          <w:p w14:paraId="75DFFAD5" w14:textId="599E13E5" w:rsidR="00877102" w:rsidRPr="00877102" w:rsidRDefault="001534EF" w:rsidP="00877102">
            <w:r>
              <w:t>1</w:t>
            </w:r>
            <w:r w:rsidR="00F15D05">
              <w:t>,</w:t>
            </w:r>
            <w:r>
              <w:t>014127</w:t>
            </w:r>
          </w:p>
        </w:tc>
        <w:tc>
          <w:tcPr>
            <w:tcW w:w="569" w:type="dxa"/>
            <w:gridSpan w:val="3"/>
            <w:shd w:val="clear" w:color="auto" w:fill="FFFFFF"/>
          </w:tcPr>
          <w:p w14:paraId="2CA6A89A" w14:textId="206E1E79" w:rsidR="00877102" w:rsidRPr="00877102" w:rsidRDefault="00877102" w:rsidP="00F15128">
            <w:r w:rsidRPr="00877102">
              <w:t>1</w:t>
            </w:r>
            <w:r w:rsidR="00F15D05">
              <w:t>,</w:t>
            </w:r>
            <w:r w:rsidRPr="00877102">
              <w:t>014 127</w:t>
            </w:r>
          </w:p>
        </w:tc>
        <w:tc>
          <w:tcPr>
            <w:tcW w:w="570" w:type="dxa"/>
            <w:gridSpan w:val="2"/>
            <w:shd w:val="clear" w:color="auto" w:fill="FFFFFF"/>
          </w:tcPr>
          <w:p w14:paraId="109EF317" w14:textId="3B93B91C" w:rsidR="00877102" w:rsidRPr="00877102" w:rsidRDefault="00877102" w:rsidP="00F15D05">
            <w:r w:rsidRPr="00877102">
              <w:t>1</w:t>
            </w:r>
            <w:r w:rsidR="00F15D05">
              <w:t>,</w:t>
            </w:r>
            <w:r w:rsidRPr="00877102">
              <w:t>014 127</w:t>
            </w:r>
          </w:p>
        </w:tc>
        <w:tc>
          <w:tcPr>
            <w:tcW w:w="570" w:type="dxa"/>
            <w:shd w:val="clear" w:color="auto" w:fill="FFFFFF"/>
          </w:tcPr>
          <w:p w14:paraId="3CE07659" w14:textId="2D314702" w:rsidR="00877102" w:rsidRPr="00877102" w:rsidRDefault="00877102" w:rsidP="006F1054">
            <w:r w:rsidRPr="00877102">
              <w:t>1</w:t>
            </w:r>
            <w:r w:rsidR="00F15D05">
              <w:t>,</w:t>
            </w:r>
            <w:r w:rsidRPr="00877102">
              <w:t>014 127</w:t>
            </w:r>
          </w:p>
        </w:tc>
        <w:tc>
          <w:tcPr>
            <w:tcW w:w="570" w:type="dxa"/>
            <w:gridSpan w:val="3"/>
            <w:shd w:val="clear" w:color="auto" w:fill="FFFFFF"/>
          </w:tcPr>
          <w:p w14:paraId="0A2908A1" w14:textId="567DD76A" w:rsidR="00877102" w:rsidRPr="00877102" w:rsidRDefault="00877102" w:rsidP="006F1054">
            <w:r w:rsidRPr="00877102">
              <w:t>1</w:t>
            </w:r>
            <w:r w:rsidR="00F15D05">
              <w:t>,</w:t>
            </w:r>
            <w:r w:rsidRPr="00877102">
              <w:t>014 127</w:t>
            </w:r>
          </w:p>
        </w:tc>
        <w:tc>
          <w:tcPr>
            <w:tcW w:w="569" w:type="dxa"/>
            <w:gridSpan w:val="3"/>
            <w:shd w:val="clear" w:color="auto" w:fill="FFFFFF"/>
          </w:tcPr>
          <w:p w14:paraId="633CC939" w14:textId="743FE8E1" w:rsidR="00877102" w:rsidRPr="00877102" w:rsidRDefault="00877102" w:rsidP="006F1054">
            <w:r w:rsidRPr="00877102">
              <w:t>1</w:t>
            </w:r>
            <w:r w:rsidR="00F15D05">
              <w:t>,</w:t>
            </w:r>
            <w:r w:rsidRPr="00877102">
              <w:t>014</w:t>
            </w:r>
            <w:r w:rsidR="006C5C7D">
              <w:t xml:space="preserve"> </w:t>
            </w:r>
            <w:r w:rsidRPr="00877102">
              <w:t>127</w:t>
            </w:r>
          </w:p>
        </w:tc>
        <w:tc>
          <w:tcPr>
            <w:tcW w:w="570" w:type="dxa"/>
            <w:gridSpan w:val="2"/>
            <w:shd w:val="clear" w:color="auto" w:fill="FFFFFF"/>
          </w:tcPr>
          <w:p w14:paraId="2E008D83" w14:textId="52D5E4AA" w:rsidR="00877102" w:rsidRPr="00877102" w:rsidRDefault="00877102" w:rsidP="006F1054">
            <w:r w:rsidRPr="00877102">
              <w:t>1</w:t>
            </w:r>
            <w:r w:rsidR="00F15D05">
              <w:t>,</w:t>
            </w:r>
            <w:r w:rsidRPr="00877102">
              <w:t>014 127</w:t>
            </w:r>
          </w:p>
        </w:tc>
        <w:tc>
          <w:tcPr>
            <w:tcW w:w="570" w:type="dxa"/>
            <w:gridSpan w:val="2"/>
            <w:shd w:val="clear" w:color="auto" w:fill="FFFFFF"/>
          </w:tcPr>
          <w:p w14:paraId="6641B374" w14:textId="72B2415F" w:rsidR="00877102" w:rsidRPr="00877102" w:rsidRDefault="00877102" w:rsidP="006F1054">
            <w:r w:rsidRPr="00877102">
              <w:t>1</w:t>
            </w:r>
            <w:r w:rsidR="00F15D05">
              <w:t>,</w:t>
            </w:r>
            <w:r w:rsidRPr="00877102">
              <w:t>014 127</w:t>
            </w:r>
          </w:p>
        </w:tc>
        <w:tc>
          <w:tcPr>
            <w:tcW w:w="570" w:type="dxa"/>
            <w:shd w:val="clear" w:color="auto" w:fill="FFFFFF"/>
          </w:tcPr>
          <w:p w14:paraId="018E5351" w14:textId="21B6E38B" w:rsidR="00877102" w:rsidRPr="00877102" w:rsidRDefault="00877102" w:rsidP="006F1054">
            <w:r w:rsidRPr="00877102">
              <w:t>1014</w:t>
            </w:r>
            <w:r w:rsidR="006C5C7D">
              <w:t xml:space="preserve"> </w:t>
            </w:r>
            <w:r w:rsidRPr="00877102">
              <w:t>127</w:t>
            </w:r>
          </w:p>
        </w:tc>
        <w:tc>
          <w:tcPr>
            <w:tcW w:w="1085" w:type="dxa"/>
            <w:gridSpan w:val="2"/>
            <w:shd w:val="clear" w:color="auto" w:fill="FFFFFF"/>
          </w:tcPr>
          <w:p w14:paraId="4C1F0CA9" w14:textId="4E036C53" w:rsidR="00877102" w:rsidRPr="00877102" w:rsidRDefault="001534EF" w:rsidP="006C5C7D">
            <w:r>
              <w:t>10</w:t>
            </w:r>
            <w:r w:rsidR="00F15D05">
              <w:t>,</w:t>
            </w:r>
            <w:r>
              <w:t>180270</w:t>
            </w:r>
          </w:p>
        </w:tc>
      </w:tr>
      <w:tr w:rsidR="00877102" w:rsidRPr="000C1ABA" w14:paraId="3581D8CB" w14:textId="77777777" w:rsidTr="00FA7950">
        <w:trPr>
          <w:trHeight w:val="330"/>
        </w:trPr>
        <w:tc>
          <w:tcPr>
            <w:tcW w:w="3133" w:type="dxa"/>
            <w:gridSpan w:val="4"/>
            <w:shd w:val="clear" w:color="auto" w:fill="FFFFFF"/>
            <w:vAlign w:val="center"/>
          </w:tcPr>
          <w:p w14:paraId="4A25FA2B" w14:textId="77777777" w:rsidR="00877102" w:rsidRPr="00877102" w:rsidRDefault="00877102" w:rsidP="00877102">
            <w:r w:rsidRPr="00877102">
              <w:t>budżet państwa</w:t>
            </w:r>
          </w:p>
        </w:tc>
        <w:tc>
          <w:tcPr>
            <w:tcW w:w="569" w:type="dxa"/>
            <w:gridSpan w:val="2"/>
            <w:shd w:val="clear" w:color="auto" w:fill="FFFFFF"/>
          </w:tcPr>
          <w:p w14:paraId="2DFB2D45" w14:textId="745F81DE" w:rsidR="00877102" w:rsidRPr="00877102" w:rsidRDefault="00B44971" w:rsidP="00877102">
            <w:r>
              <w:t>0</w:t>
            </w:r>
          </w:p>
        </w:tc>
        <w:tc>
          <w:tcPr>
            <w:tcW w:w="570" w:type="dxa"/>
            <w:gridSpan w:val="2"/>
            <w:shd w:val="clear" w:color="auto" w:fill="FFFFFF"/>
          </w:tcPr>
          <w:p w14:paraId="18048E41" w14:textId="7A4A6E8F" w:rsidR="00877102" w:rsidRPr="00877102" w:rsidRDefault="00877102" w:rsidP="00F15128">
            <w:r w:rsidRPr="00877102">
              <w:t>1</w:t>
            </w:r>
            <w:r w:rsidR="00F15D05">
              <w:t>,</w:t>
            </w:r>
            <w:r w:rsidR="001534EF">
              <w:t>053127</w:t>
            </w:r>
          </w:p>
        </w:tc>
        <w:tc>
          <w:tcPr>
            <w:tcW w:w="570" w:type="dxa"/>
            <w:gridSpan w:val="2"/>
            <w:shd w:val="clear" w:color="auto" w:fill="FFFFFF"/>
          </w:tcPr>
          <w:p w14:paraId="01D21375" w14:textId="1480594A" w:rsidR="00877102" w:rsidRPr="00877102" w:rsidRDefault="00877102" w:rsidP="00F15D05">
            <w:r w:rsidRPr="00877102">
              <w:t>1</w:t>
            </w:r>
            <w:r w:rsidR="00F15D05">
              <w:t>,</w:t>
            </w:r>
            <w:r w:rsidRPr="00877102">
              <w:t>014 127</w:t>
            </w:r>
          </w:p>
        </w:tc>
        <w:tc>
          <w:tcPr>
            <w:tcW w:w="569" w:type="dxa"/>
            <w:gridSpan w:val="3"/>
            <w:shd w:val="clear" w:color="auto" w:fill="FFFFFF"/>
          </w:tcPr>
          <w:p w14:paraId="734119B0" w14:textId="1AEE30BF" w:rsidR="00877102" w:rsidRPr="00877102" w:rsidRDefault="00877102" w:rsidP="006F1054">
            <w:r w:rsidRPr="00877102">
              <w:t>1</w:t>
            </w:r>
            <w:r w:rsidR="00F15D05">
              <w:t>,</w:t>
            </w:r>
            <w:r w:rsidRPr="00877102">
              <w:t>014 127</w:t>
            </w:r>
          </w:p>
        </w:tc>
        <w:tc>
          <w:tcPr>
            <w:tcW w:w="570" w:type="dxa"/>
            <w:gridSpan w:val="2"/>
            <w:shd w:val="clear" w:color="auto" w:fill="FFFFFF"/>
          </w:tcPr>
          <w:p w14:paraId="238358E5" w14:textId="3ED0C017" w:rsidR="00877102" w:rsidRPr="00877102" w:rsidRDefault="00877102" w:rsidP="006F1054">
            <w:r w:rsidRPr="00877102">
              <w:t>1</w:t>
            </w:r>
            <w:r w:rsidR="00F15D05">
              <w:t>,</w:t>
            </w:r>
            <w:r w:rsidRPr="00877102">
              <w:t>014 127</w:t>
            </w:r>
          </w:p>
        </w:tc>
        <w:tc>
          <w:tcPr>
            <w:tcW w:w="570" w:type="dxa"/>
            <w:shd w:val="clear" w:color="auto" w:fill="FFFFFF"/>
          </w:tcPr>
          <w:p w14:paraId="00F61F97" w14:textId="69660EBD" w:rsidR="00877102" w:rsidRPr="00877102" w:rsidRDefault="00877102" w:rsidP="006F1054">
            <w:r w:rsidRPr="00877102">
              <w:t>1</w:t>
            </w:r>
            <w:r w:rsidR="00F15D05">
              <w:t>,</w:t>
            </w:r>
            <w:r w:rsidRPr="00877102">
              <w:t>014 127</w:t>
            </w:r>
          </w:p>
        </w:tc>
        <w:tc>
          <w:tcPr>
            <w:tcW w:w="570" w:type="dxa"/>
            <w:gridSpan w:val="3"/>
            <w:shd w:val="clear" w:color="auto" w:fill="FFFFFF"/>
          </w:tcPr>
          <w:p w14:paraId="7D268186" w14:textId="0B506771" w:rsidR="00877102" w:rsidRPr="00877102" w:rsidRDefault="00877102" w:rsidP="006F1054">
            <w:r w:rsidRPr="00877102">
              <w:t>1</w:t>
            </w:r>
            <w:r w:rsidR="00F15D05">
              <w:t>,</w:t>
            </w:r>
            <w:r w:rsidRPr="00877102">
              <w:t>014 127</w:t>
            </w:r>
          </w:p>
        </w:tc>
        <w:tc>
          <w:tcPr>
            <w:tcW w:w="569" w:type="dxa"/>
            <w:gridSpan w:val="3"/>
            <w:shd w:val="clear" w:color="auto" w:fill="FFFFFF"/>
          </w:tcPr>
          <w:p w14:paraId="4943EF2F" w14:textId="269D1A6B" w:rsidR="00877102" w:rsidRPr="00877102" w:rsidRDefault="00877102" w:rsidP="006F1054">
            <w:r w:rsidRPr="00877102">
              <w:t>1</w:t>
            </w:r>
            <w:r w:rsidR="00F15D05">
              <w:t>,</w:t>
            </w:r>
            <w:r w:rsidRPr="00877102">
              <w:t>014 127</w:t>
            </w:r>
          </w:p>
        </w:tc>
        <w:tc>
          <w:tcPr>
            <w:tcW w:w="570" w:type="dxa"/>
            <w:gridSpan w:val="2"/>
            <w:shd w:val="clear" w:color="auto" w:fill="FFFFFF"/>
          </w:tcPr>
          <w:p w14:paraId="4E3BCD0B" w14:textId="740B2F78" w:rsidR="00877102" w:rsidRPr="00877102" w:rsidRDefault="00877102" w:rsidP="006F1054">
            <w:r w:rsidRPr="00877102">
              <w:t>1</w:t>
            </w:r>
            <w:r w:rsidR="00F15D05">
              <w:t>,</w:t>
            </w:r>
            <w:r w:rsidRPr="00877102">
              <w:t>014 127</w:t>
            </w:r>
          </w:p>
        </w:tc>
        <w:tc>
          <w:tcPr>
            <w:tcW w:w="570" w:type="dxa"/>
            <w:gridSpan w:val="2"/>
            <w:shd w:val="clear" w:color="auto" w:fill="FFFFFF"/>
          </w:tcPr>
          <w:p w14:paraId="6735F935" w14:textId="6C28FC10" w:rsidR="00877102" w:rsidRPr="00877102" w:rsidRDefault="00877102" w:rsidP="006F1054">
            <w:r w:rsidRPr="00877102">
              <w:t>1</w:t>
            </w:r>
            <w:r w:rsidR="00F15D05">
              <w:t>,</w:t>
            </w:r>
            <w:r w:rsidRPr="00877102">
              <w:t>014 127</w:t>
            </w:r>
          </w:p>
        </w:tc>
        <w:tc>
          <w:tcPr>
            <w:tcW w:w="570" w:type="dxa"/>
            <w:shd w:val="clear" w:color="auto" w:fill="FFFFFF"/>
          </w:tcPr>
          <w:p w14:paraId="1CA65AC5" w14:textId="7B5ADA2F" w:rsidR="00877102" w:rsidRPr="00877102" w:rsidRDefault="00877102" w:rsidP="003C33A8">
            <w:r w:rsidRPr="00877102">
              <w:t>1</w:t>
            </w:r>
            <w:r w:rsidR="00F15D05">
              <w:t>,</w:t>
            </w:r>
            <w:r w:rsidRPr="00877102">
              <w:t>014 127</w:t>
            </w:r>
          </w:p>
        </w:tc>
        <w:tc>
          <w:tcPr>
            <w:tcW w:w="1085" w:type="dxa"/>
            <w:gridSpan w:val="2"/>
            <w:shd w:val="clear" w:color="auto" w:fill="FFFFFF"/>
          </w:tcPr>
          <w:p w14:paraId="34F4FC5A" w14:textId="67713E53" w:rsidR="00877102" w:rsidRPr="00877102" w:rsidRDefault="00F15128" w:rsidP="00877102">
            <w:r>
              <w:t>10</w:t>
            </w:r>
            <w:r w:rsidR="00F15D05">
              <w:t>,</w:t>
            </w:r>
            <w:r>
              <w:t>180270</w:t>
            </w:r>
          </w:p>
        </w:tc>
      </w:tr>
      <w:tr w:rsidR="00877102" w:rsidRPr="000C1ABA" w14:paraId="32486AF2" w14:textId="77777777" w:rsidTr="00FA7950">
        <w:trPr>
          <w:trHeight w:val="351"/>
        </w:trPr>
        <w:tc>
          <w:tcPr>
            <w:tcW w:w="3133" w:type="dxa"/>
            <w:gridSpan w:val="4"/>
            <w:shd w:val="clear" w:color="auto" w:fill="FFFFFF"/>
            <w:vAlign w:val="center"/>
          </w:tcPr>
          <w:p w14:paraId="5166C441" w14:textId="77777777" w:rsidR="00877102" w:rsidRPr="00877102" w:rsidRDefault="00877102" w:rsidP="00877102">
            <w:r w:rsidRPr="00877102">
              <w:t>JST</w:t>
            </w:r>
          </w:p>
        </w:tc>
        <w:tc>
          <w:tcPr>
            <w:tcW w:w="569" w:type="dxa"/>
            <w:gridSpan w:val="2"/>
            <w:shd w:val="clear" w:color="auto" w:fill="FFFFFF"/>
          </w:tcPr>
          <w:p w14:paraId="6E83C9A7" w14:textId="77777777" w:rsidR="00877102" w:rsidRPr="00877102" w:rsidRDefault="00877102" w:rsidP="00877102">
            <w:r w:rsidRPr="00877102">
              <w:t>0</w:t>
            </w:r>
          </w:p>
        </w:tc>
        <w:tc>
          <w:tcPr>
            <w:tcW w:w="570" w:type="dxa"/>
            <w:gridSpan w:val="2"/>
            <w:shd w:val="clear" w:color="auto" w:fill="FFFFFF"/>
          </w:tcPr>
          <w:p w14:paraId="50DBF5EA" w14:textId="77777777" w:rsidR="00877102" w:rsidRPr="00877102" w:rsidRDefault="00877102" w:rsidP="00877102">
            <w:r w:rsidRPr="00877102">
              <w:t>0</w:t>
            </w:r>
          </w:p>
        </w:tc>
        <w:tc>
          <w:tcPr>
            <w:tcW w:w="570" w:type="dxa"/>
            <w:gridSpan w:val="2"/>
            <w:shd w:val="clear" w:color="auto" w:fill="FFFFFF"/>
          </w:tcPr>
          <w:p w14:paraId="217601BA" w14:textId="77777777" w:rsidR="00877102" w:rsidRPr="00877102" w:rsidRDefault="00877102" w:rsidP="00877102">
            <w:r w:rsidRPr="00877102">
              <w:t>0</w:t>
            </w:r>
          </w:p>
        </w:tc>
        <w:tc>
          <w:tcPr>
            <w:tcW w:w="569" w:type="dxa"/>
            <w:gridSpan w:val="3"/>
            <w:shd w:val="clear" w:color="auto" w:fill="FFFFFF"/>
          </w:tcPr>
          <w:p w14:paraId="472D0FBE" w14:textId="77777777" w:rsidR="00877102" w:rsidRPr="00877102" w:rsidRDefault="00877102" w:rsidP="00877102">
            <w:r w:rsidRPr="00877102">
              <w:t>0</w:t>
            </w:r>
          </w:p>
        </w:tc>
        <w:tc>
          <w:tcPr>
            <w:tcW w:w="570" w:type="dxa"/>
            <w:gridSpan w:val="2"/>
            <w:shd w:val="clear" w:color="auto" w:fill="FFFFFF"/>
          </w:tcPr>
          <w:p w14:paraId="26C1B754" w14:textId="77777777" w:rsidR="00877102" w:rsidRPr="00877102" w:rsidRDefault="00877102" w:rsidP="00877102">
            <w:r w:rsidRPr="00877102">
              <w:t>0</w:t>
            </w:r>
          </w:p>
        </w:tc>
        <w:tc>
          <w:tcPr>
            <w:tcW w:w="570" w:type="dxa"/>
            <w:shd w:val="clear" w:color="auto" w:fill="FFFFFF"/>
          </w:tcPr>
          <w:p w14:paraId="70A2DA0B" w14:textId="77777777" w:rsidR="00877102" w:rsidRPr="00877102" w:rsidRDefault="00877102" w:rsidP="00877102">
            <w:r w:rsidRPr="00877102">
              <w:t>0</w:t>
            </w:r>
          </w:p>
        </w:tc>
        <w:tc>
          <w:tcPr>
            <w:tcW w:w="570" w:type="dxa"/>
            <w:gridSpan w:val="3"/>
            <w:shd w:val="clear" w:color="auto" w:fill="FFFFFF"/>
          </w:tcPr>
          <w:p w14:paraId="3293D19B" w14:textId="77777777" w:rsidR="00877102" w:rsidRPr="00877102" w:rsidRDefault="00877102" w:rsidP="00877102">
            <w:r w:rsidRPr="00877102">
              <w:t>0</w:t>
            </w:r>
          </w:p>
        </w:tc>
        <w:tc>
          <w:tcPr>
            <w:tcW w:w="569" w:type="dxa"/>
            <w:gridSpan w:val="3"/>
            <w:shd w:val="clear" w:color="auto" w:fill="FFFFFF"/>
          </w:tcPr>
          <w:p w14:paraId="6BDCF9A7" w14:textId="77777777" w:rsidR="00877102" w:rsidRPr="00877102" w:rsidRDefault="00877102" w:rsidP="00877102">
            <w:r w:rsidRPr="00877102">
              <w:t>0</w:t>
            </w:r>
          </w:p>
        </w:tc>
        <w:tc>
          <w:tcPr>
            <w:tcW w:w="570" w:type="dxa"/>
            <w:gridSpan w:val="2"/>
            <w:shd w:val="clear" w:color="auto" w:fill="FFFFFF"/>
          </w:tcPr>
          <w:p w14:paraId="17626D69" w14:textId="77777777" w:rsidR="00877102" w:rsidRPr="00877102" w:rsidRDefault="00877102" w:rsidP="00877102">
            <w:r w:rsidRPr="00877102">
              <w:t>0</w:t>
            </w:r>
          </w:p>
        </w:tc>
        <w:tc>
          <w:tcPr>
            <w:tcW w:w="570" w:type="dxa"/>
            <w:gridSpan w:val="2"/>
            <w:shd w:val="clear" w:color="auto" w:fill="FFFFFF"/>
          </w:tcPr>
          <w:p w14:paraId="360C24CB" w14:textId="77777777" w:rsidR="00877102" w:rsidRPr="00877102" w:rsidRDefault="00877102" w:rsidP="00877102">
            <w:r w:rsidRPr="00877102">
              <w:t>0</w:t>
            </w:r>
          </w:p>
        </w:tc>
        <w:tc>
          <w:tcPr>
            <w:tcW w:w="570" w:type="dxa"/>
            <w:shd w:val="clear" w:color="auto" w:fill="FFFFFF"/>
          </w:tcPr>
          <w:p w14:paraId="0AEC5CD0" w14:textId="77777777" w:rsidR="00877102" w:rsidRPr="00877102" w:rsidRDefault="00877102" w:rsidP="00877102">
            <w:r w:rsidRPr="00877102">
              <w:t>0</w:t>
            </w:r>
          </w:p>
        </w:tc>
        <w:tc>
          <w:tcPr>
            <w:tcW w:w="1085" w:type="dxa"/>
            <w:gridSpan w:val="2"/>
            <w:shd w:val="clear" w:color="auto" w:fill="FFFFFF"/>
          </w:tcPr>
          <w:p w14:paraId="28B13B9B" w14:textId="77777777" w:rsidR="00877102" w:rsidRPr="00877102" w:rsidRDefault="00877102" w:rsidP="00877102">
            <w:r w:rsidRPr="00877102">
              <w:t>0</w:t>
            </w:r>
          </w:p>
        </w:tc>
      </w:tr>
      <w:tr w:rsidR="00877102" w:rsidRPr="000C1ABA" w14:paraId="7934C55A" w14:textId="77777777" w:rsidTr="00FA7950">
        <w:trPr>
          <w:trHeight w:val="351"/>
        </w:trPr>
        <w:tc>
          <w:tcPr>
            <w:tcW w:w="3133" w:type="dxa"/>
            <w:gridSpan w:val="4"/>
            <w:shd w:val="clear" w:color="auto" w:fill="FFFFFF"/>
            <w:vAlign w:val="center"/>
          </w:tcPr>
          <w:p w14:paraId="1F3BA440" w14:textId="77777777" w:rsidR="00877102" w:rsidRPr="00877102" w:rsidRDefault="00877102" w:rsidP="00877102">
            <w:r w:rsidRPr="00877102">
              <w:t>pozostałe jednostki (oddzielnie)</w:t>
            </w:r>
          </w:p>
        </w:tc>
        <w:tc>
          <w:tcPr>
            <w:tcW w:w="569" w:type="dxa"/>
            <w:gridSpan w:val="2"/>
            <w:shd w:val="clear" w:color="auto" w:fill="FFFFFF"/>
          </w:tcPr>
          <w:p w14:paraId="4E18F906" w14:textId="77777777" w:rsidR="00877102" w:rsidRPr="00877102" w:rsidRDefault="00877102" w:rsidP="00877102">
            <w:r w:rsidRPr="00877102">
              <w:t>0</w:t>
            </w:r>
          </w:p>
        </w:tc>
        <w:tc>
          <w:tcPr>
            <w:tcW w:w="570" w:type="dxa"/>
            <w:gridSpan w:val="2"/>
            <w:shd w:val="clear" w:color="auto" w:fill="FFFFFF"/>
          </w:tcPr>
          <w:p w14:paraId="2F1649DA" w14:textId="77777777" w:rsidR="00877102" w:rsidRPr="00877102" w:rsidRDefault="00877102" w:rsidP="00877102">
            <w:r w:rsidRPr="00877102">
              <w:t>0</w:t>
            </w:r>
          </w:p>
        </w:tc>
        <w:tc>
          <w:tcPr>
            <w:tcW w:w="570" w:type="dxa"/>
            <w:gridSpan w:val="2"/>
            <w:shd w:val="clear" w:color="auto" w:fill="FFFFFF"/>
          </w:tcPr>
          <w:p w14:paraId="051BEE8A" w14:textId="77777777" w:rsidR="00877102" w:rsidRPr="00877102" w:rsidRDefault="00877102" w:rsidP="00877102">
            <w:r w:rsidRPr="00877102">
              <w:t>0</w:t>
            </w:r>
          </w:p>
        </w:tc>
        <w:tc>
          <w:tcPr>
            <w:tcW w:w="569" w:type="dxa"/>
            <w:gridSpan w:val="3"/>
            <w:shd w:val="clear" w:color="auto" w:fill="FFFFFF"/>
          </w:tcPr>
          <w:p w14:paraId="1B9ADC68" w14:textId="77777777" w:rsidR="00877102" w:rsidRPr="00877102" w:rsidRDefault="00877102" w:rsidP="00877102">
            <w:r w:rsidRPr="00877102">
              <w:t>0</w:t>
            </w:r>
          </w:p>
        </w:tc>
        <w:tc>
          <w:tcPr>
            <w:tcW w:w="570" w:type="dxa"/>
            <w:gridSpan w:val="2"/>
            <w:shd w:val="clear" w:color="auto" w:fill="FFFFFF"/>
          </w:tcPr>
          <w:p w14:paraId="1F064512" w14:textId="77777777" w:rsidR="00877102" w:rsidRPr="00877102" w:rsidRDefault="00877102" w:rsidP="00877102">
            <w:r w:rsidRPr="00877102">
              <w:t>0</w:t>
            </w:r>
          </w:p>
        </w:tc>
        <w:tc>
          <w:tcPr>
            <w:tcW w:w="570" w:type="dxa"/>
            <w:shd w:val="clear" w:color="auto" w:fill="FFFFFF"/>
          </w:tcPr>
          <w:p w14:paraId="4E947B5C" w14:textId="77777777" w:rsidR="00877102" w:rsidRPr="00877102" w:rsidRDefault="00877102" w:rsidP="00877102">
            <w:r w:rsidRPr="00877102">
              <w:t>0</w:t>
            </w:r>
          </w:p>
        </w:tc>
        <w:tc>
          <w:tcPr>
            <w:tcW w:w="570" w:type="dxa"/>
            <w:gridSpan w:val="3"/>
            <w:shd w:val="clear" w:color="auto" w:fill="FFFFFF"/>
          </w:tcPr>
          <w:p w14:paraId="314D5EA0" w14:textId="77777777" w:rsidR="00877102" w:rsidRPr="00877102" w:rsidRDefault="00877102" w:rsidP="00877102">
            <w:r w:rsidRPr="00877102">
              <w:t>0</w:t>
            </w:r>
          </w:p>
        </w:tc>
        <w:tc>
          <w:tcPr>
            <w:tcW w:w="569" w:type="dxa"/>
            <w:gridSpan w:val="3"/>
            <w:shd w:val="clear" w:color="auto" w:fill="FFFFFF"/>
          </w:tcPr>
          <w:p w14:paraId="0033F0AD" w14:textId="77777777" w:rsidR="00877102" w:rsidRPr="00877102" w:rsidRDefault="00877102" w:rsidP="00877102">
            <w:r w:rsidRPr="00877102">
              <w:t>0</w:t>
            </w:r>
          </w:p>
        </w:tc>
        <w:tc>
          <w:tcPr>
            <w:tcW w:w="570" w:type="dxa"/>
            <w:gridSpan w:val="2"/>
            <w:shd w:val="clear" w:color="auto" w:fill="FFFFFF"/>
          </w:tcPr>
          <w:p w14:paraId="63A4DA70" w14:textId="77777777" w:rsidR="00877102" w:rsidRPr="00877102" w:rsidRDefault="00877102" w:rsidP="00877102">
            <w:r w:rsidRPr="00877102">
              <w:t>0</w:t>
            </w:r>
          </w:p>
        </w:tc>
        <w:tc>
          <w:tcPr>
            <w:tcW w:w="570" w:type="dxa"/>
            <w:gridSpan w:val="2"/>
            <w:shd w:val="clear" w:color="auto" w:fill="FFFFFF"/>
          </w:tcPr>
          <w:p w14:paraId="465CE05E" w14:textId="77777777" w:rsidR="00877102" w:rsidRPr="00877102" w:rsidRDefault="00877102" w:rsidP="00877102">
            <w:r w:rsidRPr="00877102">
              <w:t>0</w:t>
            </w:r>
          </w:p>
        </w:tc>
        <w:tc>
          <w:tcPr>
            <w:tcW w:w="570" w:type="dxa"/>
            <w:shd w:val="clear" w:color="auto" w:fill="FFFFFF"/>
          </w:tcPr>
          <w:p w14:paraId="74184AAA" w14:textId="77777777" w:rsidR="00877102" w:rsidRPr="00877102" w:rsidRDefault="00877102" w:rsidP="00877102">
            <w:r w:rsidRPr="00877102">
              <w:t>0</w:t>
            </w:r>
          </w:p>
        </w:tc>
        <w:tc>
          <w:tcPr>
            <w:tcW w:w="1085" w:type="dxa"/>
            <w:gridSpan w:val="2"/>
            <w:shd w:val="clear" w:color="auto" w:fill="FFFFFF"/>
          </w:tcPr>
          <w:p w14:paraId="62F557C3" w14:textId="77777777" w:rsidR="00877102" w:rsidRPr="00877102" w:rsidRDefault="00877102" w:rsidP="00877102">
            <w:r w:rsidRPr="00877102">
              <w:t>0</w:t>
            </w:r>
          </w:p>
        </w:tc>
      </w:tr>
      <w:tr w:rsidR="00877102" w:rsidRPr="000C1ABA" w14:paraId="10A59FB3" w14:textId="77777777" w:rsidTr="00FA7950">
        <w:trPr>
          <w:trHeight w:val="360"/>
        </w:trPr>
        <w:tc>
          <w:tcPr>
            <w:tcW w:w="3133" w:type="dxa"/>
            <w:gridSpan w:val="4"/>
            <w:shd w:val="clear" w:color="auto" w:fill="FFFFFF"/>
            <w:vAlign w:val="center"/>
          </w:tcPr>
          <w:p w14:paraId="78841503" w14:textId="77777777" w:rsidR="00877102" w:rsidRPr="00877102" w:rsidRDefault="00877102" w:rsidP="00877102">
            <w:r w:rsidRPr="00877102">
              <w:t>Saldo ogółem</w:t>
            </w:r>
          </w:p>
        </w:tc>
        <w:tc>
          <w:tcPr>
            <w:tcW w:w="569" w:type="dxa"/>
            <w:gridSpan w:val="2"/>
            <w:shd w:val="clear" w:color="auto" w:fill="FFFFFF"/>
          </w:tcPr>
          <w:p w14:paraId="7E271616" w14:textId="7E70DCBA" w:rsidR="00877102" w:rsidRPr="00877102" w:rsidRDefault="00391880" w:rsidP="00877102">
            <w:r>
              <w:t>0,06</w:t>
            </w:r>
          </w:p>
        </w:tc>
        <w:tc>
          <w:tcPr>
            <w:tcW w:w="570" w:type="dxa"/>
            <w:gridSpan w:val="2"/>
            <w:shd w:val="clear" w:color="auto" w:fill="FFFFFF"/>
          </w:tcPr>
          <w:p w14:paraId="3C874FE4" w14:textId="4AD0BEF6" w:rsidR="00877102" w:rsidRPr="00877102" w:rsidRDefault="00391880" w:rsidP="00877102">
            <w:r>
              <w:t>-0,0993127</w:t>
            </w:r>
          </w:p>
        </w:tc>
        <w:tc>
          <w:tcPr>
            <w:tcW w:w="570" w:type="dxa"/>
            <w:gridSpan w:val="2"/>
            <w:shd w:val="clear" w:color="auto" w:fill="FFFFFF"/>
          </w:tcPr>
          <w:p w14:paraId="2E10A815" w14:textId="453AB2B7" w:rsidR="00877102" w:rsidRPr="00877102" w:rsidRDefault="00391880" w:rsidP="00877102">
            <w:r>
              <w:t>-1,074127</w:t>
            </w:r>
          </w:p>
        </w:tc>
        <w:tc>
          <w:tcPr>
            <w:tcW w:w="569" w:type="dxa"/>
            <w:gridSpan w:val="3"/>
            <w:shd w:val="clear" w:color="auto" w:fill="FFFFFF"/>
          </w:tcPr>
          <w:p w14:paraId="500D07B1" w14:textId="77E6FE07" w:rsidR="00877102" w:rsidRPr="00877102" w:rsidRDefault="00391880" w:rsidP="00877102">
            <w:r w:rsidRPr="00391880">
              <w:t>-1,074127</w:t>
            </w:r>
          </w:p>
        </w:tc>
        <w:tc>
          <w:tcPr>
            <w:tcW w:w="570" w:type="dxa"/>
            <w:gridSpan w:val="2"/>
            <w:shd w:val="clear" w:color="auto" w:fill="FFFFFF"/>
          </w:tcPr>
          <w:p w14:paraId="1EECF7E1" w14:textId="73AC53CB" w:rsidR="00877102" w:rsidRPr="00877102" w:rsidRDefault="00391880" w:rsidP="00877102">
            <w:r w:rsidRPr="00391880">
              <w:t>-1,074127</w:t>
            </w:r>
          </w:p>
        </w:tc>
        <w:tc>
          <w:tcPr>
            <w:tcW w:w="570" w:type="dxa"/>
            <w:shd w:val="clear" w:color="auto" w:fill="FFFFFF"/>
          </w:tcPr>
          <w:p w14:paraId="03EE3FC5" w14:textId="35177953" w:rsidR="00877102" w:rsidRPr="00877102" w:rsidRDefault="00391880" w:rsidP="00877102">
            <w:r w:rsidRPr="00391880">
              <w:t>-1,074127</w:t>
            </w:r>
          </w:p>
        </w:tc>
        <w:tc>
          <w:tcPr>
            <w:tcW w:w="570" w:type="dxa"/>
            <w:gridSpan w:val="3"/>
            <w:shd w:val="clear" w:color="auto" w:fill="FFFFFF"/>
          </w:tcPr>
          <w:p w14:paraId="6611118D" w14:textId="7D12BDED" w:rsidR="00877102" w:rsidRPr="00877102" w:rsidRDefault="00391880" w:rsidP="00877102">
            <w:r w:rsidRPr="00391880">
              <w:t>-1,074127</w:t>
            </w:r>
          </w:p>
        </w:tc>
        <w:tc>
          <w:tcPr>
            <w:tcW w:w="569" w:type="dxa"/>
            <w:gridSpan w:val="3"/>
            <w:shd w:val="clear" w:color="auto" w:fill="FFFFFF"/>
          </w:tcPr>
          <w:p w14:paraId="37DB35C6" w14:textId="530D36E4" w:rsidR="00877102" w:rsidRPr="00877102" w:rsidRDefault="00391880" w:rsidP="00877102">
            <w:r w:rsidRPr="00391880">
              <w:t>-1,074127</w:t>
            </w:r>
          </w:p>
        </w:tc>
        <w:tc>
          <w:tcPr>
            <w:tcW w:w="570" w:type="dxa"/>
            <w:gridSpan w:val="2"/>
            <w:shd w:val="clear" w:color="auto" w:fill="FFFFFF"/>
          </w:tcPr>
          <w:p w14:paraId="6FAAC7D1" w14:textId="3CFFA42B" w:rsidR="00877102" w:rsidRPr="00877102" w:rsidRDefault="00391880" w:rsidP="00877102">
            <w:r w:rsidRPr="00391880">
              <w:t>-1,074127</w:t>
            </w:r>
          </w:p>
        </w:tc>
        <w:tc>
          <w:tcPr>
            <w:tcW w:w="570" w:type="dxa"/>
            <w:gridSpan w:val="2"/>
            <w:shd w:val="clear" w:color="auto" w:fill="FFFFFF"/>
          </w:tcPr>
          <w:p w14:paraId="05C0836E" w14:textId="3649C935" w:rsidR="00877102" w:rsidRPr="00877102" w:rsidRDefault="00391880" w:rsidP="00877102">
            <w:r w:rsidRPr="00391880">
              <w:t>-1,074127</w:t>
            </w:r>
          </w:p>
        </w:tc>
        <w:tc>
          <w:tcPr>
            <w:tcW w:w="570" w:type="dxa"/>
            <w:shd w:val="clear" w:color="auto" w:fill="FFFFFF"/>
          </w:tcPr>
          <w:p w14:paraId="457ED905" w14:textId="47B8C9F3" w:rsidR="00877102" w:rsidRPr="00877102" w:rsidRDefault="00391880" w:rsidP="00877102">
            <w:r w:rsidRPr="00391880">
              <w:t>-1,074127</w:t>
            </w:r>
          </w:p>
        </w:tc>
        <w:tc>
          <w:tcPr>
            <w:tcW w:w="1085" w:type="dxa"/>
            <w:gridSpan w:val="2"/>
            <w:shd w:val="clear" w:color="auto" w:fill="FFFFFF"/>
          </w:tcPr>
          <w:p w14:paraId="2E58684A" w14:textId="17284500" w:rsidR="00877102" w:rsidRPr="00877102" w:rsidRDefault="00391880" w:rsidP="00877102">
            <w:r>
              <w:t>-9,7064557</w:t>
            </w:r>
          </w:p>
        </w:tc>
      </w:tr>
      <w:tr w:rsidR="00877102" w:rsidRPr="000C1ABA" w14:paraId="19597003" w14:textId="77777777" w:rsidTr="00FA7950">
        <w:trPr>
          <w:trHeight w:val="360"/>
        </w:trPr>
        <w:tc>
          <w:tcPr>
            <w:tcW w:w="3133" w:type="dxa"/>
            <w:gridSpan w:val="4"/>
            <w:shd w:val="clear" w:color="auto" w:fill="FFFFFF"/>
            <w:vAlign w:val="center"/>
          </w:tcPr>
          <w:p w14:paraId="3CEC4E13" w14:textId="77777777" w:rsidR="00877102" w:rsidRPr="00877102" w:rsidRDefault="00877102" w:rsidP="00877102">
            <w:r w:rsidRPr="00877102">
              <w:t>budżet państwa</w:t>
            </w:r>
          </w:p>
        </w:tc>
        <w:tc>
          <w:tcPr>
            <w:tcW w:w="569" w:type="dxa"/>
            <w:gridSpan w:val="2"/>
            <w:shd w:val="clear" w:color="auto" w:fill="FFFFFF"/>
          </w:tcPr>
          <w:p w14:paraId="507C03A5" w14:textId="7EEBBCAE" w:rsidR="00877102" w:rsidRPr="00877102" w:rsidRDefault="00391880" w:rsidP="00877102">
            <w:r>
              <w:t>0</w:t>
            </w:r>
          </w:p>
        </w:tc>
        <w:tc>
          <w:tcPr>
            <w:tcW w:w="570" w:type="dxa"/>
            <w:gridSpan w:val="2"/>
            <w:shd w:val="clear" w:color="auto" w:fill="FFFFFF"/>
          </w:tcPr>
          <w:p w14:paraId="40A4BB7D" w14:textId="34B25B71" w:rsidR="00877102" w:rsidRPr="00877102" w:rsidRDefault="00391880" w:rsidP="00877102">
            <w:r w:rsidRPr="00391880">
              <w:t>-</w:t>
            </w:r>
            <w:r w:rsidR="00176220" w:rsidRPr="00176220">
              <w:t>1,053</w:t>
            </w:r>
            <w:r w:rsidR="00176220" w:rsidRPr="00176220">
              <w:lastRenderedPageBreak/>
              <w:t>127</w:t>
            </w:r>
          </w:p>
        </w:tc>
        <w:tc>
          <w:tcPr>
            <w:tcW w:w="570" w:type="dxa"/>
            <w:gridSpan w:val="2"/>
            <w:shd w:val="clear" w:color="auto" w:fill="FFFFFF"/>
          </w:tcPr>
          <w:p w14:paraId="0AB98F7E" w14:textId="396ADE2F" w:rsidR="00877102" w:rsidRPr="00877102" w:rsidRDefault="00176220" w:rsidP="00877102">
            <w:r>
              <w:lastRenderedPageBreak/>
              <w:t xml:space="preserve">- </w:t>
            </w:r>
            <w:r w:rsidRPr="00176220">
              <w:t xml:space="preserve">1,014 </w:t>
            </w:r>
            <w:r w:rsidRPr="00176220">
              <w:lastRenderedPageBreak/>
              <w:t>127</w:t>
            </w:r>
          </w:p>
        </w:tc>
        <w:tc>
          <w:tcPr>
            <w:tcW w:w="569" w:type="dxa"/>
            <w:gridSpan w:val="3"/>
            <w:shd w:val="clear" w:color="auto" w:fill="FFFFFF"/>
          </w:tcPr>
          <w:p w14:paraId="0BC28987" w14:textId="53DA8CA3" w:rsidR="00877102" w:rsidRPr="00877102" w:rsidRDefault="00176220" w:rsidP="00877102">
            <w:r>
              <w:lastRenderedPageBreak/>
              <w:t>-</w:t>
            </w:r>
            <w:r w:rsidRPr="00176220">
              <w:t xml:space="preserve">1,014 </w:t>
            </w:r>
            <w:r w:rsidRPr="00176220">
              <w:lastRenderedPageBreak/>
              <w:t>127</w:t>
            </w:r>
          </w:p>
        </w:tc>
        <w:tc>
          <w:tcPr>
            <w:tcW w:w="570" w:type="dxa"/>
            <w:gridSpan w:val="2"/>
            <w:shd w:val="clear" w:color="auto" w:fill="FFFFFF"/>
          </w:tcPr>
          <w:p w14:paraId="4122AEB9" w14:textId="025221B6" w:rsidR="00877102" w:rsidRPr="00877102" w:rsidRDefault="00176220" w:rsidP="00877102">
            <w:r w:rsidRPr="00176220">
              <w:lastRenderedPageBreak/>
              <w:t xml:space="preserve">-1,014 </w:t>
            </w:r>
            <w:r w:rsidRPr="00176220">
              <w:lastRenderedPageBreak/>
              <w:t>127</w:t>
            </w:r>
          </w:p>
        </w:tc>
        <w:tc>
          <w:tcPr>
            <w:tcW w:w="570" w:type="dxa"/>
            <w:shd w:val="clear" w:color="auto" w:fill="FFFFFF"/>
          </w:tcPr>
          <w:p w14:paraId="6A95CF43" w14:textId="23E3E416" w:rsidR="00877102" w:rsidRPr="00877102" w:rsidRDefault="00176220" w:rsidP="00877102">
            <w:r w:rsidRPr="00176220">
              <w:lastRenderedPageBreak/>
              <w:t xml:space="preserve">-1,014 </w:t>
            </w:r>
            <w:r w:rsidRPr="00176220">
              <w:lastRenderedPageBreak/>
              <w:t>127</w:t>
            </w:r>
          </w:p>
        </w:tc>
        <w:tc>
          <w:tcPr>
            <w:tcW w:w="570" w:type="dxa"/>
            <w:gridSpan w:val="3"/>
            <w:shd w:val="clear" w:color="auto" w:fill="FFFFFF"/>
          </w:tcPr>
          <w:p w14:paraId="103D384D" w14:textId="78B1F6D5" w:rsidR="00877102" w:rsidRPr="00877102" w:rsidRDefault="00176220" w:rsidP="00877102">
            <w:r w:rsidRPr="00176220">
              <w:lastRenderedPageBreak/>
              <w:t xml:space="preserve">-1,014 </w:t>
            </w:r>
            <w:r w:rsidRPr="00176220">
              <w:lastRenderedPageBreak/>
              <w:t>127</w:t>
            </w:r>
          </w:p>
        </w:tc>
        <w:tc>
          <w:tcPr>
            <w:tcW w:w="569" w:type="dxa"/>
            <w:gridSpan w:val="3"/>
            <w:shd w:val="clear" w:color="auto" w:fill="FFFFFF"/>
          </w:tcPr>
          <w:p w14:paraId="17A59839" w14:textId="5E574E3A" w:rsidR="00877102" w:rsidRPr="00877102" w:rsidRDefault="00176220" w:rsidP="00877102">
            <w:r w:rsidRPr="00176220">
              <w:lastRenderedPageBreak/>
              <w:t xml:space="preserve">-1,014 </w:t>
            </w:r>
            <w:r w:rsidRPr="00176220">
              <w:lastRenderedPageBreak/>
              <w:t>127</w:t>
            </w:r>
          </w:p>
        </w:tc>
        <w:tc>
          <w:tcPr>
            <w:tcW w:w="570" w:type="dxa"/>
            <w:gridSpan w:val="2"/>
            <w:shd w:val="clear" w:color="auto" w:fill="FFFFFF"/>
          </w:tcPr>
          <w:p w14:paraId="46CD89AA" w14:textId="5660E2DB" w:rsidR="00877102" w:rsidRPr="00877102" w:rsidRDefault="00176220" w:rsidP="00877102">
            <w:r w:rsidRPr="00176220">
              <w:lastRenderedPageBreak/>
              <w:t xml:space="preserve">-1,014 </w:t>
            </w:r>
            <w:r w:rsidRPr="00176220">
              <w:lastRenderedPageBreak/>
              <w:t>127</w:t>
            </w:r>
          </w:p>
        </w:tc>
        <w:tc>
          <w:tcPr>
            <w:tcW w:w="570" w:type="dxa"/>
            <w:gridSpan w:val="2"/>
            <w:shd w:val="clear" w:color="auto" w:fill="FFFFFF"/>
          </w:tcPr>
          <w:p w14:paraId="5627191F" w14:textId="5DEBD8F4" w:rsidR="00877102" w:rsidRPr="00877102" w:rsidRDefault="00176220" w:rsidP="00877102">
            <w:r w:rsidRPr="00176220">
              <w:lastRenderedPageBreak/>
              <w:t xml:space="preserve">-1,014 </w:t>
            </w:r>
            <w:r w:rsidRPr="00176220">
              <w:lastRenderedPageBreak/>
              <w:t>127</w:t>
            </w:r>
          </w:p>
        </w:tc>
        <w:tc>
          <w:tcPr>
            <w:tcW w:w="570" w:type="dxa"/>
            <w:shd w:val="clear" w:color="auto" w:fill="FFFFFF"/>
          </w:tcPr>
          <w:p w14:paraId="34FB9659" w14:textId="3BEEE9F9" w:rsidR="00877102" w:rsidRPr="00877102" w:rsidRDefault="00176220" w:rsidP="00877102">
            <w:r w:rsidRPr="00176220">
              <w:lastRenderedPageBreak/>
              <w:t xml:space="preserve">-1,014 </w:t>
            </w:r>
            <w:r w:rsidRPr="00176220">
              <w:lastRenderedPageBreak/>
              <w:t>127</w:t>
            </w:r>
          </w:p>
        </w:tc>
        <w:tc>
          <w:tcPr>
            <w:tcW w:w="1085" w:type="dxa"/>
            <w:gridSpan w:val="2"/>
            <w:shd w:val="clear" w:color="auto" w:fill="FFFFFF"/>
          </w:tcPr>
          <w:p w14:paraId="32C3B73D" w14:textId="5792CD6C" w:rsidR="00877102" w:rsidRPr="00877102" w:rsidRDefault="00176220" w:rsidP="00877102">
            <w:r>
              <w:lastRenderedPageBreak/>
              <w:t>-10</w:t>
            </w:r>
            <w:r w:rsidRPr="00176220">
              <w:t>,180270</w:t>
            </w:r>
          </w:p>
        </w:tc>
      </w:tr>
      <w:tr w:rsidR="00877102" w:rsidRPr="000C1ABA" w14:paraId="0DA9676B" w14:textId="77777777" w:rsidTr="00FA7950">
        <w:trPr>
          <w:trHeight w:val="357"/>
        </w:trPr>
        <w:tc>
          <w:tcPr>
            <w:tcW w:w="3133" w:type="dxa"/>
            <w:gridSpan w:val="4"/>
            <w:shd w:val="clear" w:color="auto" w:fill="FFFFFF"/>
            <w:vAlign w:val="center"/>
          </w:tcPr>
          <w:p w14:paraId="172AD632" w14:textId="77777777" w:rsidR="00877102" w:rsidRPr="00877102" w:rsidRDefault="00877102" w:rsidP="00877102">
            <w:r w:rsidRPr="00877102">
              <w:lastRenderedPageBreak/>
              <w:t>JST</w:t>
            </w:r>
          </w:p>
        </w:tc>
        <w:tc>
          <w:tcPr>
            <w:tcW w:w="569" w:type="dxa"/>
            <w:gridSpan w:val="2"/>
            <w:shd w:val="clear" w:color="auto" w:fill="FFFFFF"/>
          </w:tcPr>
          <w:p w14:paraId="6167EAFE" w14:textId="35DF8B84" w:rsidR="00877102" w:rsidRPr="00877102" w:rsidRDefault="00391880" w:rsidP="00877102">
            <w:r>
              <w:t>0,06</w:t>
            </w:r>
          </w:p>
        </w:tc>
        <w:tc>
          <w:tcPr>
            <w:tcW w:w="570" w:type="dxa"/>
            <w:gridSpan w:val="2"/>
            <w:shd w:val="clear" w:color="auto" w:fill="FFFFFF"/>
          </w:tcPr>
          <w:p w14:paraId="6AAF0044" w14:textId="5BF81447" w:rsidR="00877102" w:rsidRPr="00877102" w:rsidRDefault="00176220" w:rsidP="00877102">
            <w:r w:rsidRPr="00176220">
              <w:t>0,06</w:t>
            </w:r>
          </w:p>
        </w:tc>
        <w:tc>
          <w:tcPr>
            <w:tcW w:w="570" w:type="dxa"/>
            <w:gridSpan w:val="2"/>
            <w:shd w:val="clear" w:color="auto" w:fill="FFFFFF"/>
          </w:tcPr>
          <w:p w14:paraId="56AA236B" w14:textId="572ED304" w:rsidR="00877102" w:rsidRPr="00877102" w:rsidRDefault="00176220" w:rsidP="00877102">
            <w:r w:rsidRPr="00176220">
              <w:t>0,06</w:t>
            </w:r>
          </w:p>
        </w:tc>
        <w:tc>
          <w:tcPr>
            <w:tcW w:w="569" w:type="dxa"/>
            <w:gridSpan w:val="3"/>
            <w:shd w:val="clear" w:color="auto" w:fill="FFFFFF"/>
          </w:tcPr>
          <w:p w14:paraId="581D9D3B" w14:textId="3A621785" w:rsidR="00877102" w:rsidRPr="00877102" w:rsidRDefault="00176220" w:rsidP="00877102">
            <w:r w:rsidRPr="00176220">
              <w:t>0,06</w:t>
            </w:r>
          </w:p>
        </w:tc>
        <w:tc>
          <w:tcPr>
            <w:tcW w:w="570" w:type="dxa"/>
            <w:gridSpan w:val="2"/>
            <w:shd w:val="clear" w:color="auto" w:fill="FFFFFF"/>
          </w:tcPr>
          <w:p w14:paraId="0325C6B7" w14:textId="602D25B4" w:rsidR="00877102" w:rsidRPr="00877102" w:rsidRDefault="00176220" w:rsidP="00877102">
            <w:r w:rsidRPr="00176220">
              <w:t>0,06</w:t>
            </w:r>
          </w:p>
        </w:tc>
        <w:tc>
          <w:tcPr>
            <w:tcW w:w="570" w:type="dxa"/>
            <w:shd w:val="clear" w:color="auto" w:fill="FFFFFF"/>
          </w:tcPr>
          <w:p w14:paraId="5B450BA2" w14:textId="3F0C42CE" w:rsidR="00877102" w:rsidRPr="00877102" w:rsidRDefault="00176220" w:rsidP="00877102">
            <w:r w:rsidRPr="00176220">
              <w:t>0,06</w:t>
            </w:r>
          </w:p>
        </w:tc>
        <w:tc>
          <w:tcPr>
            <w:tcW w:w="570" w:type="dxa"/>
            <w:gridSpan w:val="3"/>
            <w:shd w:val="clear" w:color="auto" w:fill="FFFFFF"/>
          </w:tcPr>
          <w:p w14:paraId="02DC25B1" w14:textId="546BBF90" w:rsidR="00877102" w:rsidRPr="00877102" w:rsidRDefault="00176220" w:rsidP="00877102">
            <w:r w:rsidRPr="00176220">
              <w:t>0,06</w:t>
            </w:r>
          </w:p>
        </w:tc>
        <w:tc>
          <w:tcPr>
            <w:tcW w:w="569" w:type="dxa"/>
            <w:gridSpan w:val="3"/>
            <w:shd w:val="clear" w:color="auto" w:fill="FFFFFF"/>
          </w:tcPr>
          <w:p w14:paraId="529EA7A1" w14:textId="44A0D247" w:rsidR="00877102" w:rsidRPr="00877102" w:rsidRDefault="00176220" w:rsidP="00877102">
            <w:r w:rsidRPr="00176220">
              <w:t>0,06</w:t>
            </w:r>
          </w:p>
        </w:tc>
        <w:tc>
          <w:tcPr>
            <w:tcW w:w="570" w:type="dxa"/>
            <w:gridSpan w:val="2"/>
            <w:shd w:val="clear" w:color="auto" w:fill="FFFFFF"/>
          </w:tcPr>
          <w:p w14:paraId="2B91AB67" w14:textId="68AFB4E6" w:rsidR="00877102" w:rsidRPr="00877102" w:rsidRDefault="00176220" w:rsidP="00877102">
            <w:r w:rsidRPr="00176220">
              <w:t>0,06</w:t>
            </w:r>
          </w:p>
        </w:tc>
        <w:tc>
          <w:tcPr>
            <w:tcW w:w="570" w:type="dxa"/>
            <w:gridSpan w:val="2"/>
            <w:shd w:val="clear" w:color="auto" w:fill="FFFFFF"/>
          </w:tcPr>
          <w:p w14:paraId="0E6945B8" w14:textId="37BBC3DB" w:rsidR="00877102" w:rsidRPr="00877102" w:rsidRDefault="00176220" w:rsidP="00877102">
            <w:r w:rsidRPr="00176220">
              <w:t>0,06</w:t>
            </w:r>
          </w:p>
        </w:tc>
        <w:tc>
          <w:tcPr>
            <w:tcW w:w="570" w:type="dxa"/>
            <w:shd w:val="clear" w:color="auto" w:fill="FFFFFF"/>
          </w:tcPr>
          <w:p w14:paraId="77A45944" w14:textId="39557C67" w:rsidR="00877102" w:rsidRPr="00877102" w:rsidRDefault="00176220" w:rsidP="00877102">
            <w:r w:rsidRPr="00176220">
              <w:t>0,06</w:t>
            </w:r>
          </w:p>
        </w:tc>
        <w:tc>
          <w:tcPr>
            <w:tcW w:w="1085" w:type="dxa"/>
            <w:gridSpan w:val="2"/>
            <w:shd w:val="clear" w:color="auto" w:fill="FFFFFF"/>
          </w:tcPr>
          <w:p w14:paraId="77017318" w14:textId="1F925F13" w:rsidR="00877102" w:rsidRPr="00877102" w:rsidRDefault="00176220" w:rsidP="00877102">
            <w:r>
              <w:t>0,</w:t>
            </w:r>
            <w:r w:rsidRPr="00176220">
              <w:t>66</w:t>
            </w:r>
          </w:p>
        </w:tc>
      </w:tr>
      <w:tr w:rsidR="00877102" w:rsidRPr="000C1ABA" w14:paraId="2C338A5A" w14:textId="77777777" w:rsidTr="00FA7950">
        <w:trPr>
          <w:trHeight w:val="357"/>
        </w:trPr>
        <w:tc>
          <w:tcPr>
            <w:tcW w:w="3133" w:type="dxa"/>
            <w:gridSpan w:val="4"/>
            <w:shd w:val="clear" w:color="auto" w:fill="FFFFFF"/>
            <w:vAlign w:val="center"/>
          </w:tcPr>
          <w:p w14:paraId="36F1258D" w14:textId="77777777" w:rsidR="00877102" w:rsidRPr="00877102" w:rsidRDefault="00877102" w:rsidP="00877102">
            <w:pPr>
              <w:rPr>
                <w:highlight w:val="yellow"/>
              </w:rPr>
            </w:pPr>
            <w:r w:rsidRPr="00877102">
              <w:t>pozostałe jednostki (oddzielnie)</w:t>
            </w:r>
          </w:p>
        </w:tc>
        <w:tc>
          <w:tcPr>
            <w:tcW w:w="569" w:type="dxa"/>
            <w:gridSpan w:val="2"/>
            <w:shd w:val="clear" w:color="auto" w:fill="FFFFFF"/>
          </w:tcPr>
          <w:p w14:paraId="5C3A561B" w14:textId="77777777" w:rsidR="00877102" w:rsidRPr="00877102" w:rsidRDefault="00877102" w:rsidP="00877102">
            <w:pPr>
              <w:rPr>
                <w:highlight w:val="yellow"/>
              </w:rPr>
            </w:pPr>
            <w:r w:rsidRPr="00877102">
              <w:t>0</w:t>
            </w:r>
          </w:p>
        </w:tc>
        <w:tc>
          <w:tcPr>
            <w:tcW w:w="570" w:type="dxa"/>
            <w:gridSpan w:val="2"/>
            <w:shd w:val="clear" w:color="auto" w:fill="FFFFFF"/>
          </w:tcPr>
          <w:p w14:paraId="45063960" w14:textId="77777777" w:rsidR="00877102" w:rsidRPr="00877102" w:rsidRDefault="00877102" w:rsidP="00877102">
            <w:pPr>
              <w:rPr>
                <w:highlight w:val="yellow"/>
              </w:rPr>
            </w:pPr>
            <w:r w:rsidRPr="00877102">
              <w:t>0</w:t>
            </w:r>
          </w:p>
        </w:tc>
        <w:tc>
          <w:tcPr>
            <w:tcW w:w="570" w:type="dxa"/>
            <w:gridSpan w:val="2"/>
            <w:shd w:val="clear" w:color="auto" w:fill="FFFFFF"/>
          </w:tcPr>
          <w:p w14:paraId="1AD4037A" w14:textId="77777777" w:rsidR="00877102" w:rsidRPr="00877102" w:rsidRDefault="00877102" w:rsidP="00877102">
            <w:pPr>
              <w:rPr>
                <w:highlight w:val="yellow"/>
              </w:rPr>
            </w:pPr>
            <w:r w:rsidRPr="00877102">
              <w:t>0</w:t>
            </w:r>
          </w:p>
        </w:tc>
        <w:tc>
          <w:tcPr>
            <w:tcW w:w="569" w:type="dxa"/>
            <w:gridSpan w:val="3"/>
            <w:shd w:val="clear" w:color="auto" w:fill="FFFFFF"/>
          </w:tcPr>
          <w:p w14:paraId="52960C80" w14:textId="77777777" w:rsidR="00877102" w:rsidRPr="00877102" w:rsidRDefault="00877102" w:rsidP="00877102">
            <w:pPr>
              <w:rPr>
                <w:highlight w:val="yellow"/>
              </w:rPr>
            </w:pPr>
            <w:r w:rsidRPr="00877102">
              <w:t>0</w:t>
            </w:r>
          </w:p>
        </w:tc>
        <w:tc>
          <w:tcPr>
            <w:tcW w:w="570" w:type="dxa"/>
            <w:gridSpan w:val="2"/>
            <w:shd w:val="clear" w:color="auto" w:fill="FFFFFF"/>
          </w:tcPr>
          <w:p w14:paraId="616A78A5" w14:textId="77777777" w:rsidR="00877102" w:rsidRPr="00877102" w:rsidRDefault="00877102" w:rsidP="00877102">
            <w:pPr>
              <w:rPr>
                <w:highlight w:val="yellow"/>
              </w:rPr>
            </w:pPr>
            <w:r w:rsidRPr="00877102">
              <w:t>0</w:t>
            </w:r>
          </w:p>
        </w:tc>
        <w:tc>
          <w:tcPr>
            <w:tcW w:w="570" w:type="dxa"/>
            <w:shd w:val="clear" w:color="auto" w:fill="FFFFFF"/>
          </w:tcPr>
          <w:p w14:paraId="4CA32C3B" w14:textId="77777777" w:rsidR="00877102" w:rsidRPr="00877102" w:rsidRDefault="00877102" w:rsidP="00877102">
            <w:pPr>
              <w:rPr>
                <w:highlight w:val="yellow"/>
              </w:rPr>
            </w:pPr>
            <w:r w:rsidRPr="00877102">
              <w:t>0</w:t>
            </w:r>
          </w:p>
        </w:tc>
        <w:tc>
          <w:tcPr>
            <w:tcW w:w="570" w:type="dxa"/>
            <w:gridSpan w:val="3"/>
            <w:shd w:val="clear" w:color="auto" w:fill="FFFFFF"/>
          </w:tcPr>
          <w:p w14:paraId="2AE4A88E" w14:textId="77777777" w:rsidR="00877102" w:rsidRPr="00877102" w:rsidRDefault="00877102" w:rsidP="00877102">
            <w:pPr>
              <w:rPr>
                <w:highlight w:val="yellow"/>
              </w:rPr>
            </w:pPr>
            <w:r w:rsidRPr="00877102">
              <w:t>0</w:t>
            </w:r>
          </w:p>
        </w:tc>
        <w:tc>
          <w:tcPr>
            <w:tcW w:w="569" w:type="dxa"/>
            <w:gridSpan w:val="3"/>
            <w:shd w:val="clear" w:color="auto" w:fill="FFFFFF"/>
          </w:tcPr>
          <w:p w14:paraId="21231040" w14:textId="77777777" w:rsidR="00877102" w:rsidRPr="00877102" w:rsidRDefault="00877102" w:rsidP="00877102">
            <w:pPr>
              <w:rPr>
                <w:highlight w:val="yellow"/>
              </w:rPr>
            </w:pPr>
            <w:r w:rsidRPr="00877102">
              <w:t>0</w:t>
            </w:r>
          </w:p>
        </w:tc>
        <w:tc>
          <w:tcPr>
            <w:tcW w:w="570" w:type="dxa"/>
            <w:gridSpan w:val="2"/>
            <w:shd w:val="clear" w:color="auto" w:fill="FFFFFF"/>
          </w:tcPr>
          <w:p w14:paraId="593337B9" w14:textId="77777777" w:rsidR="00877102" w:rsidRPr="00877102" w:rsidRDefault="00877102" w:rsidP="00877102">
            <w:pPr>
              <w:rPr>
                <w:highlight w:val="yellow"/>
              </w:rPr>
            </w:pPr>
            <w:r w:rsidRPr="00877102">
              <w:t>0</w:t>
            </w:r>
          </w:p>
        </w:tc>
        <w:tc>
          <w:tcPr>
            <w:tcW w:w="570" w:type="dxa"/>
            <w:gridSpan w:val="2"/>
            <w:shd w:val="clear" w:color="auto" w:fill="FFFFFF"/>
          </w:tcPr>
          <w:p w14:paraId="1CED9132" w14:textId="77777777" w:rsidR="00877102" w:rsidRPr="00877102" w:rsidRDefault="00877102" w:rsidP="00877102">
            <w:pPr>
              <w:rPr>
                <w:highlight w:val="yellow"/>
              </w:rPr>
            </w:pPr>
            <w:r w:rsidRPr="00877102">
              <w:t>0</w:t>
            </w:r>
          </w:p>
        </w:tc>
        <w:tc>
          <w:tcPr>
            <w:tcW w:w="570" w:type="dxa"/>
            <w:shd w:val="clear" w:color="auto" w:fill="FFFFFF"/>
          </w:tcPr>
          <w:p w14:paraId="60E7EE99" w14:textId="77777777" w:rsidR="00877102" w:rsidRPr="00877102" w:rsidRDefault="00877102" w:rsidP="00877102">
            <w:pPr>
              <w:rPr>
                <w:highlight w:val="yellow"/>
              </w:rPr>
            </w:pPr>
            <w:r w:rsidRPr="00877102">
              <w:t>0</w:t>
            </w:r>
          </w:p>
        </w:tc>
        <w:tc>
          <w:tcPr>
            <w:tcW w:w="1085" w:type="dxa"/>
            <w:gridSpan w:val="2"/>
            <w:shd w:val="clear" w:color="auto" w:fill="FFFFFF"/>
          </w:tcPr>
          <w:p w14:paraId="3CB94FB4" w14:textId="77777777" w:rsidR="00877102" w:rsidRPr="00877102" w:rsidRDefault="00877102" w:rsidP="00877102">
            <w:pPr>
              <w:rPr>
                <w:highlight w:val="yellow"/>
              </w:rPr>
            </w:pPr>
            <w:r w:rsidRPr="00877102">
              <w:t>0</w:t>
            </w:r>
          </w:p>
        </w:tc>
      </w:tr>
      <w:tr w:rsidR="00877102" w:rsidRPr="000C1ABA" w14:paraId="4AD4E729" w14:textId="77777777" w:rsidTr="00E67F42">
        <w:trPr>
          <w:trHeight w:val="348"/>
        </w:trPr>
        <w:tc>
          <w:tcPr>
            <w:tcW w:w="1696" w:type="dxa"/>
            <w:gridSpan w:val="2"/>
            <w:shd w:val="clear" w:color="auto" w:fill="FFFFFF"/>
            <w:vAlign w:val="center"/>
          </w:tcPr>
          <w:p w14:paraId="504F6FFE" w14:textId="77777777" w:rsidR="00877102" w:rsidRPr="00877102" w:rsidRDefault="00877102" w:rsidP="00877102">
            <w:r w:rsidRPr="00877102">
              <w:t xml:space="preserve">Źródła finansowania </w:t>
            </w:r>
          </w:p>
        </w:tc>
        <w:tc>
          <w:tcPr>
            <w:tcW w:w="8789" w:type="dxa"/>
            <w:gridSpan w:val="27"/>
            <w:shd w:val="clear" w:color="auto" w:fill="FFFFFF"/>
            <w:vAlign w:val="center"/>
          </w:tcPr>
          <w:p w14:paraId="12884030" w14:textId="77777777" w:rsidR="00877102" w:rsidRPr="00877102" w:rsidRDefault="00877102" w:rsidP="00877102"/>
          <w:p w14:paraId="10132DE8" w14:textId="77777777" w:rsidR="00877102" w:rsidRPr="00877102" w:rsidRDefault="00877102" w:rsidP="00877102">
            <w:r>
              <w:t>Budżet państwa</w:t>
            </w:r>
          </w:p>
        </w:tc>
      </w:tr>
      <w:tr w:rsidR="00877102" w:rsidRPr="000C1ABA" w14:paraId="7A3E053D" w14:textId="77777777" w:rsidTr="00E67F42">
        <w:trPr>
          <w:trHeight w:val="653"/>
        </w:trPr>
        <w:tc>
          <w:tcPr>
            <w:tcW w:w="1696" w:type="dxa"/>
            <w:gridSpan w:val="2"/>
            <w:shd w:val="clear" w:color="auto" w:fill="FFFFFF"/>
          </w:tcPr>
          <w:p w14:paraId="64B4ED7A" w14:textId="77777777" w:rsidR="00877102" w:rsidRPr="00877102" w:rsidRDefault="00877102" w:rsidP="00877102">
            <w:r w:rsidRPr="00877102">
              <w:t>Dodatkowe informacje, w tym wskazanie źródeł danych i przyjętych do obliczeń założeń</w:t>
            </w:r>
          </w:p>
        </w:tc>
        <w:tc>
          <w:tcPr>
            <w:tcW w:w="8789" w:type="dxa"/>
            <w:gridSpan w:val="27"/>
            <w:shd w:val="clear" w:color="auto" w:fill="FFFFFF"/>
          </w:tcPr>
          <w:p w14:paraId="0C075C82" w14:textId="7391B9D0" w:rsidR="00877102" w:rsidRDefault="00877102" w:rsidP="00877102">
            <w:r>
              <w:t>W zakresie dochodów należy wskazać na wprowadzenie opłaty skarbowej za wydani</w:t>
            </w:r>
            <w:r w:rsidR="003228D9">
              <w:t>e</w:t>
            </w:r>
            <w:r>
              <w:t xml:space="preserve"> decyzji rezerwacyjnej. Do wyliczenia kwoty dochodów ogółem przyjęto</w:t>
            </w:r>
            <w:r w:rsidR="0098416B">
              <w:t>, bazując</w:t>
            </w:r>
            <w:r>
              <w:t xml:space="preserve"> na</w:t>
            </w:r>
            <w:r w:rsidR="00037F24">
              <w:t xml:space="preserve"> danych z lat poprzednich, iż rocznie </w:t>
            </w:r>
            <w:r w:rsidR="00814A87">
              <w:t xml:space="preserve">wydanych </w:t>
            </w:r>
            <w:r w:rsidR="00037F24">
              <w:t xml:space="preserve">zostanie około 60 </w:t>
            </w:r>
            <w:r w:rsidR="00814A87">
              <w:t>decyzji</w:t>
            </w:r>
            <w:r w:rsidR="00037F24">
              <w:t xml:space="preserve"> </w:t>
            </w:r>
            <w:r w:rsidR="00814A87">
              <w:t>rezerwacyjnych</w:t>
            </w:r>
            <w:r w:rsidR="00037F24">
              <w:t>.</w:t>
            </w:r>
          </w:p>
          <w:p w14:paraId="11748C05" w14:textId="2AF5F560" w:rsidR="00037F24" w:rsidRDefault="00037F24" w:rsidP="00490F49">
            <w:r>
              <w:t xml:space="preserve">Wydatki budżetu państwa związane są z koniecznością zapewnienia 3 etatów w Ministerstwie Cyfryzacji i 3 dodatkowych etatów w Urzędzie Komunikacji Elektronicznej. Należy przy tym zwrócić uwagę, że chodzi tutaj o etaty eksperckie, przeznaczone dla specjalistów z zakresu gospodarowania widmem. </w:t>
            </w:r>
            <w:r w:rsidR="00490F49">
              <w:t>Częstotliwości są dobrem rzadkim, a przy tym kluczowym dla rozwoju zarówno gospodark</w:t>
            </w:r>
            <w:r w:rsidR="00A06A10">
              <w:t>i, jak i informatyzacji państwa. D</w:t>
            </w:r>
            <w:r w:rsidR="00490F49">
              <w:t>latego te</w:t>
            </w:r>
            <w:r w:rsidR="003228D9">
              <w:t>ż</w:t>
            </w:r>
            <w:r w:rsidR="00490F49">
              <w:t xml:space="preserve"> niezbędne jest doposażenie urzędów</w:t>
            </w:r>
            <w:r w:rsidR="000C27AE">
              <w:t>,</w:t>
            </w:r>
            <w:r w:rsidR="00490F49">
              <w:t xml:space="preserve"> podejmujących w tym obszarze strategiczne </w:t>
            </w:r>
            <w:r w:rsidR="0098416B">
              <w:t>decyzj</w:t>
            </w:r>
            <w:r w:rsidR="00E45C88">
              <w:t>e</w:t>
            </w:r>
            <w:r w:rsidR="0098416B">
              <w:t xml:space="preserve"> i </w:t>
            </w:r>
            <w:r w:rsidR="00490F49">
              <w:t xml:space="preserve">działania, odpowiedzialnych </w:t>
            </w:r>
            <w:r w:rsidR="00A06A10">
              <w:t xml:space="preserve">min. </w:t>
            </w:r>
            <w:r w:rsidR="00490F49">
              <w:t xml:space="preserve">za wdrożenie w RP </w:t>
            </w:r>
            <w:r w:rsidR="00E45C88">
              <w:t xml:space="preserve">sieci </w:t>
            </w:r>
            <w:r w:rsidR="00490F49">
              <w:t xml:space="preserve">5G, a co za tym idzie </w:t>
            </w:r>
            <w:r w:rsidR="00A06A10">
              <w:t>dokonanie znaczącego postępu technologicznego</w:t>
            </w:r>
            <w:r w:rsidR="000C27AE">
              <w:t>,</w:t>
            </w:r>
            <w:r w:rsidR="00A06A10">
              <w:t xml:space="preserve"> w niezbędną wiedzę, w tym także </w:t>
            </w:r>
            <w:r w:rsidR="000C27AE">
              <w:t xml:space="preserve">specjalistyczną wiedzę </w:t>
            </w:r>
            <w:r w:rsidR="00A06A10">
              <w:t>tec</w:t>
            </w:r>
            <w:r w:rsidR="000C27AE">
              <w:t>hniczną. Należy zauważyć, że w tym przypadku</w:t>
            </w:r>
            <w:r w:rsidR="00A06A10">
              <w:t xml:space="preserve"> konieczność zwiększenia zatrudnienia wyn</w:t>
            </w:r>
            <w:r w:rsidR="000C27AE">
              <w:t>ika nie tylko z bezpośredniego</w:t>
            </w:r>
            <w:r w:rsidR="00A06A10">
              <w:t xml:space="preserve"> zwiększenia liczby obowiązków nałożonych na te urzędy (np. opracowywanie przez ministra </w:t>
            </w:r>
            <w:r w:rsidR="0065506E">
              <w:t xml:space="preserve">rozporządzenia ws. </w:t>
            </w:r>
            <w:r w:rsidR="00A06A10">
              <w:t xml:space="preserve">rozdysponowania częstotliwości, </w:t>
            </w:r>
            <w:r w:rsidR="0065506E">
              <w:t>które będzie</w:t>
            </w:r>
            <w:r w:rsidR="000C27AE">
              <w:t xml:space="preserve"> </w:t>
            </w:r>
            <w:r w:rsidR="00A06A10">
              <w:t xml:space="preserve">elementem wtórnym do opracowania </w:t>
            </w:r>
            <w:r w:rsidR="000C27AE">
              <w:t xml:space="preserve">założeń </w:t>
            </w:r>
            <w:r w:rsidR="00A06A10">
              <w:t>polityki rządu, z uwzględnieniem wszelkich uwarunkowań krajowych i zagranicznych</w:t>
            </w:r>
            <w:r w:rsidR="000C27AE">
              <w:t>; w przypadku UKE w szczególności przeprowadzenie reshufflingu</w:t>
            </w:r>
            <w:r w:rsidR="00A06A10">
              <w:t>), ale przede wszystkim ze zwiększenia znaczenia obszaru gospodarowania widmem i ze znacznego wzrostu aktywności w tym obszarze, zarówno na poziomie krajowym, jak i zagranicznym.</w:t>
            </w:r>
          </w:p>
          <w:p w14:paraId="3F2C5669" w14:textId="77777777" w:rsidR="00A06A10" w:rsidRDefault="00A06A10" w:rsidP="00490F49">
            <w:r>
              <w:t>Do wyliczenia kosztów zatrudnienia 3 ekspertów w Ministerstwie Cyfryzacji i 3 w UKE przyjęto jednolite założenia, zgodnie z którymi:</w:t>
            </w:r>
          </w:p>
          <w:p w14:paraId="22FBD5A2" w14:textId="77777777" w:rsidR="00A06A10" w:rsidRPr="00A06A10" w:rsidRDefault="00A06A10" w:rsidP="00A06A10">
            <w:r>
              <w:t>•</w:t>
            </w:r>
            <w:r w:rsidRPr="00A06A10">
              <w:t xml:space="preserve"> roczny koszt 1 etatu z wynagrodzeniem na poziome eksperckim to 169 021,17 zł brutto </w:t>
            </w:r>
          </w:p>
          <w:p w14:paraId="323F7960" w14:textId="77777777" w:rsidR="00A06A10" w:rsidRPr="00A06A10" w:rsidRDefault="00A06A10" w:rsidP="00A06A10">
            <w:r>
              <w:t>• </w:t>
            </w:r>
            <w:r w:rsidRPr="00A06A10">
              <w:t>koszt utworzenia stanowiska komputerowego to ok. 6500,00 zł brutto</w:t>
            </w:r>
          </w:p>
          <w:p w14:paraId="48202354" w14:textId="77777777" w:rsidR="00A06A10" w:rsidRPr="00A06A10" w:rsidRDefault="00A06A10" w:rsidP="00A06A10">
            <w:r w:rsidRPr="00A06A10">
              <w:lastRenderedPageBreak/>
              <w:t>Tym samym:</w:t>
            </w:r>
          </w:p>
          <w:p w14:paraId="13F823FC" w14:textId="77777777" w:rsidR="00A06A10" w:rsidRPr="00A06A10" w:rsidRDefault="00A06A10" w:rsidP="00A06A10">
            <w:r>
              <w:t>• </w:t>
            </w:r>
            <w:r w:rsidRPr="00A06A10">
              <w:t>koszt utworzenia 6 stanowisk: 39 000 zł</w:t>
            </w:r>
          </w:p>
          <w:p w14:paraId="5EBDE1CE" w14:textId="3CCB20D7" w:rsidR="0065506E" w:rsidRDefault="00A06A10" w:rsidP="0065506E">
            <w:r>
              <w:t xml:space="preserve">• </w:t>
            </w:r>
            <w:r w:rsidRPr="00A06A10">
              <w:t>roczny koszt 6 etatów na poziomie eksperckim to 1 014 127 zł.</w:t>
            </w:r>
          </w:p>
          <w:p w14:paraId="61B1BCC7" w14:textId="00D25B58" w:rsidR="00D44893" w:rsidRDefault="00D44893" w:rsidP="0065506E">
            <w:r>
              <w:t>Z uwagi na to, że ustawa budżetowa na 2019 r. nie przewiduje środków na dodatkowe etaty w Ministerstwie Cyfryzacji i Urzędzie Komunikacji Elektronicznej, zwiększenie etatów nastąpi od 2020 r.</w:t>
            </w:r>
            <w:r w:rsidR="00CF55BF">
              <w:t xml:space="preserve"> W związku z tym wydatki na ten cel </w:t>
            </w:r>
            <w:r w:rsidR="00DE2883">
              <w:t>powinny zostać</w:t>
            </w:r>
            <w:r w:rsidR="00CF55BF">
              <w:t xml:space="preserve"> wykazane </w:t>
            </w:r>
            <w:r w:rsidR="00DE2883">
              <w:t xml:space="preserve">począwszy </w:t>
            </w:r>
            <w:r w:rsidR="00CF55BF">
              <w:t>od 2020 r.</w:t>
            </w:r>
          </w:p>
          <w:p w14:paraId="3189458D" w14:textId="1E417052" w:rsidR="001C0559" w:rsidRPr="00877102" w:rsidRDefault="001C0559" w:rsidP="001C0559">
            <w:r w:rsidRPr="001C0559">
              <w:t xml:space="preserve">W związku z projektowanymi zmianami w ustawie o żegludze śródlądowej, ustawie – Prawo lotnicze i ustawie o bezpieczeństwie morskim (art. 3, 4 i 6 projektu ustawy), mających na celu uregulowanie zagadnień w zakresie kompetencji organów dotyczących kwestii związanych z egzaminami dla osób ubiegających się o świadectwo operatora urządzeń radiowych </w:t>
            </w:r>
            <w:r>
              <w:t>należy wskazać</w:t>
            </w:r>
            <w:r w:rsidRPr="001C0559">
              <w:t>, że zadania te będą realizowane w ramach limitu wydatków corocznie określanego w ustawie budżetowej dla cz. 21 – Gospoda</w:t>
            </w:r>
            <w:r>
              <w:t xml:space="preserve">rka morska i cz. 39 – Transport. </w:t>
            </w:r>
          </w:p>
        </w:tc>
      </w:tr>
      <w:tr w:rsidR="00877102" w:rsidRPr="000C1ABA" w14:paraId="3C5C3176" w14:textId="77777777" w:rsidTr="00FA7950">
        <w:trPr>
          <w:trHeight w:val="345"/>
        </w:trPr>
        <w:tc>
          <w:tcPr>
            <w:tcW w:w="10485" w:type="dxa"/>
            <w:gridSpan w:val="29"/>
            <w:shd w:val="clear" w:color="auto" w:fill="99CCFF"/>
          </w:tcPr>
          <w:p w14:paraId="385BFF41" w14:textId="77777777" w:rsidR="00877102" w:rsidRPr="00877102" w:rsidRDefault="00877102" w:rsidP="00877102">
            <w:r w:rsidRPr="00877102">
              <w:lastRenderedPageBreak/>
              <w:t xml:space="preserve">Wpływ na konkurencyjność gospodarki i przedsiębiorczość, w tym funkcjonowanie przedsiębiorców oraz na rodzinę, obywateli i gospodarstwa domowe </w:t>
            </w:r>
          </w:p>
        </w:tc>
      </w:tr>
      <w:tr w:rsidR="00877102" w:rsidRPr="000C1ABA" w14:paraId="00F07314" w14:textId="77777777" w:rsidTr="00FA7950">
        <w:trPr>
          <w:trHeight w:val="142"/>
        </w:trPr>
        <w:tc>
          <w:tcPr>
            <w:tcW w:w="10485" w:type="dxa"/>
            <w:gridSpan w:val="29"/>
            <w:shd w:val="clear" w:color="auto" w:fill="FFFFFF"/>
          </w:tcPr>
          <w:p w14:paraId="37E25555" w14:textId="77777777" w:rsidR="00877102" w:rsidRPr="00877102" w:rsidRDefault="00877102" w:rsidP="00877102">
            <w:r w:rsidRPr="00877102">
              <w:t>Skutki</w:t>
            </w:r>
          </w:p>
        </w:tc>
      </w:tr>
      <w:tr w:rsidR="00877102" w:rsidRPr="000C1ABA" w14:paraId="4CC1D673" w14:textId="77777777" w:rsidTr="00FA7950">
        <w:trPr>
          <w:trHeight w:val="142"/>
        </w:trPr>
        <w:tc>
          <w:tcPr>
            <w:tcW w:w="3889" w:type="dxa"/>
            <w:gridSpan w:val="7"/>
            <w:shd w:val="clear" w:color="auto" w:fill="FFFFFF"/>
          </w:tcPr>
          <w:p w14:paraId="237B6789" w14:textId="77777777" w:rsidR="00877102" w:rsidRPr="00877102" w:rsidRDefault="00877102" w:rsidP="00877102">
            <w:r w:rsidRPr="00877102">
              <w:t>Czas w latach od wejścia w życie zmian</w:t>
            </w:r>
          </w:p>
        </w:tc>
        <w:tc>
          <w:tcPr>
            <w:tcW w:w="937" w:type="dxa"/>
            <w:gridSpan w:val="2"/>
            <w:shd w:val="clear" w:color="auto" w:fill="FFFFFF"/>
          </w:tcPr>
          <w:p w14:paraId="503FBF1F" w14:textId="77777777" w:rsidR="00877102" w:rsidRPr="00877102" w:rsidRDefault="00877102" w:rsidP="00877102">
            <w:r w:rsidRPr="00877102">
              <w:t>0</w:t>
            </w:r>
          </w:p>
        </w:tc>
        <w:tc>
          <w:tcPr>
            <w:tcW w:w="938" w:type="dxa"/>
            <w:gridSpan w:val="5"/>
            <w:shd w:val="clear" w:color="auto" w:fill="FFFFFF"/>
          </w:tcPr>
          <w:p w14:paraId="3893F120" w14:textId="77777777" w:rsidR="00877102" w:rsidRPr="00877102" w:rsidRDefault="00877102" w:rsidP="00877102">
            <w:r w:rsidRPr="00877102">
              <w:t>1</w:t>
            </w:r>
          </w:p>
        </w:tc>
        <w:tc>
          <w:tcPr>
            <w:tcW w:w="938" w:type="dxa"/>
            <w:gridSpan w:val="4"/>
            <w:shd w:val="clear" w:color="auto" w:fill="FFFFFF"/>
          </w:tcPr>
          <w:p w14:paraId="1E962727" w14:textId="77777777" w:rsidR="00877102" w:rsidRPr="00877102" w:rsidRDefault="00877102" w:rsidP="00877102">
            <w:r w:rsidRPr="00877102">
              <w:t>2</w:t>
            </w:r>
          </w:p>
        </w:tc>
        <w:tc>
          <w:tcPr>
            <w:tcW w:w="937" w:type="dxa"/>
            <w:gridSpan w:val="3"/>
            <w:shd w:val="clear" w:color="auto" w:fill="FFFFFF"/>
          </w:tcPr>
          <w:p w14:paraId="0168C46F" w14:textId="77777777" w:rsidR="00877102" w:rsidRPr="00877102" w:rsidRDefault="00877102" w:rsidP="00877102">
            <w:r w:rsidRPr="00877102">
              <w:t>3</w:t>
            </w:r>
          </w:p>
        </w:tc>
        <w:tc>
          <w:tcPr>
            <w:tcW w:w="938" w:type="dxa"/>
            <w:gridSpan w:val="4"/>
            <w:shd w:val="clear" w:color="auto" w:fill="FFFFFF"/>
          </w:tcPr>
          <w:p w14:paraId="2B4491D2" w14:textId="77777777" w:rsidR="00877102" w:rsidRPr="00877102" w:rsidRDefault="00877102" w:rsidP="00877102">
            <w:r w:rsidRPr="00877102">
              <w:t>5</w:t>
            </w:r>
          </w:p>
        </w:tc>
        <w:tc>
          <w:tcPr>
            <w:tcW w:w="938" w:type="dxa"/>
            <w:gridSpan w:val="3"/>
            <w:shd w:val="clear" w:color="auto" w:fill="FFFFFF"/>
          </w:tcPr>
          <w:p w14:paraId="009AE150" w14:textId="77777777" w:rsidR="00877102" w:rsidRPr="00877102" w:rsidRDefault="00877102" w:rsidP="00877102">
            <w:r w:rsidRPr="00877102">
              <w:t>10</w:t>
            </w:r>
          </w:p>
        </w:tc>
        <w:tc>
          <w:tcPr>
            <w:tcW w:w="970" w:type="dxa"/>
            <w:shd w:val="clear" w:color="auto" w:fill="FFFFFF"/>
          </w:tcPr>
          <w:p w14:paraId="50C265A2" w14:textId="77777777" w:rsidR="00877102" w:rsidRPr="00877102" w:rsidRDefault="00877102" w:rsidP="00877102">
            <w:r w:rsidRPr="00877102">
              <w:t>Łącznie</w:t>
            </w:r>
            <w:r w:rsidRPr="00877102" w:rsidDel="0073273A">
              <w:t xml:space="preserve"> </w:t>
            </w:r>
            <w:r w:rsidRPr="00877102">
              <w:t>(0-10)</w:t>
            </w:r>
          </w:p>
        </w:tc>
      </w:tr>
      <w:tr w:rsidR="00877102" w:rsidRPr="000C1ABA" w14:paraId="4694096B" w14:textId="77777777" w:rsidTr="00FA7950">
        <w:trPr>
          <w:trHeight w:val="142"/>
        </w:trPr>
        <w:tc>
          <w:tcPr>
            <w:tcW w:w="1596" w:type="dxa"/>
            <w:vMerge w:val="restart"/>
            <w:shd w:val="clear" w:color="auto" w:fill="FFFFFF"/>
          </w:tcPr>
          <w:p w14:paraId="434CD843" w14:textId="77777777" w:rsidR="00877102" w:rsidRPr="00877102" w:rsidRDefault="00877102" w:rsidP="00877102">
            <w:r w:rsidRPr="00877102">
              <w:t>W ujęciu pieniężnym</w:t>
            </w:r>
          </w:p>
          <w:p w14:paraId="76115E0D" w14:textId="77777777" w:rsidR="00877102" w:rsidRPr="00877102" w:rsidRDefault="00877102" w:rsidP="00877102">
            <w:r w:rsidRPr="00877102">
              <w:t xml:space="preserve">(w mln zł, </w:t>
            </w:r>
          </w:p>
          <w:p w14:paraId="1351FF27" w14:textId="77777777" w:rsidR="00877102" w:rsidRPr="00877102" w:rsidRDefault="00877102" w:rsidP="00877102">
            <w:r w:rsidRPr="00877102">
              <w:t>ceny stałe z 2016 r.)</w:t>
            </w:r>
          </w:p>
        </w:tc>
        <w:tc>
          <w:tcPr>
            <w:tcW w:w="2293" w:type="dxa"/>
            <w:gridSpan w:val="6"/>
            <w:shd w:val="clear" w:color="auto" w:fill="FFFFFF"/>
          </w:tcPr>
          <w:p w14:paraId="4BB63A55" w14:textId="77777777" w:rsidR="00877102" w:rsidRPr="00877102" w:rsidRDefault="00877102" w:rsidP="00877102">
            <w:r w:rsidRPr="00877102">
              <w:t>duże przedsiębiorstwa</w:t>
            </w:r>
          </w:p>
        </w:tc>
        <w:tc>
          <w:tcPr>
            <w:tcW w:w="937" w:type="dxa"/>
            <w:gridSpan w:val="2"/>
            <w:shd w:val="clear" w:color="auto" w:fill="FFFFFF"/>
          </w:tcPr>
          <w:p w14:paraId="28E8AD71" w14:textId="77777777" w:rsidR="00877102" w:rsidRPr="00877102" w:rsidRDefault="00877102" w:rsidP="00877102">
            <w:r w:rsidRPr="00877102">
              <w:t>-</w:t>
            </w:r>
          </w:p>
        </w:tc>
        <w:tc>
          <w:tcPr>
            <w:tcW w:w="938" w:type="dxa"/>
            <w:gridSpan w:val="5"/>
            <w:shd w:val="clear" w:color="auto" w:fill="FFFFFF"/>
          </w:tcPr>
          <w:p w14:paraId="0152845F" w14:textId="77777777" w:rsidR="00877102" w:rsidRPr="00877102" w:rsidRDefault="00877102" w:rsidP="00877102"/>
        </w:tc>
        <w:tc>
          <w:tcPr>
            <w:tcW w:w="938" w:type="dxa"/>
            <w:gridSpan w:val="4"/>
            <w:shd w:val="clear" w:color="auto" w:fill="FFFFFF"/>
          </w:tcPr>
          <w:p w14:paraId="55ACEC74" w14:textId="77777777" w:rsidR="00877102" w:rsidRPr="00877102" w:rsidRDefault="00877102" w:rsidP="00877102"/>
        </w:tc>
        <w:tc>
          <w:tcPr>
            <w:tcW w:w="937" w:type="dxa"/>
            <w:gridSpan w:val="3"/>
            <w:shd w:val="clear" w:color="auto" w:fill="FFFFFF"/>
          </w:tcPr>
          <w:p w14:paraId="65F803F8" w14:textId="77777777" w:rsidR="00877102" w:rsidRPr="00877102" w:rsidRDefault="00877102" w:rsidP="00877102"/>
        </w:tc>
        <w:tc>
          <w:tcPr>
            <w:tcW w:w="938" w:type="dxa"/>
            <w:gridSpan w:val="4"/>
            <w:shd w:val="clear" w:color="auto" w:fill="FFFFFF"/>
          </w:tcPr>
          <w:p w14:paraId="76BD20A0" w14:textId="77777777" w:rsidR="00877102" w:rsidRPr="00877102" w:rsidRDefault="00877102" w:rsidP="00877102"/>
        </w:tc>
        <w:tc>
          <w:tcPr>
            <w:tcW w:w="938" w:type="dxa"/>
            <w:gridSpan w:val="3"/>
            <w:shd w:val="clear" w:color="auto" w:fill="FFFFFF"/>
          </w:tcPr>
          <w:p w14:paraId="50998AAB" w14:textId="77777777" w:rsidR="00877102" w:rsidRPr="00877102" w:rsidRDefault="00877102" w:rsidP="00877102"/>
        </w:tc>
        <w:tc>
          <w:tcPr>
            <w:tcW w:w="970" w:type="dxa"/>
            <w:shd w:val="clear" w:color="auto" w:fill="FFFFFF"/>
          </w:tcPr>
          <w:p w14:paraId="2D69955E" w14:textId="77777777" w:rsidR="00877102" w:rsidRPr="00877102" w:rsidRDefault="00877102" w:rsidP="00877102"/>
        </w:tc>
      </w:tr>
      <w:tr w:rsidR="00877102" w:rsidRPr="000C1ABA" w14:paraId="6640D1CC" w14:textId="77777777" w:rsidTr="00FA7950">
        <w:trPr>
          <w:trHeight w:val="142"/>
        </w:trPr>
        <w:tc>
          <w:tcPr>
            <w:tcW w:w="1596" w:type="dxa"/>
            <w:vMerge/>
            <w:shd w:val="clear" w:color="auto" w:fill="FFFFFF"/>
          </w:tcPr>
          <w:p w14:paraId="383A38A5" w14:textId="77777777" w:rsidR="00877102" w:rsidRPr="00877102" w:rsidRDefault="00877102" w:rsidP="00877102"/>
        </w:tc>
        <w:tc>
          <w:tcPr>
            <w:tcW w:w="2293" w:type="dxa"/>
            <w:gridSpan w:val="6"/>
            <w:shd w:val="clear" w:color="auto" w:fill="FFFFFF"/>
          </w:tcPr>
          <w:p w14:paraId="2C9BE590" w14:textId="77777777" w:rsidR="00877102" w:rsidRPr="00877102" w:rsidRDefault="00877102" w:rsidP="00877102">
            <w:r w:rsidRPr="00877102">
              <w:t>sektor mikro-, małych i średnich przedsiębiorstw</w:t>
            </w:r>
          </w:p>
        </w:tc>
        <w:tc>
          <w:tcPr>
            <w:tcW w:w="937" w:type="dxa"/>
            <w:gridSpan w:val="2"/>
            <w:shd w:val="clear" w:color="auto" w:fill="FFFFFF"/>
          </w:tcPr>
          <w:p w14:paraId="73C2940F" w14:textId="77777777" w:rsidR="00877102" w:rsidRPr="00877102" w:rsidRDefault="00877102" w:rsidP="00877102">
            <w:r w:rsidRPr="00877102">
              <w:t>-</w:t>
            </w:r>
          </w:p>
        </w:tc>
        <w:tc>
          <w:tcPr>
            <w:tcW w:w="938" w:type="dxa"/>
            <w:gridSpan w:val="5"/>
            <w:shd w:val="clear" w:color="auto" w:fill="FFFFFF"/>
          </w:tcPr>
          <w:p w14:paraId="0AB6FFFC" w14:textId="77777777" w:rsidR="00877102" w:rsidRPr="00877102" w:rsidRDefault="00877102" w:rsidP="00877102">
            <w:r w:rsidRPr="00877102">
              <w:t>-</w:t>
            </w:r>
          </w:p>
        </w:tc>
        <w:tc>
          <w:tcPr>
            <w:tcW w:w="938" w:type="dxa"/>
            <w:gridSpan w:val="4"/>
            <w:shd w:val="clear" w:color="auto" w:fill="FFFFFF"/>
          </w:tcPr>
          <w:p w14:paraId="298715D4" w14:textId="77777777" w:rsidR="00877102" w:rsidRPr="00877102" w:rsidRDefault="00877102" w:rsidP="00877102">
            <w:r w:rsidRPr="00877102">
              <w:t>-</w:t>
            </w:r>
          </w:p>
        </w:tc>
        <w:tc>
          <w:tcPr>
            <w:tcW w:w="937" w:type="dxa"/>
            <w:gridSpan w:val="3"/>
            <w:shd w:val="clear" w:color="auto" w:fill="FFFFFF"/>
          </w:tcPr>
          <w:p w14:paraId="3E5D3118" w14:textId="77777777" w:rsidR="00877102" w:rsidRPr="00877102" w:rsidRDefault="00877102" w:rsidP="00877102">
            <w:r w:rsidRPr="00877102">
              <w:t>-</w:t>
            </w:r>
          </w:p>
        </w:tc>
        <w:tc>
          <w:tcPr>
            <w:tcW w:w="938" w:type="dxa"/>
            <w:gridSpan w:val="4"/>
            <w:shd w:val="clear" w:color="auto" w:fill="FFFFFF"/>
          </w:tcPr>
          <w:p w14:paraId="18313FB6" w14:textId="77777777" w:rsidR="00877102" w:rsidRPr="00877102" w:rsidRDefault="00877102" w:rsidP="00877102">
            <w:r w:rsidRPr="00877102">
              <w:t>-</w:t>
            </w:r>
          </w:p>
        </w:tc>
        <w:tc>
          <w:tcPr>
            <w:tcW w:w="938" w:type="dxa"/>
            <w:gridSpan w:val="3"/>
            <w:shd w:val="clear" w:color="auto" w:fill="FFFFFF"/>
          </w:tcPr>
          <w:p w14:paraId="3465E25D" w14:textId="77777777" w:rsidR="00877102" w:rsidRPr="00877102" w:rsidRDefault="00877102" w:rsidP="00877102">
            <w:r w:rsidRPr="00877102">
              <w:t>-</w:t>
            </w:r>
          </w:p>
        </w:tc>
        <w:tc>
          <w:tcPr>
            <w:tcW w:w="970" w:type="dxa"/>
            <w:shd w:val="clear" w:color="auto" w:fill="FFFFFF"/>
          </w:tcPr>
          <w:p w14:paraId="43A9DAEF" w14:textId="77777777" w:rsidR="00877102" w:rsidRPr="00877102" w:rsidRDefault="00877102" w:rsidP="00877102">
            <w:r w:rsidRPr="00877102">
              <w:t>-</w:t>
            </w:r>
          </w:p>
        </w:tc>
      </w:tr>
      <w:tr w:rsidR="00877102" w:rsidRPr="000C1ABA" w14:paraId="43120057" w14:textId="77777777" w:rsidTr="00FA7950">
        <w:trPr>
          <w:trHeight w:val="142"/>
        </w:trPr>
        <w:tc>
          <w:tcPr>
            <w:tcW w:w="1596" w:type="dxa"/>
            <w:vMerge/>
            <w:shd w:val="clear" w:color="auto" w:fill="FFFFFF"/>
          </w:tcPr>
          <w:p w14:paraId="5FBD6A2E" w14:textId="77777777" w:rsidR="00877102" w:rsidRPr="00877102" w:rsidRDefault="00877102" w:rsidP="00877102"/>
        </w:tc>
        <w:tc>
          <w:tcPr>
            <w:tcW w:w="2293" w:type="dxa"/>
            <w:gridSpan w:val="6"/>
            <w:shd w:val="clear" w:color="auto" w:fill="FFFFFF"/>
          </w:tcPr>
          <w:p w14:paraId="009F5635" w14:textId="77777777" w:rsidR="00877102" w:rsidRPr="00877102" w:rsidRDefault="00877102" w:rsidP="00877102">
            <w:r w:rsidRPr="00877102">
              <w:t>rodzina, obywatele oraz gospodarstwa domowe</w:t>
            </w:r>
          </w:p>
        </w:tc>
        <w:tc>
          <w:tcPr>
            <w:tcW w:w="937" w:type="dxa"/>
            <w:gridSpan w:val="2"/>
            <w:shd w:val="clear" w:color="auto" w:fill="FFFFFF"/>
          </w:tcPr>
          <w:p w14:paraId="7BBAED84" w14:textId="77777777" w:rsidR="00877102" w:rsidRPr="00877102" w:rsidRDefault="00877102" w:rsidP="00877102">
            <w:r w:rsidRPr="00877102">
              <w:t>-</w:t>
            </w:r>
          </w:p>
        </w:tc>
        <w:tc>
          <w:tcPr>
            <w:tcW w:w="938" w:type="dxa"/>
            <w:gridSpan w:val="5"/>
            <w:shd w:val="clear" w:color="auto" w:fill="FFFFFF"/>
          </w:tcPr>
          <w:p w14:paraId="4D36DEFC" w14:textId="77777777" w:rsidR="00877102" w:rsidRPr="00877102" w:rsidRDefault="00877102" w:rsidP="00877102">
            <w:r w:rsidRPr="00877102">
              <w:t>-</w:t>
            </w:r>
          </w:p>
        </w:tc>
        <w:tc>
          <w:tcPr>
            <w:tcW w:w="938" w:type="dxa"/>
            <w:gridSpan w:val="4"/>
            <w:shd w:val="clear" w:color="auto" w:fill="FFFFFF"/>
          </w:tcPr>
          <w:p w14:paraId="4D153C7E" w14:textId="77777777" w:rsidR="00877102" w:rsidRPr="00877102" w:rsidRDefault="00877102" w:rsidP="00877102">
            <w:r w:rsidRPr="00877102">
              <w:t>-</w:t>
            </w:r>
          </w:p>
        </w:tc>
        <w:tc>
          <w:tcPr>
            <w:tcW w:w="937" w:type="dxa"/>
            <w:gridSpan w:val="3"/>
            <w:shd w:val="clear" w:color="auto" w:fill="FFFFFF"/>
          </w:tcPr>
          <w:p w14:paraId="42BE8A89" w14:textId="77777777" w:rsidR="00877102" w:rsidRPr="00877102" w:rsidRDefault="00877102" w:rsidP="00877102">
            <w:r w:rsidRPr="00877102">
              <w:t>-</w:t>
            </w:r>
          </w:p>
        </w:tc>
        <w:tc>
          <w:tcPr>
            <w:tcW w:w="938" w:type="dxa"/>
            <w:gridSpan w:val="4"/>
            <w:shd w:val="clear" w:color="auto" w:fill="FFFFFF"/>
          </w:tcPr>
          <w:p w14:paraId="22D57EAA" w14:textId="77777777" w:rsidR="00877102" w:rsidRPr="00877102" w:rsidRDefault="00877102" w:rsidP="00877102">
            <w:r w:rsidRPr="00877102">
              <w:t>-</w:t>
            </w:r>
          </w:p>
        </w:tc>
        <w:tc>
          <w:tcPr>
            <w:tcW w:w="938" w:type="dxa"/>
            <w:gridSpan w:val="3"/>
            <w:shd w:val="clear" w:color="auto" w:fill="FFFFFF"/>
          </w:tcPr>
          <w:p w14:paraId="736911E0" w14:textId="77777777" w:rsidR="00877102" w:rsidRPr="00877102" w:rsidRDefault="00877102" w:rsidP="00877102">
            <w:r w:rsidRPr="00877102">
              <w:t>-</w:t>
            </w:r>
          </w:p>
        </w:tc>
        <w:tc>
          <w:tcPr>
            <w:tcW w:w="970" w:type="dxa"/>
            <w:shd w:val="clear" w:color="auto" w:fill="FFFFFF"/>
          </w:tcPr>
          <w:p w14:paraId="20DFC194" w14:textId="77777777" w:rsidR="00877102" w:rsidRPr="00877102" w:rsidRDefault="00877102" w:rsidP="00877102">
            <w:r w:rsidRPr="00877102">
              <w:t>-</w:t>
            </w:r>
          </w:p>
        </w:tc>
      </w:tr>
      <w:tr w:rsidR="00877102" w:rsidRPr="000C1ABA" w14:paraId="2A961457" w14:textId="77777777" w:rsidTr="00FA7950">
        <w:trPr>
          <w:trHeight w:val="142"/>
        </w:trPr>
        <w:tc>
          <w:tcPr>
            <w:tcW w:w="1596" w:type="dxa"/>
            <w:vMerge w:val="restart"/>
            <w:shd w:val="clear" w:color="auto" w:fill="FFFFFF"/>
          </w:tcPr>
          <w:p w14:paraId="24A3DE93" w14:textId="77777777" w:rsidR="00877102" w:rsidRPr="00877102" w:rsidRDefault="00877102" w:rsidP="00877102">
            <w:r w:rsidRPr="00877102">
              <w:t>W ujęciu niepieniężnym</w:t>
            </w:r>
          </w:p>
        </w:tc>
        <w:tc>
          <w:tcPr>
            <w:tcW w:w="2293" w:type="dxa"/>
            <w:gridSpan w:val="6"/>
            <w:shd w:val="clear" w:color="auto" w:fill="FFFFFF"/>
          </w:tcPr>
          <w:p w14:paraId="3D9E867E" w14:textId="77777777" w:rsidR="00877102" w:rsidRPr="00877102" w:rsidRDefault="00877102" w:rsidP="00877102">
            <w:r w:rsidRPr="00877102">
              <w:t>duże przedsiębiorstwa</w:t>
            </w:r>
          </w:p>
        </w:tc>
        <w:tc>
          <w:tcPr>
            <w:tcW w:w="6596" w:type="dxa"/>
            <w:gridSpan w:val="22"/>
            <w:shd w:val="clear" w:color="auto" w:fill="FFFFFF"/>
          </w:tcPr>
          <w:p w14:paraId="059A687E" w14:textId="77777777" w:rsidR="00877102" w:rsidRPr="00877102" w:rsidRDefault="00877102" w:rsidP="00877102">
            <w:r w:rsidRPr="00877102">
              <w:t xml:space="preserve">Wprowadzane zmiany będą miały również pozytywny skutek w postaci przyspieszenia możliwości wykorzystania poszczególnych zasobów częstotliwości. Prezes UKE zyskuje możliwość ogłoszenia i przeprowadzenia postępowania selekcyjnego jeszcze zanim dany zasób częstotliwości będzie </w:t>
            </w:r>
            <w:r w:rsidRPr="00877102">
              <w:lastRenderedPageBreak/>
              <w:t>dostępny – co daje możliwość płynnego uruchomienia nowych usług w pasmach zwalnianych przez dotychczasowe systemy.</w:t>
            </w:r>
          </w:p>
          <w:p w14:paraId="0FA75FA6" w14:textId="77777777" w:rsidR="00877102" w:rsidRPr="00877102" w:rsidRDefault="00877102" w:rsidP="00877102">
            <w:r w:rsidRPr="00877102">
              <w:t>Wprowadzane przepisy odnoszące się do przebiegu aukcji zmniejszają ryzyko nieoptymalnego jej wyniku, poprzez wprowadzenie możliwości wskazania przez Prezesa UKE cech podmiotów mogących brać udział w postępowaniu, w szczególności odnoszące się do wiarygodności finansowej. Taka możliwość zmniejszy ryzyko udziału w aukcji podmiotów, które nie mają realnych zdolności ani woli wykorzystywania udostępnianych zasobów częstotliwości. Tym samym wynik postępowania selekcyjnego, w szczególności aukcji, będzie lepiej odzwierciedlał faktyczną wartość danego zasobu częstotliwości dla podmiotów nim zainteresowanych, a ryzyko zaburzenia czy podważenia procesu selekcyjnego zostanie ograniczone.</w:t>
            </w:r>
          </w:p>
          <w:p w14:paraId="230D2DC9" w14:textId="77777777" w:rsidR="00877102" w:rsidRPr="00877102" w:rsidRDefault="00877102" w:rsidP="00877102">
            <w:r w:rsidRPr="00877102">
              <w:t xml:space="preserve">Druga istotna zmiana dotyczy procesu aukcyjnego i polega na wprowadzeniu instytucji depozytu, który stanowić ma zabezpieczenie przed wycofaniem się z aukcji któregoś z biorących w niej udział podmiotów. Taki depozyt oznacza konieczność zabezpieczenia większych środków finansowych już na etapie postępowania selekcyjnego, a zatem zmniejsza na ten okres płynność finansową przedsiębiorstw. </w:t>
            </w:r>
          </w:p>
          <w:p w14:paraId="4BA240A0" w14:textId="77777777" w:rsidR="00877102" w:rsidRPr="00877102" w:rsidRDefault="00877102" w:rsidP="00877102">
            <w:r w:rsidRPr="00877102">
              <w:t>Zmiana znosząca obowiązek oznaczania urządzeń radiowych klasy 2 specjalnym oznaczeniem uprości proces wprowadzania na polski rynek produktów dopuszczonych do użytku w innych krajach UE. W chwili obecnej Polska jest jednym z nielicznych krajów, w których utrzymany został taki obowiązek, co w niektórych przypadkach uniemożliwia wprowadzenie na nasz rynek sprzętu wykorzystywanego w pozostałych krajach UE, w tym smartfonów czy tabletów. Utrzymanie takiego obowiązku prowadziłoby do powstania kosztów po stronie dostawców sprzętu oraz opóźniłoby udostępnianie na polskim rynku najnowocześniejszych urządzeń.</w:t>
            </w:r>
          </w:p>
        </w:tc>
      </w:tr>
      <w:tr w:rsidR="00877102" w:rsidRPr="000C1ABA" w14:paraId="0A673146" w14:textId="77777777" w:rsidTr="00FA7950">
        <w:trPr>
          <w:trHeight w:val="142"/>
        </w:trPr>
        <w:tc>
          <w:tcPr>
            <w:tcW w:w="1596" w:type="dxa"/>
            <w:vMerge/>
            <w:shd w:val="clear" w:color="auto" w:fill="FFFFFF"/>
          </w:tcPr>
          <w:p w14:paraId="5A971BC1" w14:textId="77777777" w:rsidR="00877102" w:rsidRPr="00877102" w:rsidRDefault="00877102" w:rsidP="00877102"/>
        </w:tc>
        <w:tc>
          <w:tcPr>
            <w:tcW w:w="2293" w:type="dxa"/>
            <w:gridSpan w:val="6"/>
            <w:shd w:val="clear" w:color="auto" w:fill="FFFFFF"/>
          </w:tcPr>
          <w:p w14:paraId="7210A642" w14:textId="77777777" w:rsidR="00877102" w:rsidRPr="00877102" w:rsidRDefault="00877102" w:rsidP="00877102">
            <w:r w:rsidRPr="00877102">
              <w:t xml:space="preserve">sektor mikro-, małych i średnich </w:t>
            </w:r>
            <w:r w:rsidRPr="00877102">
              <w:lastRenderedPageBreak/>
              <w:t>przedsiębiorstw</w:t>
            </w:r>
          </w:p>
        </w:tc>
        <w:tc>
          <w:tcPr>
            <w:tcW w:w="6596" w:type="dxa"/>
            <w:gridSpan w:val="22"/>
            <w:shd w:val="clear" w:color="auto" w:fill="FFFFFF"/>
          </w:tcPr>
          <w:p w14:paraId="03C72871" w14:textId="77777777" w:rsidR="00877102" w:rsidRPr="00877102" w:rsidRDefault="00877102" w:rsidP="00877102">
            <w:r w:rsidRPr="00877102">
              <w:lastRenderedPageBreak/>
              <w:t xml:space="preserve">j.w. </w:t>
            </w:r>
          </w:p>
        </w:tc>
      </w:tr>
      <w:tr w:rsidR="00877102" w:rsidRPr="000C1ABA" w14:paraId="31960F20" w14:textId="77777777" w:rsidTr="00FA7950">
        <w:trPr>
          <w:trHeight w:val="596"/>
        </w:trPr>
        <w:tc>
          <w:tcPr>
            <w:tcW w:w="1596" w:type="dxa"/>
            <w:vMerge/>
            <w:shd w:val="clear" w:color="auto" w:fill="FFFFFF"/>
          </w:tcPr>
          <w:p w14:paraId="33DA0314" w14:textId="77777777" w:rsidR="00877102" w:rsidRPr="00877102" w:rsidRDefault="00877102" w:rsidP="00877102"/>
        </w:tc>
        <w:tc>
          <w:tcPr>
            <w:tcW w:w="2293" w:type="dxa"/>
            <w:gridSpan w:val="6"/>
            <w:shd w:val="clear" w:color="auto" w:fill="FFFFFF"/>
          </w:tcPr>
          <w:p w14:paraId="4DB4D607" w14:textId="77777777" w:rsidR="00877102" w:rsidRPr="00877102" w:rsidRDefault="00877102" w:rsidP="00877102">
            <w:r w:rsidRPr="00877102">
              <w:t xml:space="preserve">rodzina, obywatele oraz gospodarstwa domowe </w:t>
            </w:r>
          </w:p>
        </w:tc>
        <w:tc>
          <w:tcPr>
            <w:tcW w:w="6596" w:type="dxa"/>
            <w:gridSpan w:val="22"/>
            <w:shd w:val="clear" w:color="auto" w:fill="FFFFFF"/>
          </w:tcPr>
          <w:p w14:paraId="2D83BA7D" w14:textId="5D10B68B" w:rsidR="00877102" w:rsidRPr="00877102" w:rsidRDefault="00DE2883" w:rsidP="00877102">
            <w:r>
              <w:t>Dalszy rozwój rynku telekomunikacyjnego, co wpłynie na poprawę stanu cyfryzacji</w:t>
            </w:r>
            <w:r w:rsidR="00877102" w:rsidRPr="00877102">
              <w:t xml:space="preserve"> państwa i gospodarki. </w:t>
            </w:r>
          </w:p>
        </w:tc>
      </w:tr>
      <w:tr w:rsidR="00877102" w:rsidRPr="000C1ABA" w14:paraId="6716E31F" w14:textId="77777777" w:rsidTr="00FA7950">
        <w:trPr>
          <w:trHeight w:val="596"/>
        </w:trPr>
        <w:tc>
          <w:tcPr>
            <w:tcW w:w="1596" w:type="dxa"/>
            <w:vMerge/>
            <w:shd w:val="clear" w:color="auto" w:fill="FFFFFF"/>
          </w:tcPr>
          <w:p w14:paraId="64CEFD90" w14:textId="77777777" w:rsidR="00877102" w:rsidRPr="00877102" w:rsidRDefault="00877102" w:rsidP="00877102"/>
        </w:tc>
        <w:tc>
          <w:tcPr>
            <w:tcW w:w="2293" w:type="dxa"/>
            <w:gridSpan w:val="6"/>
            <w:shd w:val="clear" w:color="auto" w:fill="auto"/>
          </w:tcPr>
          <w:p w14:paraId="73E26D54" w14:textId="77777777" w:rsidR="00877102" w:rsidRPr="00877102" w:rsidRDefault="00877102" w:rsidP="00877102">
            <w:r w:rsidRPr="00877102">
              <w:t>Przedsiębiorcy telekomunikacyjni posiadający rezerwacje na wykorzystanie częstotliwości radiowych</w:t>
            </w:r>
          </w:p>
        </w:tc>
        <w:tc>
          <w:tcPr>
            <w:tcW w:w="6596" w:type="dxa"/>
            <w:gridSpan w:val="22"/>
            <w:shd w:val="clear" w:color="auto" w:fill="auto"/>
          </w:tcPr>
          <w:p w14:paraId="50891E8F" w14:textId="44D92940" w:rsidR="00877102" w:rsidRPr="00877102" w:rsidRDefault="00877102" w:rsidP="00877102">
            <w:r w:rsidRPr="00877102">
              <w:t xml:space="preserve">Wprowadzone zmiany umożliwią Prezesowi UKE dokonywanie zmian w już wydanych rezerwacjach. W przypadku dokonania takich zmian, podmiot posiadający rezerwację będzie ponosił </w:t>
            </w:r>
            <w:r w:rsidR="00E03B4B">
              <w:t xml:space="preserve">ewentualne </w:t>
            </w:r>
            <w:r w:rsidRPr="00877102">
              <w:t xml:space="preserve">koszty przestrojenia wykorzystywanych urządzeń oraz ewentualnie pojawiających się zakłóceń. Może także ponieść dodatkowe koszty w sytuacji, w której zasoby częstotliwości posiadane przez dany podmiot zostaną zmniejszone lub ograniczony zostanie zakres rezerwacji (zmniejszy się wartość posiadanego zasobu) lub też na skutek zmiany przyznane zostaną częstotliwości z innego pasma. </w:t>
            </w:r>
            <w:r w:rsidR="00E03B4B">
              <w:t xml:space="preserve"> Jednocześnie ewentualne kwestie odszkodowawcze, wynikające z decyzji  organu regulacyjnego, będą rozstrzygane na zasadach ogólnych, w związku z czym nie ma uzasadnienia dla przewidywania w projekcie ustawy szczególnego trybu odszkodowawczego. Należy przy tym zauważyć, że ustawa nie przesądza, że sytuacja gdy podmiot ponosi jakiekolwiek dodatkowe koszty w wyniku zmiany decyzji rezerwacyjnej, będzie miała miejsce.</w:t>
            </w:r>
          </w:p>
          <w:p w14:paraId="37663548" w14:textId="77777777" w:rsidR="00877102" w:rsidRPr="00877102" w:rsidRDefault="00877102" w:rsidP="00877102">
            <w:r w:rsidRPr="00877102">
              <w:t xml:space="preserve">Jednocześnie wprowadzane zmiany pozwolą na większą efektywność wykorzystania widma radiowego (np. poprzez uporządkowanie przyznanych bloków, umożliwienie podmiotom korzystanie z ciągłych bloków) co przełoży się na wyższą jakość usług świadczonych przez przedsiębiorców. </w:t>
            </w:r>
          </w:p>
        </w:tc>
      </w:tr>
      <w:tr w:rsidR="00877102" w:rsidRPr="000C1ABA" w14:paraId="61D2D3A8" w14:textId="77777777" w:rsidTr="00FA7950">
        <w:trPr>
          <w:trHeight w:val="596"/>
        </w:trPr>
        <w:tc>
          <w:tcPr>
            <w:tcW w:w="1596" w:type="dxa"/>
            <w:vMerge/>
            <w:shd w:val="clear" w:color="auto" w:fill="FFFFFF"/>
          </w:tcPr>
          <w:p w14:paraId="7413FF8A" w14:textId="77777777" w:rsidR="00877102" w:rsidRPr="00877102" w:rsidRDefault="00877102" w:rsidP="00877102"/>
        </w:tc>
        <w:tc>
          <w:tcPr>
            <w:tcW w:w="2293" w:type="dxa"/>
            <w:gridSpan w:val="6"/>
            <w:shd w:val="clear" w:color="auto" w:fill="auto"/>
          </w:tcPr>
          <w:p w14:paraId="3E3F44D3" w14:textId="77777777" w:rsidR="00877102" w:rsidRPr="00877102" w:rsidRDefault="00877102" w:rsidP="00877102">
            <w:r w:rsidRPr="00877102">
              <w:t>Nadawcy telewizyjni posiadający rezerwację obejmującą pasmo 700 MHz</w:t>
            </w:r>
          </w:p>
        </w:tc>
        <w:tc>
          <w:tcPr>
            <w:tcW w:w="6596" w:type="dxa"/>
            <w:gridSpan w:val="22"/>
            <w:shd w:val="clear" w:color="auto" w:fill="auto"/>
          </w:tcPr>
          <w:p w14:paraId="1C401784" w14:textId="77777777" w:rsidR="00877102" w:rsidRPr="00877102" w:rsidRDefault="00877102" w:rsidP="00877102">
            <w:r w:rsidRPr="00877102">
              <w:t xml:space="preserve">Wprowadzane zmiany umożliwią Prezesowi UKE zmianę udzielonych  rezerwacji częstotliwości w zakresie przydzielonych kanałów TV. Nowe przepisy umożliwiają  uwolnienie częstotliwości z pasma 700 MHz których dalsze użytkowanie  uniemożliwiałoby realizację zobowiązań wynikających m.in. z prawa Unii Europejskiej. W 2017 roku przyjęta została decyzja Rady Europejskiej i Parlamentu, zmieniająca przeznaczenie pasma </w:t>
            </w:r>
            <w:r w:rsidRPr="00877102">
              <w:lastRenderedPageBreak/>
              <w:t xml:space="preserve">700 MHz. Od roku 2020 pasmo to ma w całej Unii zostać przeznaczone na bezprzewodowy przesył danych, w związku z czym Prezes UKE powinien mieć możliwość zmiany obowiązujących  rezerwacji częstotliwości m.in. dla nadawców telewizyjnych wykorzystujących obecnie pasmo 700 MHz . </w:t>
            </w:r>
          </w:p>
        </w:tc>
      </w:tr>
      <w:tr w:rsidR="00877102" w:rsidRPr="000C1ABA" w14:paraId="6173C43F" w14:textId="77777777" w:rsidTr="00E67F42">
        <w:trPr>
          <w:trHeight w:val="2142"/>
        </w:trPr>
        <w:tc>
          <w:tcPr>
            <w:tcW w:w="1696" w:type="dxa"/>
            <w:gridSpan w:val="2"/>
            <w:shd w:val="clear" w:color="auto" w:fill="FFFFFF"/>
          </w:tcPr>
          <w:p w14:paraId="700EB06A" w14:textId="77777777" w:rsidR="00877102" w:rsidRPr="00877102" w:rsidRDefault="00877102" w:rsidP="00877102">
            <w:r w:rsidRPr="00877102">
              <w:lastRenderedPageBreak/>
              <w:t xml:space="preserve">Dodatkowe informacje, w tym wskazanie źródeł danych i przyjętych do obliczeń założeń </w:t>
            </w:r>
          </w:p>
        </w:tc>
        <w:tc>
          <w:tcPr>
            <w:tcW w:w="8789" w:type="dxa"/>
            <w:gridSpan w:val="27"/>
            <w:shd w:val="clear" w:color="auto" w:fill="FFFFFF"/>
            <w:vAlign w:val="center"/>
          </w:tcPr>
          <w:p w14:paraId="7E92D148" w14:textId="77777777" w:rsidR="00877102" w:rsidRPr="00877102" w:rsidRDefault="00877102" w:rsidP="00877102"/>
        </w:tc>
      </w:tr>
      <w:tr w:rsidR="00877102" w:rsidRPr="000C1ABA" w14:paraId="7904752B" w14:textId="77777777" w:rsidTr="00FA7950">
        <w:trPr>
          <w:trHeight w:val="342"/>
        </w:trPr>
        <w:tc>
          <w:tcPr>
            <w:tcW w:w="10485" w:type="dxa"/>
            <w:gridSpan w:val="29"/>
            <w:shd w:val="clear" w:color="auto" w:fill="99CCFF"/>
            <w:vAlign w:val="center"/>
          </w:tcPr>
          <w:p w14:paraId="313C7FED" w14:textId="77777777" w:rsidR="00877102" w:rsidRPr="00877102" w:rsidRDefault="00877102" w:rsidP="00877102">
            <w:r w:rsidRPr="00877102">
              <w:t xml:space="preserve"> Zmiana obciążeń regulacyjnych (w tym obowiązków informacyjnych) wynikających z projektu</w:t>
            </w:r>
          </w:p>
        </w:tc>
      </w:tr>
      <w:tr w:rsidR="00877102" w:rsidRPr="000C1ABA" w14:paraId="6F70088D" w14:textId="77777777" w:rsidTr="00FA7950">
        <w:trPr>
          <w:trHeight w:val="151"/>
        </w:trPr>
        <w:tc>
          <w:tcPr>
            <w:tcW w:w="10485" w:type="dxa"/>
            <w:gridSpan w:val="29"/>
            <w:shd w:val="clear" w:color="auto" w:fill="FFFFFF"/>
          </w:tcPr>
          <w:p w14:paraId="3B0FFD2A" w14:textId="77777777" w:rsidR="00877102" w:rsidRPr="00877102" w:rsidRDefault="00877102" w:rsidP="00877102"/>
        </w:tc>
      </w:tr>
      <w:tr w:rsidR="00877102" w:rsidRPr="000C1ABA" w14:paraId="52E20712" w14:textId="77777777" w:rsidTr="00FA7950">
        <w:trPr>
          <w:trHeight w:val="946"/>
        </w:trPr>
        <w:tc>
          <w:tcPr>
            <w:tcW w:w="5111" w:type="dxa"/>
            <w:gridSpan w:val="12"/>
            <w:shd w:val="clear" w:color="auto" w:fill="FFFFFF"/>
          </w:tcPr>
          <w:p w14:paraId="3804F053" w14:textId="77777777" w:rsidR="00877102" w:rsidRPr="00877102" w:rsidRDefault="00877102" w:rsidP="00877102">
            <w:r w:rsidRPr="00877102">
              <w:t>Wprowadzane są obciążenia poza bezwzględnie wymaganymi przez UE (szczegóły w odwróconej tabeli zgodności).</w:t>
            </w:r>
          </w:p>
        </w:tc>
        <w:tc>
          <w:tcPr>
            <w:tcW w:w="5374" w:type="dxa"/>
            <w:gridSpan w:val="17"/>
            <w:shd w:val="clear" w:color="auto" w:fill="FFFFFF"/>
          </w:tcPr>
          <w:p w14:paraId="30847798"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tak</w:t>
            </w:r>
          </w:p>
          <w:p w14:paraId="64ECDB15"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nie</w:t>
            </w:r>
          </w:p>
          <w:p w14:paraId="6D9D9ECD" w14:textId="77777777" w:rsidR="00877102" w:rsidRPr="00877102" w:rsidRDefault="00877102" w:rsidP="00877102">
            <w:r w:rsidRPr="00877102">
              <w:fldChar w:fldCharType="begin">
                <w:ffData>
                  <w:name w:val=""/>
                  <w:enabled/>
                  <w:calcOnExit w:val="0"/>
                  <w:checkBox>
                    <w:sizeAuto/>
                    <w:default w:val="1"/>
                  </w:checkBox>
                </w:ffData>
              </w:fldChar>
            </w:r>
            <w:r w:rsidRPr="00877102">
              <w:instrText xml:space="preserve"> FORMCHECKBOX </w:instrText>
            </w:r>
            <w:r w:rsidR="008B7730">
              <w:fldChar w:fldCharType="separate"/>
            </w:r>
            <w:r w:rsidRPr="00877102">
              <w:fldChar w:fldCharType="end"/>
            </w:r>
            <w:r w:rsidRPr="00877102">
              <w:t xml:space="preserve">  nie dotyczy</w:t>
            </w:r>
          </w:p>
        </w:tc>
      </w:tr>
      <w:tr w:rsidR="00877102" w:rsidRPr="000C1ABA" w14:paraId="602083F1" w14:textId="77777777" w:rsidTr="00FA7950">
        <w:trPr>
          <w:trHeight w:val="1245"/>
        </w:trPr>
        <w:tc>
          <w:tcPr>
            <w:tcW w:w="5111" w:type="dxa"/>
            <w:gridSpan w:val="12"/>
            <w:shd w:val="clear" w:color="auto" w:fill="FFFFFF"/>
          </w:tcPr>
          <w:p w14:paraId="44362D42" w14:textId="77777777" w:rsidR="00877102" w:rsidRPr="00877102" w:rsidRDefault="00877102" w:rsidP="00877102">
            <w:r w:rsidRPr="00877102">
              <w:fldChar w:fldCharType="begin">
                <w:ffData>
                  <w:name w:val=""/>
                  <w:enabled/>
                  <w:calcOnExit w:val="0"/>
                  <w:checkBox>
                    <w:sizeAuto/>
                    <w:default w:val="1"/>
                  </w:checkBox>
                </w:ffData>
              </w:fldChar>
            </w:r>
            <w:r w:rsidRPr="00877102">
              <w:instrText xml:space="preserve"> FORMCHECKBOX </w:instrText>
            </w:r>
            <w:r w:rsidR="008B7730">
              <w:fldChar w:fldCharType="separate"/>
            </w:r>
            <w:r w:rsidRPr="00877102">
              <w:fldChar w:fldCharType="end"/>
            </w:r>
            <w:r w:rsidRPr="00877102">
              <w:t xml:space="preserve"> zmniejszenie liczby dokumentów </w:t>
            </w:r>
          </w:p>
          <w:p w14:paraId="6D731025" w14:textId="77777777" w:rsidR="00877102" w:rsidRPr="00877102" w:rsidRDefault="00877102" w:rsidP="00877102">
            <w:r w:rsidRPr="00877102">
              <w:fldChar w:fldCharType="begin">
                <w:ffData>
                  <w:name w:val=""/>
                  <w:enabled/>
                  <w:calcOnExit w:val="0"/>
                  <w:checkBox>
                    <w:sizeAuto/>
                    <w:default w:val="1"/>
                  </w:checkBox>
                </w:ffData>
              </w:fldChar>
            </w:r>
            <w:r w:rsidRPr="00877102">
              <w:instrText xml:space="preserve"> FORMCHECKBOX </w:instrText>
            </w:r>
            <w:r w:rsidR="008B7730">
              <w:fldChar w:fldCharType="separate"/>
            </w:r>
            <w:r w:rsidRPr="00877102">
              <w:fldChar w:fldCharType="end"/>
            </w:r>
            <w:r w:rsidRPr="00877102">
              <w:t xml:space="preserve"> zmniejszenie liczby procedur</w:t>
            </w:r>
          </w:p>
          <w:p w14:paraId="723F4D1B" w14:textId="77777777" w:rsidR="00877102" w:rsidRPr="00877102" w:rsidRDefault="00877102" w:rsidP="00877102">
            <w:r w:rsidRPr="00877102">
              <w:fldChar w:fldCharType="begin">
                <w:ffData>
                  <w:name w:val=""/>
                  <w:enabled/>
                  <w:calcOnExit w:val="0"/>
                  <w:checkBox>
                    <w:sizeAuto/>
                    <w:default w:val="1"/>
                  </w:checkBox>
                </w:ffData>
              </w:fldChar>
            </w:r>
            <w:r w:rsidRPr="00877102">
              <w:instrText xml:space="preserve"> FORMCHECKBOX </w:instrText>
            </w:r>
            <w:r w:rsidR="008B7730">
              <w:fldChar w:fldCharType="separate"/>
            </w:r>
            <w:r w:rsidRPr="00877102">
              <w:fldChar w:fldCharType="end"/>
            </w:r>
            <w:r w:rsidRPr="00877102">
              <w:t xml:space="preserve">  skrócenie czasu na załatwienie sprawy</w:t>
            </w:r>
          </w:p>
          <w:p w14:paraId="017DF3C8"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inne: </w:t>
            </w:r>
            <w:r w:rsidRPr="00877102">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77102">
              <w:instrText xml:space="preserve"> FORMTEXT </w:instrText>
            </w:r>
            <w:r w:rsidRPr="00877102">
              <w:fldChar w:fldCharType="separate"/>
            </w:r>
            <w:r w:rsidRPr="00877102">
              <w:t> </w:t>
            </w:r>
            <w:r w:rsidRPr="00877102">
              <w:t> </w:t>
            </w:r>
            <w:r w:rsidRPr="00877102">
              <w:t> </w:t>
            </w:r>
            <w:r w:rsidRPr="00877102">
              <w:t> </w:t>
            </w:r>
            <w:r w:rsidRPr="00877102">
              <w:t> </w:t>
            </w:r>
            <w:r w:rsidRPr="00877102">
              <w:fldChar w:fldCharType="end"/>
            </w:r>
          </w:p>
        </w:tc>
        <w:tc>
          <w:tcPr>
            <w:tcW w:w="5374" w:type="dxa"/>
            <w:gridSpan w:val="17"/>
            <w:shd w:val="clear" w:color="auto" w:fill="FFFFFF"/>
          </w:tcPr>
          <w:p w14:paraId="57FDF395"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zwiększenie liczby dokumentów</w:t>
            </w:r>
          </w:p>
          <w:p w14:paraId="44767040"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zwiększenie liczby procedur</w:t>
            </w:r>
          </w:p>
          <w:p w14:paraId="0EBD1361"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wydłużenie czasu na załatwienie sprawy</w:t>
            </w:r>
          </w:p>
          <w:p w14:paraId="069D38B3"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inne: </w:t>
            </w:r>
            <w:r w:rsidRPr="00877102">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77102">
              <w:instrText xml:space="preserve"> FORMTEXT </w:instrText>
            </w:r>
            <w:r w:rsidRPr="00877102">
              <w:fldChar w:fldCharType="separate"/>
            </w:r>
            <w:r w:rsidRPr="00877102">
              <w:t> </w:t>
            </w:r>
            <w:r w:rsidRPr="00877102">
              <w:t> </w:t>
            </w:r>
            <w:r w:rsidRPr="00877102">
              <w:t> </w:t>
            </w:r>
            <w:r w:rsidRPr="00877102">
              <w:t> </w:t>
            </w:r>
            <w:r w:rsidRPr="00877102">
              <w:t> </w:t>
            </w:r>
            <w:r w:rsidRPr="00877102">
              <w:fldChar w:fldCharType="end"/>
            </w:r>
          </w:p>
          <w:p w14:paraId="5894D0F1" w14:textId="77777777" w:rsidR="00877102" w:rsidRPr="00877102" w:rsidRDefault="00877102" w:rsidP="00877102"/>
        </w:tc>
      </w:tr>
      <w:tr w:rsidR="00877102" w:rsidRPr="000C1ABA" w14:paraId="42C7CDD6" w14:textId="77777777" w:rsidTr="00FA7950">
        <w:trPr>
          <w:trHeight w:val="870"/>
        </w:trPr>
        <w:tc>
          <w:tcPr>
            <w:tcW w:w="5111" w:type="dxa"/>
            <w:gridSpan w:val="12"/>
            <w:shd w:val="clear" w:color="auto" w:fill="FFFFFF"/>
          </w:tcPr>
          <w:p w14:paraId="5A729EF3" w14:textId="77777777" w:rsidR="00877102" w:rsidRPr="00877102" w:rsidRDefault="00877102" w:rsidP="00877102">
            <w:r w:rsidRPr="00877102">
              <w:t xml:space="preserve">Wprowadzane obciążenia są przystosowane do ich elektronizacji. </w:t>
            </w:r>
          </w:p>
        </w:tc>
        <w:tc>
          <w:tcPr>
            <w:tcW w:w="5374" w:type="dxa"/>
            <w:gridSpan w:val="17"/>
            <w:shd w:val="clear" w:color="auto" w:fill="FFFFFF"/>
          </w:tcPr>
          <w:p w14:paraId="7A48A76A"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tak</w:t>
            </w:r>
          </w:p>
          <w:p w14:paraId="504B973A"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nie</w:t>
            </w:r>
          </w:p>
          <w:p w14:paraId="7EF56083" w14:textId="77777777" w:rsidR="00877102" w:rsidRPr="00877102" w:rsidRDefault="00877102" w:rsidP="00877102">
            <w:r w:rsidRPr="00877102">
              <w:fldChar w:fldCharType="begin">
                <w:ffData>
                  <w:name w:val=""/>
                  <w:enabled/>
                  <w:calcOnExit w:val="0"/>
                  <w:checkBox>
                    <w:sizeAuto/>
                    <w:default w:val="1"/>
                  </w:checkBox>
                </w:ffData>
              </w:fldChar>
            </w:r>
            <w:r w:rsidRPr="00877102">
              <w:instrText xml:space="preserve"> FORMCHECKBOX </w:instrText>
            </w:r>
            <w:r w:rsidR="008B7730">
              <w:fldChar w:fldCharType="separate"/>
            </w:r>
            <w:r w:rsidRPr="00877102">
              <w:fldChar w:fldCharType="end"/>
            </w:r>
            <w:r w:rsidRPr="00877102">
              <w:t xml:space="preserve"> nie dotyczy</w:t>
            </w:r>
          </w:p>
          <w:p w14:paraId="268476A1" w14:textId="77777777" w:rsidR="00877102" w:rsidRPr="00877102" w:rsidRDefault="00877102" w:rsidP="00877102"/>
        </w:tc>
      </w:tr>
      <w:tr w:rsidR="00877102" w:rsidRPr="000C1ABA" w14:paraId="0B9D8223" w14:textId="77777777" w:rsidTr="00FA7950">
        <w:trPr>
          <w:trHeight w:val="630"/>
        </w:trPr>
        <w:tc>
          <w:tcPr>
            <w:tcW w:w="10485" w:type="dxa"/>
            <w:gridSpan w:val="29"/>
            <w:shd w:val="clear" w:color="auto" w:fill="FFFFFF"/>
          </w:tcPr>
          <w:p w14:paraId="0630724C" w14:textId="77777777" w:rsidR="00877102" w:rsidRPr="00877102" w:rsidRDefault="00877102" w:rsidP="00877102">
            <w:r w:rsidRPr="00877102">
              <w:t>Zmniejszenie liczby procedur oraz skrócenie czasu załatwiania sprawy odnosi się do procesu wydawania decyzji o rezerwacjach częstotliwości po postępowaniu selekcyjnym. Dotychczasowe przepisy zakładały, że wydanie decyzji rezerwacyjnej odbywa się na wniosek podmiotu. Natomiast proponowane zmiany zakładają działanie Prezesa UKE z urzędu, co znacznie uprości cały proces.</w:t>
            </w:r>
          </w:p>
        </w:tc>
      </w:tr>
      <w:tr w:rsidR="00877102" w:rsidRPr="000C1ABA" w14:paraId="020FEF9F" w14:textId="77777777" w:rsidTr="00FA7950">
        <w:trPr>
          <w:trHeight w:val="142"/>
        </w:trPr>
        <w:tc>
          <w:tcPr>
            <w:tcW w:w="10485" w:type="dxa"/>
            <w:gridSpan w:val="29"/>
            <w:shd w:val="clear" w:color="auto" w:fill="99CCFF"/>
          </w:tcPr>
          <w:p w14:paraId="349638DB" w14:textId="77777777" w:rsidR="00877102" w:rsidRPr="00877102" w:rsidRDefault="00877102" w:rsidP="00877102">
            <w:r w:rsidRPr="00877102">
              <w:t xml:space="preserve">Wpływ na rynek pracy </w:t>
            </w:r>
          </w:p>
        </w:tc>
      </w:tr>
      <w:tr w:rsidR="00877102" w:rsidRPr="000C1ABA" w14:paraId="1E197DDB" w14:textId="77777777" w:rsidTr="00FA7950">
        <w:trPr>
          <w:trHeight w:val="142"/>
        </w:trPr>
        <w:tc>
          <w:tcPr>
            <w:tcW w:w="10485" w:type="dxa"/>
            <w:gridSpan w:val="29"/>
            <w:shd w:val="clear" w:color="auto" w:fill="auto"/>
          </w:tcPr>
          <w:p w14:paraId="386853DF" w14:textId="77777777" w:rsidR="00877102" w:rsidRPr="00877102" w:rsidRDefault="00877102" w:rsidP="00877102"/>
          <w:p w14:paraId="156652D4" w14:textId="77777777" w:rsidR="00877102" w:rsidRPr="00877102" w:rsidRDefault="00877102" w:rsidP="00877102">
            <w:r w:rsidRPr="00877102">
              <w:lastRenderedPageBreak/>
              <w:t>Projekt ustawy nie będzie miał wpływu na rynek pracy.</w:t>
            </w:r>
          </w:p>
          <w:p w14:paraId="11845E11" w14:textId="77777777" w:rsidR="00877102" w:rsidRPr="00877102" w:rsidRDefault="00877102" w:rsidP="00877102"/>
        </w:tc>
      </w:tr>
      <w:tr w:rsidR="00877102" w:rsidRPr="000C1ABA" w14:paraId="754242AD" w14:textId="77777777" w:rsidTr="00FA7950">
        <w:trPr>
          <w:trHeight w:val="142"/>
        </w:trPr>
        <w:tc>
          <w:tcPr>
            <w:tcW w:w="10485" w:type="dxa"/>
            <w:gridSpan w:val="29"/>
            <w:shd w:val="clear" w:color="auto" w:fill="99CCFF"/>
          </w:tcPr>
          <w:p w14:paraId="52FDFF91" w14:textId="77777777" w:rsidR="00877102" w:rsidRPr="00877102" w:rsidRDefault="00877102" w:rsidP="00877102">
            <w:r w:rsidRPr="00877102">
              <w:lastRenderedPageBreak/>
              <w:t>Wpływ na pozostałe obszary</w:t>
            </w:r>
          </w:p>
        </w:tc>
      </w:tr>
      <w:tr w:rsidR="00877102" w:rsidRPr="000C1ABA" w14:paraId="3B594799" w14:textId="77777777" w:rsidTr="00FA7950">
        <w:trPr>
          <w:trHeight w:val="1031"/>
        </w:trPr>
        <w:tc>
          <w:tcPr>
            <w:tcW w:w="3547" w:type="dxa"/>
            <w:gridSpan w:val="5"/>
            <w:shd w:val="clear" w:color="auto" w:fill="FFFFFF"/>
          </w:tcPr>
          <w:p w14:paraId="0A04E15C" w14:textId="77777777" w:rsidR="00877102" w:rsidRPr="00877102" w:rsidRDefault="00877102" w:rsidP="00877102"/>
          <w:p w14:paraId="7846394C" w14:textId="77777777" w:rsidR="00877102" w:rsidRPr="00877102" w:rsidRDefault="00877102" w:rsidP="00877102">
            <w:r w:rsidRPr="00877102">
              <w:fldChar w:fldCharType="begin">
                <w:ffData>
                  <w:name w:val=""/>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środowisko naturalne</w:t>
            </w:r>
          </w:p>
          <w:p w14:paraId="3910FF43" w14:textId="77777777" w:rsidR="00877102" w:rsidRPr="00877102" w:rsidRDefault="00877102" w:rsidP="00877102">
            <w:r w:rsidRPr="00877102">
              <w:fldChar w:fldCharType="begin">
                <w:ffData>
                  <w:name w:val=""/>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sytuacja i rozwój regionalny</w:t>
            </w:r>
          </w:p>
          <w:p w14:paraId="5C1D817C"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inne: </w:t>
            </w:r>
            <w:r w:rsidRPr="00877102">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77102">
              <w:instrText xml:space="preserve"> FORMTEXT </w:instrText>
            </w:r>
            <w:r w:rsidRPr="00877102">
              <w:fldChar w:fldCharType="separate"/>
            </w:r>
            <w:r w:rsidRPr="00877102">
              <w:t> </w:t>
            </w:r>
            <w:r w:rsidRPr="00877102">
              <w:t> </w:t>
            </w:r>
            <w:r w:rsidRPr="00877102">
              <w:t> </w:t>
            </w:r>
            <w:r w:rsidRPr="00877102">
              <w:t> </w:t>
            </w:r>
            <w:r w:rsidRPr="00877102">
              <w:t> </w:t>
            </w:r>
            <w:r w:rsidRPr="00877102">
              <w:fldChar w:fldCharType="end"/>
            </w:r>
          </w:p>
        </w:tc>
        <w:tc>
          <w:tcPr>
            <w:tcW w:w="3687" w:type="dxa"/>
            <w:gridSpan w:val="15"/>
            <w:shd w:val="clear" w:color="auto" w:fill="FFFFFF"/>
          </w:tcPr>
          <w:p w14:paraId="72FD4B35" w14:textId="77777777" w:rsidR="00877102" w:rsidRPr="00877102" w:rsidRDefault="00877102" w:rsidP="00877102"/>
          <w:p w14:paraId="7A3B364C"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demografia</w:t>
            </w:r>
          </w:p>
          <w:p w14:paraId="4C9F002A" w14:textId="77777777" w:rsidR="00877102" w:rsidRPr="00877102" w:rsidRDefault="00877102" w:rsidP="00877102">
            <w:r w:rsidRPr="00877102">
              <w:fldChar w:fldCharType="begin">
                <w:ffData>
                  <w:name w:val=""/>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mienie państwowe</w:t>
            </w:r>
          </w:p>
        </w:tc>
        <w:tc>
          <w:tcPr>
            <w:tcW w:w="3251" w:type="dxa"/>
            <w:gridSpan w:val="9"/>
            <w:shd w:val="clear" w:color="auto" w:fill="FFFFFF"/>
          </w:tcPr>
          <w:p w14:paraId="0AD61D28" w14:textId="77777777" w:rsidR="00877102" w:rsidRPr="00877102" w:rsidRDefault="00877102" w:rsidP="00877102"/>
          <w:p w14:paraId="53294F76"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informatyzacja</w:t>
            </w:r>
          </w:p>
          <w:p w14:paraId="72DA4A17" w14:textId="77777777" w:rsidR="00877102" w:rsidRPr="00877102" w:rsidRDefault="00877102" w:rsidP="00877102">
            <w:r w:rsidRPr="00877102">
              <w:fldChar w:fldCharType="begin">
                <w:ffData>
                  <w:name w:val="Wybór1"/>
                  <w:enabled/>
                  <w:calcOnExit w:val="0"/>
                  <w:checkBox>
                    <w:sizeAuto/>
                    <w:default w:val="0"/>
                  </w:checkBox>
                </w:ffData>
              </w:fldChar>
            </w:r>
            <w:r w:rsidRPr="00877102">
              <w:instrText xml:space="preserve"> FORMCHECKBOX </w:instrText>
            </w:r>
            <w:r w:rsidR="008B7730">
              <w:fldChar w:fldCharType="separate"/>
            </w:r>
            <w:r w:rsidRPr="00877102">
              <w:fldChar w:fldCharType="end"/>
            </w:r>
            <w:r w:rsidRPr="00877102">
              <w:t xml:space="preserve"> zdrowie</w:t>
            </w:r>
          </w:p>
        </w:tc>
      </w:tr>
      <w:tr w:rsidR="00877102" w:rsidRPr="000C1ABA" w14:paraId="50D33B3F" w14:textId="77777777" w:rsidTr="00E67F42">
        <w:trPr>
          <w:trHeight w:val="712"/>
        </w:trPr>
        <w:tc>
          <w:tcPr>
            <w:tcW w:w="1696" w:type="dxa"/>
            <w:gridSpan w:val="2"/>
            <w:shd w:val="clear" w:color="auto" w:fill="FFFFFF"/>
            <w:vAlign w:val="center"/>
          </w:tcPr>
          <w:p w14:paraId="6B1C7A24" w14:textId="77777777" w:rsidR="00877102" w:rsidRPr="00877102" w:rsidRDefault="00877102" w:rsidP="00877102">
            <w:r w:rsidRPr="00877102">
              <w:t>Omówienie wpływu</w:t>
            </w:r>
          </w:p>
        </w:tc>
        <w:tc>
          <w:tcPr>
            <w:tcW w:w="8789" w:type="dxa"/>
            <w:gridSpan w:val="27"/>
            <w:shd w:val="clear" w:color="auto" w:fill="FFFFFF"/>
            <w:vAlign w:val="center"/>
          </w:tcPr>
          <w:p w14:paraId="3E86B4CF" w14:textId="77777777" w:rsidR="00877102" w:rsidRPr="00877102" w:rsidRDefault="00877102" w:rsidP="00877102"/>
        </w:tc>
      </w:tr>
      <w:tr w:rsidR="00877102" w:rsidRPr="000C1ABA" w14:paraId="2E0D8D19" w14:textId="77777777" w:rsidTr="00FA7950">
        <w:trPr>
          <w:trHeight w:val="142"/>
        </w:trPr>
        <w:tc>
          <w:tcPr>
            <w:tcW w:w="10485" w:type="dxa"/>
            <w:gridSpan w:val="29"/>
            <w:shd w:val="clear" w:color="auto" w:fill="99CCFF"/>
          </w:tcPr>
          <w:p w14:paraId="5294B5C1" w14:textId="77777777" w:rsidR="00877102" w:rsidRPr="00877102" w:rsidRDefault="00877102" w:rsidP="00877102">
            <w:r w:rsidRPr="00877102">
              <w:t>Planowane wykonanie przepisów aktu prawnego</w:t>
            </w:r>
          </w:p>
        </w:tc>
      </w:tr>
      <w:tr w:rsidR="00877102" w:rsidRPr="000C1ABA" w14:paraId="41AF917D" w14:textId="77777777" w:rsidTr="00FA7950">
        <w:trPr>
          <w:trHeight w:val="1079"/>
        </w:trPr>
        <w:tc>
          <w:tcPr>
            <w:tcW w:w="10485" w:type="dxa"/>
            <w:gridSpan w:val="29"/>
            <w:shd w:val="clear" w:color="auto" w:fill="FFFFFF"/>
          </w:tcPr>
          <w:p w14:paraId="31F49EE3" w14:textId="389AF11B" w:rsidR="009B491E" w:rsidRPr="009B491E" w:rsidRDefault="00877102" w:rsidP="009B491E">
            <w:r w:rsidRPr="00877102">
              <w:t>Po upływie 30 dni od dnia ogłoszenia</w:t>
            </w:r>
            <w:r w:rsidR="009B491E">
              <w:t>, z wyjątkiem przepisów dotyczących przeniesienia</w:t>
            </w:r>
            <w:r w:rsidR="009B491E" w:rsidRPr="009B491E">
              <w:t xml:space="preserve"> kompetencji Prezesa UKE do wydawania świadectw operatora urządzeń radiowych na inne organy</w:t>
            </w:r>
            <w:r w:rsidR="009B491E">
              <w:t>,</w:t>
            </w:r>
            <w:r w:rsidR="009B491E" w:rsidRPr="009B491E">
              <w:t xml:space="preserve"> </w:t>
            </w:r>
            <w:r w:rsidR="009B491E">
              <w:t>których</w:t>
            </w:r>
            <w:r w:rsidR="009B491E" w:rsidRPr="009B491E">
              <w:t xml:space="preserve"> </w:t>
            </w:r>
            <w:r w:rsidR="009B491E">
              <w:t>wykonanie nastąpi</w:t>
            </w:r>
            <w:r w:rsidR="009B491E" w:rsidRPr="009B491E">
              <w:t xml:space="preserve"> po upływie 2 lat od dnia ogłoszenia</w:t>
            </w:r>
            <w:r w:rsidR="009B491E">
              <w:t>.</w:t>
            </w:r>
          </w:p>
          <w:p w14:paraId="58EAC5B5" w14:textId="27E9B47B" w:rsidR="00877102" w:rsidRPr="00877102" w:rsidRDefault="00877102" w:rsidP="00877102"/>
        </w:tc>
      </w:tr>
      <w:tr w:rsidR="00877102" w:rsidRPr="000C1ABA" w14:paraId="02B0A42A" w14:textId="77777777" w:rsidTr="00FA7950">
        <w:trPr>
          <w:trHeight w:val="142"/>
        </w:trPr>
        <w:tc>
          <w:tcPr>
            <w:tcW w:w="10485" w:type="dxa"/>
            <w:gridSpan w:val="29"/>
            <w:shd w:val="clear" w:color="auto" w:fill="99CCFF"/>
          </w:tcPr>
          <w:p w14:paraId="076D2EFF" w14:textId="77777777" w:rsidR="00877102" w:rsidRPr="00877102" w:rsidRDefault="00877102" w:rsidP="00877102">
            <w:r w:rsidRPr="00877102">
              <w:t xml:space="preserve"> W jaki sposób i kiedy nastąpi  ewaluacja efektów projektu oraz jakie mierniki zostaną zastosowane?</w:t>
            </w:r>
          </w:p>
        </w:tc>
      </w:tr>
      <w:tr w:rsidR="00877102" w:rsidRPr="000C1ABA" w14:paraId="66B7061E" w14:textId="77777777" w:rsidTr="00FA7950">
        <w:trPr>
          <w:trHeight w:val="142"/>
        </w:trPr>
        <w:tc>
          <w:tcPr>
            <w:tcW w:w="10485" w:type="dxa"/>
            <w:gridSpan w:val="29"/>
            <w:shd w:val="clear" w:color="auto" w:fill="FFFFFF"/>
          </w:tcPr>
          <w:p w14:paraId="4D968339" w14:textId="77777777" w:rsidR="00877102" w:rsidRPr="00877102" w:rsidRDefault="00877102" w:rsidP="00877102">
            <w:r w:rsidRPr="00877102">
              <w:t>Zmiany odnoszące się do postępowań selekcyjnych będą wykorzystane podczas najbliższych postępowań i będą mogły zostać ocenione po ich zakończeniu (w tym m.in. po rozdysponowaniu częstotliwości z pasma 700 MHz).</w:t>
            </w:r>
          </w:p>
          <w:p w14:paraId="223502BE" w14:textId="77777777" w:rsidR="00877102" w:rsidRPr="00877102" w:rsidRDefault="00877102" w:rsidP="00877102">
            <w:r w:rsidRPr="00877102">
              <w:t xml:space="preserve">Zmiany związane ze zmianą przeznaczenia pasma 700 MHz, w tym m.in. modyfikacje dotyczące przyczyn dla których Prezes UKE może  zmienić udzielone rezerwacje, będą mogły zostać ocenione po jego zakończeniu. </w:t>
            </w:r>
          </w:p>
        </w:tc>
      </w:tr>
      <w:tr w:rsidR="00877102" w:rsidRPr="000C1ABA" w14:paraId="452E953C" w14:textId="77777777" w:rsidTr="00FA7950">
        <w:trPr>
          <w:trHeight w:val="142"/>
        </w:trPr>
        <w:tc>
          <w:tcPr>
            <w:tcW w:w="10485" w:type="dxa"/>
            <w:gridSpan w:val="29"/>
            <w:shd w:val="clear" w:color="auto" w:fill="99CCFF"/>
          </w:tcPr>
          <w:p w14:paraId="16729799" w14:textId="77777777" w:rsidR="00877102" w:rsidRPr="00877102" w:rsidRDefault="00877102" w:rsidP="00877102">
            <w:r w:rsidRPr="00877102">
              <w:t xml:space="preserve">Załączniki (istotne dokumenty źródłowe, badania, analizy itp.) </w:t>
            </w:r>
          </w:p>
        </w:tc>
      </w:tr>
      <w:tr w:rsidR="00877102" w:rsidRPr="000C1ABA" w14:paraId="0F8702EB" w14:textId="77777777" w:rsidTr="00FA7950">
        <w:trPr>
          <w:trHeight w:val="142"/>
        </w:trPr>
        <w:tc>
          <w:tcPr>
            <w:tcW w:w="10485" w:type="dxa"/>
            <w:gridSpan w:val="29"/>
            <w:shd w:val="clear" w:color="auto" w:fill="FFFFFF"/>
          </w:tcPr>
          <w:p w14:paraId="271FF1AB" w14:textId="77777777" w:rsidR="00877102" w:rsidRPr="00877102" w:rsidRDefault="00877102" w:rsidP="00877102">
            <w:r w:rsidRPr="00877102">
              <w:t>-</w:t>
            </w:r>
          </w:p>
        </w:tc>
      </w:tr>
    </w:tbl>
    <w:p w14:paraId="4987A406" w14:textId="77777777" w:rsidR="00261A16" w:rsidRPr="00737F6A" w:rsidRDefault="00261A16" w:rsidP="00737F6A"/>
    <w:sectPr w:rsidR="00261A16" w:rsidRPr="00737F6A" w:rsidSect="001A7F15">
      <w:headerReference w:type="default" r:id="rId11"/>
      <w:footnotePr>
        <w:numRestart w:val="eachSect"/>
      </w:footnotePr>
      <w:pgSz w:w="11906" w:h="16838"/>
      <w:pgMar w:top="1560" w:right="1434" w:bottom="1560" w:left="1418" w:header="709" w:footer="709" w:gutter="0"/>
      <w:cols w:space="708"/>
      <w:titlePg/>
      <w:docGrid w:linePitch="25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E9153A" w16cid:durableId="1F8E9209"/>
  <w16cid:commentId w16cid:paraId="0336A68E" w16cid:durableId="1F8E9276"/>
  <w16cid:commentId w16cid:paraId="58CDF260" w16cid:durableId="1F8E920A"/>
  <w16cid:commentId w16cid:paraId="6FBF326A" w16cid:durableId="1F8E928E"/>
  <w16cid:commentId w16cid:paraId="47B57B06" w16cid:durableId="1F8E92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A210A" w14:textId="77777777" w:rsidR="008B7730" w:rsidRDefault="008B7730">
      <w:r>
        <w:separator/>
      </w:r>
    </w:p>
  </w:endnote>
  <w:endnote w:type="continuationSeparator" w:id="0">
    <w:p w14:paraId="565351B3" w14:textId="77777777" w:rsidR="008B7730" w:rsidRDefault="008B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7C2EC" w14:textId="77777777" w:rsidR="008B7730" w:rsidRDefault="008B7730">
      <w:r>
        <w:separator/>
      </w:r>
    </w:p>
  </w:footnote>
  <w:footnote w:type="continuationSeparator" w:id="0">
    <w:p w14:paraId="407C40F9" w14:textId="77777777" w:rsidR="008B7730" w:rsidRDefault="008B7730">
      <w:r>
        <w:continuationSeparator/>
      </w:r>
    </w:p>
  </w:footnote>
  <w:footnote w:id="1">
    <w:p w14:paraId="2C7CB2D2" w14:textId="076AA5D4" w:rsidR="009D4478" w:rsidRDefault="009D4478" w:rsidP="001338A1">
      <w:pPr>
        <w:pStyle w:val="ODNONIKtreodnonika"/>
      </w:pPr>
      <w:r>
        <w:rPr>
          <w:rStyle w:val="Odwoanieprzypisudolnego"/>
        </w:rPr>
        <w:t>1)</w:t>
      </w:r>
      <w:r>
        <w:tab/>
        <w:t>Niniejsza ustawa dokonuje w zakresie swojej regulacji wdrożenia następujących dyrektyw Wspólnot Europejskich:</w:t>
      </w:r>
    </w:p>
    <w:p w14:paraId="1ACD1C16" w14:textId="6129B91D" w:rsidR="009D4478" w:rsidRPr="000549CE" w:rsidRDefault="009D4478" w:rsidP="000549CE">
      <w:pPr>
        <w:pStyle w:val="PKTODNONIKApunktodnonika"/>
      </w:pPr>
      <w:r>
        <w:t>1)</w:t>
      </w:r>
      <w:r>
        <w:tab/>
      </w:r>
      <w:r w:rsidRPr="000549CE">
        <w:t xml:space="preserve">dyrektywy 2002/20/WE z dnia 7 marca 2002 r. w sprawie zezwoleń na udostepnienie sieci i usługi łączności elektronicznej (Dz. Urz. WE L 108 z 24.04.2002); </w:t>
      </w:r>
    </w:p>
    <w:p w14:paraId="46E4EECA" w14:textId="60C8404B" w:rsidR="009D4478" w:rsidRDefault="009D4478" w:rsidP="001338A1">
      <w:pPr>
        <w:pStyle w:val="PKTODNONIKApunktodnonika"/>
      </w:pPr>
      <w:r>
        <w:t xml:space="preserve">2) </w:t>
      </w:r>
      <w:r w:rsidRPr="00683600">
        <w:t xml:space="preserve">dyrektywy 2002/21/WE </w:t>
      </w:r>
      <w:r>
        <w:t xml:space="preserve">z dnia 7 marca 2002 r. </w:t>
      </w:r>
      <w:r w:rsidRPr="00683600">
        <w:t>w sprawie wspólnych ram regulacyjnych sieci i usług łączności elektronicznej</w:t>
      </w:r>
      <w:r>
        <w:t xml:space="preserve"> (Dz. Urz. WE  </w:t>
      </w:r>
      <w:r w:rsidRPr="00DD4D24">
        <w:t>L</w:t>
      </w:r>
      <w:r>
        <w:t xml:space="preserve"> </w:t>
      </w:r>
      <w:r w:rsidRPr="002A5D92">
        <w:t>108 z 24.4.2002,</w:t>
      </w:r>
      <w:r>
        <w:t>);</w:t>
      </w:r>
    </w:p>
    <w:p w14:paraId="57A9A6AE" w14:textId="3CB93B19" w:rsidR="009D4478" w:rsidRDefault="009D4478" w:rsidP="001338A1">
      <w:pPr>
        <w:pStyle w:val="PKTODNONIKApunktodnonika"/>
      </w:pPr>
      <w:r>
        <w:t>3)</w:t>
      </w:r>
      <w:r>
        <w:tab/>
      </w:r>
      <w:r w:rsidRPr="00740EB9">
        <w:t xml:space="preserve">dyrektywy 2014/53/UE </w:t>
      </w:r>
      <w:r>
        <w:t xml:space="preserve">z dnia 16 kwietnia 2014 r. </w:t>
      </w:r>
      <w:r w:rsidRPr="00740EB9">
        <w:t>w sprawie harmonizacji ustawodawstw państw członkowskich dotyczących udostępniania na rynku urządzeń radiowych</w:t>
      </w:r>
      <w:r>
        <w:t xml:space="preserve"> (Dz. Urz. L 153/62 z 2.05.2014).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ABED1" w14:textId="77777777" w:rsidR="009D4478" w:rsidRPr="00B371CC" w:rsidRDefault="009D4478" w:rsidP="00B371CC">
    <w:pPr>
      <w:pStyle w:val="Nagwek"/>
      <w:jc w:val="center"/>
    </w:pPr>
    <w:r>
      <w:t xml:space="preserve">– </w:t>
    </w:r>
    <w:r>
      <w:fldChar w:fldCharType="begin"/>
    </w:r>
    <w:r>
      <w:instrText xml:space="preserve"> PAGE  \* MERGEFORMAT </w:instrText>
    </w:r>
    <w:r>
      <w:fldChar w:fldCharType="separate"/>
    </w:r>
    <w:r w:rsidR="00BC5F70">
      <w:rPr>
        <w:noProof/>
      </w:rPr>
      <w:t>20</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B659E"/>
    <w:multiLevelType w:val="hybridMultilevel"/>
    <w:tmpl w:val="6C904C20"/>
    <w:lvl w:ilvl="0" w:tplc="04150011">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87"/>
        </w:tabs>
        <w:ind w:left="1587" w:hanging="360"/>
      </w:pPr>
      <w:rPr>
        <w:rFonts w:cs="Times New Roman"/>
      </w:rPr>
    </w:lvl>
    <w:lvl w:ilvl="2" w:tplc="0415001B">
      <w:start w:val="1"/>
      <w:numFmt w:val="lowerRoman"/>
      <w:lvlText w:val="%3."/>
      <w:lvlJc w:val="right"/>
      <w:pPr>
        <w:tabs>
          <w:tab w:val="num" w:pos="2307"/>
        </w:tabs>
        <w:ind w:left="2307" w:hanging="180"/>
      </w:pPr>
      <w:rPr>
        <w:rFonts w:cs="Times New Roman"/>
      </w:rPr>
    </w:lvl>
    <w:lvl w:ilvl="3" w:tplc="0415000F">
      <w:start w:val="1"/>
      <w:numFmt w:val="decimal"/>
      <w:lvlText w:val="%4."/>
      <w:lvlJc w:val="left"/>
      <w:pPr>
        <w:tabs>
          <w:tab w:val="num" w:pos="3027"/>
        </w:tabs>
        <w:ind w:left="3027" w:hanging="360"/>
      </w:pPr>
      <w:rPr>
        <w:rFonts w:cs="Times New Roman"/>
      </w:rPr>
    </w:lvl>
    <w:lvl w:ilvl="4" w:tplc="04150019">
      <w:start w:val="1"/>
      <w:numFmt w:val="lowerLetter"/>
      <w:lvlText w:val="%5."/>
      <w:lvlJc w:val="left"/>
      <w:pPr>
        <w:tabs>
          <w:tab w:val="num" w:pos="3747"/>
        </w:tabs>
        <w:ind w:left="3747" w:hanging="360"/>
      </w:pPr>
      <w:rPr>
        <w:rFonts w:cs="Times New Roman"/>
      </w:rPr>
    </w:lvl>
    <w:lvl w:ilvl="5" w:tplc="0415001B">
      <w:start w:val="1"/>
      <w:numFmt w:val="lowerRoman"/>
      <w:lvlText w:val="%6."/>
      <w:lvlJc w:val="right"/>
      <w:pPr>
        <w:tabs>
          <w:tab w:val="num" w:pos="4467"/>
        </w:tabs>
        <w:ind w:left="4467" w:hanging="180"/>
      </w:pPr>
      <w:rPr>
        <w:rFonts w:cs="Times New Roman"/>
      </w:rPr>
    </w:lvl>
    <w:lvl w:ilvl="6" w:tplc="0415000F">
      <w:start w:val="1"/>
      <w:numFmt w:val="decimal"/>
      <w:lvlText w:val="%7."/>
      <w:lvlJc w:val="left"/>
      <w:pPr>
        <w:tabs>
          <w:tab w:val="num" w:pos="5187"/>
        </w:tabs>
        <w:ind w:left="5187" w:hanging="360"/>
      </w:pPr>
      <w:rPr>
        <w:rFonts w:cs="Times New Roman"/>
      </w:rPr>
    </w:lvl>
    <w:lvl w:ilvl="7" w:tplc="04150019">
      <w:start w:val="1"/>
      <w:numFmt w:val="lowerLetter"/>
      <w:lvlText w:val="%8."/>
      <w:lvlJc w:val="left"/>
      <w:pPr>
        <w:tabs>
          <w:tab w:val="num" w:pos="5907"/>
        </w:tabs>
        <w:ind w:left="5907" w:hanging="360"/>
      </w:pPr>
      <w:rPr>
        <w:rFonts w:cs="Times New Roman"/>
      </w:rPr>
    </w:lvl>
    <w:lvl w:ilvl="8" w:tplc="0415001B">
      <w:start w:val="1"/>
      <w:numFmt w:val="lowerRoman"/>
      <w:lvlText w:val="%9."/>
      <w:lvlJc w:val="right"/>
      <w:pPr>
        <w:tabs>
          <w:tab w:val="num" w:pos="6627"/>
        </w:tabs>
        <w:ind w:left="6627" w:hanging="180"/>
      </w:pPr>
      <w:rPr>
        <w:rFonts w:cs="Times New Roman"/>
      </w:rPr>
    </w:lvl>
  </w:abstractNum>
  <w:abstractNum w:abstractNumId="1">
    <w:nsid w:val="233E3744"/>
    <w:multiLevelType w:val="hybridMultilevel"/>
    <w:tmpl w:val="4448CB22"/>
    <w:lvl w:ilvl="0" w:tplc="8AB47B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73E3C1F"/>
    <w:multiLevelType w:val="hybridMultilevel"/>
    <w:tmpl w:val="41E6873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A404E61"/>
    <w:multiLevelType w:val="hybridMultilevel"/>
    <w:tmpl w:val="798C52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FB"/>
    <w:rsid w:val="000010A3"/>
    <w:rsid w:val="000012DA"/>
    <w:rsid w:val="0000246E"/>
    <w:rsid w:val="000037C0"/>
    <w:rsid w:val="00003862"/>
    <w:rsid w:val="00003A5D"/>
    <w:rsid w:val="00004F79"/>
    <w:rsid w:val="000050BF"/>
    <w:rsid w:val="0000526A"/>
    <w:rsid w:val="0000783B"/>
    <w:rsid w:val="00012657"/>
    <w:rsid w:val="00012A35"/>
    <w:rsid w:val="00013233"/>
    <w:rsid w:val="00014949"/>
    <w:rsid w:val="00016099"/>
    <w:rsid w:val="00017DC2"/>
    <w:rsid w:val="00020525"/>
    <w:rsid w:val="0002065F"/>
    <w:rsid w:val="00020ADD"/>
    <w:rsid w:val="00020EF2"/>
    <w:rsid w:val="00021522"/>
    <w:rsid w:val="00021841"/>
    <w:rsid w:val="00023471"/>
    <w:rsid w:val="00023F13"/>
    <w:rsid w:val="000251BE"/>
    <w:rsid w:val="00025CBF"/>
    <w:rsid w:val="00030634"/>
    <w:rsid w:val="00030F9E"/>
    <w:rsid w:val="000319C1"/>
    <w:rsid w:val="00031A8B"/>
    <w:rsid w:val="00031BCA"/>
    <w:rsid w:val="000330FA"/>
    <w:rsid w:val="0003362F"/>
    <w:rsid w:val="00035DB0"/>
    <w:rsid w:val="00036B63"/>
    <w:rsid w:val="00037E1A"/>
    <w:rsid w:val="00037F24"/>
    <w:rsid w:val="00042770"/>
    <w:rsid w:val="00043495"/>
    <w:rsid w:val="00043663"/>
    <w:rsid w:val="00043F63"/>
    <w:rsid w:val="00046A75"/>
    <w:rsid w:val="00046EF2"/>
    <w:rsid w:val="00047312"/>
    <w:rsid w:val="00047926"/>
    <w:rsid w:val="00047B10"/>
    <w:rsid w:val="000508BD"/>
    <w:rsid w:val="000517AB"/>
    <w:rsid w:val="0005339C"/>
    <w:rsid w:val="000549CE"/>
    <w:rsid w:val="0005571B"/>
    <w:rsid w:val="0005647B"/>
    <w:rsid w:val="00057456"/>
    <w:rsid w:val="00057AB3"/>
    <w:rsid w:val="00060076"/>
    <w:rsid w:val="000600B5"/>
    <w:rsid w:val="00060432"/>
    <w:rsid w:val="00060D87"/>
    <w:rsid w:val="000615A5"/>
    <w:rsid w:val="00064E4C"/>
    <w:rsid w:val="00066901"/>
    <w:rsid w:val="00066A1C"/>
    <w:rsid w:val="00071BEE"/>
    <w:rsid w:val="000720AD"/>
    <w:rsid w:val="000720B9"/>
    <w:rsid w:val="000729A1"/>
    <w:rsid w:val="000736CD"/>
    <w:rsid w:val="00073E1B"/>
    <w:rsid w:val="000744C4"/>
    <w:rsid w:val="0007533B"/>
    <w:rsid w:val="0007545D"/>
    <w:rsid w:val="000760BF"/>
    <w:rsid w:val="0007613E"/>
    <w:rsid w:val="00076934"/>
    <w:rsid w:val="00076BFC"/>
    <w:rsid w:val="00076FF9"/>
    <w:rsid w:val="000779B1"/>
    <w:rsid w:val="00080359"/>
    <w:rsid w:val="000814A7"/>
    <w:rsid w:val="000833FE"/>
    <w:rsid w:val="0008557B"/>
    <w:rsid w:val="00085CE7"/>
    <w:rsid w:val="00087217"/>
    <w:rsid w:val="000906EE"/>
    <w:rsid w:val="000913A7"/>
    <w:rsid w:val="00091BA2"/>
    <w:rsid w:val="0009378B"/>
    <w:rsid w:val="000944EF"/>
    <w:rsid w:val="000946CA"/>
    <w:rsid w:val="00094995"/>
    <w:rsid w:val="000959D8"/>
    <w:rsid w:val="0009732D"/>
    <w:rsid w:val="000973F0"/>
    <w:rsid w:val="00097B36"/>
    <w:rsid w:val="00097D21"/>
    <w:rsid w:val="000A1296"/>
    <w:rsid w:val="000A1C27"/>
    <w:rsid w:val="000A1DAD"/>
    <w:rsid w:val="000A2649"/>
    <w:rsid w:val="000A323B"/>
    <w:rsid w:val="000A7532"/>
    <w:rsid w:val="000B0737"/>
    <w:rsid w:val="000B0FD2"/>
    <w:rsid w:val="000B298D"/>
    <w:rsid w:val="000B313F"/>
    <w:rsid w:val="000B3B3A"/>
    <w:rsid w:val="000B58FC"/>
    <w:rsid w:val="000B5B2D"/>
    <w:rsid w:val="000B5DCE"/>
    <w:rsid w:val="000B64DF"/>
    <w:rsid w:val="000B69DF"/>
    <w:rsid w:val="000B6C6A"/>
    <w:rsid w:val="000B7728"/>
    <w:rsid w:val="000C05BA"/>
    <w:rsid w:val="000C0E8F"/>
    <w:rsid w:val="000C1ABA"/>
    <w:rsid w:val="000C27AE"/>
    <w:rsid w:val="000C38CA"/>
    <w:rsid w:val="000C3B54"/>
    <w:rsid w:val="000C4117"/>
    <w:rsid w:val="000C4BC4"/>
    <w:rsid w:val="000D0110"/>
    <w:rsid w:val="000D0DB7"/>
    <w:rsid w:val="000D0F74"/>
    <w:rsid w:val="000D1A39"/>
    <w:rsid w:val="000D2468"/>
    <w:rsid w:val="000D318A"/>
    <w:rsid w:val="000D31D8"/>
    <w:rsid w:val="000D39C6"/>
    <w:rsid w:val="000D6173"/>
    <w:rsid w:val="000D6F83"/>
    <w:rsid w:val="000E25CC"/>
    <w:rsid w:val="000E3694"/>
    <w:rsid w:val="000E490F"/>
    <w:rsid w:val="000E4BFF"/>
    <w:rsid w:val="000E6241"/>
    <w:rsid w:val="000F2BE3"/>
    <w:rsid w:val="000F333D"/>
    <w:rsid w:val="000F3D0D"/>
    <w:rsid w:val="000F515B"/>
    <w:rsid w:val="000F6ED4"/>
    <w:rsid w:val="000F7A6E"/>
    <w:rsid w:val="000F7B78"/>
    <w:rsid w:val="00100480"/>
    <w:rsid w:val="00100A7A"/>
    <w:rsid w:val="00100E87"/>
    <w:rsid w:val="001042BA"/>
    <w:rsid w:val="00105980"/>
    <w:rsid w:val="00106D03"/>
    <w:rsid w:val="001102AC"/>
    <w:rsid w:val="00110465"/>
    <w:rsid w:val="00110628"/>
    <w:rsid w:val="00111737"/>
    <w:rsid w:val="00111E74"/>
    <w:rsid w:val="00112058"/>
    <w:rsid w:val="0011245A"/>
    <w:rsid w:val="00113DFE"/>
    <w:rsid w:val="0011493E"/>
    <w:rsid w:val="00115B72"/>
    <w:rsid w:val="001166B3"/>
    <w:rsid w:val="001209EC"/>
    <w:rsid w:val="00120A9E"/>
    <w:rsid w:val="00120C18"/>
    <w:rsid w:val="0012160D"/>
    <w:rsid w:val="001255C3"/>
    <w:rsid w:val="00125A9C"/>
    <w:rsid w:val="001270A2"/>
    <w:rsid w:val="00131237"/>
    <w:rsid w:val="0013139D"/>
    <w:rsid w:val="001329AC"/>
    <w:rsid w:val="0013317A"/>
    <w:rsid w:val="001338A1"/>
    <w:rsid w:val="0013486F"/>
    <w:rsid w:val="00134CA0"/>
    <w:rsid w:val="0014026F"/>
    <w:rsid w:val="001410B3"/>
    <w:rsid w:val="00142409"/>
    <w:rsid w:val="0014427A"/>
    <w:rsid w:val="00144522"/>
    <w:rsid w:val="00147A47"/>
    <w:rsid w:val="00147AA1"/>
    <w:rsid w:val="001513CC"/>
    <w:rsid w:val="00151BFF"/>
    <w:rsid w:val="0015207D"/>
    <w:rsid w:val="001520CF"/>
    <w:rsid w:val="001534EF"/>
    <w:rsid w:val="00156371"/>
    <w:rsid w:val="0015667C"/>
    <w:rsid w:val="00157110"/>
    <w:rsid w:val="0015742A"/>
    <w:rsid w:val="00157873"/>
    <w:rsid w:val="00157DA1"/>
    <w:rsid w:val="00160816"/>
    <w:rsid w:val="00163147"/>
    <w:rsid w:val="001642E9"/>
    <w:rsid w:val="00164C57"/>
    <w:rsid w:val="00164C9D"/>
    <w:rsid w:val="0016587F"/>
    <w:rsid w:val="00165E68"/>
    <w:rsid w:val="001674F6"/>
    <w:rsid w:val="00170F55"/>
    <w:rsid w:val="00172F7A"/>
    <w:rsid w:val="00173150"/>
    <w:rsid w:val="00173390"/>
    <w:rsid w:val="001736F0"/>
    <w:rsid w:val="00173BB3"/>
    <w:rsid w:val="001740D0"/>
    <w:rsid w:val="001743F0"/>
    <w:rsid w:val="00174F2C"/>
    <w:rsid w:val="00175500"/>
    <w:rsid w:val="00176220"/>
    <w:rsid w:val="001806EF"/>
    <w:rsid w:val="001808AF"/>
    <w:rsid w:val="00180BB7"/>
    <w:rsid w:val="00180F2A"/>
    <w:rsid w:val="0018253B"/>
    <w:rsid w:val="00184B91"/>
    <w:rsid w:val="00184D4A"/>
    <w:rsid w:val="00185245"/>
    <w:rsid w:val="00185DA4"/>
    <w:rsid w:val="00186EC1"/>
    <w:rsid w:val="00191B35"/>
    <w:rsid w:val="00191E1F"/>
    <w:rsid w:val="0019473B"/>
    <w:rsid w:val="001948B1"/>
    <w:rsid w:val="001952B1"/>
    <w:rsid w:val="00196E39"/>
    <w:rsid w:val="00197649"/>
    <w:rsid w:val="001A01FB"/>
    <w:rsid w:val="001A10E9"/>
    <w:rsid w:val="001A183D"/>
    <w:rsid w:val="001A2986"/>
    <w:rsid w:val="001A2B65"/>
    <w:rsid w:val="001A3CD3"/>
    <w:rsid w:val="001A3D5E"/>
    <w:rsid w:val="001A4783"/>
    <w:rsid w:val="001A5BEF"/>
    <w:rsid w:val="001A7F15"/>
    <w:rsid w:val="001B342E"/>
    <w:rsid w:val="001B49C3"/>
    <w:rsid w:val="001B5112"/>
    <w:rsid w:val="001B776B"/>
    <w:rsid w:val="001C0559"/>
    <w:rsid w:val="001C1832"/>
    <w:rsid w:val="001C188C"/>
    <w:rsid w:val="001C33E6"/>
    <w:rsid w:val="001C669A"/>
    <w:rsid w:val="001C7E90"/>
    <w:rsid w:val="001D1783"/>
    <w:rsid w:val="001D228E"/>
    <w:rsid w:val="001D2968"/>
    <w:rsid w:val="001D3A94"/>
    <w:rsid w:val="001D3DC4"/>
    <w:rsid w:val="001D53CD"/>
    <w:rsid w:val="001D55A3"/>
    <w:rsid w:val="001D5AF5"/>
    <w:rsid w:val="001D5B6D"/>
    <w:rsid w:val="001E1E73"/>
    <w:rsid w:val="001E4029"/>
    <w:rsid w:val="001E4E0C"/>
    <w:rsid w:val="001E526D"/>
    <w:rsid w:val="001E5655"/>
    <w:rsid w:val="001E742D"/>
    <w:rsid w:val="001F017C"/>
    <w:rsid w:val="001F1832"/>
    <w:rsid w:val="001F220F"/>
    <w:rsid w:val="001F25B3"/>
    <w:rsid w:val="001F2F9C"/>
    <w:rsid w:val="001F577E"/>
    <w:rsid w:val="001F6616"/>
    <w:rsid w:val="002023FC"/>
    <w:rsid w:val="00202BD4"/>
    <w:rsid w:val="00203DA4"/>
    <w:rsid w:val="0020408C"/>
    <w:rsid w:val="00204A97"/>
    <w:rsid w:val="00205039"/>
    <w:rsid w:val="002114EF"/>
    <w:rsid w:val="002123C4"/>
    <w:rsid w:val="002166AD"/>
    <w:rsid w:val="00217871"/>
    <w:rsid w:val="00220001"/>
    <w:rsid w:val="00221ED8"/>
    <w:rsid w:val="002231EA"/>
    <w:rsid w:val="00223FDF"/>
    <w:rsid w:val="00224335"/>
    <w:rsid w:val="002273FA"/>
    <w:rsid w:val="002279C0"/>
    <w:rsid w:val="00232D32"/>
    <w:rsid w:val="002367EA"/>
    <w:rsid w:val="0023727E"/>
    <w:rsid w:val="00242081"/>
    <w:rsid w:val="00242CBA"/>
    <w:rsid w:val="00243777"/>
    <w:rsid w:val="0024386D"/>
    <w:rsid w:val="002441CD"/>
    <w:rsid w:val="002501A3"/>
    <w:rsid w:val="002514AF"/>
    <w:rsid w:val="0025166C"/>
    <w:rsid w:val="002523C1"/>
    <w:rsid w:val="00252932"/>
    <w:rsid w:val="002555D4"/>
    <w:rsid w:val="002600EA"/>
    <w:rsid w:val="00261860"/>
    <w:rsid w:val="00261A16"/>
    <w:rsid w:val="00261F23"/>
    <w:rsid w:val="002630D8"/>
    <w:rsid w:val="00263522"/>
    <w:rsid w:val="002641A0"/>
    <w:rsid w:val="00264EC6"/>
    <w:rsid w:val="00267CE0"/>
    <w:rsid w:val="00271013"/>
    <w:rsid w:val="0027108A"/>
    <w:rsid w:val="00271699"/>
    <w:rsid w:val="00271A46"/>
    <w:rsid w:val="00273FE4"/>
    <w:rsid w:val="002765B4"/>
    <w:rsid w:val="00276A94"/>
    <w:rsid w:val="00276C02"/>
    <w:rsid w:val="002831F6"/>
    <w:rsid w:val="00283A7E"/>
    <w:rsid w:val="00283EEE"/>
    <w:rsid w:val="002847D1"/>
    <w:rsid w:val="00287643"/>
    <w:rsid w:val="002904F7"/>
    <w:rsid w:val="0029405D"/>
    <w:rsid w:val="002942A3"/>
    <w:rsid w:val="002945A1"/>
    <w:rsid w:val="00294FA6"/>
    <w:rsid w:val="00294FAF"/>
    <w:rsid w:val="00295A6F"/>
    <w:rsid w:val="0029796E"/>
    <w:rsid w:val="002A09B9"/>
    <w:rsid w:val="002A20C4"/>
    <w:rsid w:val="002A570F"/>
    <w:rsid w:val="002A5D92"/>
    <w:rsid w:val="002A679E"/>
    <w:rsid w:val="002A7292"/>
    <w:rsid w:val="002A7358"/>
    <w:rsid w:val="002A7902"/>
    <w:rsid w:val="002B0F6B"/>
    <w:rsid w:val="002B23B8"/>
    <w:rsid w:val="002B4429"/>
    <w:rsid w:val="002B66A0"/>
    <w:rsid w:val="002B68A6"/>
    <w:rsid w:val="002B751B"/>
    <w:rsid w:val="002B7FAF"/>
    <w:rsid w:val="002C7CC3"/>
    <w:rsid w:val="002D0AEF"/>
    <w:rsid w:val="002D0C4F"/>
    <w:rsid w:val="002D1364"/>
    <w:rsid w:val="002D48FD"/>
    <w:rsid w:val="002D494B"/>
    <w:rsid w:val="002D4D30"/>
    <w:rsid w:val="002D4FE7"/>
    <w:rsid w:val="002D5000"/>
    <w:rsid w:val="002D598D"/>
    <w:rsid w:val="002D6459"/>
    <w:rsid w:val="002D68DB"/>
    <w:rsid w:val="002D7188"/>
    <w:rsid w:val="002E1DE3"/>
    <w:rsid w:val="002E2AB6"/>
    <w:rsid w:val="002E30E5"/>
    <w:rsid w:val="002E3F34"/>
    <w:rsid w:val="002E5B29"/>
    <w:rsid w:val="002E5F79"/>
    <w:rsid w:val="002E64FA"/>
    <w:rsid w:val="002F0A00"/>
    <w:rsid w:val="002F0CFA"/>
    <w:rsid w:val="002F2C38"/>
    <w:rsid w:val="002F525F"/>
    <w:rsid w:val="002F669F"/>
    <w:rsid w:val="002F7A06"/>
    <w:rsid w:val="00301C97"/>
    <w:rsid w:val="00304230"/>
    <w:rsid w:val="0031004C"/>
    <w:rsid w:val="003105F6"/>
    <w:rsid w:val="00310AAA"/>
    <w:rsid w:val="00311297"/>
    <w:rsid w:val="003113BE"/>
    <w:rsid w:val="003122CA"/>
    <w:rsid w:val="003130C7"/>
    <w:rsid w:val="003148FD"/>
    <w:rsid w:val="00314DA2"/>
    <w:rsid w:val="00314FBA"/>
    <w:rsid w:val="00320324"/>
    <w:rsid w:val="00321080"/>
    <w:rsid w:val="003228D9"/>
    <w:rsid w:val="00322A20"/>
    <w:rsid w:val="00322D45"/>
    <w:rsid w:val="0032569A"/>
    <w:rsid w:val="00325A1F"/>
    <w:rsid w:val="003268F9"/>
    <w:rsid w:val="00330826"/>
    <w:rsid w:val="00330BAF"/>
    <w:rsid w:val="003344F5"/>
    <w:rsid w:val="00334E3A"/>
    <w:rsid w:val="00335B8E"/>
    <w:rsid w:val="003361DD"/>
    <w:rsid w:val="00337DBE"/>
    <w:rsid w:val="00340903"/>
    <w:rsid w:val="00340C67"/>
    <w:rsid w:val="00341A6A"/>
    <w:rsid w:val="003448B9"/>
    <w:rsid w:val="00345507"/>
    <w:rsid w:val="00345B9C"/>
    <w:rsid w:val="003471DB"/>
    <w:rsid w:val="00350FD3"/>
    <w:rsid w:val="00351736"/>
    <w:rsid w:val="00352387"/>
    <w:rsid w:val="00352DAE"/>
    <w:rsid w:val="00353C02"/>
    <w:rsid w:val="00353F90"/>
    <w:rsid w:val="00354EB9"/>
    <w:rsid w:val="003602AE"/>
    <w:rsid w:val="00360929"/>
    <w:rsid w:val="00360CC0"/>
    <w:rsid w:val="003612A9"/>
    <w:rsid w:val="00361EFB"/>
    <w:rsid w:val="003643A7"/>
    <w:rsid w:val="003647D5"/>
    <w:rsid w:val="003674B0"/>
    <w:rsid w:val="00370956"/>
    <w:rsid w:val="0037238C"/>
    <w:rsid w:val="0037522F"/>
    <w:rsid w:val="0037727C"/>
    <w:rsid w:val="00377E70"/>
    <w:rsid w:val="00380904"/>
    <w:rsid w:val="00380E37"/>
    <w:rsid w:val="003823EE"/>
    <w:rsid w:val="00382960"/>
    <w:rsid w:val="00382B1E"/>
    <w:rsid w:val="003838AA"/>
    <w:rsid w:val="003842DC"/>
    <w:rsid w:val="003846F7"/>
    <w:rsid w:val="003851E4"/>
    <w:rsid w:val="003851ED"/>
    <w:rsid w:val="00385B39"/>
    <w:rsid w:val="00386785"/>
    <w:rsid w:val="003905BA"/>
    <w:rsid w:val="00390E89"/>
    <w:rsid w:val="00391880"/>
    <w:rsid w:val="00391B1A"/>
    <w:rsid w:val="00391DA2"/>
    <w:rsid w:val="003938A4"/>
    <w:rsid w:val="00394423"/>
    <w:rsid w:val="0039478F"/>
    <w:rsid w:val="00396942"/>
    <w:rsid w:val="00396B49"/>
    <w:rsid w:val="00396E3E"/>
    <w:rsid w:val="003A306E"/>
    <w:rsid w:val="003A3358"/>
    <w:rsid w:val="003A4C7B"/>
    <w:rsid w:val="003A60DC"/>
    <w:rsid w:val="003A6A46"/>
    <w:rsid w:val="003A6B19"/>
    <w:rsid w:val="003A7A63"/>
    <w:rsid w:val="003B000C"/>
    <w:rsid w:val="003B0F1D"/>
    <w:rsid w:val="003B2F17"/>
    <w:rsid w:val="003B2FF3"/>
    <w:rsid w:val="003B4562"/>
    <w:rsid w:val="003B4A57"/>
    <w:rsid w:val="003C0AD9"/>
    <w:rsid w:val="003C0ED0"/>
    <w:rsid w:val="003C1D49"/>
    <w:rsid w:val="003C33A8"/>
    <w:rsid w:val="003C35C4"/>
    <w:rsid w:val="003D0659"/>
    <w:rsid w:val="003D12C2"/>
    <w:rsid w:val="003D306A"/>
    <w:rsid w:val="003D31B9"/>
    <w:rsid w:val="003D3867"/>
    <w:rsid w:val="003D3AA7"/>
    <w:rsid w:val="003D56C6"/>
    <w:rsid w:val="003E0D1A"/>
    <w:rsid w:val="003E13F2"/>
    <w:rsid w:val="003E2458"/>
    <w:rsid w:val="003E2DA3"/>
    <w:rsid w:val="003E5B0B"/>
    <w:rsid w:val="003F020D"/>
    <w:rsid w:val="003F03D9"/>
    <w:rsid w:val="003F22E0"/>
    <w:rsid w:val="003F25D4"/>
    <w:rsid w:val="003F2FBE"/>
    <w:rsid w:val="003F318D"/>
    <w:rsid w:val="003F3F74"/>
    <w:rsid w:val="003F5BAE"/>
    <w:rsid w:val="003F6177"/>
    <w:rsid w:val="003F650A"/>
    <w:rsid w:val="003F6ED7"/>
    <w:rsid w:val="00401128"/>
    <w:rsid w:val="00401B47"/>
    <w:rsid w:val="00401C84"/>
    <w:rsid w:val="00403210"/>
    <w:rsid w:val="004035BB"/>
    <w:rsid w:val="004035EB"/>
    <w:rsid w:val="00407332"/>
    <w:rsid w:val="00407828"/>
    <w:rsid w:val="00411231"/>
    <w:rsid w:val="00411549"/>
    <w:rsid w:val="004133E9"/>
    <w:rsid w:val="00413D8E"/>
    <w:rsid w:val="004140F2"/>
    <w:rsid w:val="004160F7"/>
    <w:rsid w:val="00417B22"/>
    <w:rsid w:val="00421085"/>
    <w:rsid w:val="00421E1C"/>
    <w:rsid w:val="0042465E"/>
    <w:rsid w:val="00424DF7"/>
    <w:rsid w:val="00425DE6"/>
    <w:rsid w:val="00426598"/>
    <w:rsid w:val="00426DDF"/>
    <w:rsid w:val="00430264"/>
    <w:rsid w:val="00432B76"/>
    <w:rsid w:val="00433977"/>
    <w:rsid w:val="00434D01"/>
    <w:rsid w:val="00435D26"/>
    <w:rsid w:val="00440375"/>
    <w:rsid w:val="0044083C"/>
    <w:rsid w:val="00440C99"/>
    <w:rsid w:val="0044175C"/>
    <w:rsid w:val="00444376"/>
    <w:rsid w:val="00444E0A"/>
    <w:rsid w:val="004450DD"/>
    <w:rsid w:val="00445F4D"/>
    <w:rsid w:val="00447B4E"/>
    <w:rsid w:val="004504C0"/>
    <w:rsid w:val="00452608"/>
    <w:rsid w:val="00454FD4"/>
    <w:rsid w:val="004550FB"/>
    <w:rsid w:val="004559A1"/>
    <w:rsid w:val="0045711F"/>
    <w:rsid w:val="0046111A"/>
    <w:rsid w:val="00462946"/>
    <w:rsid w:val="00463B05"/>
    <w:rsid w:val="00463F43"/>
    <w:rsid w:val="00464B94"/>
    <w:rsid w:val="004653A8"/>
    <w:rsid w:val="00465A0B"/>
    <w:rsid w:val="00466127"/>
    <w:rsid w:val="00467860"/>
    <w:rsid w:val="0047077C"/>
    <w:rsid w:val="00470B05"/>
    <w:rsid w:val="0047207C"/>
    <w:rsid w:val="00472CD6"/>
    <w:rsid w:val="00474E3C"/>
    <w:rsid w:val="004801F4"/>
    <w:rsid w:val="00480A58"/>
    <w:rsid w:val="00482151"/>
    <w:rsid w:val="00483AF1"/>
    <w:rsid w:val="004844BD"/>
    <w:rsid w:val="004844D3"/>
    <w:rsid w:val="00485466"/>
    <w:rsid w:val="00485FAD"/>
    <w:rsid w:val="00487AED"/>
    <w:rsid w:val="00490F49"/>
    <w:rsid w:val="00491EDF"/>
    <w:rsid w:val="00492A3F"/>
    <w:rsid w:val="00494F62"/>
    <w:rsid w:val="00495D02"/>
    <w:rsid w:val="004A2001"/>
    <w:rsid w:val="004A3590"/>
    <w:rsid w:val="004A3A47"/>
    <w:rsid w:val="004A4BA8"/>
    <w:rsid w:val="004A5B72"/>
    <w:rsid w:val="004A7D40"/>
    <w:rsid w:val="004B00A7"/>
    <w:rsid w:val="004B25E2"/>
    <w:rsid w:val="004B2E32"/>
    <w:rsid w:val="004B34D7"/>
    <w:rsid w:val="004B5037"/>
    <w:rsid w:val="004B595F"/>
    <w:rsid w:val="004B5B2F"/>
    <w:rsid w:val="004B626A"/>
    <w:rsid w:val="004B660E"/>
    <w:rsid w:val="004B6AAE"/>
    <w:rsid w:val="004C05BD"/>
    <w:rsid w:val="004C1155"/>
    <w:rsid w:val="004C1A68"/>
    <w:rsid w:val="004C3B06"/>
    <w:rsid w:val="004C3F97"/>
    <w:rsid w:val="004C491C"/>
    <w:rsid w:val="004C4C78"/>
    <w:rsid w:val="004C5FA6"/>
    <w:rsid w:val="004C79C1"/>
    <w:rsid w:val="004C7EE7"/>
    <w:rsid w:val="004D0C68"/>
    <w:rsid w:val="004D2DEE"/>
    <w:rsid w:val="004D2E1F"/>
    <w:rsid w:val="004D517A"/>
    <w:rsid w:val="004D68D0"/>
    <w:rsid w:val="004D7091"/>
    <w:rsid w:val="004D7FD9"/>
    <w:rsid w:val="004E1324"/>
    <w:rsid w:val="004E19A5"/>
    <w:rsid w:val="004E228D"/>
    <w:rsid w:val="004E37E5"/>
    <w:rsid w:val="004E3FDB"/>
    <w:rsid w:val="004F178B"/>
    <w:rsid w:val="004F1F4A"/>
    <w:rsid w:val="004F24C8"/>
    <w:rsid w:val="004F296D"/>
    <w:rsid w:val="004F3020"/>
    <w:rsid w:val="004F379C"/>
    <w:rsid w:val="004F3C4F"/>
    <w:rsid w:val="004F508B"/>
    <w:rsid w:val="004F6762"/>
    <w:rsid w:val="004F695F"/>
    <w:rsid w:val="004F6CA4"/>
    <w:rsid w:val="004F6EF6"/>
    <w:rsid w:val="00500752"/>
    <w:rsid w:val="00501A50"/>
    <w:rsid w:val="0050222D"/>
    <w:rsid w:val="00503AF3"/>
    <w:rsid w:val="00504343"/>
    <w:rsid w:val="0050680C"/>
    <w:rsid w:val="0050696D"/>
    <w:rsid w:val="0051094B"/>
    <w:rsid w:val="00510A53"/>
    <w:rsid w:val="005110D7"/>
    <w:rsid w:val="00511D99"/>
    <w:rsid w:val="005128D3"/>
    <w:rsid w:val="005147E8"/>
    <w:rsid w:val="00515529"/>
    <w:rsid w:val="005158F2"/>
    <w:rsid w:val="00520A49"/>
    <w:rsid w:val="00521710"/>
    <w:rsid w:val="0052425C"/>
    <w:rsid w:val="00525EA2"/>
    <w:rsid w:val="00526A58"/>
    <w:rsid w:val="00526DFC"/>
    <w:rsid w:val="00526F43"/>
    <w:rsid w:val="00527651"/>
    <w:rsid w:val="00532C5E"/>
    <w:rsid w:val="00535ECD"/>
    <w:rsid w:val="005363AB"/>
    <w:rsid w:val="0054100A"/>
    <w:rsid w:val="00542B99"/>
    <w:rsid w:val="00543F86"/>
    <w:rsid w:val="00544EF4"/>
    <w:rsid w:val="00545E53"/>
    <w:rsid w:val="00546E4E"/>
    <w:rsid w:val="005470C1"/>
    <w:rsid w:val="005479D9"/>
    <w:rsid w:val="005526AD"/>
    <w:rsid w:val="00554ECE"/>
    <w:rsid w:val="005571A8"/>
    <w:rsid w:val="005572BD"/>
    <w:rsid w:val="00557A12"/>
    <w:rsid w:val="00560AC7"/>
    <w:rsid w:val="00561AFB"/>
    <w:rsid w:val="00561FA8"/>
    <w:rsid w:val="00563130"/>
    <w:rsid w:val="005635ED"/>
    <w:rsid w:val="00565253"/>
    <w:rsid w:val="0056743E"/>
    <w:rsid w:val="00570191"/>
    <w:rsid w:val="00570570"/>
    <w:rsid w:val="00570872"/>
    <w:rsid w:val="00571CBF"/>
    <w:rsid w:val="00572512"/>
    <w:rsid w:val="00573EE6"/>
    <w:rsid w:val="0057547F"/>
    <w:rsid w:val="005754EE"/>
    <w:rsid w:val="005755D0"/>
    <w:rsid w:val="00575C58"/>
    <w:rsid w:val="0057617E"/>
    <w:rsid w:val="00576497"/>
    <w:rsid w:val="00580D5A"/>
    <w:rsid w:val="00581029"/>
    <w:rsid w:val="005835E7"/>
    <w:rsid w:val="0058397F"/>
    <w:rsid w:val="00583BF8"/>
    <w:rsid w:val="00584A67"/>
    <w:rsid w:val="00585027"/>
    <w:rsid w:val="00585F33"/>
    <w:rsid w:val="005871D6"/>
    <w:rsid w:val="005903F5"/>
    <w:rsid w:val="00591124"/>
    <w:rsid w:val="00591DDA"/>
    <w:rsid w:val="005959EE"/>
    <w:rsid w:val="00595EF6"/>
    <w:rsid w:val="00597024"/>
    <w:rsid w:val="005A0274"/>
    <w:rsid w:val="005A095C"/>
    <w:rsid w:val="005A1196"/>
    <w:rsid w:val="005A202C"/>
    <w:rsid w:val="005A669D"/>
    <w:rsid w:val="005A75D8"/>
    <w:rsid w:val="005B0278"/>
    <w:rsid w:val="005B1B05"/>
    <w:rsid w:val="005B24DC"/>
    <w:rsid w:val="005B713E"/>
    <w:rsid w:val="005B7B39"/>
    <w:rsid w:val="005B7D45"/>
    <w:rsid w:val="005C03B6"/>
    <w:rsid w:val="005C2824"/>
    <w:rsid w:val="005C348E"/>
    <w:rsid w:val="005C3E00"/>
    <w:rsid w:val="005C68E1"/>
    <w:rsid w:val="005C6B59"/>
    <w:rsid w:val="005C79BA"/>
    <w:rsid w:val="005D050B"/>
    <w:rsid w:val="005D0AD4"/>
    <w:rsid w:val="005D3763"/>
    <w:rsid w:val="005D3BC7"/>
    <w:rsid w:val="005D55E1"/>
    <w:rsid w:val="005E081F"/>
    <w:rsid w:val="005E0CD6"/>
    <w:rsid w:val="005E19F7"/>
    <w:rsid w:val="005E4174"/>
    <w:rsid w:val="005E4F04"/>
    <w:rsid w:val="005E62C2"/>
    <w:rsid w:val="005E6C71"/>
    <w:rsid w:val="005E7DF8"/>
    <w:rsid w:val="005F0828"/>
    <w:rsid w:val="005F0963"/>
    <w:rsid w:val="005F2824"/>
    <w:rsid w:val="005F2EBA"/>
    <w:rsid w:val="005F35ED"/>
    <w:rsid w:val="005F3E8C"/>
    <w:rsid w:val="005F3F49"/>
    <w:rsid w:val="005F7812"/>
    <w:rsid w:val="005F7A88"/>
    <w:rsid w:val="00603A1A"/>
    <w:rsid w:val="006046D5"/>
    <w:rsid w:val="00607A93"/>
    <w:rsid w:val="00607ECC"/>
    <w:rsid w:val="00610C08"/>
    <w:rsid w:val="00610CC5"/>
    <w:rsid w:val="00611F74"/>
    <w:rsid w:val="006139B5"/>
    <w:rsid w:val="006142AA"/>
    <w:rsid w:val="006144F6"/>
    <w:rsid w:val="00615772"/>
    <w:rsid w:val="0061627D"/>
    <w:rsid w:val="006174C8"/>
    <w:rsid w:val="006175F2"/>
    <w:rsid w:val="00621256"/>
    <w:rsid w:val="00621FCC"/>
    <w:rsid w:val="00622E4B"/>
    <w:rsid w:val="00624229"/>
    <w:rsid w:val="00627910"/>
    <w:rsid w:val="00627F51"/>
    <w:rsid w:val="006326A6"/>
    <w:rsid w:val="0063302B"/>
    <w:rsid w:val="006333DA"/>
    <w:rsid w:val="00635134"/>
    <w:rsid w:val="006356E2"/>
    <w:rsid w:val="00635906"/>
    <w:rsid w:val="00641901"/>
    <w:rsid w:val="00642A65"/>
    <w:rsid w:val="00645DCE"/>
    <w:rsid w:val="006465AC"/>
    <w:rsid w:val="006465BF"/>
    <w:rsid w:val="00650013"/>
    <w:rsid w:val="006502A5"/>
    <w:rsid w:val="00653B22"/>
    <w:rsid w:val="006541F7"/>
    <w:rsid w:val="0065506E"/>
    <w:rsid w:val="00655D23"/>
    <w:rsid w:val="00655FC6"/>
    <w:rsid w:val="00657BF4"/>
    <w:rsid w:val="00660249"/>
    <w:rsid w:val="006603FB"/>
    <w:rsid w:val="006608DF"/>
    <w:rsid w:val="0066152E"/>
    <w:rsid w:val="00661DFE"/>
    <w:rsid w:val="00661F29"/>
    <w:rsid w:val="006623AC"/>
    <w:rsid w:val="00662EAE"/>
    <w:rsid w:val="0066392B"/>
    <w:rsid w:val="006678AF"/>
    <w:rsid w:val="00667BEF"/>
    <w:rsid w:val="006701EF"/>
    <w:rsid w:val="00670F15"/>
    <w:rsid w:val="00670FFB"/>
    <w:rsid w:val="006722D2"/>
    <w:rsid w:val="00673BA5"/>
    <w:rsid w:val="00675CD1"/>
    <w:rsid w:val="00680058"/>
    <w:rsid w:val="00680347"/>
    <w:rsid w:val="0068167C"/>
    <w:rsid w:val="00681F9F"/>
    <w:rsid w:val="006828F3"/>
    <w:rsid w:val="00683600"/>
    <w:rsid w:val="006838BC"/>
    <w:rsid w:val="006840EA"/>
    <w:rsid w:val="006844E2"/>
    <w:rsid w:val="00684565"/>
    <w:rsid w:val="00684CF3"/>
    <w:rsid w:val="00685267"/>
    <w:rsid w:val="00685515"/>
    <w:rsid w:val="00685971"/>
    <w:rsid w:val="00685AB7"/>
    <w:rsid w:val="00685BC1"/>
    <w:rsid w:val="00686602"/>
    <w:rsid w:val="006872AE"/>
    <w:rsid w:val="00690082"/>
    <w:rsid w:val="00690252"/>
    <w:rsid w:val="006924E0"/>
    <w:rsid w:val="006946BB"/>
    <w:rsid w:val="006969FA"/>
    <w:rsid w:val="00696F8A"/>
    <w:rsid w:val="00697F34"/>
    <w:rsid w:val="006A0462"/>
    <w:rsid w:val="006A0A95"/>
    <w:rsid w:val="006A35D5"/>
    <w:rsid w:val="006A6176"/>
    <w:rsid w:val="006A748A"/>
    <w:rsid w:val="006A7D14"/>
    <w:rsid w:val="006B3FC8"/>
    <w:rsid w:val="006B677B"/>
    <w:rsid w:val="006B76F5"/>
    <w:rsid w:val="006C0AD0"/>
    <w:rsid w:val="006C2C45"/>
    <w:rsid w:val="006C3560"/>
    <w:rsid w:val="006C419E"/>
    <w:rsid w:val="006C4A31"/>
    <w:rsid w:val="006C5AC2"/>
    <w:rsid w:val="006C5C7D"/>
    <w:rsid w:val="006C6AFB"/>
    <w:rsid w:val="006D1D29"/>
    <w:rsid w:val="006D2735"/>
    <w:rsid w:val="006D45B2"/>
    <w:rsid w:val="006E0417"/>
    <w:rsid w:val="006E0C0C"/>
    <w:rsid w:val="006E0FCC"/>
    <w:rsid w:val="006E1E96"/>
    <w:rsid w:val="006E2A3A"/>
    <w:rsid w:val="006E37B1"/>
    <w:rsid w:val="006E3E53"/>
    <w:rsid w:val="006E5E21"/>
    <w:rsid w:val="006E6FA7"/>
    <w:rsid w:val="006E7020"/>
    <w:rsid w:val="006F1054"/>
    <w:rsid w:val="006F1361"/>
    <w:rsid w:val="006F2648"/>
    <w:rsid w:val="006F2F10"/>
    <w:rsid w:val="006F3274"/>
    <w:rsid w:val="006F35B5"/>
    <w:rsid w:val="006F482B"/>
    <w:rsid w:val="006F4855"/>
    <w:rsid w:val="006F48CE"/>
    <w:rsid w:val="006F5D23"/>
    <w:rsid w:val="006F6311"/>
    <w:rsid w:val="006F6A05"/>
    <w:rsid w:val="006F7062"/>
    <w:rsid w:val="006F7C92"/>
    <w:rsid w:val="00701952"/>
    <w:rsid w:val="00702556"/>
    <w:rsid w:val="007025B8"/>
    <w:rsid w:val="0070277E"/>
    <w:rsid w:val="007038DC"/>
    <w:rsid w:val="00704067"/>
    <w:rsid w:val="00704156"/>
    <w:rsid w:val="00706228"/>
    <w:rsid w:val="007069FC"/>
    <w:rsid w:val="0071026E"/>
    <w:rsid w:val="007102EF"/>
    <w:rsid w:val="00710926"/>
    <w:rsid w:val="00710DD0"/>
    <w:rsid w:val="00711221"/>
    <w:rsid w:val="0071207C"/>
    <w:rsid w:val="00712675"/>
    <w:rsid w:val="00713808"/>
    <w:rsid w:val="00713AD6"/>
    <w:rsid w:val="007151B6"/>
    <w:rsid w:val="0071520D"/>
    <w:rsid w:val="00715EDB"/>
    <w:rsid w:val="007160D5"/>
    <w:rsid w:val="007163FB"/>
    <w:rsid w:val="00717817"/>
    <w:rsid w:val="00717C2E"/>
    <w:rsid w:val="007204FA"/>
    <w:rsid w:val="007213B3"/>
    <w:rsid w:val="00721AE2"/>
    <w:rsid w:val="00722140"/>
    <w:rsid w:val="007221D0"/>
    <w:rsid w:val="0072457F"/>
    <w:rsid w:val="00725406"/>
    <w:rsid w:val="0072621B"/>
    <w:rsid w:val="00730555"/>
    <w:rsid w:val="007312CC"/>
    <w:rsid w:val="007349A7"/>
    <w:rsid w:val="00736A64"/>
    <w:rsid w:val="00737255"/>
    <w:rsid w:val="007378F6"/>
    <w:rsid w:val="00737BDE"/>
    <w:rsid w:val="00737F6A"/>
    <w:rsid w:val="00740EB9"/>
    <w:rsid w:val="007410B6"/>
    <w:rsid w:val="0074257F"/>
    <w:rsid w:val="00744C6F"/>
    <w:rsid w:val="007457F6"/>
    <w:rsid w:val="00745ABB"/>
    <w:rsid w:val="00746E38"/>
    <w:rsid w:val="00747CD5"/>
    <w:rsid w:val="00747EC5"/>
    <w:rsid w:val="0075283E"/>
    <w:rsid w:val="00753B51"/>
    <w:rsid w:val="0075580E"/>
    <w:rsid w:val="00756629"/>
    <w:rsid w:val="00756635"/>
    <w:rsid w:val="007575D2"/>
    <w:rsid w:val="00757B4F"/>
    <w:rsid w:val="00757B6A"/>
    <w:rsid w:val="00760018"/>
    <w:rsid w:val="007610E0"/>
    <w:rsid w:val="007621AA"/>
    <w:rsid w:val="0076260A"/>
    <w:rsid w:val="00762E03"/>
    <w:rsid w:val="00763AF7"/>
    <w:rsid w:val="00763C85"/>
    <w:rsid w:val="00764A67"/>
    <w:rsid w:val="0077061E"/>
    <w:rsid w:val="00770F6B"/>
    <w:rsid w:val="00771650"/>
    <w:rsid w:val="00771883"/>
    <w:rsid w:val="00771AC6"/>
    <w:rsid w:val="0077343A"/>
    <w:rsid w:val="00776033"/>
    <w:rsid w:val="00776DC2"/>
    <w:rsid w:val="007778F8"/>
    <w:rsid w:val="00777C75"/>
    <w:rsid w:val="00780122"/>
    <w:rsid w:val="0078214B"/>
    <w:rsid w:val="00782D34"/>
    <w:rsid w:val="0078353F"/>
    <w:rsid w:val="0078498A"/>
    <w:rsid w:val="007878FE"/>
    <w:rsid w:val="00790034"/>
    <w:rsid w:val="00792207"/>
    <w:rsid w:val="00792B64"/>
    <w:rsid w:val="00792E29"/>
    <w:rsid w:val="0079379A"/>
    <w:rsid w:val="00794953"/>
    <w:rsid w:val="007A1F2F"/>
    <w:rsid w:val="007A2A5C"/>
    <w:rsid w:val="007A38FF"/>
    <w:rsid w:val="007A5150"/>
    <w:rsid w:val="007A5373"/>
    <w:rsid w:val="007A789F"/>
    <w:rsid w:val="007A7BE0"/>
    <w:rsid w:val="007B07DC"/>
    <w:rsid w:val="007B3D68"/>
    <w:rsid w:val="007B6083"/>
    <w:rsid w:val="007B75BC"/>
    <w:rsid w:val="007C0BD6"/>
    <w:rsid w:val="007C12FA"/>
    <w:rsid w:val="007C3806"/>
    <w:rsid w:val="007C5BB7"/>
    <w:rsid w:val="007C7AFF"/>
    <w:rsid w:val="007D07D5"/>
    <w:rsid w:val="007D1015"/>
    <w:rsid w:val="007D1C64"/>
    <w:rsid w:val="007D32DD"/>
    <w:rsid w:val="007D3536"/>
    <w:rsid w:val="007D6DCE"/>
    <w:rsid w:val="007D72C4"/>
    <w:rsid w:val="007E2CFE"/>
    <w:rsid w:val="007E3C60"/>
    <w:rsid w:val="007E59C9"/>
    <w:rsid w:val="007F0072"/>
    <w:rsid w:val="007F0EA7"/>
    <w:rsid w:val="007F12FE"/>
    <w:rsid w:val="007F17B2"/>
    <w:rsid w:val="007F2EB6"/>
    <w:rsid w:val="007F5225"/>
    <w:rsid w:val="007F54C3"/>
    <w:rsid w:val="007F5E9C"/>
    <w:rsid w:val="00800E39"/>
    <w:rsid w:val="00801A6A"/>
    <w:rsid w:val="00802949"/>
    <w:rsid w:val="0080301E"/>
    <w:rsid w:val="0080365F"/>
    <w:rsid w:val="00810A5C"/>
    <w:rsid w:val="00810BF1"/>
    <w:rsid w:val="00812422"/>
    <w:rsid w:val="00812BE5"/>
    <w:rsid w:val="00813D01"/>
    <w:rsid w:val="00814A87"/>
    <w:rsid w:val="00815157"/>
    <w:rsid w:val="00817429"/>
    <w:rsid w:val="00817D30"/>
    <w:rsid w:val="00821514"/>
    <w:rsid w:val="00821E35"/>
    <w:rsid w:val="008227E3"/>
    <w:rsid w:val="00824591"/>
    <w:rsid w:val="00824AED"/>
    <w:rsid w:val="008272AB"/>
    <w:rsid w:val="00827820"/>
    <w:rsid w:val="00831B8B"/>
    <w:rsid w:val="00832351"/>
    <w:rsid w:val="00833C18"/>
    <w:rsid w:val="0083405D"/>
    <w:rsid w:val="008352D4"/>
    <w:rsid w:val="00836B1B"/>
    <w:rsid w:val="00836DB9"/>
    <w:rsid w:val="00837C67"/>
    <w:rsid w:val="0084124A"/>
    <w:rsid w:val="008415B0"/>
    <w:rsid w:val="00842028"/>
    <w:rsid w:val="008428BD"/>
    <w:rsid w:val="008436B8"/>
    <w:rsid w:val="0084391B"/>
    <w:rsid w:val="00843CCD"/>
    <w:rsid w:val="008460B6"/>
    <w:rsid w:val="0084648F"/>
    <w:rsid w:val="00847991"/>
    <w:rsid w:val="00850C9D"/>
    <w:rsid w:val="00852B59"/>
    <w:rsid w:val="0085332D"/>
    <w:rsid w:val="00856272"/>
    <w:rsid w:val="008563FF"/>
    <w:rsid w:val="0085652E"/>
    <w:rsid w:val="0086018B"/>
    <w:rsid w:val="008602BB"/>
    <w:rsid w:val="008611DD"/>
    <w:rsid w:val="008620DE"/>
    <w:rsid w:val="00864713"/>
    <w:rsid w:val="00864A22"/>
    <w:rsid w:val="00866867"/>
    <w:rsid w:val="00866CB7"/>
    <w:rsid w:val="00870D15"/>
    <w:rsid w:val="00872257"/>
    <w:rsid w:val="008753E6"/>
    <w:rsid w:val="00877102"/>
    <w:rsid w:val="0087738C"/>
    <w:rsid w:val="00877E02"/>
    <w:rsid w:val="008802AF"/>
    <w:rsid w:val="0088182B"/>
    <w:rsid w:val="00881926"/>
    <w:rsid w:val="0088318F"/>
    <w:rsid w:val="0088331D"/>
    <w:rsid w:val="008852B0"/>
    <w:rsid w:val="00885AE7"/>
    <w:rsid w:val="00886B60"/>
    <w:rsid w:val="00887889"/>
    <w:rsid w:val="008920FF"/>
    <w:rsid w:val="008926E8"/>
    <w:rsid w:val="00892D4C"/>
    <w:rsid w:val="00894F19"/>
    <w:rsid w:val="00895334"/>
    <w:rsid w:val="00895C26"/>
    <w:rsid w:val="008962DC"/>
    <w:rsid w:val="00896A10"/>
    <w:rsid w:val="008971B5"/>
    <w:rsid w:val="008A2226"/>
    <w:rsid w:val="008A5D26"/>
    <w:rsid w:val="008A6B13"/>
    <w:rsid w:val="008A6ECB"/>
    <w:rsid w:val="008B0433"/>
    <w:rsid w:val="008B0AAB"/>
    <w:rsid w:val="008B0BF9"/>
    <w:rsid w:val="008B2150"/>
    <w:rsid w:val="008B2866"/>
    <w:rsid w:val="008B3859"/>
    <w:rsid w:val="008B436D"/>
    <w:rsid w:val="008B4E49"/>
    <w:rsid w:val="008B5A45"/>
    <w:rsid w:val="008B5B2C"/>
    <w:rsid w:val="008B7099"/>
    <w:rsid w:val="008B7712"/>
    <w:rsid w:val="008B7730"/>
    <w:rsid w:val="008B7B26"/>
    <w:rsid w:val="008C0E8D"/>
    <w:rsid w:val="008C12F2"/>
    <w:rsid w:val="008C234F"/>
    <w:rsid w:val="008C2A36"/>
    <w:rsid w:val="008C3524"/>
    <w:rsid w:val="008C4061"/>
    <w:rsid w:val="008C4229"/>
    <w:rsid w:val="008C476F"/>
    <w:rsid w:val="008C5BE0"/>
    <w:rsid w:val="008C69D2"/>
    <w:rsid w:val="008C7233"/>
    <w:rsid w:val="008D04D3"/>
    <w:rsid w:val="008D1983"/>
    <w:rsid w:val="008D2434"/>
    <w:rsid w:val="008D2CFA"/>
    <w:rsid w:val="008D4F7E"/>
    <w:rsid w:val="008D5D54"/>
    <w:rsid w:val="008D6706"/>
    <w:rsid w:val="008E171D"/>
    <w:rsid w:val="008E2785"/>
    <w:rsid w:val="008E2D29"/>
    <w:rsid w:val="008E4260"/>
    <w:rsid w:val="008E663E"/>
    <w:rsid w:val="008E682A"/>
    <w:rsid w:val="008E7772"/>
    <w:rsid w:val="008E78A3"/>
    <w:rsid w:val="008F0654"/>
    <w:rsid w:val="008F06CB"/>
    <w:rsid w:val="008F2E83"/>
    <w:rsid w:val="008F534F"/>
    <w:rsid w:val="008F612A"/>
    <w:rsid w:val="008F76A0"/>
    <w:rsid w:val="00901AF2"/>
    <w:rsid w:val="00902050"/>
    <w:rsid w:val="0090293D"/>
    <w:rsid w:val="009034DE"/>
    <w:rsid w:val="00905396"/>
    <w:rsid w:val="0090605D"/>
    <w:rsid w:val="00906419"/>
    <w:rsid w:val="00907474"/>
    <w:rsid w:val="0090772E"/>
    <w:rsid w:val="00911047"/>
    <w:rsid w:val="00912889"/>
    <w:rsid w:val="00912EA9"/>
    <w:rsid w:val="00913A42"/>
    <w:rsid w:val="00914167"/>
    <w:rsid w:val="009143DB"/>
    <w:rsid w:val="00915065"/>
    <w:rsid w:val="00917CE5"/>
    <w:rsid w:val="00920F70"/>
    <w:rsid w:val="0092170C"/>
    <w:rsid w:val="009217C0"/>
    <w:rsid w:val="00925241"/>
    <w:rsid w:val="0092589A"/>
    <w:rsid w:val="00925CEC"/>
    <w:rsid w:val="00926A3F"/>
    <w:rsid w:val="0092794E"/>
    <w:rsid w:val="00927B1C"/>
    <w:rsid w:val="00927E4C"/>
    <w:rsid w:val="009303C4"/>
    <w:rsid w:val="00930D30"/>
    <w:rsid w:val="00932386"/>
    <w:rsid w:val="009332A2"/>
    <w:rsid w:val="00933ECB"/>
    <w:rsid w:val="0093647D"/>
    <w:rsid w:val="00937598"/>
    <w:rsid w:val="0093790B"/>
    <w:rsid w:val="0094147B"/>
    <w:rsid w:val="00943751"/>
    <w:rsid w:val="00945958"/>
    <w:rsid w:val="00946DD0"/>
    <w:rsid w:val="00947ADD"/>
    <w:rsid w:val="009509E6"/>
    <w:rsid w:val="0095168A"/>
    <w:rsid w:val="0095168D"/>
    <w:rsid w:val="00952018"/>
    <w:rsid w:val="00952800"/>
    <w:rsid w:val="0095300D"/>
    <w:rsid w:val="00956812"/>
    <w:rsid w:val="0095719A"/>
    <w:rsid w:val="00961552"/>
    <w:rsid w:val="009623E9"/>
    <w:rsid w:val="009635DE"/>
    <w:rsid w:val="00963EEB"/>
    <w:rsid w:val="009648BC"/>
    <w:rsid w:val="00964C2F"/>
    <w:rsid w:val="00965F88"/>
    <w:rsid w:val="0097478A"/>
    <w:rsid w:val="009758D6"/>
    <w:rsid w:val="00976628"/>
    <w:rsid w:val="00976755"/>
    <w:rsid w:val="00980956"/>
    <w:rsid w:val="0098416B"/>
    <w:rsid w:val="00984E03"/>
    <w:rsid w:val="00987E85"/>
    <w:rsid w:val="00990947"/>
    <w:rsid w:val="00990E34"/>
    <w:rsid w:val="009939EE"/>
    <w:rsid w:val="009950BB"/>
    <w:rsid w:val="009953FC"/>
    <w:rsid w:val="009A08FB"/>
    <w:rsid w:val="009A0D12"/>
    <w:rsid w:val="009A1987"/>
    <w:rsid w:val="009A27CC"/>
    <w:rsid w:val="009A2BEE"/>
    <w:rsid w:val="009A2C2A"/>
    <w:rsid w:val="009A5289"/>
    <w:rsid w:val="009A7A53"/>
    <w:rsid w:val="009B0402"/>
    <w:rsid w:val="009B0B75"/>
    <w:rsid w:val="009B132E"/>
    <w:rsid w:val="009B16DF"/>
    <w:rsid w:val="009B215A"/>
    <w:rsid w:val="009B2BA2"/>
    <w:rsid w:val="009B491E"/>
    <w:rsid w:val="009B4CB2"/>
    <w:rsid w:val="009B5138"/>
    <w:rsid w:val="009B6701"/>
    <w:rsid w:val="009B6EF7"/>
    <w:rsid w:val="009B7000"/>
    <w:rsid w:val="009B739C"/>
    <w:rsid w:val="009B7D27"/>
    <w:rsid w:val="009C04EC"/>
    <w:rsid w:val="009C05AE"/>
    <w:rsid w:val="009C282D"/>
    <w:rsid w:val="009C328C"/>
    <w:rsid w:val="009C4444"/>
    <w:rsid w:val="009C72D5"/>
    <w:rsid w:val="009C79AD"/>
    <w:rsid w:val="009C7CA6"/>
    <w:rsid w:val="009D09AF"/>
    <w:rsid w:val="009D3316"/>
    <w:rsid w:val="009D4478"/>
    <w:rsid w:val="009D55AA"/>
    <w:rsid w:val="009D69AF"/>
    <w:rsid w:val="009E02BB"/>
    <w:rsid w:val="009E2831"/>
    <w:rsid w:val="009E383C"/>
    <w:rsid w:val="009E3E77"/>
    <w:rsid w:val="009E3FAB"/>
    <w:rsid w:val="009E400E"/>
    <w:rsid w:val="009E4994"/>
    <w:rsid w:val="009E4D59"/>
    <w:rsid w:val="009E52D3"/>
    <w:rsid w:val="009E5B3F"/>
    <w:rsid w:val="009E7A0A"/>
    <w:rsid w:val="009E7D90"/>
    <w:rsid w:val="009F10D8"/>
    <w:rsid w:val="009F14F2"/>
    <w:rsid w:val="009F1AB0"/>
    <w:rsid w:val="009F2250"/>
    <w:rsid w:val="009F296B"/>
    <w:rsid w:val="009F501D"/>
    <w:rsid w:val="009F6FFC"/>
    <w:rsid w:val="009F74AE"/>
    <w:rsid w:val="00A000EB"/>
    <w:rsid w:val="00A02A5A"/>
    <w:rsid w:val="00A02D79"/>
    <w:rsid w:val="00A039D5"/>
    <w:rsid w:val="00A046AD"/>
    <w:rsid w:val="00A06A10"/>
    <w:rsid w:val="00A079C1"/>
    <w:rsid w:val="00A109FB"/>
    <w:rsid w:val="00A10D3A"/>
    <w:rsid w:val="00A117B6"/>
    <w:rsid w:val="00A11A9A"/>
    <w:rsid w:val="00A12520"/>
    <w:rsid w:val="00A130FD"/>
    <w:rsid w:val="00A13D6D"/>
    <w:rsid w:val="00A14769"/>
    <w:rsid w:val="00A158F1"/>
    <w:rsid w:val="00A16151"/>
    <w:rsid w:val="00A16361"/>
    <w:rsid w:val="00A16EC6"/>
    <w:rsid w:val="00A17C06"/>
    <w:rsid w:val="00A2126E"/>
    <w:rsid w:val="00A21706"/>
    <w:rsid w:val="00A24FCC"/>
    <w:rsid w:val="00A26A90"/>
    <w:rsid w:val="00A26B27"/>
    <w:rsid w:val="00A27ACA"/>
    <w:rsid w:val="00A30E4F"/>
    <w:rsid w:val="00A31BF5"/>
    <w:rsid w:val="00A32253"/>
    <w:rsid w:val="00A32B08"/>
    <w:rsid w:val="00A33101"/>
    <w:rsid w:val="00A3310E"/>
    <w:rsid w:val="00A333A0"/>
    <w:rsid w:val="00A35445"/>
    <w:rsid w:val="00A35457"/>
    <w:rsid w:val="00A37E70"/>
    <w:rsid w:val="00A4243C"/>
    <w:rsid w:val="00A437E1"/>
    <w:rsid w:val="00A44AA7"/>
    <w:rsid w:val="00A45A68"/>
    <w:rsid w:val="00A4685E"/>
    <w:rsid w:val="00A46EF0"/>
    <w:rsid w:val="00A50CD4"/>
    <w:rsid w:val="00A51191"/>
    <w:rsid w:val="00A56D62"/>
    <w:rsid w:val="00A56F07"/>
    <w:rsid w:val="00A5762C"/>
    <w:rsid w:val="00A600FC"/>
    <w:rsid w:val="00A60BCA"/>
    <w:rsid w:val="00A60FBD"/>
    <w:rsid w:val="00A62985"/>
    <w:rsid w:val="00A638DA"/>
    <w:rsid w:val="00A63FF6"/>
    <w:rsid w:val="00A6419B"/>
    <w:rsid w:val="00A64955"/>
    <w:rsid w:val="00A6561D"/>
    <w:rsid w:val="00A65B41"/>
    <w:rsid w:val="00A65E00"/>
    <w:rsid w:val="00A66A78"/>
    <w:rsid w:val="00A7436E"/>
    <w:rsid w:val="00A74B75"/>
    <w:rsid w:val="00A74E96"/>
    <w:rsid w:val="00A75A8E"/>
    <w:rsid w:val="00A76687"/>
    <w:rsid w:val="00A80E77"/>
    <w:rsid w:val="00A80EFA"/>
    <w:rsid w:val="00A81152"/>
    <w:rsid w:val="00A824DD"/>
    <w:rsid w:val="00A826E6"/>
    <w:rsid w:val="00A83676"/>
    <w:rsid w:val="00A83B7B"/>
    <w:rsid w:val="00A84274"/>
    <w:rsid w:val="00A850F3"/>
    <w:rsid w:val="00A864E3"/>
    <w:rsid w:val="00A86600"/>
    <w:rsid w:val="00A9148A"/>
    <w:rsid w:val="00A94574"/>
    <w:rsid w:val="00A94C73"/>
    <w:rsid w:val="00A95936"/>
    <w:rsid w:val="00A96265"/>
    <w:rsid w:val="00A97084"/>
    <w:rsid w:val="00AA1C2C"/>
    <w:rsid w:val="00AA1D34"/>
    <w:rsid w:val="00AA2565"/>
    <w:rsid w:val="00AA3561"/>
    <w:rsid w:val="00AA35F6"/>
    <w:rsid w:val="00AA3C67"/>
    <w:rsid w:val="00AA667C"/>
    <w:rsid w:val="00AA69E5"/>
    <w:rsid w:val="00AA6E91"/>
    <w:rsid w:val="00AA7439"/>
    <w:rsid w:val="00AB047E"/>
    <w:rsid w:val="00AB0B0A"/>
    <w:rsid w:val="00AB0BB7"/>
    <w:rsid w:val="00AB22C6"/>
    <w:rsid w:val="00AB2AD0"/>
    <w:rsid w:val="00AB4B8C"/>
    <w:rsid w:val="00AB4E01"/>
    <w:rsid w:val="00AB67FC"/>
    <w:rsid w:val="00AB6AFF"/>
    <w:rsid w:val="00AC00F2"/>
    <w:rsid w:val="00AC31B5"/>
    <w:rsid w:val="00AC390A"/>
    <w:rsid w:val="00AC4EA1"/>
    <w:rsid w:val="00AC5381"/>
    <w:rsid w:val="00AC5920"/>
    <w:rsid w:val="00AC6134"/>
    <w:rsid w:val="00AC7543"/>
    <w:rsid w:val="00AD0E65"/>
    <w:rsid w:val="00AD2BF2"/>
    <w:rsid w:val="00AD4E90"/>
    <w:rsid w:val="00AD5422"/>
    <w:rsid w:val="00AD66C0"/>
    <w:rsid w:val="00AE4179"/>
    <w:rsid w:val="00AE4425"/>
    <w:rsid w:val="00AE446D"/>
    <w:rsid w:val="00AE49C5"/>
    <w:rsid w:val="00AE4FBE"/>
    <w:rsid w:val="00AE650F"/>
    <w:rsid w:val="00AE6555"/>
    <w:rsid w:val="00AE7D16"/>
    <w:rsid w:val="00AF4CAA"/>
    <w:rsid w:val="00AF571A"/>
    <w:rsid w:val="00AF60A0"/>
    <w:rsid w:val="00AF67FC"/>
    <w:rsid w:val="00AF7DF5"/>
    <w:rsid w:val="00B006E5"/>
    <w:rsid w:val="00B01F82"/>
    <w:rsid w:val="00B024C2"/>
    <w:rsid w:val="00B03486"/>
    <w:rsid w:val="00B04C2E"/>
    <w:rsid w:val="00B06F4E"/>
    <w:rsid w:val="00B07700"/>
    <w:rsid w:val="00B07712"/>
    <w:rsid w:val="00B1363B"/>
    <w:rsid w:val="00B13921"/>
    <w:rsid w:val="00B1528C"/>
    <w:rsid w:val="00B16ACD"/>
    <w:rsid w:val="00B171FA"/>
    <w:rsid w:val="00B205C7"/>
    <w:rsid w:val="00B21487"/>
    <w:rsid w:val="00B2246C"/>
    <w:rsid w:val="00B232CA"/>
    <w:rsid w:val="00B232D1"/>
    <w:rsid w:val="00B23E98"/>
    <w:rsid w:val="00B24DB5"/>
    <w:rsid w:val="00B3169A"/>
    <w:rsid w:val="00B31F9E"/>
    <w:rsid w:val="00B3268F"/>
    <w:rsid w:val="00B32C2C"/>
    <w:rsid w:val="00B33A1A"/>
    <w:rsid w:val="00B33E6C"/>
    <w:rsid w:val="00B371CC"/>
    <w:rsid w:val="00B37E27"/>
    <w:rsid w:val="00B41CD9"/>
    <w:rsid w:val="00B427E6"/>
    <w:rsid w:val="00B427F8"/>
    <w:rsid w:val="00B428A6"/>
    <w:rsid w:val="00B43E1F"/>
    <w:rsid w:val="00B44971"/>
    <w:rsid w:val="00B454E3"/>
    <w:rsid w:val="00B45FBC"/>
    <w:rsid w:val="00B51A7D"/>
    <w:rsid w:val="00B535C2"/>
    <w:rsid w:val="00B53D9F"/>
    <w:rsid w:val="00B55544"/>
    <w:rsid w:val="00B642FC"/>
    <w:rsid w:val="00B64D26"/>
    <w:rsid w:val="00B64FBB"/>
    <w:rsid w:val="00B65094"/>
    <w:rsid w:val="00B66A77"/>
    <w:rsid w:val="00B70E22"/>
    <w:rsid w:val="00B72752"/>
    <w:rsid w:val="00B733A6"/>
    <w:rsid w:val="00B74D8A"/>
    <w:rsid w:val="00B7545B"/>
    <w:rsid w:val="00B774CB"/>
    <w:rsid w:val="00B80402"/>
    <w:rsid w:val="00B80B9A"/>
    <w:rsid w:val="00B82623"/>
    <w:rsid w:val="00B8289A"/>
    <w:rsid w:val="00B82CA1"/>
    <w:rsid w:val="00B830B7"/>
    <w:rsid w:val="00B848EA"/>
    <w:rsid w:val="00B84AD6"/>
    <w:rsid w:val="00B84B2B"/>
    <w:rsid w:val="00B8554A"/>
    <w:rsid w:val="00B90500"/>
    <w:rsid w:val="00B9176C"/>
    <w:rsid w:val="00B935A4"/>
    <w:rsid w:val="00B95691"/>
    <w:rsid w:val="00B96C17"/>
    <w:rsid w:val="00BA43DB"/>
    <w:rsid w:val="00BA561A"/>
    <w:rsid w:val="00BA5C1B"/>
    <w:rsid w:val="00BA7782"/>
    <w:rsid w:val="00BB0DC6"/>
    <w:rsid w:val="00BB15E4"/>
    <w:rsid w:val="00BB1E19"/>
    <w:rsid w:val="00BB21D1"/>
    <w:rsid w:val="00BB32F2"/>
    <w:rsid w:val="00BB4338"/>
    <w:rsid w:val="00BB6C0E"/>
    <w:rsid w:val="00BB7B38"/>
    <w:rsid w:val="00BC068E"/>
    <w:rsid w:val="00BC11E5"/>
    <w:rsid w:val="00BC25F8"/>
    <w:rsid w:val="00BC4BC6"/>
    <w:rsid w:val="00BC52FD"/>
    <w:rsid w:val="00BC5F70"/>
    <w:rsid w:val="00BC6E62"/>
    <w:rsid w:val="00BC7443"/>
    <w:rsid w:val="00BD0648"/>
    <w:rsid w:val="00BD1040"/>
    <w:rsid w:val="00BD2E16"/>
    <w:rsid w:val="00BD2F74"/>
    <w:rsid w:val="00BD33F5"/>
    <w:rsid w:val="00BD34AA"/>
    <w:rsid w:val="00BD4521"/>
    <w:rsid w:val="00BD58C2"/>
    <w:rsid w:val="00BD689A"/>
    <w:rsid w:val="00BD79C3"/>
    <w:rsid w:val="00BE0BEA"/>
    <w:rsid w:val="00BE0C44"/>
    <w:rsid w:val="00BE1B8B"/>
    <w:rsid w:val="00BE238B"/>
    <w:rsid w:val="00BE2A18"/>
    <w:rsid w:val="00BE2C01"/>
    <w:rsid w:val="00BE41EC"/>
    <w:rsid w:val="00BE5377"/>
    <w:rsid w:val="00BE56FB"/>
    <w:rsid w:val="00BE738E"/>
    <w:rsid w:val="00BF07ED"/>
    <w:rsid w:val="00BF214A"/>
    <w:rsid w:val="00BF224E"/>
    <w:rsid w:val="00BF3DDE"/>
    <w:rsid w:val="00BF3FA8"/>
    <w:rsid w:val="00BF6589"/>
    <w:rsid w:val="00BF6F7F"/>
    <w:rsid w:val="00C00361"/>
    <w:rsid w:val="00C00647"/>
    <w:rsid w:val="00C02764"/>
    <w:rsid w:val="00C04CEF"/>
    <w:rsid w:val="00C0662F"/>
    <w:rsid w:val="00C06E52"/>
    <w:rsid w:val="00C0797C"/>
    <w:rsid w:val="00C1155D"/>
    <w:rsid w:val="00C11776"/>
    <w:rsid w:val="00C11943"/>
    <w:rsid w:val="00C12E96"/>
    <w:rsid w:val="00C14763"/>
    <w:rsid w:val="00C14E77"/>
    <w:rsid w:val="00C16141"/>
    <w:rsid w:val="00C17460"/>
    <w:rsid w:val="00C2363F"/>
    <w:rsid w:val="00C236C8"/>
    <w:rsid w:val="00C2482D"/>
    <w:rsid w:val="00C24CB7"/>
    <w:rsid w:val="00C2529B"/>
    <w:rsid w:val="00C25304"/>
    <w:rsid w:val="00C260B1"/>
    <w:rsid w:val="00C2614D"/>
    <w:rsid w:val="00C26823"/>
    <w:rsid w:val="00C26E56"/>
    <w:rsid w:val="00C27E08"/>
    <w:rsid w:val="00C31406"/>
    <w:rsid w:val="00C37194"/>
    <w:rsid w:val="00C40637"/>
    <w:rsid w:val="00C40B65"/>
    <w:rsid w:val="00C40F6C"/>
    <w:rsid w:val="00C44030"/>
    <w:rsid w:val="00C44426"/>
    <w:rsid w:val="00C445F3"/>
    <w:rsid w:val="00C451F4"/>
    <w:rsid w:val="00C45EB1"/>
    <w:rsid w:val="00C5131F"/>
    <w:rsid w:val="00C51E50"/>
    <w:rsid w:val="00C54224"/>
    <w:rsid w:val="00C548C5"/>
    <w:rsid w:val="00C54A3A"/>
    <w:rsid w:val="00C55566"/>
    <w:rsid w:val="00C56448"/>
    <w:rsid w:val="00C667BE"/>
    <w:rsid w:val="00C6766B"/>
    <w:rsid w:val="00C72223"/>
    <w:rsid w:val="00C72770"/>
    <w:rsid w:val="00C7361E"/>
    <w:rsid w:val="00C76417"/>
    <w:rsid w:val="00C7726F"/>
    <w:rsid w:val="00C779FF"/>
    <w:rsid w:val="00C805B7"/>
    <w:rsid w:val="00C823DA"/>
    <w:rsid w:val="00C8259F"/>
    <w:rsid w:val="00C82746"/>
    <w:rsid w:val="00C8312F"/>
    <w:rsid w:val="00C83212"/>
    <w:rsid w:val="00C84C47"/>
    <w:rsid w:val="00C858A4"/>
    <w:rsid w:val="00C86AFA"/>
    <w:rsid w:val="00C91C07"/>
    <w:rsid w:val="00C975BF"/>
    <w:rsid w:val="00CA156B"/>
    <w:rsid w:val="00CA2714"/>
    <w:rsid w:val="00CA487E"/>
    <w:rsid w:val="00CA6C69"/>
    <w:rsid w:val="00CA7648"/>
    <w:rsid w:val="00CB18D0"/>
    <w:rsid w:val="00CB1C8A"/>
    <w:rsid w:val="00CB24F5"/>
    <w:rsid w:val="00CB2663"/>
    <w:rsid w:val="00CB3BBE"/>
    <w:rsid w:val="00CB444B"/>
    <w:rsid w:val="00CB59E9"/>
    <w:rsid w:val="00CC03BD"/>
    <w:rsid w:val="00CC0D6A"/>
    <w:rsid w:val="00CC130F"/>
    <w:rsid w:val="00CC3831"/>
    <w:rsid w:val="00CC3E3D"/>
    <w:rsid w:val="00CC519B"/>
    <w:rsid w:val="00CC66E7"/>
    <w:rsid w:val="00CC6F12"/>
    <w:rsid w:val="00CD0EFC"/>
    <w:rsid w:val="00CD12C1"/>
    <w:rsid w:val="00CD1569"/>
    <w:rsid w:val="00CD209C"/>
    <w:rsid w:val="00CD214E"/>
    <w:rsid w:val="00CD2640"/>
    <w:rsid w:val="00CD33FF"/>
    <w:rsid w:val="00CD46FA"/>
    <w:rsid w:val="00CD5973"/>
    <w:rsid w:val="00CE095F"/>
    <w:rsid w:val="00CE31A6"/>
    <w:rsid w:val="00CE6555"/>
    <w:rsid w:val="00CE7600"/>
    <w:rsid w:val="00CF09AA"/>
    <w:rsid w:val="00CF2C9E"/>
    <w:rsid w:val="00CF4813"/>
    <w:rsid w:val="00CF5233"/>
    <w:rsid w:val="00CF55BF"/>
    <w:rsid w:val="00CF687A"/>
    <w:rsid w:val="00D0029B"/>
    <w:rsid w:val="00D00D4B"/>
    <w:rsid w:val="00D025BA"/>
    <w:rsid w:val="00D029B8"/>
    <w:rsid w:val="00D02F60"/>
    <w:rsid w:val="00D0464E"/>
    <w:rsid w:val="00D04A96"/>
    <w:rsid w:val="00D07A7B"/>
    <w:rsid w:val="00D10E06"/>
    <w:rsid w:val="00D11787"/>
    <w:rsid w:val="00D11C23"/>
    <w:rsid w:val="00D15197"/>
    <w:rsid w:val="00D16820"/>
    <w:rsid w:val="00D169C8"/>
    <w:rsid w:val="00D1793F"/>
    <w:rsid w:val="00D22AF5"/>
    <w:rsid w:val="00D235EA"/>
    <w:rsid w:val="00D247A9"/>
    <w:rsid w:val="00D32721"/>
    <w:rsid w:val="00D328DC"/>
    <w:rsid w:val="00D33387"/>
    <w:rsid w:val="00D334A4"/>
    <w:rsid w:val="00D34415"/>
    <w:rsid w:val="00D36CCF"/>
    <w:rsid w:val="00D378B3"/>
    <w:rsid w:val="00D40125"/>
    <w:rsid w:val="00D402FB"/>
    <w:rsid w:val="00D441DC"/>
    <w:rsid w:val="00D44893"/>
    <w:rsid w:val="00D47D7A"/>
    <w:rsid w:val="00D50ABD"/>
    <w:rsid w:val="00D54554"/>
    <w:rsid w:val="00D55290"/>
    <w:rsid w:val="00D57791"/>
    <w:rsid w:val="00D603C8"/>
    <w:rsid w:val="00D6046A"/>
    <w:rsid w:val="00D62870"/>
    <w:rsid w:val="00D655D9"/>
    <w:rsid w:val="00D655F1"/>
    <w:rsid w:val="00D65872"/>
    <w:rsid w:val="00D66CE1"/>
    <w:rsid w:val="00D673DE"/>
    <w:rsid w:val="00D676F3"/>
    <w:rsid w:val="00D70EF5"/>
    <w:rsid w:val="00D71024"/>
    <w:rsid w:val="00D71A25"/>
    <w:rsid w:val="00D71FCF"/>
    <w:rsid w:val="00D72A54"/>
    <w:rsid w:val="00D72CC1"/>
    <w:rsid w:val="00D76EC9"/>
    <w:rsid w:val="00D8015F"/>
    <w:rsid w:val="00D80E7D"/>
    <w:rsid w:val="00D81397"/>
    <w:rsid w:val="00D8342C"/>
    <w:rsid w:val="00D848B9"/>
    <w:rsid w:val="00D87C5C"/>
    <w:rsid w:val="00D902FC"/>
    <w:rsid w:val="00D90E69"/>
    <w:rsid w:val="00D91368"/>
    <w:rsid w:val="00D915A3"/>
    <w:rsid w:val="00D91CD5"/>
    <w:rsid w:val="00D92FC1"/>
    <w:rsid w:val="00D93106"/>
    <w:rsid w:val="00D933E9"/>
    <w:rsid w:val="00D9505D"/>
    <w:rsid w:val="00D953D0"/>
    <w:rsid w:val="00D959F5"/>
    <w:rsid w:val="00D96884"/>
    <w:rsid w:val="00D96D9B"/>
    <w:rsid w:val="00DA2052"/>
    <w:rsid w:val="00DA3FDD"/>
    <w:rsid w:val="00DA7017"/>
    <w:rsid w:val="00DA7028"/>
    <w:rsid w:val="00DB1AD2"/>
    <w:rsid w:val="00DB2B58"/>
    <w:rsid w:val="00DB5206"/>
    <w:rsid w:val="00DB5229"/>
    <w:rsid w:val="00DB539A"/>
    <w:rsid w:val="00DB6276"/>
    <w:rsid w:val="00DB63F5"/>
    <w:rsid w:val="00DC10D6"/>
    <w:rsid w:val="00DC1C6B"/>
    <w:rsid w:val="00DC2C2E"/>
    <w:rsid w:val="00DC350A"/>
    <w:rsid w:val="00DC387C"/>
    <w:rsid w:val="00DC4AF0"/>
    <w:rsid w:val="00DC7471"/>
    <w:rsid w:val="00DC7886"/>
    <w:rsid w:val="00DC792B"/>
    <w:rsid w:val="00DC7931"/>
    <w:rsid w:val="00DC7F4E"/>
    <w:rsid w:val="00DD0CF2"/>
    <w:rsid w:val="00DD2427"/>
    <w:rsid w:val="00DD49B7"/>
    <w:rsid w:val="00DD4D24"/>
    <w:rsid w:val="00DE1554"/>
    <w:rsid w:val="00DE2883"/>
    <w:rsid w:val="00DE2901"/>
    <w:rsid w:val="00DE58AA"/>
    <w:rsid w:val="00DE590F"/>
    <w:rsid w:val="00DE6D8F"/>
    <w:rsid w:val="00DE7DBE"/>
    <w:rsid w:val="00DE7DC1"/>
    <w:rsid w:val="00DF0D9C"/>
    <w:rsid w:val="00DF3F7E"/>
    <w:rsid w:val="00DF4090"/>
    <w:rsid w:val="00DF609C"/>
    <w:rsid w:val="00DF7648"/>
    <w:rsid w:val="00E0069F"/>
    <w:rsid w:val="00E00E29"/>
    <w:rsid w:val="00E0170E"/>
    <w:rsid w:val="00E02BAB"/>
    <w:rsid w:val="00E03B4B"/>
    <w:rsid w:val="00E045F8"/>
    <w:rsid w:val="00E047DB"/>
    <w:rsid w:val="00E04CEB"/>
    <w:rsid w:val="00E060BC"/>
    <w:rsid w:val="00E06A9F"/>
    <w:rsid w:val="00E11420"/>
    <w:rsid w:val="00E12E69"/>
    <w:rsid w:val="00E132FB"/>
    <w:rsid w:val="00E1337A"/>
    <w:rsid w:val="00E170B7"/>
    <w:rsid w:val="00E177DD"/>
    <w:rsid w:val="00E20900"/>
    <w:rsid w:val="00E20C7F"/>
    <w:rsid w:val="00E23157"/>
    <w:rsid w:val="00E2396E"/>
    <w:rsid w:val="00E24728"/>
    <w:rsid w:val="00E276AC"/>
    <w:rsid w:val="00E3275E"/>
    <w:rsid w:val="00E34A35"/>
    <w:rsid w:val="00E378F5"/>
    <w:rsid w:val="00E37C2F"/>
    <w:rsid w:val="00E4039A"/>
    <w:rsid w:val="00E41C28"/>
    <w:rsid w:val="00E4251A"/>
    <w:rsid w:val="00E45C88"/>
    <w:rsid w:val="00E46308"/>
    <w:rsid w:val="00E4707F"/>
    <w:rsid w:val="00E50DAA"/>
    <w:rsid w:val="00E51E17"/>
    <w:rsid w:val="00E52DAB"/>
    <w:rsid w:val="00E539B0"/>
    <w:rsid w:val="00E55927"/>
    <w:rsid w:val="00E55994"/>
    <w:rsid w:val="00E60606"/>
    <w:rsid w:val="00E60C66"/>
    <w:rsid w:val="00E6164D"/>
    <w:rsid w:val="00E618C9"/>
    <w:rsid w:val="00E62774"/>
    <w:rsid w:val="00E6307C"/>
    <w:rsid w:val="00E636FA"/>
    <w:rsid w:val="00E63789"/>
    <w:rsid w:val="00E640DE"/>
    <w:rsid w:val="00E64CDA"/>
    <w:rsid w:val="00E663CD"/>
    <w:rsid w:val="00E66C50"/>
    <w:rsid w:val="00E679D3"/>
    <w:rsid w:val="00E67F42"/>
    <w:rsid w:val="00E70D8A"/>
    <w:rsid w:val="00E70DA5"/>
    <w:rsid w:val="00E71208"/>
    <w:rsid w:val="00E71444"/>
    <w:rsid w:val="00E71657"/>
    <w:rsid w:val="00E71C91"/>
    <w:rsid w:val="00E720A1"/>
    <w:rsid w:val="00E73D31"/>
    <w:rsid w:val="00E75DDA"/>
    <w:rsid w:val="00E770B8"/>
    <w:rsid w:val="00E773E8"/>
    <w:rsid w:val="00E77B67"/>
    <w:rsid w:val="00E77BF4"/>
    <w:rsid w:val="00E81988"/>
    <w:rsid w:val="00E83ADD"/>
    <w:rsid w:val="00E83FCC"/>
    <w:rsid w:val="00E84F38"/>
    <w:rsid w:val="00E85623"/>
    <w:rsid w:val="00E8598E"/>
    <w:rsid w:val="00E87441"/>
    <w:rsid w:val="00E91FAE"/>
    <w:rsid w:val="00E92268"/>
    <w:rsid w:val="00E94628"/>
    <w:rsid w:val="00E96E3F"/>
    <w:rsid w:val="00EA08EB"/>
    <w:rsid w:val="00EA270C"/>
    <w:rsid w:val="00EA3F01"/>
    <w:rsid w:val="00EA451E"/>
    <w:rsid w:val="00EA4974"/>
    <w:rsid w:val="00EA532E"/>
    <w:rsid w:val="00EA59C9"/>
    <w:rsid w:val="00EA5B66"/>
    <w:rsid w:val="00EA6517"/>
    <w:rsid w:val="00EB06D9"/>
    <w:rsid w:val="00EB192B"/>
    <w:rsid w:val="00EB19ED"/>
    <w:rsid w:val="00EB1CAB"/>
    <w:rsid w:val="00EB3390"/>
    <w:rsid w:val="00EB71C0"/>
    <w:rsid w:val="00EC0F5A"/>
    <w:rsid w:val="00EC3E52"/>
    <w:rsid w:val="00EC4265"/>
    <w:rsid w:val="00EC4CEB"/>
    <w:rsid w:val="00EC659E"/>
    <w:rsid w:val="00EC7D32"/>
    <w:rsid w:val="00ED1450"/>
    <w:rsid w:val="00ED1DF1"/>
    <w:rsid w:val="00ED2072"/>
    <w:rsid w:val="00ED2AE0"/>
    <w:rsid w:val="00ED2D9B"/>
    <w:rsid w:val="00ED4AD9"/>
    <w:rsid w:val="00ED5553"/>
    <w:rsid w:val="00ED5645"/>
    <w:rsid w:val="00ED5E36"/>
    <w:rsid w:val="00ED6961"/>
    <w:rsid w:val="00EE5F25"/>
    <w:rsid w:val="00EE7B08"/>
    <w:rsid w:val="00EF08E2"/>
    <w:rsid w:val="00EF0A22"/>
    <w:rsid w:val="00EF0B96"/>
    <w:rsid w:val="00EF16C9"/>
    <w:rsid w:val="00EF234D"/>
    <w:rsid w:val="00EF2780"/>
    <w:rsid w:val="00EF3486"/>
    <w:rsid w:val="00EF36AF"/>
    <w:rsid w:val="00EF47AF"/>
    <w:rsid w:val="00EF53B6"/>
    <w:rsid w:val="00EF597B"/>
    <w:rsid w:val="00F00B73"/>
    <w:rsid w:val="00F01C23"/>
    <w:rsid w:val="00F01EAB"/>
    <w:rsid w:val="00F04683"/>
    <w:rsid w:val="00F05150"/>
    <w:rsid w:val="00F115CA"/>
    <w:rsid w:val="00F11E8B"/>
    <w:rsid w:val="00F11EAA"/>
    <w:rsid w:val="00F13087"/>
    <w:rsid w:val="00F1313E"/>
    <w:rsid w:val="00F14817"/>
    <w:rsid w:val="00F14EBA"/>
    <w:rsid w:val="00F1510F"/>
    <w:rsid w:val="00F15128"/>
    <w:rsid w:val="00F1533A"/>
    <w:rsid w:val="00F15D05"/>
    <w:rsid w:val="00F15E5A"/>
    <w:rsid w:val="00F17F0A"/>
    <w:rsid w:val="00F2668F"/>
    <w:rsid w:val="00F2742F"/>
    <w:rsid w:val="00F2753B"/>
    <w:rsid w:val="00F307D8"/>
    <w:rsid w:val="00F334E8"/>
    <w:rsid w:val="00F33F8B"/>
    <w:rsid w:val="00F340B2"/>
    <w:rsid w:val="00F35EF4"/>
    <w:rsid w:val="00F40800"/>
    <w:rsid w:val="00F43390"/>
    <w:rsid w:val="00F443B2"/>
    <w:rsid w:val="00F458D8"/>
    <w:rsid w:val="00F50237"/>
    <w:rsid w:val="00F5346A"/>
    <w:rsid w:val="00F53596"/>
    <w:rsid w:val="00F55BA8"/>
    <w:rsid w:val="00F55DB1"/>
    <w:rsid w:val="00F56577"/>
    <w:rsid w:val="00F56977"/>
    <w:rsid w:val="00F56ACA"/>
    <w:rsid w:val="00F57178"/>
    <w:rsid w:val="00F600FE"/>
    <w:rsid w:val="00F62743"/>
    <w:rsid w:val="00F62E4D"/>
    <w:rsid w:val="00F65FE3"/>
    <w:rsid w:val="00F66B34"/>
    <w:rsid w:val="00F675B9"/>
    <w:rsid w:val="00F70EB6"/>
    <w:rsid w:val="00F711C9"/>
    <w:rsid w:val="00F74C59"/>
    <w:rsid w:val="00F75C3A"/>
    <w:rsid w:val="00F7616C"/>
    <w:rsid w:val="00F82E30"/>
    <w:rsid w:val="00F831CB"/>
    <w:rsid w:val="00F848A3"/>
    <w:rsid w:val="00F84ACF"/>
    <w:rsid w:val="00F84D3B"/>
    <w:rsid w:val="00F85742"/>
    <w:rsid w:val="00F85BF8"/>
    <w:rsid w:val="00F85E93"/>
    <w:rsid w:val="00F871CE"/>
    <w:rsid w:val="00F87802"/>
    <w:rsid w:val="00F905B3"/>
    <w:rsid w:val="00F92C0A"/>
    <w:rsid w:val="00F9415B"/>
    <w:rsid w:val="00F9492C"/>
    <w:rsid w:val="00F9657F"/>
    <w:rsid w:val="00FA13C2"/>
    <w:rsid w:val="00FA26E3"/>
    <w:rsid w:val="00FA316E"/>
    <w:rsid w:val="00FA7950"/>
    <w:rsid w:val="00FA7F91"/>
    <w:rsid w:val="00FB121C"/>
    <w:rsid w:val="00FB1CBD"/>
    <w:rsid w:val="00FB1CDD"/>
    <w:rsid w:val="00FB2795"/>
    <w:rsid w:val="00FB2B62"/>
    <w:rsid w:val="00FB2C2F"/>
    <w:rsid w:val="00FB305C"/>
    <w:rsid w:val="00FB6D52"/>
    <w:rsid w:val="00FC2E3D"/>
    <w:rsid w:val="00FC3BDE"/>
    <w:rsid w:val="00FD1DBE"/>
    <w:rsid w:val="00FD25A7"/>
    <w:rsid w:val="00FD27B6"/>
    <w:rsid w:val="00FD3689"/>
    <w:rsid w:val="00FD42A3"/>
    <w:rsid w:val="00FD463A"/>
    <w:rsid w:val="00FD4DFA"/>
    <w:rsid w:val="00FD56A0"/>
    <w:rsid w:val="00FD5AED"/>
    <w:rsid w:val="00FD7468"/>
    <w:rsid w:val="00FD7CE0"/>
    <w:rsid w:val="00FE0B3B"/>
    <w:rsid w:val="00FE1BE2"/>
    <w:rsid w:val="00FE730A"/>
    <w:rsid w:val="00FE7746"/>
    <w:rsid w:val="00FF12D8"/>
    <w:rsid w:val="00FF1DD7"/>
    <w:rsid w:val="00FF33BE"/>
    <w:rsid w:val="00FF4453"/>
    <w:rsid w:val="00FF7B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1ACF6"/>
  <w15:docId w15:val="{987669E4-8D03-4A97-ABE3-1258D0E3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1EFB"/>
    <w:pPr>
      <w:widowControl w:val="0"/>
      <w:autoSpaceDE w:val="0"/>
      <w:autoSpaceDN w:val="0"/>
      <w:adjustRightInd w:val="0"/>
      <w:jc w:val="both"/>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aliases w:val="h"/>
    <w:basedOn w:val="Normalny"/>
    <w:link w:val="Nagwek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aliases w:val="h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4"/>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3"/>
    <w:qFormat/>
    <w:rsid w:val="006A748A"/>
    <w:pPr>
      <w:ind w:left="1020"/>
    </w:pPr>
  </w:style>
  <w:style w:type="paragraph" w:customStyle="1" w:styleId="ZARTzmartartykuempunktem">
    <w:name w:val="Z/ART(§) – zm. art. (§) artykułem (punktem)"/>
    <w:basedOn w:val="ARTartustawynprozporzdzenia"/>
    <w:uiPriority w:val="32"/>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8"/>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6"/>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7"/>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55"/>
    <w:qFormat/>
    <w:rsid w:val="006A748A"/>
    <w:pPr>
      <w:ind w:left="987"/>
    </w:pPr>
  </w:style>
  <w:style w:type="paragraph" w:customStyle="1" w:styleId="ZLITPKTzmpktliter">
    <w:name w:val="Z_LIT/PKT – zm. pkt literą"/>
    <w:basedOn w:val="PKTpunkt"/>
    <w:uiPriority w:val="56"/>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2"/>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7"/>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2"/>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Elegancki">
    <w:name w:val="Table Elegant"/>
    <w:basedOn w:val="Standardowy"/>
    <w:locked/>
    <w:rsid w:val="001952B1"/>
    <w:pPr>
      <w:widowControl w:val="0"/>
      <w:autoSpaceDE w:val="0"/>
      <w:autoSpaceDN w:val="0"/>
      <w:adjustRightInd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jc w:val="center"/>
    </w:trPr>
  </w:style>
  <w:style w:type="table" w:customStyle="1" w:styleId="TABELA3zszablonu">
    <w:name w:val="TABELA 3 z szablonu"/>
    <w:basedOn w:val="TABELA2zszablonu"/>
    <w:uiPriority w:val="99"/>
    <w:rsid w:val="001329AC"/>
    <w:tblPr>
      <w:jc w:val="cente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Tekstpodstawowy3">
    <w:name w:val="Body Text 3"/>
    <w:basedOn w:val="Normalny"/>
    <w:link w:val="Tekstpodstawowy3Znak"/>
    <w:rsid w:val="000C1ABA"/>
    <w:pPr>
      <w:widowControl/>
      <w:autoSpaceDE/>
      <w:autoSpaceDN/>
      <w:adjustRightInd/>
      <w:spacing w:after="120" w:line="240" w:lineRule="auto"/>
      <w:jc w:val="left"/>
    </w:pPr>
    <w:rPr>
      <w:rFonts w:eastAsia="Times New Roman" w:cs="Times New Roman"/>
      <w:sz w:val="16"/>
      <w:szCs w:val="16"/>
    </w:rPr>
  </w:style>
  <w:style w:type="character" w:customStyle="1" w:styleId="Tekstpodstawowy3Znak">
    <w:name w:val="Tekst podstawowy 3 Znak"/>
    <w:basedOn w:val="Domylnaczcionkaakapitu"/>
    <w:link w:val="Tekstpodstawowy3"/>
    <w:rsid w:val="000C1ABA"/>
    <w:rPr>
      <w:rFonts w:ascii="Times New Roman" w:hAnsi="Times New Roman"/>
      <w:sz w:val="16"/>
      <w:szCs w:val="16"/>
    </w:rPr>
  </w:style>
  <w:style w:type="paragraph" w:styleId="Tekstpodstawowywcity2">
    <w:name w:val="Body Text Indent 2"/>
    <w:basedOn w:val="Normalny"/>
    <w:link w:val="Tekstpodstawowywcity2Znak"/>
    <w:uiPriority w:val="99"/>
    <w:semiHidden/>
    <w:unhideWhenUsed/>
    <w:rsid w:val="000C1AB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C1ABA"/>
    <w:rPr>
      <w:rFonts w:ascii="Times New Roman" w:eastAsiaTheme="minorEastAsia" w:hAnsi="Times New Roman" w:cs="Arial"/>
      <w:szCs w:val="20"/>
    </w:rPr>
  </w:style>
  <w:style w:type="character" w:styleId="Hipercze">
    <w:name w:val="Hyperlink"/>
    <w:basedOn w:val="Domylnaczcionkaakapitu"/>
    <w:uiPriority w:val="99"/>
    <w:unhideWhenUsed/>
    <w:rsid w:val="000251BE"/>
    <w:rPr>
      <w:color w:val="0000FF"/>
      <w:u w:val="single"/>
    </w:rPr>
  </w:style>
  <w:style w:type="paragraph" w:styleId="Akapitzlist">
    <w:name w:val="List Paragraph"/>
    <w:basedOn w:val="Normalny"/>
    <w:uiPriority w:val="99"/>
    <w:qFormat/>
    <w:rsid w:val="00BA5C1B"/>
    <w:pPr>
      <w:widowControl/>
      <w:autoSpaceDE/>
      <w:autoSpaceDN/>
      <w:adjustRightInd/>
      <w:spacing w:after="160" w:line="259" w:lineRule="auto"/>
      <w:ind w:left="720"/>
      <w:contextualSpacing/>
      <w:jc w:val="left"/>
    </w:pPr>
    <w:rPr>
      <w:rFonts w:asciiTheme="minorHAnsi" w:eastAsiaTheme="minorHAnsi" w:hAnsiTheme="minorHAnsi" w:cstheme="minorBidi"/>
      <w:sz w:val="22"/>
      <w:szCs w:val="22"/>
      <w:lang w:eastAsia="en-US"/>
    </w:rPr>
  </w:style>
  <w:style w:type="paragraph" w:styleId="Tekstpodstawowywcity3">
    <w:name w:val="Body Text Indent 3"/>
    <w:basedOn w:val="Normalny"/>
    <w:link w:val="Tekstpodstawowywcity3Znak"/>
    <w:uiPriority w:val="99"/>
    <w:semiHidden/>
    <w:unhideWhenUsed/>
    <w:rsid w:val="006541F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541F7"/>
    <w:rPr>
      <w:rFonts w:ascii="Times New Roman" w:eastAsiaTheme="minorEastAsia" w:hAnsi="Times New Roman" w:cs="Arial"/>
      <w:sz w:val="16"/>
      <w:szCs w:val="16"/>
    </w:rPr>
  </w:style>
  <w:style w:type="paragraph" w:styleId="Tekstprzypisukocowego">
    <w:name w:val="endnote text"/>
    <w:basedOn w:val="Normalny"/>
    <w:link w:val="TekstprzypisukocowegoZnak"/>
    <w:uiPriority w:val="99"/>
    <w:semiHidden/>
    <w:unhideWhenUsed/>
    <w:rsid w:val="006F48CE"/>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6F48CE"/>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6F48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2514">
      <w:bodyDiv w:val="1"/>
      <w:marLeft w:val="0"/>
      <w:marRight w:val="0"/>
      <w:marTop w:val="0"/>
      <w:marBottom w:val="0"/>
      <w:divBdr>
        <w:top w:val="none" w:sz="0" w:space="0" w:color="auto"/>
        <w:left w:val="none" w:sz="0" w:space="0" w:color="auto"/>
        <w:bottom w:val="none" w:sz="0" w:space="0" w:color="auto"/>
        <w:right w:val="none" w:sz="0" w:space="0" w:color="auto"/>
      </w:divBdr>
    </w:div>
    <w:div w:id="318853598">
      <w:bodyDiv w:val="1"/>
      <w:marLeft w:val="0"/>
      <w:marRight w:val="0"/>
      <w:marTop w:val="0"/>
      <w:marBottom w:val="0"/>
      <w:divBdr>
        <w:top w:val="none" w:sz="0" w:space="0" w:color="auto"/>
        <w:left w:val="none" w:sz="0" w:space="0" w:color="auto"/>
        <w:bottom w:val="none" w:sz="0" w:space="0" w:color="auto"/>
        <w:right w:val="none" w:sz="0" w:space="0" w:color="auto"/>
      </w:divBdr>
    </w:div>
    <w:div w:id="338196037">
      <w:bodyDiv w:val="1"/>
      <w:marLeft w:val="0"/>
      <w:marRight w:val="0"/>
      <w:marTop w:val="0"/>
      <w:marBottom w:val="0"/>
      <w:divBdr>
        <w:top w:val="none" w:sz="0" w:space="0" w:color="auto"/>
        <w:left w:val="none" w:sz="0" w:space="0" w:color="auto"/>
        <w:bottom w:val="none" w:sz="0" w:space="0" w:color="auto"/>
        <w:right w:val="none" w:sz="0" w:space="0" w:color="auto"/>
      </w:divBdr>
      <w:divsChild>
        <w:div w:id="1679112968">
          <w:marLeft w:val="300"/>
          <w:marRight w:val="0"/>
          <w:marTop w:val="0"/>
          <w:marBottom w:val="0"/>
          <w:divBdr>
            <w:top w:val="none" w:sz="0" w:space="0" w:color="auto"/>
            <w:left w:val="none" w:sz="0" w:space="0" w:color="auto"/>
            <w:bottom w:val="none" w:sz="0" w:space="0" w:color="auto"/>
            <w:right w:val="none" w:sz="0" w:space="0" w:color="auto"/>
          </w:divBdr>
        </w:div>
        <w:div w:id="761293259">
          <w:marLeft w:val="300"/>
          <w:marRight w:val="0"/>
          <w:marTop w:val="0"/>
          <w:marBottom w:val="0"/>
          <w:divBdr>
            <w:top w:val="none" w:sz="0" w:space="0" w:color="auto"/>
            <w:left w:val="none" w:sz="0" w:space="0" w:color="auto"/>
            <w:bottom w:val="none" w:sz="0" w:space="0" w:color="auto"/>
            <w:right w:val="none" w:sz="0" w:space="0" w:color="auto"/>
          </w:divBdr>
        </w:div>
        <w:div w:id="982081700">
          <w:marLeft w:val="300"/>
          <w:marRight w:val="0"/>
          <w:marTop w:val="0"/>
          <w:marBottom w:val="0"/>
          <w:divBdr>
            <w:top w:val="none" w:sz="0" w:space="0" w:color="auto"/>
            <w:left w:val="none" w:sz="0" w:space="0" w:color="auto"/>
            <w:bottom w:val="none" w:sz="0" w:space="0" w:color="auto"/>
            <w:right w:val="none" w:sz="0" w:space="0" w:color="auto"/>
          </w:divBdr>
        </w:div>
        <w:div w:id="139924372">
          <w:marLeft w:val="300"/>
          <w:marRight w:val="0"/>
          <w:marTop w:val="0"/>
          <w:marBottom w:val="0"/>
          <w:divBdr>
            <w:top w:val="none" w:sz="0" w:space="0" w:color="auto"/>
            <w:left w:val="none" w:sz="0" w:space="0" w:color="auto"/>
            <w:bottom w:val="none" w:sz="0" w:space="0" w:color="auto"/>
            <w:right w:val="none" w:sz="0" w:space="0" w:color="auto"/>
          </w:divBdr>
        </w:div>
      </w:divsChild>
    </w:div>
    <w:div w:id="393818984">
      <w:bodyDiv w:val="1"/>
      <w:marLeft w:val="0"/>
      <w:marRight w:val="0"/>
      <w:marTop w:val="0"/>
      <w:marBottom w:val="0"/>
      <w:divBdr>
        <w:top w:val="none" w:sz="0" w:space="0" w:color="auto"/>
        <w:left w:val="none" w:sz="0" w:space="0" w:color="auto"/>
        <w:bottom w:val="none" w:sz="0" w:space="0" w:color="auto"/>
        <w:right w:val="none" w:sz="0" w:space="0" w:color="auto"/>
      </w:divBdr>
      <w:divsChild>
        <w:div w:id="1062216105">
          <w:marLeft w:val="0"/>
          <w:marRight w:val="0"/>
          <w:marTop w:val="0"/>
          <w:marBottom w:val="0"/>
          <w:divBdr>
            <w:top w:val="none" w:sz="0" w:space="0" w:color="auto"/>
            <w:left w:val="none" w:sz="0" w:space="0" w:color="auto"/>
            <w:bottom w:val="none" w:sz="0" w:space="0" w:color="auto"/>
            <w:right w:val="none" w:sz="0" w:space="0" w:color="auto"/>
          </w:divBdr>
        </w:div>
        <w:div w:id="1334721494">
          <w:marLeft w:val="0"/>
          <w:marRight w:val="0"/>
          <w:marTop w:val="0"/>
          <w:marBottom w:val="0"/>
          <w:divBdr>
            <w:top w:val="none" w:sz="0" w:space="0" w:color="auto"/>
            <w:left w:val="none" w:sz="0" w:space="0" w:color="auto"/>
            <w:bottom w:val="none" w:sz="0" w:space="0" w:color="auto"/>
            <w:right w:val="none" w:sz="0" w:space="0" w:color="auto"/>
          </w:divBdr>
        </w:div>
        <w:div w:id="708141005">
          <w:marLeft w:val="0"/>
          <w:marRight w:val="0"/>
          <w:marTop w:val="0"/>
          <w:marBottom w:val="0"/>
          <w:divBdr>
            <w:top w:val="none" w:sz="0" w:space="0" w:color="auto"/>
            <w:left w:val="none" w:sz="0" w:space="0" w:color="auto"/>
            <w:bottom w:val="none" w:sz="0" w:space="0" w:color="auto"/>
            <w:right w:val="none" w:sz="0" w:space="0" w:color="auto"/>
          </w:divBdr>
        </w:div>
        <w:div w:id="1791321229">
          <w:marLeft w:val="0"/>
          <w:marRight w:val="0"/>
          <w:marTop w:val="0"/>
          <w:marBottom w:val="0"/>
          <w:divBdr>
            <w:top w:val="none" w:sz="0" w:space="0" w:color="auto"/>
            <w:left w:val="none" w:sz="0" w:space="0" w:color="auto"/>
            <w:bottom w:val="none" w:sz="0" w:space="0" w:color="auto"/>
            <w:right w:val="none" w:sz="0" w:space="0" w:color="auto"/>
          </w:divBdr>
        </w:div>
      </w:divsChild>
    </w:div>
    <w:div w:id="429281515">
      <w:bodyDiv w:val="1"/>
      <w:marLeft w:val="0"/>
      <w:marRight w:val="0"/>
      <w:marTop w:val="0"/>
      <w:marBottom w:val="0"/>
      <w:divBdr>
        <w:top w:val="none" w:sz="0" w:space="0" w:color="auto"/>
        <w:left w:val="none" w:sz="0" w:space="0" w:color="auto"/>
        <w:bottom w:val="none" w:sz="0" w:space="0" w:color="auto"/>
        <w:right w:val="none" w:sz="0" w:space="0" w:color="auto"/>
      </w:divBdr>
      <w:divsChild>
        <w:div w:id="565726975">
          <w:marLeft w:val="0"/>
          <w:marRight w:val="0"/>
          <w:marTop w:val="150"/>
          <w:marBottom w:val="168"/>
          <w:divBdr>
            <w:top w:val="none" w:sz="0" w:space="0" w:color="auto"/>
            <w:left w:val="none" w:sz="0" w:space="0" w:color="auto"/>
            <w:bottom w:val="none" w:sz="0" w:space="0" w:color="auto"/>
            <w:right w:val="none" w:sz="0" w:space="0" w:color="auto"/>
          </w:divBdr>
        </w:div>
        <w:div w:id="725953753">
          <w:marLeft w:val="0"/>
          <w:marRight w:val="0"/>
          <w:marTop w:val="0"/>
          <w:marBottom w:val="0"/>
          <w:divBdr>
            <w:top w:val="none" w:sz="0" w:space="0" w:color="auto"/>
            <w:left w:val="none" w:sz="0" w:space="0" w:color="auto"/>
            <w:bottom w:val="none" w:sz="0" w:space="0" w:color="auto"/>
            <w:right w:val="none" w:sz="0" w:space="0" w:color="auto"/>
          </w:divBdr>
        </w:div>
      </w:divsChild>
    </w:div>
    <w:div w:id="565802698">
      <w:bodyDiv w:val="1"/>
      <w:marLeft w:val="0"/>
      <w:marRight w:val="0"/>
      <w:marTop w:val="0"/>
      <w:marBottom w:val="0"/>
      <w:divBdr>
        <w:top w:val="none" w:sz="0" w:space="0" w:color="auto"/>
        <w:left w:val="none" w:sz="0" w:space="0" w:color="auto"/>
        <w:bottom w:val="none" w:sz="0" w:space="0" w:color="auto"/>
        <w:right w:val="none" w:sz="0" w:space="0" w:color="auto"/>
      </w:divBdr>
    </w:div>
    <w:div w:id="761341351">
      <w:bodyDiv w:val="1"/>
      <w:marLeft w:val="0"/>
      <w:marRight w:val="0"/>
      <w:marTop w:val="0"/>
      <w:marBottom w:val="0"/>
      <w:divBdr>
        <w:top w:val="none" w:sz="0" w:space="0" w:color="auto"/>
        <w:left w:val="none" w:sz="0" w:space="0" w:color="auto"/>
        <w:bottom w:val="none" w:sz="0" w:space="0" w:color="auto"/>
        <w:right w:val="none" w:sz="0" w:space="0" w:color="auto"/>
      </w:divBdr>
    </w:div>
    <w:div w:id="1223516084">
      <w:bodyDiv w:val="1"/>
      <w:marLeft w:val="0"/>
      <w:marRight w:val="0"/>
      <w:marTop w:val="0"/>
      <w:marBottom w:val="0"/>
      <w:divBdr>
        <w:top w:val="none" w:sz="0" w:space="0" w:color="auto"/>
        <w:left w:val="none" w:sz="0" w:space="0" w:color="auto"/>
        <w:bottom w:val="none" w:sz="0" w:space="0" w:color="auto"/>
        <w:right w:val="none" w:sz="0" w:space="0" w:color="auto"/>
      </w:divBdr>
      <w:divsChild>
        <w:div w:id="1946765048">
          <w:marLeft w:val="300"/>
          <w:marRight w:val="0"/>
          <w:marTop w:val="0"/>
          <w:marBottom w:val="0"/>
          <w:divBdr>
            <w:top w:val="none" w:sz="0" w:space="0" w:color="auto"/>
            <w:left w:val="none" w:sz="0" w:space="0" w:color="auto"/>
            <w:bottom w:val="none" w:sz="0" w:space="0" w:color="auto"/>
            <w:right w:val="none" w:sz="0" w:space="0" w:color="auto"/>
          </w:divBdr>
        </w:div>
        <w:div w:id="581723327">
          <w:marLeft w:val="300"/>
          <w:marRight w:val="0"/>
          <w:marTop w:val="0"/>
          <w:marBottom w:val="0"/>
          <w:divBdr>
            <w:top w:val="none" w:sz="0" w:space="0" w:color="auto"/>
            <w:left w:val="none" w:sz="0" w:space="0" w:color="auto"/>
            <w:bottom w:val="none" w:sz="0" w:space="0" w:color="auto"/>
            <w:right w:val="none" w:sz="0" w:space="0" w:color="auto"/>
          </w:divBdr>
        </w:div>
        <w:div w:id="423035214">
          <w:marLeft w:val="300"/>
          <w:marRight w:val="0"/>
          <w:marTop w:val="0"/>
          <w:marBottom w:val="0"/>
          <w:divBdr>
            <w:top w:val="none" w:sz="0" w:space="0" w:color="auto"/>
            <w:left w:val="none" w:sz="0" w:space="0" w:color="auto"/>
            <w:bottom w:val="none" w:sz="0" w:space="0" w:color="auto"/>
            <w:right w:val="none" w:sz="0" w:space="0" w:color="auto"/>
          </w:divBdr>
        </w:div>
        <w:div w:id="339508435">
          <w:marLeft w:val="300"/>
          <w:marRight w:val="0"/>
          <w:marTop w:val="0"/>
          <w:marBottom w:val="0"/>
          <w:divBdr>
            <w:top w:val="none" w:sz="0" w:space="0" w:color="auto"/>
            <w:left w:val="none" w:sz="0" w:space="0" w:color="auto"/>
            <w:bottom w:val="none" w:sz="0" w:space="0" w:color="auto"/>
            <w:right w:val="none" w:sz="0" w:space="0" w:color="auto"/>
          </w:divBdr>
        </w:div>
      </w:divsChild>
    </w:div>
    <w:div w:id="1479112204">
      <w:bodyDiv w:val="1"/>
      <w:marLeft w:val="0"/>
      <w:marRight w:val="0"/>
      <w:marTop w:val="0"/>
      <w:marBottom w:val="0"/>
      <w:divBdr>
        <w:top w:val="none" w:sz="0" w:space="0" w:color="auto"/>
        <w:left w:val="none" w:sz="0" w:space="0" w:color="auto"/>
        <w:bottom w:val="none" w:sz="0" w:space="0" w:color="auto"/>
        <w:right w:val="none" w:sz="0" w:space="0" w:color="auto"/>
      </w:divBdr>
    </w:div>
    <w:div w:id="1548377355">
      <w:bodyDiv w:val="1"/>
      <w:marLeft w:val="0"/>
      <w:marRight w:val="0"/>
      <w:marTop w:val="0"/>
      <w:marBottom w:val="0"/>
      <w:divBdr>
        <w:top w:val="none" w:sz="0" w:space="0" w:color="auto"/>
        <w:left w:val="none" w:sz="0" w:space="0" w:color="auto"/>
        <w:bottom w:val="none" w:sz="0" w:space="0" w:color="auto"/>
        <w:right w:val="none" w:sz="0" w:space="0" w:color="auto"/>
      </w:divBdr>
      <w:divsChild>
        <w:div w:id="138697240">
          <w:marLeft w:val="0"/>
          <w:marRight w:val="0"/>
          <w:marTop w:val="0"/>
          <w:marBottom w:val="0"/>
          <w:divBdr>
            <w:top w:val="none" w:sz="0" w:space="0" w:color="auto"/>
            <w:left w:val="none" w:sz="0" w:space="0" w:color="auto"/>
            <w:bottom w:val="none" w:sz="0" w:space="0" w:color="auto"/>
            <w:right w:val="none" w:sz="0" w:space="0" w:color="auto"/>
          </w:divBdr>
          <w:divsChild>
            <w:div w:id="1436750409">
              <w:marLeft w:val="0"/>
              <w:marRight w:val="0"/>
              <w:marTop w:val="0"/>
              <w:marBottom w:val="0"/>
              <w:divBdr>
                <w:top w:val="none" w:sz="0" w:space="0" w:color="auto"/>
                <w:left w:val="none" w:sz="0" w:space="0" w:color="auto"/>
                <w:bottom w:val="none" w:sz="0" w:space="0" w:color="auto"/>
                <w:right w:val="none" w:sz="0" w:space="0" w:color="auto"/>
              </w:divBdr>
              <w:divsChild>
                <w:div w:id="2096825146">
                  <w:marLeft w:val="0"/>
                  <w:marRight w:val="0"/>
                  <w:marTop w:val="0"/>
                  <w:marBottom w:val="0"/>
                  <w:divBdr>
                    <w:top w:val="none" w:sz="0" w:space="0" w:color="auto"/>
                    <w:left w:val="none" w:sz="0" w:space="0" w:color="auto"/>
                    <w:bottom w:val="none" w:sz="0" w:space="0" w:color="auto"/>
                    <w:right w:val="none" w:sz="0" w:space="0" w:color="auto"/>
                  </w:divBdr>
                  <w:divsChild>
                    <w:div w:id="1329405841">
                      <w:marLeft w:val="0"/>
                      <w:marRight w:val="0"/>
                      <w:marTop w:val="0"/>
                      <w:marBottom w:val="0"/>
                      <w:divBdr>
                        <w:top w:val="none" w:sz="0" w:space="0" w:color="auto"/>
                        <w:left w:val="none" w:sz="0" w:space="0" w:color="auto"/>
                        <w:bottom w:val="none" w:sz="0" w:space="0" w:color="auto"/>
                        <w:right w:val="none" w:sz="0" w:space="0" w:color="auto"/>
                      </w:divBdr>
                      <w:divsChild>
                        <w:div w:id="414714759">
                          <w:marLeft w:val="0"/>
                          <w:marRight w:val="0"/>
                          <w:marTop w:val="0"/>
                          <w:marBottom w:val="0"/>
                          <w:divBdr>
                            <w:top w:val="none" w:sz="0" w:space="0" w:color="auto"/>
                            <w:left w:val="none" w:sz="0" w:space="0" w:color="auto"/>
                            <w:bottom w:val="none" w:sz="0" w:space="0" w:color="auto"/>
                            <w:right w:val="none" w:sz="0" w:space="0" w:color="auto"/>
                          </w:divBdr>
                          <w:divsChild>
                            <w:div w:id="565576017">
                              <w:marLeft w:val="0"/>
                              <w:marRight w:val="0"/>
                              <w:marTop w:val="0"/>
                              <w:marBottom w:val="0"/>
                              <w:divBdr>
                                <w:top w:val="none" w:sz="0" w:space="0" w:color="auto"/>
                                <w:left w:val="none" w:sz="0" w:space="0" w:color="auto"/>
                                <w:bottom w:val="none" w:sz="0" w:space="0" w:color="auto"/>
                                <w:right w:val="none" w:sz="0" w:space="0" w:color="auto"/>
                              </w:divBdr>
                              <w:divsChild>
                                <w:div w:id="380792087">
                                  <w:marLeft w:val="0"/>
                                  <w:marRight w:val="0"/>
                                  <w:marTop w:val="0"/>
                                  <w:marBottom w:val="0"/>
                                  <w:divBdr>
                                    <w:top w:val="none" w:sz="0" w:space="0" w:color="auto"/>
                                    <w:left w:val="none" w:sz="0" w:space="0" w:color="auto"/>
                                    <w:bottom w:val="none" w:sz="0" w:space="0" w:color="auto"/>
                                    <w:right w:val="none" w:sz="0" w:space="0" w:color="auto"/>
                                  </w:divBdr>
                                  <w:divsChild>
                                    <w:div w:id="1370639930">
                                      <w:marLeft w:val="0"/>
                                      <w:marRight w:val="0"/>
                                      <w:marTop w:val="0"/>
                                      <w:marBottom w:val="0"/>
                                      <w:divBdr>
                                        <w:top w:val="none" w:sz="0" w:space="0" w:color="auto"/>
                                        <w:left w:val="none" w:sz="0" w:space="0" w:color="auto"/>
                                        <w:bottom w:val="none" w:sz="0" w:space="0" w:color="auto"/>
                                        <w:right w:val="none" w:sz="0" w:space="0" w:color="auto"/>
                                      </w:divBdr>
                                      <w:divsChild>
                                        <w:div w:id="1382171238">
                                          <w:marLeft w:val="0"/>
                                          <w:marRight w:val="0"/>
                                          <w:marTop w:val="0"/>
                                          <w:marBottom w:val="0"/>
                                          <w:divBdr>
                                            <w:top w:val="none" w:sz="0" w:space="0" w:color="auto"/>
                                            <w:left w:val="none" w:sz="0" w:space="0" w:color="auto"/>
                                            <w:bottom w:val="none" w:sz="0" w:space="0" w:color="auto"/>
                                            <w:right w:val="none" w:sz="0" w:space="0" w:color="auto"/>
                                          </w:divBdr>
                                          <w:divsChild>
                                            <w:div w:id="2002389555">
                                              <w:marLeft w:val="0"/>
                                              <w:marRight w:val="0"/>
                                              <w:marTop w:val="0"/>
                                              <w:marBottom w:val="0"/>
                                              <w:divBdr>
                                                <w:top w:val="none" w:sz="0" w:space="0" w:color="auto"/>
                                                <w:left w:val="none" w:sz="0" w:space="0" w:color="auto"/>
                                                <w:bottom w:val="none" w:sz="0" w:space="0" w:color="auto"/>
                                                <w:right w:val="none" w:sz="0" w:space="0" w:color="auto"/>
                                              </w:divBdr>
                                              <w:divsChild>
                                                <w:div w:id="2023627521">
                                                  <w:marLeft w:val="0"/>
                                                  <w:marRight w:val="0"/>
                                                  <w:marTop w:val="0"/>
                                                  <w:marBottom w:val="0"/>
                                                  <w:divBdr>
                                                    <w:top w:val="none" w:sz="0" w:space="0" w:color="auto"/>
                                                    <w:left w:val="none" w:sz="0" w:space="0" w:color="auto"/>
                                                    <w:bottom w:val="none" w:sz="0" w:space="0" w:color="auto"/>
                                                    <w:right w:val="none" w:sz="0" w:space="0" w:color="auto"/>
                                                  </w:divBdr>
                                                  <w:divsChild>
                                                    <w:div w:id="1940941067">
                                                      <w:marLeft w:val="0"/>
                                                      <w:marRight w:val="0"/>
                                                      <w:marTop w:val="0"/>
                                                      <w:marBottom w:val="0"/>
                                                      <w:divBdr>
                                                        <w:top w:val="none" w:sz="0" w:space="0" w:color="auto"/>
                                                        <w:left w:val="none" w:sz="0" w:space="0" w:color="auto"/>
                                                        <w:bottom w:val="none" w:sz="0" w:space="0" w:color="auto"/>
                                                        <w:right w:val="none" w:sz="0" w:space="0" w:color="auto"/>
                                                      </w:divBdr>
                                                      <w:divsChild>
                                                        <w:div w:id="2131823148">
                                                          <w:marLeft w:val="0"/>
                                                          <w:marRight w:val="0"/>
                                                          <w:marTop w:val="0"/>
                                                          <w:marBottom w:val="0"/>
                                                          <w:divBdr>
                                                            <w:top w:val="none" w:sz="0" w:space="0" w:color="auto"/>
                                                            <w:left w:val="none" w:sz="0" w:space="0" w:color="auto"/>
                                                            <w:bottom w:val="none" w:sz="0" w:space="0" w:color="auto"/>
                                                            <w:right w:val="none" w:sz="0" w:space="0" w:color="auto"/>
                                                          </w:divBdr>
                                                        </w:div>
                                                        <w:div w:id="187529455">
                                                          <w:marLeft w:val="0"/>
                                                          <w:marRight w:val="0"/>
                                                          <w:marTop w:val="0"/>
                                                          <w:marBottom w:val="0"/>
                                                          <w:divBdr>
                                                            <w:top w:val="none" w:sz="0" w:space="0" w:color="auto"/>
                                                            <w:left w:val="none" w:sz="0" w:space="0" w:color="auto"/>
                                                            <w:bottom w:val="none" w:sz="0" w:space="0" w:color="auto"/>
                                                            <w:right w:val="none" w:sz="0" w:space="0" w:color="auto"/>
                                                          </w:divBdr>
                                                          <w:divsChild>
                                                            <w:div w:id="1922792794">
                                                              <w:marLeft w:val="0"/>
                                                              <w:marRight w:val="0"/>
                                                              <w:marTop w:val="0"/>
                                                              <w:marBottom w:val="0"/>
                                                              <w:divBdr>
                                                                <w:top w:val="none" w:sz="0" w:space="0" w:color="auto"/>
                                                                <w:left w:val="none" w:sz="0" w:space="0" w:color="auto"/>
                                                                <w:bottom w:val="none" w:sz="0" w:space="0" w:color="auto"/>
                                                                <w:right w:val="none" w:sz="0" w:space="0" w:color="auto"/>
                                                              </w:divBdr>
                                                              <w:divsChild>
                                                                <w:div w:id="9705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79524">
                                                          <w:marLeft w:val="0"/>
                                                          <w:marRight w:val="0"/>
                                                          <w:marTop w:val="0"/>
                                                          <w:marBottom w:val="0"/>
                                                          <w:divBdr>
                                                            <w:top w:val="none" w:sz="0" w:space="0" w:color="auto"/>
                                                            <w:left w:val="none" w:sz="0" w:space="0" w:color="auto"/>
                                                            <w:bottom w:val="none" w:sz="0" w:space="0" w:color="auto"/>
                                                            <w:right w:val="none" w:sz="0" w:space="0" w:color="auto"/>
                                                          </w:divBdr>
                                                          <w:divsChild>
                                                            <w:div w:id="1716656484">
                                                              <w:marLeft w:val="0"/>
                                                              <w:marRight w:val="0"/>
                                                              <w:marTop w:val="0"/>
                                                              <w:marBottom w:val="0"/>
                                                              <w:divBdr>
                                                                <w:top w:val="none" w:sz="0" w:space="0" w:color="auto"/>
                                                                <w:left w:val="none" w:sz="0" w:space="0" w:color="auto"/>
                                                                <w:bottom w:val="none" w:sz="0" w:space="0" w:color="auto"/>
                                                                <w:right w:val="none" w:sz="0" w:space="0" w:color="auto"/>
                                                              </w:divBdr>
                                                              <w:divsChild>
                                                                <w:div w:id="3815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446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uke.gov.pl/obszary-z-urzadzeniami-pomiarowymi-uke-13174" TargetMode="External"/><Relationship Id="rId4" Type="http://schemas.openxmlformats.org/officeDocument/2006/relationships/styles" Target="styles.xml"/><Relationship Id="rId9" Type="http://schemas.openxmlformats.org/officeDocument/2006/relationships/hyperlink" Target="http://lex.mac.local/lex/index.rp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ewandowski\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A10931-9400-429B-8F7D-E9C145D7B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75</Pages>
  <Words>23253</Words>
  <Characters>139518</Characters>
  <Application>Microsoft Office Word</Application>
  <DocSecurity>0</DocSecurity>
  <Lines>1162</Lines>
  <Paragraphs>324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162447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Lewandowski Mariusz</dc:creator>
  <cp:lastModifiedBy>Wojtachnio Łukasz</cp:lastModifiedBy>
  <cp:revision>2</cp:revision>
  <cp:lastPrinted>2018-11-08T13:42:00Z</cp:lastPrinted>
  <dcterms:created xsi:type="dcterms:W3CDTF">2018-12-13T13:51:00Z</dcterms:created>
  <dcterms:modified xsi:type="dcterms:W3CDTF">2018-12-13T13:51:00Z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