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8B" w:rsidRPr="00F15BA4" w:rsidRDefault="00071B8B" w:rsidP="00F15BA4">
      <w:pPr>
        <w:pStyle w:val="NormalnyWeb"/>
        <w:spacing w:before="240" w:beforeAutospacing="0" w:after="0" w:afterAutospacing="0"/>
        <w:ind w:left="284" w:hanging="284"/>
        <w:jc w:val="both"/>
        <w:rPr>
          <w:rFonts w:asciiTheme="minorHAnsi" w:hAnsiTheme="minorHAnsi"/>
          <w:b/>
          <w:bCs/>
          <w:sz w:val="28"/>
          <w:szCs w:val="28"/>
        </w:rPr>
      </w:pPr>
      <w:r w:rsidRPr="00F15BA4">
        <w:rPr>
          <w:rFonts w:asciiTheme="minorHAnsi" w:hAnsiTheme="minorHAnsi"/>
          <w:b/>
          <w:bCs/>
          <w:sz w:val="28"/>
          <w:szCs w:val="28"/>
        </w:rPr>
        <w:t xml:space="preserve">Kryteria oceny wniosków i </w:t>
      </w:r>
      <w:r w:rsidR="00F15BA4">
        <w:rPr>
          <w:rFonts w:asciiTheme="minorHAnsi" w:hAnsiTheme="minorHAnsi"/>
          <w:b/>
          <w:bCs/>
          <w:sz w:val="28"/>
          <w:szCs w:val="28"/>
        </w:rPr>
        <w:t>wyboru podmiotów utylizacyjnych</w:t>
      </w:r>
    </w:p>
    <w:p w:rsidR="00F15BA4" w:rsidRPr="00F15BA4" w:rsidRDefault="00F15BA4" w:rsidP="00F15BA4">
      <w:pPr>
        <w:pStyle w:val="Akapitzlist"/>
        <w:numPr>
          <w:ilvl w:val="1"/>
          <w:numId w:val="8"/>
        </w:numPr>
        <w:spacing w:before="240"/>
        <w:jc w:val="both"/>
        <w:rPr>
          <w:rFonts w:asciiTheme="minorHAnsi" w:hAnsiTheme="minorHAnsi"/>
          <w:b/>
        </w:rPr>
      </w:pPr>
      <w:r w:rsidRPr="00F15BA4">
        <w:rPr>
          <w:rFonts w:asciiTheme="minorHAnsi" w:hAnsiTheme="minorHAnsi"/>
          <w:b/>
        </w:rPr>
        <w:t>Kryteria oceny wniosków i wyboru podmiotów</w:t>
      </w:r>
    </w:p>
    <w:p w:rsidR="00991564" w:rsidRDefault="00991564" w:rsidP="00071B8B">
      <w:pPr>
        <w:pStyle w:val="Akapitzlist"/>
        <w:spacing w:before="240"/>
        <w:ind w:left="0"/>
        <w:jc w:val="both"/>
        <w:rPr>
          <w:rFonts w:asciiTheme="minorHAnsi" w:hAnsiTheme="minorHAnsi"/>
          <w:b/>
        </w:rPr>
      </w:pPr>
    </w:p>
    <w:p w:rsidR="00071B8B" w:rsidRDefault="00071B8B" w:rsidP="00071B8B">
      <w:pPr>
        <w:pStyle w:val="Akapitzlist"/>
        <w:spacing w:before="240"/>
        <w:ind w:left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1.1.1  Zasady oceny formalnej i</w:t>
      </w:r>
      <w:r w:rsidR="00F15BA4">
        <w:rPr>
          <w:rFonts w:asciiTheme="minorHAnsi" w:hAnsiTheme="minorHAnsi"/>
          <w:b/>
        </w:rPr>
        <w:t xml:space="preserve"> merytorycznej wniosków</w:t>
      </w:r>
    </w:p>
    <w:p w:rsidR="00071B8B" w:rsidRDefault="00071B8B" w:rsidP="00071B8B">
      <w:pPr>
        <w:pStyle w:val="Normalny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Weryfikacja formalna złożonych wniosków będzie dotyczyła sprawdzenia kompletności i terminowości złożonych wniosków zgodnie z wymogami określonymi w ww. rozporządzeniu Rady Ministrów. </w:t>
      </w:r>
    </w:p>
    <w:p w:rsidR="00071B8B" w:rsidRDefault="00071B8B" w:rsidP="00071B8B">
      <w:pPr>
        <w:pStyle w:val="Akapitzlist"/>
        <w:spacing w:before="12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Wnioski nie spełniające kryteriów określonych w rozporządzeniu Rady Ministrów z dnia 27 stycznia </w:t>
      </w:r>
      <w:r>
        <w:rPr>
          <w:rFonts w:asciiTheme="minorHAnsi" w:hAnsiTheme="minorHAnsi"/>
          <w:sz w:val="22"/>
          <w:szCs w:val="22"/>
        </w:rPr>
        <w:br/>
        <w:t>2015 r. nie będą rozpatrywane.</w:t>
      </w:r>
    </w:p>
    <w:p w:rsidR="00071B8B" w:rsidRDefault="00071B8B" w:rsidP="00071B8B">
      <w:pPr>
        <w:pStyle w:val="Akapitzlist"/>
        <w:spacing w:before="12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Weryfikacja merytoryczna i rachunkowa obejmie w szczególności zgodność oferowanych cen usług z określonymi w rozporządzeniu, analizę wielkości planowanego do realizacji zakresu rzeczowego w porównaniu do prognozy ustalonej przez Agencję oraz poprawność wyliczenia wnioskowanej kwoty limitu środków.</w:t>
      </w:r>
    </w:p>
    <w:p w:rsidR="00071B8B" w:rsidRDefault="00071B8B" w:rsidP="00071B8B">
      <w:pPr>
        <w:pStyle w:val="Akapitzlist"/>
        <w:spacing w:before="120"/>
        <w:ind w:left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t xml:space="preserve">W przypadku stwierdzenia nieprawidłowości lub konieczności złożenia dodatkowych wyjaśnień, Agencja pisemnie wskaże ich zakres oraz termin i sposób ich złożenia. Nieuzupełnienie wniosku lub nie złożenie wyjaśnień w wyznaczonym terminie spowoduje pozostawienie go bez rozpatrzenia. </w:t>
      </w:r>
    </w:p>
    <w:p w:rsidR="00071B8B" w:rsidRDefault="00071B8B" w:rsidP="00071B8B">
      <w:pPr>
        <w:pStyle w:val="NormalnyWeb"/>
        <w:spacing w:before="240" w:beforeAutospacing="0" w:after="0" w:afterAutospacing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1.1.2  Kryteria oceny wniosków o finansowanie lub dofinansowanie.</w:t>
      </w:r>
    </w:p>
    <w:p w:rsidR="00071B8B" w:rsidRDefault="00071B8B" w:rsidP="00071B8B">
      <w:pPr>
        <w:pStyle w:val="Normalny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Wnioski po stwierdzeniu ich formalnej i merytorycznej kompletności oraz poprawności, zostaną w odniesieniu do ofert dotyczących poszczególnych województw ocenione i uszeregowane według malejącej ilości uzyskanych punktów, zgodnie z poniższymi kryteriami:</w:t>
      </w:r>
    </w:p>
    <w:p w:rsidR="00071B8B" w:rsidRDefault="00071B8B" w:rsidP="001A0E80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Cena – największy </w:t>
      </w:r>
      <w:r>
        <w:rPr>
          <w:rFonts w:asciiTheme="minorHAnsi" w:hAnsiTheme="minorHAnsi"/>
          <w:bCs/>
          <w:sz w:val="22"/>
          <w:szCs w:val="22"/>
        </w:rPr>
        <w:t>wskaźnik średniej ważonej ilorazu</w:t>
      </w:r>
      <w:r>
        <w:rPr>
          <w:rFonts w:asciiTheme="minorHAnsi" w:hAnsiTheme="minorHAnsi"/>
          <w:b/>
          <w:bCs/>
          <w:sz w:val="16"/>
          <w:szCs w:val="16"/>
        </w:rPr>
        <w:t xml:space="preserve">  </w:t>
      </w:r>
      <w:r>
        <w:rPr>
          <w:rFonts w:asciiTheme="minorHAnsi" w:hAnsiTheme="minorHAnsi"/>
          <w:bCs/>
          <w:sz w:val="22"/>
          <w:szCs w:val="22"/>
        </w:rPr>
        <w:t xml:space="preserve">różnicy ceny maksymalnej i oferowanej do ceny maksymalnej </w:t>
      </w:r>
      <w:r>
        <w:rPr>
          <w:rFonts w:asciiTheme="minorHAnsi" w:hAnsiTheme="minorHAnsi"/>
          <w:sz w:val="22"/>
          <w:szCs w:val="22"/>
        </w:rPr>
        <w:t>w kategoriach gatunkowych i wagowych dla oferowanego województwa (waga 60%),</w:t>
      </w:r>
    </w:p>
    <w:p w:rsidR="00071B8B" w:rsidRDefault="00071B8B" w:rsidP="001A0E80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Zakres rzeczowy – największy procentowy oferowany zakres rzeczowy do prognozowanego dla województwa (waga 30%),</w:t>
      </w:r>
    </w:p>
    <w:p w:rsidR="00071B8B" w:rsidRDefault="00071B8B" w:rsidP="001A0E80">
      <w:pPr>
        <w:pStyle w:val="Akapitzlist"/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  <w:u w:val="single"/>
        </w:rPr>
        <w:t>Uwaga</w:t>
      </w:r>
      <w:r>
        <w:rPr>
          <w:rFonts w:asciiTheme="minorHAnsi" w:hAnsiTheme="minorHAnsi"/>
          <w:i/>
          <w:sz w:val="22"/>
          <w:szCs w:val="22"/>
        </w:rPr>
        <w:t xml:space="preserve">: W przypadku jeżeli zakres rzeczowy przedstawiony we wniosku będzie większy od rocznego zakresu oszacowanego na podstawie prognozy rocznego wykonania sporządzonej na podstawie rzeczywistych danych o liczbie sztuk przedstawionych do finansowania lub dofinansowania za okres od miesiąca lipca roku poprzedzającego ogłoszenie naboru do miesiąca czerwca roku w którym został ogłoszony nabór , Agencja do oceny oferty przyjmie zakres wynikający z prognozy. </w:t>
      </w:r>
    </w:p>
    <w:p w:rsidR="00071B8B" w:rsidRDefault="00071B8B" w:rsidP="001A0E80">
      <w:pPr>
        <w:pStyle w:val="Akapitzlist"/>
        <w:tabs>
          <w:tab w:val="left" w:pos="426"/>
        </w:tabs>
        <w:spacing w:before="120" w:after="120"/>
        <w:ind w:left="426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W przypadku zawierania umów z podmiotami utylizacyjnymi które w trakcie ww. okresu rozpoczęły współpracę w ramach programu (dotyczy np.: cesji praw i obowiązków wynikających z podpisanych w ramach naboru umów o współpracy), Agencja wyliczy prognozę rocznego wykonania zakresu rzeczowego na podstawie iloczynu średniej miesięcznej liczby zebranych zwierząt wyliczonej dla pełnych, zakończonych miesięcy w okresie od miesiąca lipca roku poprzedzającego ogłoszenie naboru do miesiąca czerwca roku w którym został ogłoszony nabór i liczby 12.  </w:t>
      </w:r>
    </w:p>
    <w:p w:rsidR="00071B8B" w:rsidRDefault="00071B8B" w:rsidP="001A0E80">
      <w:pPr>
        <w:pStyle w:val="Akapitzlist"/>
        <w:tabs>
          <w:tab w:val="left" w:pos="426"/>
        </w:tabs>
        <w:spacing w:before="120" w:after="120"/>
        <w:ind w:left="426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W przypadku podmiotów utylizacyjnych, które w okresie od miesiąca lipca roku poprzedzającego ogłoszenie naboru do miesiąca czerwca roku, w którym został ogłoszony nabór nie współpracowały w tym zakresie z Agencją przyjmowany będzie prognozowany zakres rzeczowy do 5% liczby prognozowanych upadków w tym województwie.</w:t>
      </w:r>
    </w:p>
    <w:p w:rsidR="00071B8B" w:rsidRDefault="00071B8B" w:rsidP="001A0E80">
      <w:pPr>
        <w:pStyle w:val="Akapitzlist"/>
        <w:tabs>
          <w:tab w:val="left" w:pos="426"/>
        </w:tabs>
        <w:spacing w:before="120" w:after="120"/>
        <w:ind w:left="426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W przypadku podmiotów utylizacyjnych współpracujących z Agencją i rozpoczynających działalność na terenie nowych województw na rok, na który ogłoszono nabór,  jako prognozowane wykonanie jest przyjmowane „0” z możliwością akceptacji zakresu do 5% liczby prognozowanych upadków w tym województwie.</w:t>
      </w:r>
    </w:p>
    <w:p w:rsidR="00071B8B" w:rsidRDefault="00071B8B" w:rsidP="001A0E80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Lokalizacja zakładu na terenie województwa, którego dotyczy oferta (waga 10%);</w:t>
      </w:r>
    </w:p>
    <w:p w:rsidR="00071B8B" w:rsidRDefault="00071B8B" w:rsidP="001A0E80">
      <w:pPr>
        <w:pStyle w:val="Akapitzlist"/>
        <w:spacing w:before="120" w:after="12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071B8B" w:rsidRDefault="00071B8B" w:rsidP="00071B8B">
      <w:pPr>
        <w:pStyle w:val="Akapitzlist"/>
        <w:spacing w:before="12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Oferty zostaną uszeregowane od największej do najmniejszej uzyskanej liczby punktów wyliczonych ze wzoru: </w:t>
      </w:r>
    </w:p>
    <w:p w:rsidR="00071B8B" w:rsidRDefault="00071B8B" w:rsidP="00071B8B">
      <w:pPr>
        <w:spacing w:before="1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 = WŚWI x 60% + ZRZ x 30% + L x 10%</w:t>
      </w:r>
    </w:p>
    <w:p w:rsidR="00071B8B" w:rsidRDefault="00071B8B" w:rsidP="00071B8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Gdzie:</w:t>
      </w:r>
    </w:p>
    <w:p w:rsidR="00071B8B" w:rsidRDefault="00071B8B" w:rsidP="00071B8B">
      <w:pPr>
        <w:pStyle w:val="Akapitzlist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 – uzyskana liczba punktów,</w:t>
      </w:r>
    </w:p>
    <w:p w:rsidR="00071B8B" w:rsidRDefault="00071B8B" w:rsidP="00071B8B">
      <w:pPr>
        <w:pStyle w:val="Akapitzlist"/>
        <w:numPr>
          <w:ilvl w:val="1"/>
          <w:numId w:val="3"/>
        </w:numPr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WŚWI</w:t>
      </w:r>
      <w:r>
        <w:rPr>
          <w:rFonts w:asciiTheme="minorHAnsi" w:hAnsiTheme="minorHAnsi"/>
          <w:sz w:val="22"/>
          <w:szCs w:val="22"/>
        </w:rPr>
        <w:t xml:space="preserve"> – wskaźnik średniej ważonej ilorazu ceny wyliczony wg wzoru określonego w tabeli:</w:t>
      </w:r>
    </w:p>
    <w:tbl>
      <w:tblPr>
        <w:tblW w:w="1020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92"/>
        <w:gridCol w:w="877"/>
        <w:gridCol w:w="888"/>
        <w:gridCol w:w="709"/>
        <w:gridCol w:w="982"/>
        <w:gridCol w:w="991"/>
        <w:gridCol w:w="709"/>
        <w:gridCol w:w="709"/>
        <w:gridCol w:w="991"/>
        <w:gridCol w:w="567"/>
        <w:gridCol w:w="850"/>
      </w:tblGrid>
      <w:tr w:rsidR="00071B8B" w:rsidTr="00567D7F">
        <w:trPr>
          <w:cantSplit/>
          <w:trHeight w:val="509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8B" w:rsidRDefault="00071B8B" w:rsidP="00567D7F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8B" w:rsidRDefault="00071B8B" w:rsidP="00567D7F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Klasy zwierząt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1B8B" w:rsidRDefault="00071B8B" w:rsidP="0056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maksymalna cena z obowiązującego rozporządzenia RM w sprawie szczegółowego zakresu i sposobów realizacji niektórych zadań ARiMR 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1B8B" w:rsidRDefault="00071B8B" w:rsidP="00567D7F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cena oferowana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B8B" w:rsidRDefault="00071B8B" w:rsidP="00567D7F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różnica cen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B8B" w:rsidRDefault="00071B8B" w:rsidP="00567D7F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iloraz różnicy ceny max i ceny oferowanej do ceny max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B8B" w:rsidRDefault="00071B8B" w:rsidP="00567D7F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waga ceny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B8B" w:rsidRDefault="00071B8B" w:rsidP="00567D7F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średnia ważona ilorazu</w:t>
            </w:r>
          </w:p>
        </w:tc>
      </w:tr>
      <w:tr w:rsidR="00071B8B" w:rsidTr="00567D7F">
        <w:trPr>
          <w:trHeight w:val="694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71B8B" w:rsidRDefault="00071B8B" w:rsidP="00567D7F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W zakresie zbioru i transportu: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71B8B" w:rsidRDefault="00071B8B" w:rsidP="00567D7F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W zakresie unieszkodliwiania: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71B8B" w:rsidRDefault="00071B8B" w:rsidP="00567D7F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Razem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71B8B" w:rsidRDefault="00071B8B" w:rsidP="00567D7F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W zakresie zbioru i transportu: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71B8B" w:rsidRDefault="00071B8B" w:rsidP="00567D7F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W zakresie unieszkodliwiania: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71B8B" w:rsidRDefault="00071B8B" w:rsidP="00567D7F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Razem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71B8B" w:rsidTr="00567D7F">
        <w:trPr>
          <w:trHeight w:val="308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1B8B" w:rsidRDefault="00071B8B" w:rsidP="00567D7F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(zł)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1B8B" w:rsidRDefault="00071B8B" w:rsidP="00567D7F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(zł)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8B" w:rsidRDefault="00071B8B" w:rsidP="00567D7F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(zł)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Pkt.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Pkt.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Pkt.</w:t>
            </w:r>
          </w:p>
        </w:tc>
      </w:tr>
      <w:tr w:rsidR="00071B8B" w:rsidTr="00567D7F">
        <w:trPr>
          <w:trHeight w:val="23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E = C+ D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H = F+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I = E - 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J = (E- H)/ 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L = J * K</w:t>
            </w:r>
          </w:p>
        </w:tc>
      </w:tr>
      <w:tr w:rsidR="00071B8B" w:rsidTr="00567D7F">
        <w:trPr>
          <w:trHeight w:val="46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jc w:val="both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8B" w:rsidRDefault="00071B8B" w:rsidP="00567D7F">
            <w:pPr>
              <w:spacing w:line="276" w:lineRule="auto"/>
              <w:jc w:val="both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bydło i konie w wieku co najmniej 12 miesięcy życia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071B8B" w:rsidTr="00567D7F">
        <w:trPr>
          <w:trHeight w:val="69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jc w:val="both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8B" w:rsidRDefault="00071B8B" w:rsidP="00567D7F">
            <w:pPr>
              <w:spacing w:line="276" w:lineRule="auto"/>
              <w:jc w:val="both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owce, kozy, niezależnie od wieku oraz bydło i konie mające mniej niż 12 miesięcy życia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071B8B" w:rsidTr="00567D7F">
        <w:trPr>
          <w:trHeight w:val="46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jc w:val="both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8B" w:rsidRDefault="00071B8B" w:rsidP="00567D7F">
            <w:pPr>
              <w:spacing w:line="276" w:lineRule="auto"/>
              <w:jc w:val="both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świnie o masie ciała powyżej 110 kg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071B8B" w:rsidTr="00567D7F">
        <w:trPr>
          <w:trHeight w:val="46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jc w:val="both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8B" w:rsidRDefault="00071B8B" w:rsidP="00567D7F">
            <w:pPr>
              <w:spacing w:line="276" w:lineRule="auto"/>
              <w:jc w:val="both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świnie o masie ciała powyżej 50 do 110 kg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071B8B" w:rsidTr="00567D7F">
        <w:trPr>
          <w:trHeight w:val="46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jc w:val="both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8B" w:rsidRDefault="00071B8B" w:rsidP="00567D7F">
            <w:pPr>
              <w:spacing w:line="276" w:lineRule="auto"/>
              <w:jc w:val="both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świnie o masie ciała powyżej 20 do 50 kg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071B8B" w:rsidTr="00567D7F">
        <w:trPr>
          <w:trHeight w:val="24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jc w:val="both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8B" w:rsidRDefault="00071B8B" w:rsidP="00567D7F">
            <w:pPr>
              <w:spacing w:line="276" w:lineRule="auto"/>
              <w:jc w:val="both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świnie o masie ciała do 20 kg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071B8B" w:rsidTr="00567D7F">
        <w:trPr>
          <w:trHeight w:val="401"/>
        </w:trPr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1B8B" w:rsidRDefault="00071B8B" w:rsidP="00567D7F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 xml:space="preserve">Suma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8B" w:rsidRDefault="00071B8B" w:rsidP="00567D7F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8B" w:rsidRDefault="00071B8B" w:rsidP="00567D7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spacing w:line="276" w:lineRule="auto"/>
              <w:ind w:firstLineChars="100" w:firstLine="161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B8B" w:rsidRDefault="00071B8B" w:rsidP="00567D7F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71B8B" w:rsidTr="00567D7F">
        <w:trPr>
          <w:trHeight w:val="369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1B8B" w:rsidRDefault="00071B8B" w:rsidP="00567D7F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WŚWI  (wskaźnik średniej ważonej ilorazu ( suma kol L/6*100))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8B" w:rsidRDefault="00071B8B" w:rsidP="00567D7F">
            <w:pP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071B8B" w:rsidRDefault="00071B8B" w:rsidP="00071B8B">
      <w:pPr>
        <w:pStyle w:val="Akapitzlist"/>
        <w:numPr>
          <w:ilvl w:val="1"/>
          <w:numId w:val="3"/>
        </w:numPr>
        <w:spacing w:before="24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ZRZ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– zweryfikowany oferowany zakres rzeczowy wyliczony wg wzoru </w:t>
      </w:r>
    </w:p>
    <w:p w:rsidR="00071B8B" w:rsidRDefault="00071B8B" w:rsidP="00071B8B">
      <w:pPr>
        <w:pStyle w:val="Akapitzlist"/>
        <w:spacing w:before="1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ZRZ = ZO/PZ x 100</w:t>
      </w:r>
    </w:p>
    <w:p w:rsidR="00071B8B" w:rsidRDefault="00071B8B" w:rsidP="00071B8B">
      <w:pPr>
        <w:pStyle w:val="Akapitzlist"/>
        <w:ind w:left="1134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Gdzie:</w:t>
      </w:r>
    </w:p>
    <w:p w:rsidR="00991564" w:rsidRDefault="00071B8B" w:rsidP="00991564">
      <w:pPr>
        <w:pStyle w:val="Akapitzlist"/>
        <w:numPr>
          <w:ilvl w:val="6"/>
          <w:numId w:val="4"/>
        </w:numPr>
        <w:ind w:left="993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ZO</w:t>
      </w:r>
      <w:r>
        <w:rPr>
          <w:rFonts w:asciiTheme="minorHAnsi" w:hAnsiTheme="minorHAnsi"/>
          <w:sz w:val="22"/>
          <w:szCs w:val="22"/>
        </w:rPr>
        <w:t xml:space="preserve"> – zakres oferowany przez podmiot utylizacyjny po weryfikacji i ewentualnej korekcie,</w:t>
      </w:r>
    </w:p>
    <w:p w:rsidR="00991564" w:rsidRDefault="00071B8B" w:rsidP="00991564">
      <w:pPr>
        <w:pStyle w:val="Akapitzlist"/>
        <w:numPr>
          <w:ilvl w:val="6"/>
          <w:numId w:val="4"/>
        </w:numPr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991564">
        <w:rPr>
          <w:rFonts w:asciiTheme="minorHAnsi" w:hAnsiTheme="minorHAnsi"/>
          <w:b/>
          <w:sz w:val="22"/>
          <w:szCs w:val="22"/>
        </w:rPr>
        <w:t>PZ</w:t>
      </w:r>
      <w:r w:rsidRPr="00991564">
        <w:rPr>
          <w:rFonts w:asciiTheme="minorHAnsi" w:hAnsiTheme="minorHAnsi"/>
          <w:sz w:val="22"/>
          <w:szCs w:val="22"/>
        </w:rPr>
        <w:t xml:space="preserve"> – prognozowany zakres r</w:t>
      </w:r>
      <w:r w:rsidR="00537138" w:rsidRPr="00991564">
        <w:rPr>
          <w:rFonts w:asciiTheme="minorHAnsi" w:hAnsiTheme="minorHAnsi"/>
          <w:sz w:val="22"/>
          <w:szCs w:val="22"/>
        </w:rPr>
        <w:t>zeczowy dla danego województwa,</w:t>
      </w:r>
    </w:p>
    <w:p w:rsidR="00071B8B" w:rsidRPr="00991564" w:rsidRDefault="00991564" w:rsidP="00991564">
      <w:pPr>
        <w:pStyle w:val="Akapitzlist"/>
        <w:numPr>
          <w:ilvl w:val="6"/>
          <w:numId w:val="4"/>
        </w:numPr>
        <w:ind w:left="993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L </w:t>
      </w:r>
      <w:r w:rsidR="00071B8B" w:rsidRPr="00991564">
        <w:rPr>
          <w:rFonts w:asciiTheme="minorHAnsi" w:hAnsiTheme="minorHAnsi"/>
          <w:sz w:val="22"/>
          <w:szCs w:val="22"/>
        </w:rPr>
        <w:t>– województwo na terenie, którego zlokalizowany jest zakład utylizacyjny, gdzie:</w:t>
      </w:r>
      <w:r>
        <w:rPr>
          <w:rFonts w:asciiTheme="minorHAnsi" w:hAnsiTheme="minorHAnsi"/>
          <w:sz w:val="22"/>
          <w:szCs w:val="22"/>
        </w:rPr>
        <w:t xml:space="preserve"> </w:t>
      </w:r>
      <w:r w:rsidR="00071B8B" w:rsidRPr="00991564">
        <w:rPr>
          <w:rFonts w:asciiTheme="minorHAnsi" w:hAnsiTheme="minorHAnsi"/>
          <w:sz w:val="22"/>
          <w:szCs w:val="22"/>
        </w:rPr>
        <w:t>zakład zlokalizowany na terenie województwa otrzyma 100 pkt. a w pozostałych przypadkach 0 pkt.</w:t>
      </w:r>
    </w:p>
    <w:p w:rsidR="001A0E80" w:rsidRDefault="001A0E80" w:rsidP="00071B8B">
      <w:pPr>
        <w:pStyle w:val="Akapitzlist"/>
        <w:spacing w:before="240"/>
        <w:ind w:left="0"/>
        <w:jc w:val="both"/>
        <w:rPr>
          <w:rFonts w:asciiTheme="minorHAnsi" w:hAnsiTheme="minorHAnsi"/>
          <w:b/>
        </w:rPr>
      </w:pPr>
    </w:p>
    <w:p w:rsidR="00071B8B" w:rsidRDefault="00F15BA4" w:rsidP="00071B8B">
      <w:pPr>
        <w:pStyle w:val="Akapitzlist"/>
        <w:spacing w:before="240"/>
        <w:ind w:left="0"/>
        <w:jc w:val="both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>1.1</w:t>
      </w:r>
      <w:r w:rsidR="00071B8B">
        <w:rPr>
          <w:rFonts w:asciiTheme="minorHAnsi" w:hAnsiTheme="minorHAnsi"/>
          <w:b/>
        </w:rPr>
        <w:t>.3  Zasady wyboru podmiotów, z którymi zostaną zawarte umowy.</w:t>
      </w:r>
    </w:p>
    <w:p w:rsidR="00071B8B" w:rsidRDefault="00071B8B" w:rsidP="00071B8B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przypadku, gdy ze złożonych wniosków będzie wynikało, iż zamiar działalności na terenie danego województwa deklarują więcej niż trzy podmioty utylizacyjne, wybrane zostaną te, które zaoferują </w:t>
      </w:r>
      <w:r>
        <w:rPr>
          <w:rFonts w:asciiTheme="minorHAnsi" w:hAnsiTheme="minorHAnsi"/>
          <w:sz w:val="22"/>
          <w:szCs w:val="22"/>
        </w:rPr>
        <w:lastRenderedPageBreak/>
        <w:t xml:space="preserve">najkorzystniejszą ofertę. Szczegółowy sposób wyboru podmiotów jest realizowany w oparciu </w:t>
      </w:r>
      <w:r>
        <w:rPr>
          <w:rFonts w:asciiTheme="minorHAnsi" w:hAnsiTheme="minorHAnsi"/>
          <w:sz w:val="22"/>
          <w:szCs w:val="22"/>
        </w:rPr>
        <w:br/>
        <w:t>o poniższe zasady:</w:t>
      </w:r>
    </w:p>
    <w:p w:rsidR="00071B8B" w:rsidRDefault="00071B8B" w:rsidP="00071B8B">
      <w:pPr>
        <w:pStyle w:val="Akapitzlist"/>
        <w:numPr>
          <w:ilvl w:val="0"/>
          <w:numId w:val="5"/>
        </w:numPr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Podmiot utylizacyjny może złożyć jeden wniosek. Wniosek musi zawierać ofertę świadczenia usług w co najmniej jednym województwie.</w:t>
      </w:r>
    </w:p>
    <w:p w:rsidR="00071B8B" w:rsidRDefault="00071B8B" w:rsidP="00071B8B">
      <w:pPr>
        <w:pStyle w:val="Akapitzlist"/>
        <w:numPr>
          <w:ilvl w:val="0"/>
          <w:numId w:val="5"/>
        </w:numPr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Podmiot utylizacyjny na obszar danego województwa może złożyć tylko jedną ofertę na świadczenie usług.</w:t>
      </w:r>
    </w:p>
    <w:p w:rsidR="00071B8B" w:rsidRDefault="00071B8B" w:rsidP="00071B8B">
      <w:pPr>
        <w:pStyle w:val="Akapitzlist"/>
        <w:numPr>
          <w:ilvl w:val="0"/>
          <w:numId w:val="5"/>
        </w:numPr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Złożone wnioski po ich weryfikacji w odniesieniu dla każdego z województw zostaną uszeregowane malejąco według uzyskanej oceny punktowej, co jest rozumiane również jako uszeregowanie ofert pod względem ich „korzystności”.</w:t>
      </w:r>
    </w:p>
    <w:p w:rsidR="00071B8B" w:rsidRDefault="00071B8B" w:rsidP="00071B8B">
      <w:pPr>
        <w:pStyle w:val="Akapitzlist"/>
        <w:numPr>
          <w:ilvl w:val="0"/>
          <w:numId w:val="5"/>
        </w:numPr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zawarcia umów na obszarze poszczególnych województw zostanie dopuszczonych do trzech podmiotów utylizacyjnych, z zastrzeżeniem </w:t>
      </w:r>
      <w:proofErr w:type="spellStart"/>
      <w:r>
        <w:rPr>
          <w:rFonts w:asciiTheme="minorHAnsi" w:hAnsiTheme="minorHAnsi"/>
          <w:sz w:val="22"/>
          <w:szCs w:val="22"/>
        </w:rPr>
        <w:t>ppk</w:t>
      </w:r>
      <w:proofErr w:type="spellEnd"/>
      <w:r>
        <w:rPr>
          <w:rFonts w:asciiTheme="minorHAnsi" w:hAnsiTheme="minorHAnsi"/>
          <w:sz w:val="22"/>
          <w:szCs w:val="22"/>
        </w:rPr>
        <w:t>. 5.</w:t>
      </w:r>
    </w:p>
    <w:p w:rsidR="00071B8B" w:rsidRDefault="00071B8B" w:rsidP="00071B8B">
      <w:pPr>
        <w:pStyle w:val="Akapitzlist"/>
        <w:numPr>
          <w:ilvl w:val="0"/>
          <w:numId w:val="5"/>
        </w:numPr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przypadku, gdy po wyborze trzech najkorzystniejszych ofert, wynikająca z nich łączna ilość padłych zwierząt (określona po weryfikacji ofert zgodni</w:t>
      </w:r>
      <w:r w:rsidR="00991564">
        <w:rPr>
          <w:rFonts w:asciiTheme="minorHAnsi" w:hAnsiTheme="minorHAnsi"/>
          <w:sz w:val="22"/>
          <w:szCs w:val="22"/>
        </w:rPr>
        <w:t>e z procedurą opisaną w pkt. 1.1</w:t>
      </w:r>
      <w:r>
        <w:rPr>
          <w:rFonts w:asciiTheme="minorHAnsi" w:hAnsiTheme="minorHAnsi"/>
          <w:sz w:val="22"/>
          <w:szCs w:val="22"/>
        </w:rPr>
        <w:t>.2 Kryteria oceny wniosków, lit. b. „Zakres rzeczowy”) będzie niższa niż prognozowany przez Agencję zakres rzeczowy na obszarze danego województwa, Agencja zawrze umowy dotyczące danego województwa z podmiotami, których oferty uzyskały czwarte i kolejne miejsca, do czasu pokrycia poprzez zweryfikowane w ww. sposób oferty 100% prognozowanego przez Agencję zakresu rzeczowego. Jeżeli do pokrycia prognozowanego przez Agencję zakresu rzeczowego (suma wszystkich padłych zwierząt w danym województwie) brakuje mniej niż 500 sztuk przyjmuje się, że prognozowany zakres rzeczowy został pokryty.</w:t>
      </w:r>
    </w:p>
    <w:p w:rsidR="00071B8B" w:rsidRDefault="00F15BA4" w:rsidP="00071B8B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</w:rPr>
        <w:t>1.1</w:t>
      </w:r>
      <w:r w:rsidR="00071B8B">
        <w:rPr>
          <w:rFonts w:asciiTheme="minorHAnsi" w:hAnsiTheme="minorHAnsi"/>
          <w:b/>
        </w:rPr>
        <w:t>.4  Zasady dotyczące ustalenia łącznego limitu.</w:t>
      </w:r>
    </w:p>
    <w:p w:rsidR="00071B8B" w:rsidRDefault="00071B8B" w:rsidP="00071B8B">
      <w:pPr>
        <w:pStyle w:val="Normalny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podstawie złożonych wniosków i po ich weryfikacji Agencja zawrze umowy, w których zostaną określone szczegółowo warunki współpracy oraz limit środków finansowych. </w:t>
      </w:r>
    </w:p>
    <w:p w:rsidR="00071B8B" w:rsidRDefault="00071B8B" w:rsidP="00071B8B">
      <w:pPr>
        <w:pStyle w:val="Bezodstpw"/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Wysokość łącznego limitu środków finansowych jaki zostanie rozdysponowany w umowach na dany rok, ustala się na podstawie aktualnego stanu prac nad ustawą budżetową na rok, którego dotyczą umowy oraz prognozowanej przez Agencję ilości padnięć zwierząt gospodarskich, </w:t>
      </w:r>
    </w:p>
    <w:p w:rsidR="00071B8B" w:rsidRDefault="00071B8B" w:rsidP="00071B8B">
      <w:pPr>
        <w:pStyle w:val="Bezodstpw"/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Agencja określając kwoty limitów zawarte w umowach rozdysponuje co najmniej 60% środków finansowych z ww. kwoty przewidywanej do wydatkowania na ten cel zgodnie z aktualnym stanem prac nad ustawą budżetową na dany rok. Dla realizacji tej zasady, o ile zajdzie taka konieczność, l</w:t>
      </w:r>
      <w:r w:rsidR="00991564">
        <w:rPr>
          <w:rFonts w:asciiTheme="minorHAnsi" w:hAnsiTheme="minorHAnsi"/>
          <w:sz w:val="22"/>
          <w:szCs w:val="22"/>
        </w:rPr>
        <w:t>imity określone zgodnie z pkt. 1.1</w:t>
      </w:r>
      <w:r>
        <w:rPr>
          <w:rFonts w:asciiTheme="minorHAnsi" w:hAnsiTheme="minorHAnsi"/>
          <w:sz w:val="22"/>
          <w:szCs w:val="22"/>
        </w:rPr>
        <w:t>.5 „Zasady ustalenia wysokości limitu finansowego dla Podmiotów” zostaną proporcjonalnie zwiększone. Zwiększenie to w odniesieniu do poszczególnych limitów nie może spowodować przekroczenia kwoty obliczonej j</w:t>
      </w:r>
      <w:r w:rsidR="00991564">
        <w:rPr>
          <w:rFonts w:asciiTheme="minorHAnsi" w:hAnsiTheme="minorHAnsi"/>
          <w:sz w:val="22"/>
          <w:szCs w:val="22"/>
        </w:rPr>
        <w:t>ako 100%, o której mowa w pkt. 1.1</w:t>
      </w:r>
      <w:r>
        <w:rPr>
          <w:rFonts w:asciiTheme="minorHAnsi" w:hAnsiTheme="minorHAnsi"/>
          <w:sz w:val="22"/>
          <w:szCs w:val="22"/>
        </w:rPr>
        <w:t xml:space="preserve">.5 lit. a) </w:t>
      </w:r>
      <w:r>
        <w:rPr>
          <w:rFonts w:asciiTheme="minorHAnsi" w:hAnsiTheme="minorHAnsi"/>
          <w:sz w:val="22"/>
          <w:szCs w:val="22"/>
        </w:rPr>
        <w:br/>
        <w:t xml:space="preserve">i analogicznie lit. b) i c). </w:t>
      </w:r>
    </w:p>
    <w:p w:rsidR="00071B8B" w:rsidRDefault="00071B8B" w:rsidP="00071B8B">
      <w:pPr>
        <w:pStyle w:val="Bezodstpw"/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Ostateczny limit środków zostanie określony po opublikowaniu ustawy budżetowej na dany rok.</w:t>
      </w:r>
    </w:p>
    <w:p w:rsidR="00071B8B" w:rsidRDefault="00071B8B" w:rsidP="00071B8B">
      <w:pPr>
        <w:pStyle w:val="Bezodstpw"/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przypadku, gdy w dacie zawierania umów plan finansowy Agencji Restrukturyzacji i Modernizacji Rolnictwa, stanowiący załącznik do Ustawy budżetowej na dany rok nie będzie opublikowany, Agencja w zawieranych umowach ustali początkowy limit w wysokości 25% limitów określonych zgodn</w:t>
      </w:r>
      <w:r w:rsidR="00957A20">
        <w:rPr>
          <w:rFonts w:asciiTheme="minorHAnsi" w:hAnsiTheme="minorHAnsi"/>
          <w:sz w:val="22"/>
          <w:szCs w:val="22"/>
        </w:rPr>
        <w:t>ie z zasadami opisanymi w pkt. 1.1</w:t>
      </w:r>
      <w:r>
        <w:rPr>
          <w:rFonts w:asciiTheme="minorHAnsi" w:hAnsiTheme="minorHAnsi"/>
          <w:sz w:val="22"/>
          <w:szCs w:val="22"/>
        </w:rPr>
        <w:t xml:space="preserve">.5 „Zasady ustalenia wysokości limitu finansowego dla Podmiotów”. Po opublikowaniu Ustawy budżetowej na dany rok, Agencja przedłoży Podmiotom utylizacyjnym Aneksy do umów zwiększające kwoty limitów do wartości obliczonych zgodnie z pkt. </w:t>
      </w:r>
      <w:r w:rsidR="00957A20">
        <w:rPr>
          <w:rFonts w:asciiTheme="minorHAnsi" w:hAnsiTheme="minorHAnsi"/>
          <w:sz w:val="22"/>
          <w:szCs w:val="22"/>
        </w:rPr>
        <w:t>1.1</w:t>
      </w:r>
      <w:r>
        <w:rPr>
          <w:rFonts w:asciiTheme="minorHAnsi" w:hAnsiTheme="minorHAnsi"/>
          <w:sz w:val="22"/>
          <w:szCs w:val="22"/>
        </w:rPr>
        <w:t xml:space="preserve">.5 „Zasady ustalenia wysokości limitu finansowego dla Podmiotów”. </w:t>
      </w:r>
    </w:p>
    <w:p w:rsidR="00071B8B" w:rsidRDefault="00F15BA4" w:rsidP="00071B8B">
      <w:pPr>
        <w:pStyle w:val="Bezodstpw"/>
        <w:spacing w:before="2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1.1</w:t>
      </w:r>
      <w:r w:rsidR="00071B8B">
        <w:rPr>
          <w:rFonts w:asciiTheme="minorHAnsi" w:hAnsiTheme="minorHAnsi"/>
          <w:b/>
        </w:rPr>
        <w:t xml:space="preserve">.5  Zasady ustalenia wysokości limitu finansowego dla Podmiotów. </w:t>
      </w:r>
    </w:p>
    <w:p w:rsidR="00071B8B" w:rsidRDefault="00071B8B" w:rsidP="00071B8B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Przyznany limit finansowy będzie stanowić równowartość wyrażoną w % kwoty wynikającej z proponowanych cen we wniosku i ustalonych w wyniku analizy ilości padłych zwierząt dla danego województwa i podmiotu o której mowa w pkt. 2.2.2 Kryteria oceny wniosków lit. b.</w:t>
      </w:r>
    </w:p>
    <w:p w:rsidR="00071B8B" w:rsidRDefault="00071B8B" w:rsidP="00071B8B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Wysokość limitu dla podmiotu utylizacyjnego będzie zależała od ilości uzyskanych punktów w wyniku weryfikacji wniosku i wyniesie:</w:t>
      </w:r>
    </w:p>
    <w:p w:rsidR="00071B8B" w:rsidRDefault="00071B8B" w:rsidP="00071B8B">
      <w:pPr>
        <w:numPr>
          <w:ilvl w:val="0"/>
          <w:numId w:val="6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100% dla podmiotu, który uzyska największą liczbę punktów,</w:t>
      </w:r>
    </w:p>
    <w:p w:rsidR="00071B8B" w:rsidRDefault="00071B8B" w:rsidP="00071B8B">
      <w:pPr>
        <w:numPr>
          <w:ilvl w:val="0"/>
          <w:numId w:val="6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80% dla podmiotu, który uzyska drugą w kolejności liczbę punktów,</w:t>
      </w:r>
    </w:p>
    <w:p w:rsidR="00071B8B" w:rsidRDefault="00071B8B" w:rsidP="00071B8B">
      <w:pPr>
        <w:numPr>
          <w:ilvl w:val="0"/>
          <w:numId w:val="6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50% dla pozostałych podmiotów.</w:t>
      </w:r>
    </w:p>
    <w:p w:rsidR="00071B8B" w:rsidRDefault="00071B8B" w:rsidP="00071B8B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Obliczeń tych dokonuje się dla każdego województwa oddzielnie; </w:t>
      </w:r>
    </w:p>
    <w:p w:rsidR="00071B8B" w:rsidRDefault="00071B8B" w:rsidP="00071B8B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Łączny limit będzie stanowił sumę kwot wyliczonych na poszczególne województwa;</w:t>
      </w:r>
    </w:p>
    <w:p w:rsidR="00071B8B" w:rsidRDefault="00071B8B" w:rsidP="00071B8B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Podmiotowi utylizacyjnemu, który we wniosku zadeklaruje województwo, w którym w latach poprzednich nie prowadził działalności, zgodnie z procedurą opisaną w pkt. </w:t>
      </w:r>
      <w:r w:rsidR="000722FE">
        <w:rPr>
          <w:rFonts w:asciiTheme="minorHAnsi" w:hAnsiTheme="minorHAnsi"/>
          <w:sz w:val="22"/>
          <w:szCs w:val="22"/>
        </w:rPr>
        <w:t>1.1</w:t>
      </w:r>
      <w:r>
        <w:rPr>
          <w:rFonts w:asciiTheme="minorHAnsi" w:hAnsiTheme="minorHAnsi"/>
          <w:sz w:val="22"/>
          <w:szCs w:val="22"/>
        </w:rPr>
        <w:t>.2 Kryteria oceny wniosków lit. b., może zostać przyznany wstępnie ustalony zerowy limit z tytułu planowanego zakresu w danym województwie, a dopiero o ile faktycznie realizowany zakres rzeczowy potwierdzi, że rozszerzenie działalności generuje potrzebę zapewnienia większego limitu środków, zostanie on uwzględniony w drodze aneksu do umowy na podstawie faktycznych danych o zakresie rzeczowym. Do tego czasu potrzebne środki będą pochodziły z ogólnego limitu wyliczonego na podstawie danych z województw dotychczas objętych działalnością.</w:t>
      </w:r>
    </w:p>
    <w:sectPr w:rsidR="00071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6178D"/>
    <w:multiLevelType w:val="hybridMultilevel"/>
    <w:tmpl w:val="BEF2C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C5EFE"/>
    <w:multiLevelType w:val="hybridMultilevel"/>
    <w:tmpl w:val="CCC432A8"/>
    <w:lvl w:ilvl="0" w:tplc="BC1897A0">
      <w:start w:val="1"/>
      <w:numFmt w:val="lowerLetter"/>
      <w:lvlText w:val="%1)"/>
      <w:lvlJc w:val="left"/>
      <w:pPr>
        <w:ind w:left="36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EB77B2"/>
    <w:multiLevelType w:val="multilevel"/>
    <w:tmpl w:val="716CC6E6"/>
    <w:lvl w:ilvl="0">
      <w:start w:val="3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3C460898"/>
    <w:multiLevelType w:val="multilevel"/>
    <w:tmpl w:val="9D2401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0F66347"/>
    <w:multiLevelType w:val="multilevel"/>
    <w:tmpl w:val="CECCEB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B97AC0"/>
    <w:multiLevelType w:val="multilevel"/>
    <w:tmpl w:val="F8E4F4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B36512D"/>
    <w:multiLevelType w:val="hybridMultilevel"/>
    <w:tmpl w:val="2EA4B69E"/>
    <w:lvl w:ilvl="0" w:tplc="2ADA755E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EA72B9D"/>
    <w:multiLevelType w:val="hybridMultilevel"/>
    <w:tmpl w:val="AEE636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8B"/>
    <w:rsid w:val="00071B8B"/>
    <w:rsid w:val="000722FE"/>
    <w:rsid w:val="001A0E80"/>
    <w:rsid w:val="0038031D"/>
    <w:rsid w:val="003E6768"/>
    <w:rsid w:val="00537138"/>
    <w:rsid w:val="00957A20"/>
    <w:rsid w:val="00991564"/>
    <w:rsid w:val="00F1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F798A-1838-4B91-A096-D7E13842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71B8B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07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1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1428</Words>
  <Characters>8570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Wolniakowska Monika</dc:creator>
  <cp:keywords/>
  <dc:description/>
  <cp:lastModifiedBy>Wolniakowska Monika</cp:lastModifiedBy>
  <cp:revision>6</cp:revision>
  <dcterms:created xsi:type="dcterms:W3CDTF">2016-09-19T10:21:00Z</dcterms:created>
  <dcterms:modified xsi:type="dcterms:W3CDTF">2018-09-18T06:04:00Z</dcterms:modified>
</cp:coreProperties>
</file>