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D2" w:rsidRPr="008F7023" w:rsidRDefault="00EF44FA" w:rsidP="00577BD2">
      <w:pPr>
        <w:tabs>
          <w:tab w:val="left" w:pos="7621"/>
        </w:tabs>
        <w:jc w:val="right"/>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Załącznik nr 2</w:t>
      </w:r>
    </w:p>
    <w:p w:rsidR="00577BD2" w:rsidRPr="008F7023" w:rsidRDefault="008F7023" w:rsidP="00577BD2">
      <w:pPr>
        <w:spacing w:before="120" w:after="240" w:line="276" w:lineRule="auto"/>
        <w:jc w:val="center"/>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OPIS PROGRAMU</w:t>
      </w:r>
    </w:p>
    <w:p w:rsidR="00577BD2" w:rsidRPr="008F7023" w:rsidRDefault="00577BD2" w:rsidP="00577BD2">
      <w:pPr>
        <w:spacing w:before="120" w:after="240" w:line="276" w:lineRule="auto"/>
        <w:jc w:val="center"/>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 xml:space="preserve">Opis </w:t>
      </w:r>
      <w:r w:rsidR="00137B37" w:rsidRPr="008F7023">
        <w:rPr>
          <w:rFonts w:ascii="Arial" w:eastAsia="Times New Roman" w:hAnsi="Arial" w:cs="Arial"/>
          <w:b/>
          <w:bCs/>
          <w:i/>
          <w:lang w:eastAsia="pl-PL"/>
        </w:rPr>
        <w:t>Programie kontroli jakości w diagnostyce nad dziećmi z guzami litymi</w:t>
      </w:r>
      <w:r w:rsidRPr="008F7023">
        <w:rPr>
          <w:rFonts w:ascii="Arial" w:eastAsia="Times New Roman" w:hAnsi="Arial" w:cs="Arial"/>
          <w:b/>
          <w:bCs/>
          <w:i/>
          <w:color w:val="000000" w:themeColor="text1"/>
          <w:lang w:eastAsia="pl-PL"/>
        </w:rPr>
        <w:t xml:space="preserve"> </w:t>
      </w:r>
      <w:r w:rsidRPr="008F7023">
        <w:rPr>
          <w:rFonts w:ascii="Arial" w:eastAsia="Times New Roman" w:hAnsi="Arial" w:cs="Arial"/>
          <w:b/>
          <w:bCs/>
          <w:i/>
          <w:color w:val="000000" w:themeColor="text1"/>
          <w:lang w:eastAsia="pl-PL"/>
        </w:rPr>
        <w:br/>
      </w:r>
      <w:r w:rsidRPr="008F7023">
        <w:rPr>
          <w:rFonts w:ascii="Arial" w:eastAsia="Times New Roman" w:hAnsi="Arial" w:cs="Arial"/>
          <w:b/>
          <w:bCs/>
          <w:color w:val="000000" w:themeColor="text1"/>
          <w:lang w:eastAsia="pl-PL"/>
        </w:rPr>
        <w:t>na lata 2019-2021:</w:t>
      </w:r>
    </w:p>
    <w:p w:rsidR="00AE2DDD" w:rsidRPr="008F7023" w:rsidRDefault="00AE2DDD" w:rsidP="00AE2DDD">
      <w:pPr>
        <w:spacing w:after="120" w:line="276" w:lineRule="auto"/>
        <w:jc w:val="both"/>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Cele ogólne Programu:</w:t>
      </w:r>
    </w:p>
    <w:p w:rsidR="00AE2DDD" w:rsidRPr="008F7023" w:rsidRDefault="00AE2DDD" w:rsidP="00AE2DDD">
      <w:pPr>
        <w:spacing w:before="120" w:after="0" w:line="276"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Poprawa wyników leczenia dzieci z nowotworami litymi.</w:t>
      </w:r>
    </w:p>
    <w:p w:rsidR="00AE2DDD" w:rsidRPr="008F7023" w:rsidRDefault="00AE2DDD" w:rsidP="00AE2DDD">
      <w:pPr>
        <w:spacing w:before="240" w:after="120" w:line="276" w:lineRule="auto"/>
        <w:jc w:val="both"/>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Cele szczegółowe Programu:</w:t>
      </w:r>
    </w:p>
    <w:p w:rsidR="00AE2DDD" w:rsidRPr="008F7023" w:rsidRDefault="00AE2DDD" w:rsidP="00AE2DDD">
      <w:pPr>
        <w:spacing w:after="0" w:line="360"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1. Zmniejszenie liczby błędów diagnostycznych poprzez zwiększenie precyzji klasyfikacji pacjentów do poszczególnych grup ryzyka.</w:t>
      </w:r>
    </w:p>
    <w:p w:rsidR="00AE2DDD" w:rsidRPr="008F7023" w:rsidRDefault="00AE2DDD" w:rsidP="00AE2DDD">
      <w:pPr>
        <w:spacing w:after="0" w:line="360"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2.</w:t>
      </w:r>
      <w:r w:rsidRPr="008F7023">
        <w:rPr>
          <w:rFonts w:ascii="Arial" w:eastAsia="Times New Roman" w:hAnsi="Arial" w:cs="Arial"/>
          <w:color w:val="000000" w:themeColor="text1"/>
          <w:lang w:eastAsia="pl-PL"/>
        </w:rPr>
        <w:tab/>
        <w:t>Zmniejszenie toksyczności i odległych następstw leczenia.</w:t>
      </w:r>
    </w:p>
    <w:p w:rsidR="00AE2DDD" w:rsidRPr="008F7023" w:rsidRDefault="00AE2DDD" w:rsidP="00AE2DDD">
      <w:pPr>
        <w:spacing w:after="0" w:line="360"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3.</w:t>
      </w:r>
      <w:r w:rsidRPr="008F7023">
        <w:rPr>
          <w:rFonts w:ascii="Arial" w:eastAsia="Times New Roman" w:hAnsi="Arial" w:cs="Arial"/>
          <w:color w:val="000000" w:themeColor="text1"/>
          <w:lang w:eastAsia="pl-PL"/>
        </w:rPr>
        <w:tab/>
        <w:t>Zredukowanie kosztów leczenia.</w:t>
      </w:r>
    </w:p>
    <w:p w:rsidR="00AE2DDD" w:rsidRPr="008F7023" w:rsidRDefault="00AE2DDD" w:rsidP="00AE2DDD">
      <w:pPr>
        <w:spacing w:after="0" w:line="360"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4.</w:t>
      </w:r>
      <w:r w:rsidRPr="008F7023">
        <w:rPr>
          <w:rFonts w:ascii="Arial" w:eastAsia="Times New Roman" w:hAnsi="Arial" w:cs="Arial"/>
          <w:color w:val="000000" w:themeColor="text1"/>
          <w:lang w:eastAsia="pl-PL"/>
        </w:rPr>
        <w:tab/>
        <w:t>Umożliwienie zastosowania terapii celowanej z wykorzystaniem przeciwciał monoklonalnych, dzięki wprowadzeniu badań biologiczno-molekularnych.</w:t>
      </w:r>
      <w:bookmarkStart w:id="0" w:name="_GoBack"/>
      <w:bookmarkEnd w:id="0"/>
    </w:p>
    <w:p w:rsidR="00AE2DDD" w:rsidRPr="008F7023" w:rsidRDefault="00AE2DDD" w:rsidP="00AE2DDD">
      <w:pPr>
        <w:spacing w:before="240" w:after="120" w:line="240" w:lineRule="auto"/>
        <w:jc w:val="both"/>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Opis Programu:</w:t>
      </w:r>
    </w:p>
    <w:p w:rsidR="00AE2DDD" w:rsidRPr="008F7023" w:rsidRDefault="00AE2DDD" w:rsidP="00AE2DDD">
      <w:pPr>
        <w:spacing w:after="120" w:line="276" w:lineRule="auto"/>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 xml:space="preserve">Guzy lite to bardzo niejednorodna grupa chorób pod względem klinicznym a także biologiczno-molekularnym. Szczególnie heterogenna jest grupa nowotworów tkanek miękkich obejmująca szereg podtypów histopatologicznych. Ta różnorodność determinuje odmienną wrażliwość na chemioterapię. Dlatego też ich diagnostyka wymaga dobrze rozwiniętego zaplecza laboratoryjnego oraz odpowiedniego doświadczenia. Mimo tego, z  różnych przyczyn, może dochodzić do postawienia błędnego rozpoznania i zakwalifikowania pacjenta do niewłaściwego leczenia, co zmniejsza szanse na powodzenie terapeutyczne. </w:t>
      </w:r>
    </w:p>
    <w:p w:rsidR="00AE2DDD" w:rsidRPr="008F7023" w:rsidRDefault="00AE2DDD" w:rsidP="00AE2DDD">
      <w:pPr>
        <w:spacing w:after="120" w:line="276" w:lineRule="auto"/>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 xml:space="preserve">W Polsce guzy lite  rozpoznawane  są nadal bardzo późno, często w stadiach zaawansowanych miejscowo i rozsianych. Największą wyleczalność obserwuje się w guzach zlokalizowanych miejscowo - w </w:t>
      </w:r>
      <w:proofErr w:type="spellStart"/>
      <w:r w:rsidRPr="008F7023">
        <w:rPr>
          <w:rFonts w:ascii="Arial" w:eastAsia="Times New Roman" w:hAnsi="Arial" w:cs="Arial"/>
          <w:color w:val="000000" w:themeColor="text1"/>
          <w:lang w:eastAsia="pl-PL"/>
        </w:rPr>
        <w:t>nerczaku</w:t>
      </w:r>
      <w:proofErr w:type="spellEnd"/>
      <w:r w:rsidRPr="008F7023">
        <w:rPr>
          <w:rFonts w:ascii="Arial" w:eastAsia="Times New Roman" w:hAnsi="Arial" w:cs="Arial"/>
          <w:color w:val="000000" w:themeColor="text1"/>
          <w:lang w:eastAsia="pl-PL"/>
        </w:rPr>
        <w:t xml:space="preserve"> wynosi ona około 90%, w nowotworach tkanek miękkich 60–70%. W guzach rozsianych wyleczalność spada do 20-40%. </w:t>
      </w:r>
    </w:p>
    <w:p w:rsidR="00AE2DDD" w:rsidRPr="008F7023" w:rsidRDefault="00AE2DDD" w:rsidP="00AE2DDD">
      <w:pPr>
        <w:spacing w:after="120" w:line="276" w:lineRule="auto"/>
        <w:jc w:val="both"/>
        <w:rPr>
          <w:rFonts w:ascii="Arial" w:eastAsia="Times New Roman" w:hAnsi="Arial" w:cs="Arial"/>
          <w:color w:val="000000" w:themeColor="text1"/>
          <w:lang w:eastAsia="pl-PL"/>
        </w:rPr>
      </w:pPr>
      <w:r w:rsidRPr="008F7023">
        <w:rPr>
          <w:rFonts w:ascii="Arial" w:eastAsia="Times New Roman" w:hAnsi="Arial" w:cs="Arial"/>
          <w:lang w:eastAsia="pl-PL"/>
        </w:rPr>
        <w:t xml:space="preserve">Nerwiak </w:t>
      </w:r>
      <w:r w:rsidRPr="008F7023">
        <w:rPr>
          <w:rFonts w:ascii="Arial" w:eastAsia="Times New Roman" w:hAnsi="Arial" w:cs="Arial"/>
          <w:color w:val="000000" w:themeColor="text1"/>
          <w:lang w:eastAsia="pl-PL"/>
        </w:rPr>
        <w:t>zarodkowy współczulny (</w:t>
      </w:r>
      <w:proofErr w:type="spellStart"/>
      <w:r w:rsidRPr="008F7023">
        <w:rPr>
          <w:rFonts w:ascii="Arial" w:eastAsia="Times New Roman" w:hAnsi="Arial" w:cs="Arial"/>
          <w:color w:val="000000" w:themeColor="text1"/>
          <w:lang w:eastAsia="pl-PL"/>
        </w:rPr>
        <w:t>neuroblastoma</w:t>
      </w:r>
      <w:proofErr w:type="spellEnd"/>
      <w:r w:rsidRPr="008F7023">
        <w:rPr>
          <w:rFonts w:ascii="Arial" w:eastAsia="Times New Roman" w:hAnsi="Arial" w:cs="Arial"/>
          <w:color w:val="000000" w:themeColor="text1"/>
          <w:lang w:eastAsia="pl-PL"/>
        </w:rPr>
        <w:t xml:space="preserve">, NB) jest najczęstszym pozaczaszkowym guzem litym u dzieci. Pomimo stosowania skojarzonych i coraz intensywniejszych programów chemioterapii, wyleczalność w grupie wysokiego ryzyka, stanowiącej ponad 50% wszystkich dzieci z </w:t>
      </w:r>
      <w:proofErr w:type="spellStart"/>
      <w:r w:rsidRPr="008F7023">
        <w:rPr>
          <w:rFonts w:ascii="Arial" w:eastAsia="Times New Roman" w:hAnsi="Arial" w:cs="Arial"/>
          <w:color w:val="000000" w:themeColor="text1"/>
          <w:lang w:eastAsia="pl-PL"/>
        </w:rPr>
        <w:t>neuroblastoma</w:t>
      </w:r>
      <w:proofErr w:type="spellEnd"/>
      <w:r w:rsidRPr="008F7023">
        <w:rPr>
          <w:rFonts w:ascii="Arial" w:eastAsia="Times New Roman" w:hAnsi="Arial" w:cs="Arial"/>
          <w:color w:val="000000" w:themeColor="text1"/>
          <w:lang w:eastAsia="pl-PL"/>
        </w:rPr>
        <w:t>, pozostaje na bardzo niskim poziomie 30-40%.</w:t>
      </w:r>
    </w:p>
    <w:p w:rsidR="00AE2DDD" w:rsidRPr="008F7023" w:rsidRDefault="00AE2DDD" w:rsidP="00AE2DDD">
      <w:pPr>
        <w:spacing w:after="120" w:line="276" w:lineRule="auto"/>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Warunkiem wysokiej skuteczności terapii nowotworów litych u dzieci jest szybkie rozpoznanie na wczesnym etapie choroby i wdrożenie właściwego leczenia. Podstawą prawidłowej diagnostyki jest zasada centralnej weryfikacji badań histopatologicznych przez ośrodek referencyjny dysponujący bogatymi możliwościami diagnostycznymi (szerokie badania immunocytochemiczne i  molekularne) i dużym doświadczeniem laboratoryjno-naukowym. Istotnym elementem poprawy jakości diagnostycznej, a tym samym zwiększenia szansy wyleczalności pacjentów, jest stosowanie ujednoliconych i nowoczesnych międzynarodowych programów terapeutycznych w ośrodkach leczących. Dzięki doskonaleniu diagnostyki i leczenia można zwiększyć odsetek dzieci całkowicie wyleczonych.</w:t>
      </w:r>
    </w:p>
    <w:p w:rsidR="00AE2DDD" w:rsidRPr="008F7023" w:rsidRDefault="00AE2DDD" w:rsidP="00AE2DDD">
      <w:pPr>
        <w:spacing w:after="120" w:line="360" w:lineRule="auto"/>
        <w:jc w:val="both"/>
        <w:rPr>
          <w:rFonts w:ascii="Arial" w:eastAsia="Times New Roman" w:hAnsi="Arial" w:cs="Arial"/>
          <w:b/>
          <w:color w:val="000000" w:themeColor="text1"/>
          <w:lang w:eastAsia="pl-PL"/>
        </w:rPr>
      </w:pPr>
      <w:r w:rsidRPr="008F7023">
        <w:rPr>
          <w:rFonts w:ascii="Arial" w:eastAsia="Times New Roman" w:hAnsi="Arial" w:cs="Arial"/>
          <w:b/>
          <w:color w:val="000000" w:themeColor="text1"/>
          <w:lang w:eastAsia="pl-PL"/>
        </w:rPr>
        <w:t>Działania do realizacji:</w:t>
      </w:r>
    </w:p>
    <w:p w:rsidR="00AE2DDD" w:rsidRPr="008F7023" w:rsidRDefault="00AE2DDD" w:rsidP="00AE2DDD">
      <w:pPr>
        <w:spacing w:after="120" w:line="276"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lastRenderedPageBreak/>
        <w:t>1.</w:t>
      </w:r>
      <w:r w:rsidRPr="008F7023">
        <w:rPr>
          <w:rFonts w:ascii="Arial" w:eastAsia="Times New Roman" w:hAnsi="Arial" w:cs="Arial"/>
          <w:color w:val="000000" w:themeColor="text1"/>
          <w:lang w:eastAsia="pl-PL"/>
        </w:rPr>
        <w:tab/>
        <w:t>Prowadzenie centralnej weryfikacji badań patomorfologicznych/histopatologicznych.</w:t>
      </w:r>
    </w:p>
    <w:p w:rsidR="00AE2DDD" w:rsidRPr="008F7023" w:rsidRDefault="00AE2DDD" w:rsidP="00AE2DDD">
      <w:pPr>
        <w:spacing w:after="120" w:line="276"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2.</w:t>
      </w:r>
      <w:r w:rsidRPr="008F7023">
        <w:rPr>
          <w:rFonts w:ascii="Arial" w:eastAsia="Times New Roman" w:hAnsi="Arial" w:cs="Arial"/>
          <w:color w:val="000000" w:themeColor="text1"/>
          <w:lang w:eastAsia="pl-PL"/>
        </w:rPr>
        <w:tab/>
        <w:t>Prowadzenie centralnej weryfikacji badań immunohistochemicznych.</w:t>
      </w:r>
    </w:p>
    <w:p w:rsidR="00AE2DDD" w:rsidRPr="008F7023" w:rsidRDefault="00AE2DDD" w:rsidP="00AE2DDD">
      <w:pPr>
        <w:spacing w:after="120" w:line="276"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3.</w:t>
      </w:r>
      <w:r w:rsidRPr="008F7023">
        <w:rPr>
          <w:rFonts w:ascii="Arial" w:eastAsia="Times New Roman" w:hAnsi="Arial" w:cs="Arial"/>
          <w:color w:val="000000" w:themeColor="text1"/>
          <w:lang w:eastAsia="pl-PL"/>
        </w:rPr>
        <w:tab/>
      </w:r>
      <w:r w:rsidRPr="008F7023">
        <w:rPr>
          <w:rFonts w:ascii="Arial" w:eastAsia="Times New Roman" w:hAnsi="Arial" w:cs="Arial"/>
          <w:lang w:eastAsia="pl-PL"/>
        </w:rPr>
        <w:t xml:space="preserve">Wykonywanie i </w:t>
      </w:r>
      <w:r w:rsidRPr="008F7023">
        <w:rPr>
          <w:rFonts w:ascii="Arial" w:eastAsia="Times New Roman" w:hAnsi="Arial" w:cs="Arial"/>
          <w:color w:val="000000" w:themeColor="text1"/>
          <w:lang w:eastAsia="pl-PL"/>
        </w:rPr>
        <w:t>prowadzenie centralnej weryfikacji badań molekularnych:</w:t>
      </w:r>
    </w:p>
    <w:p w:rsidR="00AE2DDD" w:rsidRPr="008F7023" w:rsidRDefault="00AE2DDD" w:rsidP="00AE2DDD">
      <w:pPr>
        <w:spacing w:after="120" w:line="276" w:lineRule="auto"/>
        <w:ind w:left="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a)</w:t>
      </w:r>
      <w:r w:rsidRPr="008F7023">
        <w:rPr>
          <w:rFonts w:ascii="Arial" w:eastAsia="Times New Roman" w:hAnsi="Arial" w:cs="Arial"/>
          <w:color w:val="000000" w:themeColor="text1"/>
          <w:lang w:eastAsia="pl-PL"/>
        </w:rPr>
        <w:tab/>
        <w:t xml:space="preserve">Dla nowotworów tkanek miękkich: RMA, N-myc, SS, </w:t>
      </w:r>
      <w:proofErr w:type="spellStart"/>
      <w:r w:rsidRPr="008F7023">
        <w:rPr>
          <w:rFonts w:ascii="Arial" w:eastAsia="Times New Roman" w:hAnsi="Arial" w:cs="Arial"/>
          <w:color w:val="000000" w:themeColor="text1"/>
          <w:lang w:eastAsia="pl-PL"/>
        </w:rPr>
        <w:t>Ewing</w:t>
      </w:r>
      <w:proofErr w:type="spellEnd"/>
      <w:r w:rsidRPr="008F7023">
        <w:rPr>
          <w:rFonts w:ascii="Arial" w:eastAsia="Times New Roman" w:hAnsi="Arial" w:cs="Arial"/>
          <w:color w:val="000000" w:themeColor="text1"/>
          <w:lang w:eastAsia="pl-PL"/>
        </w:rPr>
        <w:t>/</w:t>
      </w:r>
      <w:proofErr w:type="spellStart"/>
      <w:r w:rsidRPr="008F7023">
        <w:rPr>
          <w:rFonts w:ascii="Arial" w:eastAsia="Times New Roman" w:hAnsi="Arial" w:cs="Arial"/>
          <w:color w:val="000000" w:themeColor="text1"/>
          <w:lang w:eastAsia="pl-PL"/>
        </w:rPr>
        <w:t>Pnet</w:t>
      </w:r>
      <w:proofErr w:type="spellEnd"/>
      <w:r w:rsidRPr="008F7023">
        <w:rPr>
          <w:rFonts w:ascii="Arial" w:eastAsia="Times New Roman" w:hAnsi="Arial" w:cs="Arial"/>
          <w:color w:val="000000" w:themeColor="text1"/>
          <w:lang w:eastAsia="pl-PL"/>
        </w:rPr>
        <w:t>, ALK 1,</w:t>
      </w:r>
    </w:p>
    <w:p w:rsidR="00AE2DDD" w:rsidRPr="008F7023" w:rsidRDefault="00AE2DDD" w:rsidP="00AE2DDD">
      <w:pPr>
        <w:ind w:firstLine="284"/>
        <w:rPr>
          <w:rFonts w:ascii="Arial" w:hAnsi="Arial" w:cs="Arial"/>
        </w:rPr>
      </w:pPr>
      <w:r w:rsidRPr="008F7023">
        <w:rPr>
          <w:rFonts w:ascii="Arial" w:eastAsia="Times New Roman" w:hAnsi="Arial" w:cs="Arial"/>
          <w:color w:val="000000" w:themeColor="text1"/>
          <w:lang w:eastAsia="pl-PL"/>
        </w:rPr>
        <w:t xml:space="preserve">b)    Dla </w:t>
      </w:r>
      <w:proofErr w:type="spellStart"/>
      <w:r w:rsidRPr="008F7023">
        <w:rPr>
          <w:rFonts w:ascii="Arial" w:eastAsia="Times New Roman" w:hAnsi="Arial" w:cs="Arial"/>
          <w:color w:val="000000" w:themeColor="text1"/>
          <w:lang w:eastAsia="pl-PL"/>
        </w:rPr>
        <w:t>Neuroblastoma</w:t>
      </w:r>
      <w:proofErr w:type="spellEnd"/>
      <w:r w:rsidRPr="008F7023">
        <w:rPr>
          <w:rFonts w:ascii="Arial" w:eastAsia="Times New Roman" w:hAnsi="Arial" w:cs="Arial"/>
          <w:color w:val="000000" w:themeColor="text1"/>
          <w:lang w:eastAsia="pl-PL"/>
        </w:rPr>
        <w:t xml:space="preserve">: ocena strukturalnych i liczbowych aberracji chromosomowych techniką </w:t>
      </w:r>
      <w:proofErr w:type="spellStart"/>
      <w:r w:rsidRPr="008F7023">
        <w:rPr>
          <w:rFonts w:ascii="Arial" w:eastAsia="Times New Roman" w:hAnsi="Arial" w:cs="Arial"/>
          <w:color w:val="000000" w:themeColor="text1"/>
          <w:lang w:eastAsia="pl-PL"/>
        </w:rPr>
        <w:t>aCGH</w:t>
      </w:r>
      <w:proofErr w:type="spellEnd"/>
      <w:r w:rsidRPr="008F7023">
        <w:rPr>
          <w:rFonts w:ascii="Arial" w:eastAsia="Times New Roman" w:hAnsi="Arial" w:cs="Arial"/>
          <w:color w:val="000000" w:themeColor="text1"/>
          <w:lang w:eastAsia="pl-PL"/>
        </w:rPr>
        <w:t xml:space="preserve"> w tkance guza </w:t>
      </w:r>
      <w:proofErr w:type="spellStart"/>
      <w:r w:rsidRPr="008F7023">
        <w:rPr>
          <w:rFonts w:ascii="Arial" w:eastAsia="Times New Roman" w:hAnsi="Arial" w:cs="Arial"/>
          <w:color w:val="000000" w:themeColor="text1"/>
          <w:lang w:eastAsia="pl-PL"/>
        </w:rPr>
        <w:t>neuroblastoma</w:t>
      </w:r>
      <w:proofErr w:type="spellEnd"/>
      <w:r w:rsidRPr="008F7023">
        <w:rPr>
          <w:rFonts w:ascii="Arial" w:eastAsia="Times New Roman" w:hAnsi="Arial" w:cs="Arial"/>
          <w:color w:val="000000" w:themeColor="text1"/>
          <w:lang w:eastAsia="pl-PL"/>
        </w:rPr>
        <w:t xml:space="preserve">; ocena wybranych mutacji genu ALK techniką </w:t>
      </w:r>
      <w:proofErr w:type="spellStart"/>
      <w:r w:rsidRPr="008F7023">
        <w:rPr>
          <w:rFonts w:ascii="Arial" w:eastAsia="Times New Roman" w:hAnsi="Arial" w:cs="Arial"/>
          <w:color w:val="000000" w:themeColor="text1"/>
          <w:lang w:eastAsia="pl-PL"/>
        </w:rPr>
        <w:t>sekwencjionowania</w:t>
      </w:r>
      <w:proofErr w:type="spellEnd"/>
      <w:r w:rsidRPr="008F7023">
        <w:rPr>
          <w:rFonts w:ascii="Arial" w:eastAsia="Times New Roman" w:hAnsi="Arial" w:cs="Arial"/>
          <w:color w:val="000000" w:themeColor="text1"/>
          <w:lang w:eastAsia="pl-PL"/>
        </w:rPr>
        <w:t xml:space="preserve"> </w:t>
      </w:r>
      <w:proofErr w:type="spellStart"/>
      <w:r w:rsidRPr="008F7023">
        <w:rPr>
          <w:rFonts w:ascii="Arial" w:eastAsia="Times New Roman" w:hAnsi="Arial" w:cs="Arial"/>
          <w:color w:val="000000" w:themeColor="text1"/>
          <w:lang w:eastAsia="pl-PL"/>
        </w:rPr>
        <w:t>Sangera</w:t>
      </w:r>
      <w:proofErr w:type="spellEnd"/>
      <w:r w:rsidRPr="008F7023">
        <w:rPr>
          <w:rFonts w:ascii="Arial" w:eastAsia="Times New Roman" w:hAnsi="Arial" w:cs="Arial"/>
          <w:color w:val="000000" w:themeColor="text1"/>
          <w:lang w:eastAsia="pl-PL"/>
        </w:rPr>
        <w:t xml:space="preserve"> w tkance guza </w:t>
      </w:r>
      <w:proofErr w:type="spellStart"/>
      <w:r w:rsidRPr="008F7023">
        <w:rPr>
          <w:rFonts w:ascii="Arial" w:eastAsia="Times New Roman" w:hAnsi="Arial" w:cs="Arial"/>
          <w:color w:val="000000" w:themeColor="text1"/>
          <w:lang w:eastAsia="pl-PL"/>
        </w:rPr>
        <w:t>neuroblastoma</w:t>
      </w:r>
      <w:proofErr w:type="spellEnd"/>
      <w:r w:rsidRPr="008F7023">
        <w:rPr>
          <w:rFonts w:ascii="Arial" w:eastAsia="Times New Roman" w:hAnsi="Arial" w:cs="Arial"/>
          <w:color w:val="000000" w:themeColor="text1"/>
          <w:lang w:eastAsia="pl-PL"/>
        </w:rPr>
        <w:t xml:space="preserve">; ocena amplifikacji genu MYCN techniką FISH w tkance guza </w:t>
      </w:r>
      <w:proofErr w:type="spellStart"/>
      <w:r w:rsidRPr="008F7023">
        <w:rPr>
          <w:rFonts w:ascii="Arial" w:eastAsia="Times New Roman" w:hAnsi="Arial" w:cs="Arial"/>
          <w:color w:val="000000" w:themeColor="text1"/>
          <w:lang w:eastAsia="pl-PL"/>
        </w:rPr>
        <w:t>neuroblastoma</w:t>
      </w:r>
      <w:proofErr w:type="spellEnd"/>
    </w:p>
    <w:p w:rsidR="00AE2DDD" w:rsidRPr="008F7023" w:rsidRDefault="00AE2DDD" w:rsidP="00AE2DDD">
      <w:pPr>
        <w:spacing w:after="120" w:line="276" w:lineRule="auto"/>
        <w:ind w:left="284" w:hanging="284"/>
        <w:jc w:val="both"/>
        <w:rPr>
          <w:rFonts w:ascii="Arial" w:eastAsia="Times New Roman" w:hAnsi="Arial" w:cs="Arial"/>
          <w:color w:val="000000" w:themeColor="text1"/>
          <w:lang w:eastAsia="pl-PL"/>
        </w:rPr>
      </w:pPr>
      <w:r w:rsidRPr="008F7023">
        <w:rPr>
          <w:rFonts w:ascii="Arial" w:eastAsia="Times New Roman" w:hAnsi="Arial" w:cs="Arial"/>
          <w:color w:val="000000" w:themeColor="text1"/>
          <w:lang w:eastAsia="pl-PL"/>
        </w:rPr>
        <w:t>4.</w:t>
      </w:r>
      <w:r w:rsidRPr="008F7023">
        <w:rPr>
          <w:rFonts w:ascii="Arial" w:eastAsia="Times New Roman" w:hAnsi="Arial" w:cs="Arial"/>
          <w:color w:val="000000" w:themeColor="text1"/>
          <w:lang w:eastAsia="pl-PL"/>
        </w:rPr>
        <w:tab/>
        <w:t>Przesyłanie preparatów</w:t>
      </w:r>
      <w:r w:rsidRPr="008F7023">
        <w:rPr>
          <w:rFonts w:ascii="Arial" w:eastAsia="Times New Roman" w:hAnsi="Arial" w:cs="Arial"/>
          <w:bCs/>
          <w:color w:val="000000" w:themeColor="text1"/>
          <w:lang w:eastAsia="pl-PL"/>
        </w:rPr>
        <w:t xml:space="preserve"> do weryfikacji badań </w:t>
      </w:r>
      <w:r w:rsidRPr="008F7023">
        <w:rPr>
          <w:rFonts w:ascii="Arial" w:eastAsia="Times New Roman" w:hAnsi="Arial" w:cs="Arial"/>
          <w:color w:val="000000" w:themeColor="text1"/>
          <w:lang w:eastAsia="pl-PL"/>
        </w:rPr>
        <w:t>histopatologicznych i immunohistochemicznych oraz DNA do badań molekularnych</w:t>
      </w:r>
      <w:r w:rsidRPr="008F7023">
        <w:rPr>
          <w:rFonts w:ascii="Arial" w:eastAsia="Times New Roman" w:hAnsi="Arial" w:cs="Arial"/>
          <w:bCs/>
          <w:color w:val="000000" w:themeColor="text1"/>
          <w:lang w:eastAsia="pl-PL"/>
        </w:rPr>
        <w:t>, pomiędzy ośrodkami zgłaszającymi i leczącymi pacjentów a ośrodkami weryfikującymi badania</w:t>
      </w:r>
      <w:r w:rsidRPr="008F7023">
        <w:rPr>
          <w:rFonts w:ascii="Arial" w:eastAsia="Times New Roman" w:hAnsi="Arial" w:cs="Arial"/>
          <w:color w:val="000000" w:themeColor="text1"/>
          <w:lang w:eastAsia="pl-PL"/>
        </w:rPr>
        <w:t>.</w:t>
      </w:r>
    </w:p>
    <w:p w:rsidR="00AE2DDD" w:rsidRPr="008F7023" w:rsidRDefault="00AE2DDD" w:rsidP="00AE2DDD">
      <w:pPr>
        <w:spacing w:before="240" w:after="120" w:line="276" w:lineRule="auto"/>
        <w:ind w:left="284" w:hanging="284"/>
        <w:jc w:val="both"/>
        <w:rPr>
          <w:rFonts w:ascii="Arial" w:eastAsia="Times New Roman" w:hAnsi="Arial" w:cs="Arial"/>
          <w:bCs/>
          <w:color w:val="000000" w:themeColor="text1"/>
          <w:lang w:eastAsia="pl-PL"/>
        </w:rPr>
      </w:pPr>
      <w:r w:rsidRPr="008F7023">
        <w:rPr>
          <w:rFonts w:ascii="Arial" w:eastAsia="Times New Roman" w:hAnsi="Arial" w:cs="Arial"/>
          <w:color w:val="000000" w:themeColor="text1"/>
          <w:lang w:eastAsia="pl-PL"/>
        </w:rPr>
        <w:t>5.</w:t>
      </w:r>
      <w:r w:rsidRPr="008F7023">
        <w:rPr>
          <w:rFonts w:ascii="Arial" w:eastAsia="Times New Roman" w:hAnsi="Arial" w:cs="Arial"/>
          <w:color w:val="000000" w:themeColor="text1"/>
          <w:lang w:eastAsia="pl-PL"/>
        </w:rPr>
        <w:tab/>
        <w:t>Organizacja 1 sesji weryfikacyjnej dla nowotworów tkanek miękkic</w:t>
      </w:r>
      <w:r w:rsidR="005323A3" w:rsidRPr="008F7023">
        <w:rPr>
          <w:rFonts w:ascii="Arial" w:eastAsia="Times New Roman" w:hAnsi="Arial" w:cs="Arial"/>
          <w:color w:val="000000" w:themeColor="text1"/>
          <w:lang w:eastAsia="pl-PL"/>
        </w:rPr>
        <w:t>h, z udziałem przedstawicieli 18</w:t>
      </w:r>
      <w:r w:rsidRPr="008F7023">
        <w:rPr>
          <w:rFonts w:ascii="Arial" w:eastAsia="Times New Roman" w:hAnsi="Arial" w:cs="Arial"/>
          <w:color w:val="000000" w:themeColor="text1"/>
          <w:lang w:eastAsia="pl-PL"/>
        </w:rPr>
        <w:t xml:space="preserve"> ośrodków diagnostycznych, </w:t>
      </w:r>
      <w:r w:rsidRPr="008F7023">
        <w:rPr>
          <w:rFonts w:ascii="Arial" w:eastAsia="Times New Roman" w:hAnsi="Arial" w:cs="Arial"/>
          <w:bCs/>
          <w:color w:val="000000" w:themeColor="text1"/>
          <w:lang w:eastAsia="pl-PL"/>
        </w:rPr>
        <w:t xml:space="preserve">w czasie której omawiane będą wyniki zweryfikowanych badań. Finansowaniu podlegać będą </w:t>
      </w:r>
      <w:r w:rsidRPr="008F7023">
        <w:rPr>
          <w:rFonts w:ascii="Arial" w:eastAsia="Times New Roman" w:hAnsi="Arial" w:cs="Arial"/>
          <w:bCs/>
          <w:color w:val="000000" w:themeColor="text1"/>
          <w:u w:val="single"/>
          <w:lang w:eastAsia="pl-PL"/>
        </w:rPr>
        <w:t>wyłącznie</w:t>
      </w:r>
      <w:r w:rsidRPr="008F7023">
        <w:rPr>
          <w:rFonts w:ascii="Arial" w:eastAsia="Times New Roman" w:hAnsi="Arial" w:cs="Arial"/>
          <w:bCs/>
          <w:color w:val="000000" w:themeColor="text1"/>
          <w:lang w:eastAsia="pl-PL"/>
        </w:rPr>
        <w:t xml:space="preserve"> następujące koszty: podróży uczestników najbardziej ekonomicznym środkiem transportu, noclegów uczestników, wynajmu sali, usługi gastronomicznej (cateringu), wynajmu sprzętu medycznego (np. mikroskopów), wydruku/zakupu materiałów konferencyjnych/ szkoleniowych, prowadzenia wykładów. </w:t>
      </w:r>
    </w:p>
    <w:p w:rsidR="00AE2DDD" w:rsidRPr="008F7023" w:rsidRDefault="00AE2DDD" w:rsidP="00AE2DDD">
      <w:pPr>
        <w:spacing w:after="120" w:line="276" w:lineRule="auto"/>
        <w:ind w:left="284" w:hanging="284"/>
        <w:jc w:val="both"/>
        <w:rPr>
          <w:rFonts w:ascii="Arial" w:eastAsia="Times New Roman" w:hAnsi="Arial" w:cs="Arial"/>
          <w:bCs/>
          <w:color w:val="000000" w:themeColor="text1"/>
          <w:lang w:eastAsia="pl-PL"/>
        </w:rPr>
      </w:pPr>
      <w:r w:rsidRPr="008F7023">
        <w:rPr>
          <w:rFonts w:ascii="Arial" w:eastAsia="Times New Roman" w:hAnsi="Arial" w:cs="Arial"/>
          <w:bCs/>
          <w:color w:val="000000" w:themeColor="text1"/>
          <w:lang w:eastAsia="pl-PL"/>
        </w:rPr>
        <w:t xml:space="preserve">6. Organizacja 1 sesji weryfikacyjnej dla </w:t>
      </w:r>
      <w:proofErr w:type="spellStart"/>
      <w:r w:rsidRPr="008F7023">
        <w:rPr>
          <w:rFonts w:ascii="Arial" w:eastAsia="Times New Roman" w:hAnsi="Arial" w:cs="Arial"/>
          <w:bCs/>
          <w:color w:val="000000" w:themeColor="text1"/>
          <w:lang w:eastAsia="pl-PL"/>
        </w:rPr>
        <w:t>neuroblastoma</w:t>
      </w:r>
      <w:proofErr w:type="spellEnd"/>
      <w:r w:rsidR="005323A3" w:rsidRPr="008F7023">
        <w:rPr>
          <w:rFonts w:ascii="Arial" w:eastAsia="Times New Roman" w:hAnsi="Arial" w:cs="Arial"/>
          <w:bCs/>
          <w:color w:val="000000" w:themeColor="text1"/>
          <w:lang w:eastAsia="pl-PL"/>
        </w:rPr>
        <w:t>, z udziałem przedstawicieli 18</w:t>
      </w:r>
      <w:r w:rsidRPr="008F7023">
        <w:rPr>
          <w:rFonts w:ascii="Arial" w:eastAsia="Times New Roman" w:hAnsi="Arial" w:cs="Arial"/>
          <w:bCs/>
          <w:color w:val="000000" w:themeColor="text1"/>
          <w:lang w:eastAsia="pl-PL"/>
        </w:rPr>
        <w:t xml:space="preserve"> ośrodków diagnostycznych, w czasie której omawiane będą wyniki zweryfikowanych badań. Finansowaniu podlegać będą </w:t>
      </w:r>
      <w:r w:rsidRPr="008F7023">
        <w:rPr>
          <w:rFonts w:ascii="Arial" w:eastAsia="Times New Roman" w:hAnsi="Arial" w:cs="Arial"/>
          <w:bCs/>
          <w:color w:val="000000" w:themeColor="text1"/>
          <w:u w:val="single"/>
          <w:lang w:eastAsia="pl-PL"/>
        </w:rPr>
        <w:t>wyłącznie</w:t>
      </w:r>
      <w:r w:rsidRPr="008F7023">
        <w:rPr>
          <w:rFonts w:ascii="Arial" w:eastAsia="Times New Roman" w:hAnsi="Arial" w:cs="Arial"/>
          <w:bCs/>
          <w:color w:val="000000" w:themeColor="text1"/>
          <w:lang w:eastAsia="pl-PL"/>
        </w:rPr>
        <w:t xml:space="preserve"> następujące koszty: podróży uczestników najbardziej ekonomicznym środkiem transportu, noclegów uczestników, wynajmu sali, usługi gastronomicznej (cateringu), wynajmu sprzętu medycznego (np. mikroskopów), wydruku/zakupu materiałów konferencyjnych/ szkoleniowych, prowadzenia wykładów.</w:t>
      </w:r>
    </w:p>
    <w:p w:rsidR="00AE2DDD" w:rsidRPr="008F7023" w:rsidRDefault="00AE2DDD" w:rsidP="00AE2DDD">
      <w:pPr>
        <w:spacing w:after="120" w:line="276" w:lineRule="auto"/>
        <w:ind w:left="284" w:hanging="284"/>
        <w:jc w:val="both"/>
        <w:rPr>
          <w:rFonts w:ascii="Arial" w:eastAsia="Times New Roman" w:hAnsi="Arial" w:cs="Arial"/>
          <w:lang w:eastAsia="pl-PL"/>
        </w:rPr>
      </w:pPr>
      <w:r w:rsidRPr="008F7023">
        <w:rPr>
          <w:rFonts w:ascii="Arial" w:eastAsia="Times New Roman" w:hAnsi="Arial" w:cs="Arial"/>
          <w:lang w:eastAsia="pl-PL"/>
        </w:rPr>
        <w:t xml:space="preserve">7. Organizacja 1 sesji kliniczno-terapeutycznej, z udziałem przedstawicieli wszystkich ośrodków leczących dzieci z </w:t>
      </w:r>
      <w:proofErr w:type="spellStart"/>
      <w:r w:rsidRPr="008F7023">
        <w:rPr>
          <w:rFonts w:ascii="Arial" w:eastAsia="Times New Roman" w:hAnsi="Arial" w:cs="Arial"/>
          <w:b/>
          <w:u w:val="single"/>
          <w:lang w:eastAsia="pl-PL"/>
        </w:rPr>
        <w:t>neuroblastoma</w:t>
      </w:r>
      <w:proofErr w:type="spellEnd"/>
      <w:r w:rsidRPr="008F7023">
        <w:rPr>
          <w:rFonts w:ascii="Arial" w:eastAsia="Times New Roman" w:hAnsi="Arial" w:cs="Arial"/>
          <w:lang w:eastAsia="pl-PL"/>
        </w:rPr>
        <w:t>. Finansowaniu podlegać będą wyłącznie następujące koszty: podróży uczestników najbardziej ekonomicznym środkiem transportu, noclegów uczestników, wynajmu sali, usługi gastronomicznej (cateringu), wynajmu sprzętu medycznego (np. mikroskopów), wydruku/zakupu materiałów konferencyjnych/ szkoleniowych, prowadzenia wykładów.</w:t>
      </w:r>
    </w:p>
    <w:p w:rsidR="00AE2DDD" w:rsidRPr="008F7023" w:rsidRDefault="00AE2DDD" w:rsidP="00AE2DDD">
      <w:pPr>
        <w:spacing w:before="240" w:after="120" w:line="240" w:lineRule="auto"/>
        <w:jc w:val="both"/>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Populacja badana:</w:t>
      </w:r>
    </w:p>
    <w:p w:rsidR="00AE2DDD" w:rsidRPr="008F7023" w:rsidRDefault="00AE2DDD" w:rsidP="00AE2DDD">
      <w:pPr>
        <w:spacing w:before="240" w:after="120" w:line="240" w:lineRule="auto"/>
        <w:jc w:val="both"/>
        <w:rPr>
          <w:rFonts w:ascii="Arial" w:eastAsia="Times New Roman" w:hAnsi="Arial" w:cs="Arial"/>
          <w:bCs/>
          <w:color w:val="000000" w:themeColor="text1"/>
          <w:lang w:eastAsia="pl-PL"/>
        </w:rPr>
      </w:pPr>
      <w:r w:rsidRPr="008F7023">
        <w:rPr>
          <w:rFonts w:ascii="Arial" w:eastAsia="Times New Roman" w:hAnsi="Arial" w:cs="Arial"/>
          <w:bCs/>
          <w:color w:val="000000" w:themeColor="text1"/>
          <w:lang w:eastAsia="pl-PL"/>
        </w:rPr>
        <w:t xml:space="preserve">Dzieci i młodzież do 18 r.ż., u których zdiagnozowano nowotwór lity. </w:t>
      </w:r>
    </w:p>
    <w:p w:rsidR="00577BD2" w:rsidRPr="008F7023" w:rsidRDefault="00577BD2" w:rsidP="00AE2DDD">
      <w:pPr>
        <w:spacing w:before="240" w:after="120" w:line="240" w:lineRule="auto"/>
        <w:jc w:val="both"/>
        <w:rPr>
          <w:rFonts w:ascii="Arial" w:eastAsia="Times New Roman" w:hAnsi="Arial" w:cs="Arial"/>
          <w:b/>
          <w:bCs/>
          <w:color w:val="000000" w:themeColor="text1"/>
          <w:lang w:eastAsia="pl-PL"/>
        </w:rPr>
      </w:pPr>
      <w:r w:rsidRPr="008F7023">
        <w:rPr>
          <w:rFonts w:ascii="Arial" w:eastAsia="Times New Roman" w:hAnsi="Arial" w:cs="Arial"/>
          <w:b/>
          <w:bCs/>
          <w:color w:val="000000" w:themeColor="text1"/>
          <w:lang w:eastAsia="pl-PL"/>
        </w:rPr>
        <w:t>Ogólne warunki realizacji zadania:</w:t>
      </w:r>
    </w:p>
    <w:p w:rsidR="00577BD2" w:rsidRPr="008F7023" w:rsidRDefault="00577BD2" w:rsidP="00577BD2">
      <w:pPr>
        <w:spacing w:before="240" w:after="120" w:line="240" w:lineRule="auto"/>
        <w:jc w:val="both"/>
        <w:rPr>
          <w:rFonts w:ascii="Arial" w:eastAsia="Times New Roman" w:hAnsi="Arial" w:cs="Arial"/>
          <w:color w:val="000000" w:themeColor="text1"/>
          <w:highlight w:val="cyan"/>
          <w:lang w:eastAsia="pl-PL"/>
        </w:rPr>
      </w:pPr>
      <w:r w:rsidRPr="008F7023">
        <w:rPr>
          <w:rFonts w:ascii="Arial" w:hAnsi="Arial" w:cs="Arial"/>
          <w:bCs/>
          <w:color w:val="000000" w:themeColor="text1"/>
        </w:rPr>
        <w:t xml:space="preserve">Wykaz limitów kosztów, możliwych do rozliczania w ramach organizacji sesji weryfikacyjnych i </w:t>
      </w:r>
      <w:r w:rsidRPr="008F7023">
        <w:rPr>
          <w:rFonts w:ascii="Arial" w:hAnsi="Arial" w:cs="Arial"/>
          <w:color w:val="000000" w:themeColor="text1"/>
          <w:lang w:eastAsia="pl-PL"/>
        </w:rPr>
        <w:t>sesji kliniczno-terapeutycznej</w:t>
      </w:r>
      <w:r w:rsidRPr="008F7023">
        <w:rPr>
          <w:rFonts w:ascii="Arial" w:hAnsi="Arial" w:cs="Arial"/>
          <w:bCs/>
          <w:color w:val="000000" w:themeColor="text1"/>
        </w:rPr>
        <w:t>:</w:t>
      </w:r>
    </w:p>
    <w:p w:rsidR="00577BD2" w:rsidRPr="008F7023" w:rsidRDefault="00577BD2" w:rsidP="00577BD2">
      <w:pPr>
        <w:pStyle w:val="Akapitzlist"/>
        <w:numPr>
          <w:ilvl w:val="0"/>
          <w:numId w:val="1"/>
        </w:numPr>
        <w:tabs>
          <w:tab w:val="left" w:pos="0"/>
          <w:tab w:val="left" w:pos="284"/>
        </w:tabs>
        <w:spacing w:after="120"/>
        <w:ind w:left="567" w:hanging="283"/>
        <w:jc w:val="both"/>
        <w:rPr>
          <w:rFonts w:ascii="Arial" w:hAnsi="Arial" w:cs="Arial"/>
          <w:bCs/>
          <w:color w:val="000000" w:themeColor="text1"/>
        </w:rPr>
      </w:pPr>
      <w:r w:rsidRPr="008F7023">
        <w:rPr>
          <w:rFonts w:ascii="Arial" w:hAnsi="Arial" w:cs="Arial"/>
          <w:bCs/>
          <w:color w:val="000000" w:themeColor="text1"/>
        </w:rPr>
        <w:t xml:space="preserve">Koszty wynajęcia </w:t>
      </w:r>
      <w:proofErr w:type="spellStart"/>
      <w:r w:rsidRPr="008F7023">
        <w:rPr>
          <w:rFonts w:ascii="Arial" w:hAnsi="Arial" w:cs="Arial"/>
          <w:bCs/>
          <w:color w:val="000000" w:themeColor="text1"/>
        </w:rPr>
        <w:t>sal</w:t>
      </w:r>
      <w:proofErr w:type="spellEnd"/>
      <w:r w:rsidRPr="008F7023">
        <w:rPr>
          <w:rFonts w:ascii="Arial" w:hAnsi="Arial" w:cs="Arial"/>
          <w:bCs/>
          <w:color w:val="000000" w:themeColor="text1"/>
        </w:rPr>
        <w:t xml:space="preserve"> wykładowych (cena max. na osobę – 40 zł, jednak nie więcej niż 3 500 zł za dzień). W przypadku, gdy realizator zorganizuje spotkanie w swojej siedzibie, koszty wynajmu sali nie będą refundowane,</w:t>
      </w:r>
    </w:p>
    <w:p w:rsidR="00577BD2" w:rsidRPr="008F7023" w:rsidRDefault="00577BD2" w:rsidP="00577BD2">
      <w:pPr>
        <w:pStyle w:val="Akapitzlist"/>
        <w:numPr>
          <w:ilvl w:val="0"/>
          <w:numId w:val="1"/>
        </w:numPr>
        <w:tabs>
          <w:tab w:val="left" w:pos="0"/>
          <w:tab w:val="left" w:pos="284"/>
        </w:tabs>
        <w:spacing w:after="120"/>
        <w:ind w:left="567" w:hanging="283"/>
        <w:jc w:val="both"/>
        <w:rPr>
          <w:rFonts w:ascii="Arial" w:hAnsi="Arial" w:cs="Arial"/>
          <w:bCs/>
          <w:color w:val="000000" w:themeColor="text1"/>
        </w:rPr>
      </w:pPr>
      <w:r w:rsidRPr="008F7023">
        <w:rPr>
          <w:rFonts w:ascii="Arial" w:hAnsi="Arial" w:cs="Arial"/>
          <w:bCs/>
          <w:color w:val="000000" w:themeColor="text1"/>
        </w:rPr>
        <w:t>Koszty wynagrodzenia wykładowców – max. 500 zł dla osoby posiadającej co najmniej stopień naukowy doktora oraz max. 300 zł dla pozostałych osób (za godzinę wykładową tj. min. 45 min.),</w:t>
      </w:r>
    </w:p>
    <w:p w:rsidR="00577BD2" w:rsidRPr="008F7023" w:rsidRDefault="00577BD2" w:rsidP="00577BD2">
      <w:pPr>
        <w:pStyle w:val="Akapitzlist"/>
        <w:numPr>
          <w:ilvl w:val="0"/>
          <w:numId w:val="1"/>
        </w:numPr>
        <w:tabs>
          <w:tab w:val="left" w:pos="0"/>
          <w:tab w:val="left" w:pos="284"/>
        </w:tabs>
        <w:spacing w:after="120"/>
        <w:ind w:left="567" w:hanging="283"/>
        <w:jc w:val="both"/>
        <w:rPr>
          <w:rFonts w:ascii="Arial" w:hAnsi="Arial" w:cs="Arial"/>
          <w:bCs/>
          <w:color w:val="000000" w:themeColor="text1"/>
        </w:rPr>
      </w:pPr>
      <w:r w:rsidRPr="008F7023">
        <w:rPr>
          <w:rFonts w:ascii="Arial" w:hAnsi="Arial" w:cs="Arial"/>
          <w:bCs/>
          <w:color w:val="000000" w:themeColor="text1"/>
        </w:rPr>
        <w:lastRenderedPageBreak/>
        <w:t>Koszty dojazdów (najbardziej ekonomicznym środkiem transportu):</w:t>
      </w:r>
    </w:p>
    <w:p w:rsidR="00577BD2" w:rsidRPr="008F7023" w:rsidRDefault="00577BD2" w:rsidP="00577BD2">
      <w:pPr>
        <w:pStyle w:val="Akapitzlist"/>
        <w:tabs>
          <w:tab w:val="left" w:pos="0"/>
          <w:tab w:val="left" w:pos="284"/>
        </w:tabs>
        <w:spacing w:after="120"/>
        <w:ind w:left="567"/>
        <w:jc w:val="both"/>
        <w:rPr>
          <w:rFonts w:ascii="Arial" w:hAnsi="Arial" w:cs="Arial"/>
          <w:bCs/>
          <w:color w:val="000000" w:themeColor="text1"/>
        </w:rPr>
      </w:pPr>
      <w:r w:rsidRPr="008F7023">
        <w:rPr>
          <w:rFonts w:ascii="Arial" w:hAnsi="Arial" w:cs="Arial"/>
          <w:bCs/>
          <w:color w:val="000000" w:themeColor="text1"/>
        </w:rPr>
        <w:t>Pod pojęciem podróży najbardziej ekonomicznym środkiem transportu Zleceniodawca rozumie podróż za pośrednictwem PKP – 2 klasą, PKS lub miejskiego zakładu komunikacji. W przypadku braku możliwości wykorzystania powyższych środków transportu na trasie dojazdu na spotkanie, Zleceniobiorca może wykorzystać jako środek transportu samochód osobowy zgodnie z rozporządzeniem Ministra Pracy i Polityki Społecznej z dnia 29 stycznia 2013 r. w sprawie należności przysługujących pracownikowi zatrudnionemu w państwowej lub samorządowej jednostce sfery budżetowej z tytułu podróży służbowej (Dz. U. 2013 r. poz. 167). W przypadku konieczności wyko</w:t>
      </w:r>
      <w:r w:rsidR="003E6FFD" w:rsidRPr="008F7023">
        <w:rPr>
          <w:rFonts w:ascii="Arial" w:hAnsi="Arial" w:cs="Arial"/>
          <w:bCs/>
          <w:color w:val="000000" w:themeColor="text1"/>
        </w:rPr>
        <w:t>rzystania innego, niż wymienione</w:t>
      </w:r>
      <w:r w:rsidRPr="008F7023">
        <w:rPr>
          <w:rFonts w:ascii="Arial" w:hAnsi="Arial" w:cs="Arial"/>
          <w:bCs/>
          <w:color w:val="000000" w:themeColor="text1"/>
        </w:rPr>
        <w:t xml:space="preserve"> środka transportu, należy przedstawić stosowne uzasadnienie dlaczego konieczne jest jego wykorzystanie, wraz z analizą kosztów podróży pozostałymi środkami (PKP, PKS, MZK, samochód osobowy) w tym samym terminie. W przypadku, jeżeli koszty podróży środkiem transportu innym niż wskazane będzie wyższy, wówczas przysługuje rozliczenie kosztów podróży do wysokości kwoty najbardziej ekonomicznego z nich.</w:t>
      </w:r>
    </w:p>
    <w:p w:rsidR="00577BD2" w:rsidRPr="008F7023" w:rsidRDefault="00577BD2" w:rsidP="00577BD2">
      <w:pPr>
        <w:pStyle w:val="Akapitzlist"/>
        <w:numPr>
          <w:ilvl w:val="0"/>
          <w:numId w:val="1"/>
        </w:numPr>
        <w:tabs>
          <w:tab w:val="left" w:pos="0"/>
          <w:tab w:val="left" w:pos="284"/>
        </w:tabs>
        <w:spacing w:after="120"/>
        <w:ind w:left="567" w:hanging="283"/>
        <w:jc w:val="both"/>
        <w:rPr>
          <w:rFonts w:ascii="Arial" w:hAnsi="Arial" w:cs="Arial"/>
          <w:bCs/>
          <w:color w:val="000000" w:themeColor="text1"/>
        </w:rPr>
      </w:pPr>
      <w:r w:rsidRPr="008F7023">
        <w:rPr>
          <w:rFonts w:ascii="Arial" w:hAnsi="Arial" w:cs="Arial"/>
          <w:bCs/>
          <w:color w:val="000000" w:themeColor="text1"/>
        </w:rPr>
        <w:t>Koszty usługi gastronomicznej (cateringu) - max. 35 zł za osobę na dzień,</w:t>
      </w:r>
    </w:p>
    <w:p w:rsidR="00A62D4D" w:rsidRPr="008F7023" w:rsidRDefault="00577BD2" w:rsidP="003E6FFD">
      <w:pPr>
        <w:pStyle w:val="Akapitzlist"/>
        <w:numPr>
          <w:ilvl w:val="0"/>
          <w:numId w:val="1"/>
        </w:numPr>
        <w:tabs>
          <w:tab w:val="left" w:pos="0"/>
          <w:tab w:val="left" w:pos="284"/>
        </w:tabs>
        <w:spacing w:after="120"/>
        <w:ind w:left="567" w:hanging="283"/>
        <w:contextualSpacing w:val="0"/>
        <w:jc w:val="both"/>
        <w:rPr>
          <w:rFonts w:ascii="Arial" w:hAnsi="Arial" w:cs="Arial"/>
        </w:rPr>
      </w:pPr>
      <w:r w:rsidRPr="008F7023">
        <w:rPr>
          <w:rFonts w:ascii="Arial" w:hAnsi="Arial" w:cs="Arial"/>
          <w:bCs/>
          <w:color w:val="000000" w:themeColor="text1"/>
        </w:rPr>
        <w:t xml:space="preserve">Koszty noclegów dla wykładowców i uczestników sesji </w:t>
      </w:r>
      <w:r w:rsidR="003E6FFD" w:rsidRPr="008F7023">
        <w:rPr>
          <w:rFonts w:ascii="Arial" w:hAnsi="Arial" w:cs="Arial"/>
          <w:bCs/>
          <w:color w:val="000000" w:themeColor="text1"/>
        </w:rPr>
        <w:t>– max. 220 zł za osobę za dzień</w:t>
      </w:r>
    </w:p>
    <w:p w:rsidR="005B18DC" w:rsidRPr="008F7023" w:rsidRDefault="005B18DC" w:rsidP="005B18DC">
      <w:pPr>
        <w:numPr>
          <w:ilvl w:val="0"/>
          <w:numId w:val="1"/>
        </w:numPr>
        <w:tabs>
          <w:tab w:val="left" w:pos="0"/>
          <w:tab w:val="left" w:pos="284"/>
        </w:tabs>
        <w:spacing w:after="0" w:line="360" w:lineRule="auto"/>
        <w:ind w:left="284" w:hanging="284"/>
        <w:jc w:val="both"/>
        <w:rPr>
          <w:rFonts w:ascii="Arial" w:eastAsia="Times New Roman" w:hAnsi="Arial" w:cs="Arial"/>
          <w:bCs/>
        </w:rPr>
      </w:pPr>
      <w:r w:rsidRPr="008F7023">
        <w:rPr>
          <w:rFonts w:ascii="Arial" w:eastAsia="Times New Roman" w:hAnsi="Arial" w:cs="Arial"/>
          <w:bCs/>
        </w:rPr>
        <w:t>Koszty obsługi administracyjnej – max. 10% łącznej kwoty środków przeznaczonych na organizację sesji weryfikacyjnych,</w:t>
      </w:r>
    </w:p>
    <w:p w:rsidR="005B18DC" w:rsidRPr="008F7023" w:rsidRDefault="005B18DC" w:rsidP="005B18DC">
      <w:pPr>
        <w:numPr>
          <w:ilvl w:val="0"/>
          <w:numId w:val="1"/>
        </w:numPr>
        <w:tabs>
          <w:tab w:val="left" w:pos="0"/>
          <w:tab w:val="left" w:pos="284"/>
        </w:tabs>
        <w:spacing w:after="120" w:line="360" w:lineRule="auto"/>
        <w:ind w:left="284" w:hanging="284"/>
        <w:jc w:val="both"/>
        <w:rPr>
          <w:rFonts w:ascii="Arial" w:eastAsia="Times New Roman" w:hAnsi="Arial" w:cs="Arial"/>
          <w:bCs/>
        </w:rPr>
      </w:pPr>
      <w:r w:rsidRPr="008F7023">
        <w:rPr>
          <w:rFonts w:ascii="Arial" w:eastAsia="Times New Roman" w:hAnsi="Arial" w:cs="Arial"/>
          <w:bCs/>
        </w:rPr>
        <w:t>Nie podlegają refundacji koszty wynajmu sprzętu medycznego, w przypadku, gdy jest on własnością realizatora Programu.</w:t>
      </w:r>
    </w:p>
    <w:p w:rsidR="005B18DC" w:rsidRPr="008F7023" w:rsidRDefault="005B18DC" w:rsidP="005B18DC">
      <w:pPr>
        <w:tabs>
          <w:tab w:val="left" w:pos="0"/>
          <w:tab w:val="left" w:pos="284"/>
        </w:tabs>
        <w:spacing w:after="120"/>
        <w:jc w:val="both"/>
        <w:rPr>
          <w:rFonts w:ascii="Arial" w:hAnsi="Arial" w:cs="Arial"/>
        </w:rPr>
      </w:pPr>
    </w:p>
    <w:sectPr w:rsidR="005B18DC" w:rsidRPr="008F70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6C5B99"/>
    <w:multiLevelType w:val="hybridMultilevel"/>
    <w:tmpl w:val="B2D08B14"/>
    <w:lvl w:ilvl="0" w:tplc="92CC12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0B58C7"/>
    <w:multiLevelType w:val="hybridMultilevel"/>
    <w:tmpl w:val="0AFA5B5E"/>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F3"/>
    <w:rsid w:val="00137B37"/>
    <w:rsid w:val="002323D2"/>
    <w:rsid w:val="00367CF3"/>
    <w:rsid w:val="003E6FFD"/>
    <w:rsid w:val="005323A3"/>
    <w:rsid w:val="00557695"/>
    <w:rsid w:val="00577BD2"/>
    <w:rsid w:val="005B18DC"/>
    <w:rsid w:val="00772FF4"/>
    <w:rsid w:val="008F7023"/>
    <w:rsid w:val="009B4CF0"/>
    <w:rsid w:val="00AE2DDD"/>
    <w:rsid w:val="00EF44FA"/>
    <w:rsid w:val="00F44EBE"/>
    <w:rsid w:val="00F51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AA5AE-E0CC-4747-9AB1-9029CDF8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7B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77BD2"/>
    <w:pPr>
      <w:spacing w:after="200" w:line="276" w:lineRule="auto"/>
      <w:ind w:left="720"/>
      <w:contextualSpacing/>
    </w:pPr>
    <w:rPr>
      <w:rFonts w:ascii="Calibri" w:eastAsia="Times New Roman" w:hAnsi="Calibri" w:cs="Times New Roman"/>
    </w:rPr>
  </w:style>
  <w:style w:type="paragraph" w:styleId="Tekstdymka">
    <w:name w:val="Balloon Text"/>
    <w:basedOn w:val="Normalny"/>
    <w:link w:val="TekstdymkaZnak"/>
    <w:uiPriority w:val="99"/>
    <w:semiHidden/>
    <w:unhideWhenUsed/>
    <w:rsid w:val="003E6F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6035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Bilińska Magdalena</dc:creator>
  <cp:keywords/>
  <dc:description/>
  <cp:lastModifiedBy>Bilińska Magdalena</cp:lastModifiedBy>
  <cp:revision>2</cp:revision>
  <cp:lastPrinted>2019-01-09T07:55:00Z</cp:lastPrinted>
  <dcterms:created xsi:type="dcterms:W3CDTF">2019-05-07T09:34:00Z</dcterms:created>
  <dcterms:modified xsi:type="dcterms:W3CDTF">2019-05-07T09:34:00Z</dcterms:modified>
</cp:coreProperties>
</file>