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643AEC" w:rsidRPr="00287EF3" w14:paraId="2074F6C7" w14:textId="77777777" w:rsidTr="002E7BF1">
        <w:tc>
          <w:tcPr>
            <w:tcW w:w="4889" w:type="dxa"/>
          </w:tcPr>
          <w:p w14:paraId="3577C0E5" w14:textId="77777777" w:rsidR="00643AEC" w:rsidRPr="00287EF3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</w:p>
        </w:tc>
        <w:tc>
          <w:tcPr>
            <w:tcW w:w="4889" w:type="dxa"/>
          </w:tcPr>
          <w:p w14:paraId="4E2FF273" w14:textId="3BD7E00D" w:rsidR="00643AEC" w:rsidRPr="00287EF3" w:rsidRDefault="00643AEC" w:rsidP="005946CE">
            <w:pPr>
              <w:spacing w:after="120" w:line="240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643AEC" w:rsidRPr="00287EF3" w14:paraId="7236B1C2" w14:textId="77777777" w:rsidTr="002E7BF1">
        <w:tc>
          <w:tcPr>
            <w:tcW w:w="4889" w:type="dxa"/>
          </w:tcPr>
          <w:p w14:paraId="422BF155" w14:textId="77777777" w:rsidR="00643AEC" w:rsidRPr="00287EF3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</w:p>
        </w:tc>
        <w:tc>
          <w:tcPr>
            <w:tcW w:w="4889" w:type="dxa"/>
          </w:tcPr>
          <w:p w14:paraId="2AD616D5" w14:textId="77777777" w:rsidR="00643AEC" w:rsidRPr="00287EF3" w:rsidRDefault="00643AEC" w:rsidP="005946CE">
            <w:pPr>
              <w:spacing w:after="120" w:line="240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643AEC" w:rsidRPr="00287EF3" w14:paraId="57B53AD9" w14:textId="77777777" w:rsidTr="002E7BF1">
        <w:tc>
          <w:tcPr>
            <w:tcW w:w="4889" w:type="dxa"/>
          </w:tcPr>
          <w:p w14:paraId="374E4B26" w14:textId="77777777" w:rsidR="00643AEC" w:rsidRPr="00287EF3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 w:rsidRPr="00287EF3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Ministerstwo Rozwoju i Technologii</w:t>
            </w:r>
          </w:p>
          <w:p w14:paraId="51A5CB64" w14:textId="77777777" w:rsidR="00643AEC" w:rsidRPr="00287EF3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 w:rsidRPr="00287EF3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ul. Plac Trzech Krzyży 3/5</w:t>
            </w:r>
          </w:p>
          <w:p w14:paraId="6078AC51" w14:textId="77777777" w:rsidR="00643AEC" w:rsidRPr="00287EF3" w:rsidRDefault="00643AEC" w:rsidP="005946C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</w:pPr>
            <w:r w:rsidRPr="00287EF3">
              <w:rPr>
                <w:rFonts w:ascii="Arial" w:eastAsia="Calibri" w:hAnsi="Arial" w:cs="Arial"/>
                <w:b/>
                <w:spacing w:val="4"/>
                <w:sz w:val="20"/>
                <w:szCs w:val="20"/>
                <w:lang w:eastAsia="x-none"/>
              </w:rPr>
              <w:t>00-507 Warszawa</w:t>
            </w:r>
          </w:p>
        </w:tc>
        <w:tc>
          <w:tcPr>
            <w:tcW w:w="4889" w:type="dxa"/>
          </w:tcPr>
          <w:p w14:paraId="10779C56" w14:textId="76218977" w:rsidR="00643AEC" w:rsidRPr="00287EF3" w:rsidRDefault="00643AEC" w:rsidP="005946CE">
            <w:pPr>
              <w:spacing w:after="120" w:line="240" w:lineRule="auto"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287EF3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Warszawa, </w:t>
            </w:r>
            <w:r w:rsidR="005C3ADF" w:rsidRPr="00287EF3">
              <w:rPr>
                <w:rFonts w:ascii="Arial" w:hAnsi="Arial" w:cs="Arial"/>
                <w:b/>
                <w:spacing w:val="4"/>
                <w:sz w:val="20"/>
                <w:szCs w:val="20"/>
              </w:rPr>
              <w:t>29</w:t>
            </w:r>
            <w:r w:rsidRPr="00287EF3">
              <w:rPr>
                <w:rFonts w:ascii="Arial" w:hAnsi="Arial" w:cs="Arial"/>
                <w:b/>
                <w:spacing w:val="4"/>
                <w:sz w:val="20"/>
                <w:szCs w:val="20"/>
              </w:rPr>
              <w:t>.0</w:t>
            </w:r>
            <w:r w:rsidR="005C3ADF" w:rsidRPr="00287EF3">
              <w:rPr>
                <w:rFonts w:ascii="Arial" w:hAnsi="Arial" w:cs="Arial"/>
                <w:b/>
                <w:spacing w:val="4"/>
                <w:sz w:val="20"/>
                <w:szCs w:val="20"/>
              </w:rPr>
              <w:t>9</w:t>
            </w:r>
            <w:r w:rsidRPr="00287EF3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.2022 r. </w:t>
            </w:r>
          </w:p>
        </w:tc>
      </w:tr>
    </w:tbl>
    <w:p w14:paraId="5E9F8C18" w14:textId="77777777" w:rsidR="00643AEC" w:rsidRPr="00287EF3" w:rsidRDefault="00643AEC" w:rsidP="005946C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C3263E7" w14:textId="77777777" w:rsidR="00643AEC" w:rsidRPr="00287EF3" w:rsidRDefault="00643AEC" w:rsidP="005946C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287EF3">
        <w:rPr>
          <w:rFonts w:ascii="Arial" w:hAnsi="Arial" w:cs="Arial"/>
          <w:b/>
          <w:spacing w:val="4"/>
          <w:sz w:val="20"/>
          <w:szCs w:val="20"/>
        </w:rPr>
        <w:t>ZAPYTANIE O WYCENĘ DO OSZACOWANIA WARTOŚCI ZAMÓWIENIA</w:t>
      </w:r>
    </w:p>
    <w:p w14:paraId="642F792C" w14:textId="77777777" w:rsidR="00643AEC" w:rsidRPr="00287EF3" w:rsidRDefault="00643AEC" w:rsidP="005946C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1CF3616A" w14:textId="031F4652" w:rsidR="00643AEC" w:rsidRPr="00287EF3" w:rsidRDefault="00643AEC" w:rsidP="005946C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287EF3">
        <w:rPr>
          <w:rFonts w:ascii="Arial" w:hAnsi="Arial" w:cs="Arial"/>
          <w:spacing w:val="4"/>
          <w:sz w:val="20"/>
          <w:szCs w:val="20"/>
        </w:rPr>
        <w:t xml:space="preserve">Ministerstwo planuje uruchomić postępowanie przetargowe o udzielenie zamówienia publicznego na dostawę </w:t>
      </w:r>
      <w:r w:rsidR="005C3ADF" w:rsidRPr="00287EF3">
        <w:rPr>
          <w:rFonts w:ascii="Arial" w:hAnsi="Arial" w:cs="Arial"/>
          <w:spacing w:val="4"/>
          <w:sz w:val="20"/>
          <w:szCs w:val="20"/>
        </w:rPr>
        <w:t>macierzy dyskowej</w:t>
      </w:r>
      <w:r w:rsidRPr="00287EF3">
        <w:rPr>
          <w:rFonts w:ascii="Arial" w:hAnsi="Arial" w:cs="Arial"/>
          <w:spacing w:val="4"/>
          <w:sz w:val="20"/>
          <w:szCs w:val="20"/>
        </w:rPr>
        <w:t xml:space="preserve">. </w:t>
      </w:r>
    </w:p>
    <w:p w14:paraId="1365B503" w14:textId="30512A6C" w:rsidR="00A06324" w:rsidRPr="00287EF3" w:rsidRDefault="00643AEC" w:rsidP="005946CE">
      <w:pPr>
        <w:pStyle w:val="Nagwek2"/>
        <w:keepNext w:val="0"/>
        <w:keepLines w:val="0"/>
        <w:widowControl w:val="0"/>
        <w:spacing w:after="120" w:line="240" w:lineRule="auto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287EF3">
        <w:rPr>
          <w:rFonts w:ascii="Arial" w:hAnsi="Arial" w:cs="Arial"/>
          <w:color w:val="auto"/>
          <w:spacing w:val="4"/>
          <w:sz w:val="20"/>
          <w:szCs w:val="20"/>
        </w:rPr>
        <w:t xml:space="preserve">Uprzejmie prosimy o wycenę, poniżej opisanych minimalnych wymagań stanowiących przedmiot planowanego do wszczęcia postępowania przetargowego na dostawę </w:t>
      </w:r>
      <w:r w:rsidR="005C3ADF" w:rsidRPr="00287EF3">
        <w:rPr>
          <w:rFonts w:ascii="Arial" w:hAnsi="Arial" w:cs="Arial"/>
          <w:color w:val="auto"/>
          <w:spacing w:val="4"/>
          <w:sz w:val="20"/>
          <w:szCs w:val="20"/>
        </w:rPr>
        <w:t>macierzy dyskowej</w:t>
      </w:r>
      <w:r w:rsidRPr="00287EF3">
        <w:rPr>
          <w:rFonts w:ascii="Arial" w:hAnsi="Arial" w:cs="Arial"/>
          <w:color w:val="auto"/>
          <w:spacing w:val="4"/>
          <w:sz w:val="20"/>
          <w:szCs w:val="20"/>
        </w:rPr>
        <w:t xml:space="preserve">. </w:t>
      </w:r>
    </w:p>
    <w:p w14:paraId="6C411F2B" w14:textId="77777777" w:rsidR="005946CE" w:rsidRPr="00287EF3" w:rsidRDefault="005946CE" w:rsidP="005946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Fonts w:ascii="Arial" w:eastAsia="Arial" w:hAnsi="Arial" w:cs="Arial"/>
          <w:b/>
          <w:spacing w:val="4"/>
          <w:sz w:val="20"/>
          <w:szCs w:val="20"/>
        </w:rPr>
      </w:pPr>
      <w:r w:rsidRPr="00287EF3">
        <w:rPr>
          <w:rFonts w:ascii="Arial" w:eastAsia="Arial" w:hAnsi="Arial" w:cs="Arial"/>
          <w:b/>
          <w:spacing w:val="4"/>
          <w:sz w:val="20"/>
          <w:szCs w:val="20"/>
        </w:rPr>
        <w:t>PRZEDMIOT ZAMÓWIENIA</w:t>
      </w:r>
    </w:p>
    <w:p w14:paraId="3FDDDE20" w14:textId="7782C5DF" w:rsidR="00A06324" w:rsidRPr="00287EF3" w:rsidRDefault="00905FCF" w:rsidP="005946CE">
      <w:pPr>
        <w:spacing w:after="120" w:line="240" w:lineRule="auto"/>
        <w:ind w:right="50"/>
        <w:contextualSpacing/>
        <w:jc w:val="both"/>
        <w:rPr>
          <w:rFonts w:ascii="Arial" w:eastAsia="Arial" w:hAnsi="Arial" w:cs="Arial"/>
          <w:b/>
          <w:spacing w:val="4"/>
          <w:sz w:val="20"/>
          <w:szCs w:val="20"/>
        </w:rPr>
      </w:pPr>
      <w:r w:rsidRPr="00287EF3">
        <w:rPr>
          <w:rFonts w:ascii="Arial" w:hAnsi="Arial" w:cs="Arial"/>
          <w:spacing w:val="4"/>
          <w:sz w:val="20"/>
          <w:szCs w:val="20"/>
        </w:rPr>
        <w:t xml:space="preserve">Przedmiotem Zamówienia jest dostawa </w:t>
      </w:r>
      <w:r w:rsidR="005C3ADF" w:rsidRPr="00287EF3">
        <w:rPr>
          <w:rFonts w:ascii="Arial" w:hAnsi="Arial" w:cs="Arial"/>
          <w:spacing w:val="4"/>
          <w:sz w:val="20"/>
          <w:szCs w:val="20"/>
        </w:rPr>
        <w:t>macierzy dyskowej</w:t>
      </w:r>
      <w:r w:rsidRPr="00287EF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.</w:t>
      </w:r>
    </w:p>
    <w:p w14:paraId="710FFD74" w14:textId="77777777" w:rsidR="005946CE" w:rsidRPr="00287EF3" w:rsidRDefault="005946CE" w:rsidP="005946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287EF3">
        <w:rPr>
          <w:rFonts w:ascii="Arial" w:hAnsi="Arial" w:cs="Arial"/>
          <w:b/>
          <w:spacing w:val="4"/>
          <w:sz w:val="20"/>
          <w:szCs w:val="20"/>
        </w:rPr>
        <w:t>TERMIN REALIZACJI ZAMÓWIENIA</w:t>
      </w:r>
    </w:p>
    <w:p w14:paraId="4AC29CAA" w14:textId="77777777" w:rsidR="00AA166E" w:rsidRPr="00287EF3" w:rsidRDefault="00A47AD2" w:rsidP="00A53F8B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87EF3">
        <w:rPr>
          <w:rFonts w:ascii="Arial" w:hAnsi="Arial" w:cs="Arial"/>
          <w:color w:val="000000"/>
          <w:spacing w:val="4"/>
          <w:sz w:val="20"/>
          <w:szCs w:val="20"/>
        </w:rPr>
        <w:t xml:space="preserve">Przedmiot zamówienia zostanie zrealizowany w terminie </w:t>
      </w:r>
      <w:r w:rsidRPr="00287EF3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 xml:space="preserve">do </w:t>
      </w:r>
      <w:r w:rsidR="001E5734" w:rsidRPr="00287EF3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>……….</w:t>
      </w:r>
      <w:r w:rsidRPr="00287EF3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 xml:space="preserve"> </w:t>
      </w:r>
      <w:r w:rsidR="00AA166E" w:rsidRPr="00287EF3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>d</w:t>
      </w:r>
      <w:r w:rsidRPr="00287EF3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>ni</w:t>
      </w:r>
      <w:r w:rsidR="00AA166E" w:rsidRPr="00287EF3">
        <w:rPr>
          <w:rFonts w:ascii="Arial" w:hAnsi="Arial" w:cs="Arial"/>
          <w:color w:val="000000"/>
          <w:spacing w:val="4"/>
          <w:sz w:val="20"/>
          <w:szCs w:val="20"/>
        </w:rPr>
        <w:t xml:space="preserve"> od daty podpisania przez strony umowy </w:t>
      </w:r>
      <w:r w:rsidR="00AA166E" w:rsidRPr="00287EF3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>(termin realizacji do uzupełnienia przez Wykonawcę)</w:t>
      </w:r>
      <w:r w:rsidRPr="00287EF3">
        <w:rPr>
          <w:rFonts w:ascii="Arial" w:hAnsi="Arial" w:cs="Arial"/>
          <w:b/>
          <w:bCs/>
          <w:color w:val="000000"/>
          <w:spacing w:val="4"/>
          <w:sz w:val="20"/>
          <w:szCs w:val="20"/>
          <w:u w:val="single"/>
        </w:rPr>
        <w:t>.</w:t>
      </w:r>
      <w:r w:rsidRPr="00287EF3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52AEA5A0" w14:textId="3F5ADE07" w:rsidR="00A53F8B" w:rsidRPr="00287EF3" w:rsidRDefault="00A47AD2" w:rsidP="005C3ADF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87EF3">
        <w:rPr>
          <w:rFonts w:ascii="Arial" w:hAnsi="Arial" w:cs="Arial"/>
          <w:color w:val="000000"/>
          <w:spacing w:val="4"/>
          <w:sz w:val="20"/>
          <w:szCs w:val="20"/>
        </w:rPr>
        <w:t xml:space="preserve">Realizacja </w:t>
      </w:r>
      <w:r w:rsidR="00AA166E" w:rsidRPr="00287EF3">
        <w:rPr>
          <w:rFonts w:ascii="Arial" w:hAnsi="Arial" w:cs="Arial"/>
          <w:color w:val="000000"/>
          <w:spacing w:val="4"/>
          <w:sz w:val="20"/>
          <w:szCs w:val="20"/>
        </w:rPr>
        <w:t xml:space="preserve">przedmiotu </w:t>
      </w:r>
      <w:r w:rsidR="00A53F8B" w:rsidRPr="00287EF3">
        <w:rPr>
          <w:rFonts w:ascii="Arial" w:hAnsi="Arial" w:cs="Arial"/>
          <w:color w:val="000000"/>
          <w:spacing w:val="4"/>
          <w:sz w:val="20"/>
          <w:szCs w:val="20"/>
        </w:rPr>
        <w:t>zamówienia</w:t>
      </w:r>
      <w:r w:rsidRPr="00287EF3">
        <w:rPr>
          <w:rFonts w:ascii="Arial" w:hAnsi="Arial" w:cs="Arial"/>
          <w:color w:val="000000"/>
          <w:spacing w:val="4"/>
          <w:sz w:val="20"/>
          <w:szCs w:val="20"/>
        </w:rPr>
        <w:t xml:space="preserve"> obejmować </w:t>
      </w:r>
      <w:r w:rsidR="00A53F8B" w:rsidRPr="00287EF3">
        <w:rPr>
          <w:rFonts w:ascii="Arial" w:hAnsi="Arial" w:cs="Arial"/>
          <w:color w:val="000000"/>
          <w:spacing w:val="4"/>
          <w:sz w:val="20"/>
          <w:szCs w:val="20"/>
        </w:rPr>
        <w:t>będzie</w:t>
      </w:r>
      <w:r w:rsidR="005C3ADF" w:rsidRPr="00287EF3">
        <w:rPr>
          <w:rFonts w:ascii="Arial" w:hAnsi="Arial" w:cs="Arial"/>
          <w:color w:val="000000"/>
          <w:spacing w:val="4"/>
          <w:sz w:val="20"/>
          <w:szCs w:val="20"/>
        </w:rPr>
        <w:t xml:space="preserve"> d</w:t>
      </w:r>
      <w:r w:rsidR="00A53F8B" w:rsidRPr="00287EF3">
        <w:rPr>
          <w:rFonts w:ascii="Arial" w:hAnsi="Arial" w:cs="Arial"/>
          <w:color w:val="000000"/>
          <w:spacing w:val="4"/>
          <w:sz w:val="20"/>
          <w:szCs w:val="20"/>
        </w:rPr>
        <w:t xml:space="preserve">ostawę </w:t>
      </w:r>
      <w:r w:rsidR="005C3ADF" w:rsidRPr="00287EF3">
        <w:rPr>
          <w:rFonts w:ascii="Arial" w:hAnsi="Arial" w:cs="Arial"/>
          <w:color w:val="000000"/>
          <w:spacing w:val="4"/>
          <w:sz w:val="20"/>
          <w:szCs w:val="20"/>
        </w:rPr>
        <w:t>macierzy dyskowej</w:t>
      </w:r>
      <w:r w:rsidR="00A53F8B" w:rsidRPr="00287EF3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F03399" w:rsidRPr="00287EF3">
        <w:rPr>
          <w:rFonts w:ascii="Arial" w:hAnsi="Arial" w:cs="Arial"/>
          <w:color w:val="000000"/>
          <w:spacing w:val="4"/>
          <w:sz w:val="20"/>
          <w:szCs w:val="20"/>
        </w:rPr>
        <w:t xml:space="preserve">do </w:t>
      </w:r>
      <w:r w:rsidR="00BB3C99" w:rsidRPr="00287EF3">
        <w:rPr>
          <w:rFonts w:ascii="Arial" w:hAnsi="Arial" w:cs="Arial"/>
          <w:color w:val="000000"/>
          <w:spacing w:val="4"/>
          <w:sz w:val="20"/>
          <w:szCs w:val="20"/>
        </w:rPr>
        <w:t>siedziby Zamawiającego</w:t>
      </w:r>
      <w:r w:rsidR="000359F2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27685A5F" w14:textId="77777777" w:rsidR="001E5734" w:rsidRPr="00287EF3" w:rsidRDefault="001E5734" w:rsidP="001E5734">
      <w:pPr>
        <w:pStyle w:val="Akapitzlist"/>
        <w:spacing w:after="120" w:line="240" w:lineRule="auto"/>
        <w:ind w:left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0FB87C4" w14:textId="41A131D0" w:rsidR="00BB3C99" w:rsidRPr="00287EF3" w:rsidRDefault="00BB3C99" w:rsidP="00BB3C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287EF3">
        <w:rPr>
          <w:rFonts w:ascii="Arial" w:hAnsi="Arial" w:cs="Arial"/>
          <w:b/>
          <w:spacing w:val="4"/>
          <w:sz w:val="20"/>
          <w:szCs w:val="20"/>
        </w:rPr>
        <w:t>MINIMALNE WYMAGANIA DOTYCZĄCE REALIZACJI PRZEDMIOTU ZAMÓWIENIA</w:t>
      </w:r>
    </w:p>
    <w:p w14:paraId="52CCCC1D" w14:textId="025BAA77" w:rsidR="00DA13B6" w:rsidRPr="00287EF3" w:rsidRDefault="00DA13B6" w:rsidP="00DA1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7EF3">
        <w:rPr>
          <w:rFonts w:ascii="Arial" w:hAnsi="Arial" w:cs="Arial"/>
          <w:sz w:val="20"/>
          <w:szCs w:val="20"/>
        </w:rPr>
        <w:t>Zaoferowan</w:t>
      </w:r>
      <w:r w:rsidR="005C3ADF" w:rsidRPr="00287EF3">
        <w:rPr>
          <w:rFonts w:ascii="Arial" w:hAnsi="Arial" w:cs="Arial"/>
          <w:sz w:val="20"/>
          <w:szCs w:val="20"/>
        </w:rPr>
        <w:t>a macierz</w:t>
      </w:r>
      <w:r w:rsidRPr="00287EF3">
        <w:rPr>
          <w:rFonts w:ascii="Arial" w:hAnsi="Arial" w:cs="Arial"/>
          <w:sz w:val="20"/>
          <w:szCs w:val="20"/>
        </w:rPr>
        <w:t xml:space="preserve"> mus</w:t>
      </w:r>
      <w:r w:rsidR="005C3ADF" w:rsidRPr="00287EF3">
        <w:rPr>
          <w:rFonts w:ascii="Arial" w:hAnsi="Arial" w:cs="Arial"/>
          <w:sz w:val="20"/>
          <w:szCs w:val="20"/>
        </w:rPr>
        <w:t>i</w:t>
      </w:r>
      <w:r w:rsidRPr="00287EF3">
        <w:rPr>
          <w:rFonts w:ascii="Arial" w:hAnsi="Arial" w:cs="Arial"/>
          <w:sz w:val="20"/>
          <w:szCs w:val="20"/>
        </w:rPr>
        <w:t xml:space="preserve"> być fabrycznie nowe przeznaczone do sprzedaży na rynku europejskim (zgodnie z ustawą z dnia 30.08.2002 r. o systemie oceny zgodności (Dz.U. z 2004 r., nr 204, poz. 2087 j.t. z </w:t>
      </w:r>
      <w:proofErr w:type="spellStart"/>
      <w:r w:rsidRPr="00287EF3">
        <w:rPr>
          <w:rFonts w:ascii="Arial" w:hAnsi="Arial" w:cs="Arial"/>
          <w:sz w:val="20"/>
          <w:szCs w:val="20"/>
        </w:rPr>
        <w:t>późn</w:t>
      </w:r>
      <w:proofErr w:type="spellEnd"/>
      <w:r w:rsidRPr="00287EF3">
        <w:rPr>
          <w:rFonts w:ascii="Arial" w:hAnsi="Arial" w:cs="Arial"/>
          <w:sz w:val="20"/>
          <w:szCs w:val="20"/>
        </w:rPr>
        <w:t>. zm.) i z wydanymi na jej podstawie rozporządzeniami), wyprodukowan</w:t>
      </w:r>
      <w:r w:rsidR="005C3ADF" w:rsidRPr="00287EF3">
        <w:rPr>
          <w:rFonts w:ascii="Arial" w:hAnsi="Arial" w:cs="Arial"/>
          <w:sz w:val="20"/>
          <w:szCs w:val="20"/>
        </w:rPr>
        <w:t>a</w:t>
      </w:r>
      <w:r w:rsidRPr="00287EF3">
        <w:rPr>
          <w:rFonts w:ascii="Arial" w:hAnsi="Arial" w:cs="Arial"/>
          <w:sz w:val="20"/>
          <w:szCs w:val="20"/>
        </w:rPr>
        <w:t xml:space="preserve"> nie wcześniej niż 6</w:t>
      </w:r>
      <w:r w:rsidR="00F13AEF" w:rsidRPr="00287EF3">
        <w:rPr>
          <w:rFonts w:ascii="Arial" w:hAnsi="Arial" w:cs="Arial"/>
          <w:sz w:val="20"/>
          <w:szCs w:val="20"/>
        </w:rPr>
        <w:t> </w:t>
      </w:r>
      <w:r w:rsidRPr="00287EF3">
        <w:rPr>
          <w:rFonts w:ascii="Arial" w:hAnsi="Arial" w:cs="Arial"/>
          <w:sz w:val="20"/>
          <w:szCs w:val="20"/>
        </w:rPr>
        <w:t>miesięcy przed datą dostarczenia oraz objęt</w:t>
      </w:r>
      <w:r w:rsidR="005C3ADF" w:rsidRPr="00287EF3">
        <w:rPr>
          <w:rFonts w:ascii="Arial" w:hAnsi="Arial" w:cs="Arial"/>
          <w:sz w:val="20"/>
          <w:szCs w:val="20"/>
        </w:rPr>
        <w:t>a</w:t>
      </w:r>
      <w:r w:rsidRPr="00287EF3">
        <w:rPr>
          <w:rFonts w:ascii="Arial" w:hAnsi="Arial" w:cs="Arial"/>
          <w:sz w:val="20"/>
          <w:szCs w:val="20"/>
        </w:rPr>
        <w:t xml:space="preserve"> wymaganą przez Zamawiającego gwarancją w Polsce. Zamawiający nie dopuszcza produktów „odnawianych" (ang. </w:t>
      </w:r>
      <w:proofErr w:type="spellStart"/>
      <w:r w:rsidRPr="00287EF3">
        <w:rPr>
          <w:rFonts w:ascii="Arial" w:hAnsi="Arial" w:cs="Arial"/>
          <w:sz w:val="20"/>
          <w:szCs w:val="20"/>
        </w:rPr>
        <w:t>Refurbished</w:t>
      </w:r>
      <w:proofErr w:type="spellEnd"/>
      <w:r w:rsidRPr="00287EF3">
        <w:rPr>
          <w:rFonts w:ascii="Arial" w:hAnsi="Arial" w:cs="Arial"/>
          <w:sz w:val="20"/>
          <w:szCs w:val="20"/>
        </w:rPr>
        <w:t>). Zaoferowan</w:t>
      </w:r>
      <w:r w:rsidR="005C3ADF" w:rsidRPr="00287EF3">
        <w:rPr>
          <w:rFonts w:ascii="Arial" w:hAnsi="Arial" w:cs="Arial"/>
          <w:sz w:val="20"/>
          <w:szCs w:val="20"/>
        </w:rPr>
        <w:t>a</w:t>
      </w:r>
      <w:r w:rsidRPr="00287EF3">
        <w:rPr>
          <w:rFonts w:ascii="Arial" w:hAnsi="Arial" w:cs="Arial"/>
          <w:sz w:val="20"/>
          <w:szCs w:val="20"/>
        </w:rPr>
        <w:t xml:space="preserve"> </w:t>
      </w:r>
      <w:r w:rsidR="005C3ADF" w:rsidRPr="00287EF3">
        <w:rPr>
          <w:rFonts w:ascii="Arial" w:hAnsi="Arial" w:cs="Arial"/>
          <w:sz w:val="20"/>
          <w:szCs w:val="20"/>
        </w:rPr>
        <w:t>macierz</w:t>
      </w:r>
      <w:r w:rsidRPr="00287EF3">
        <w:rPr>
          <w:rFonts w:ascii="Arial" w:hAnsi="Arial" w:cs="Arial"/>
          <w:sz w:val="20"/>
          <w:szCs w:val="20"/>
        </w:rPr>
        <w:t>, oprogramowanie sterujące połączeniami oraz aplikacje zarządzające muszą pochodzić od tego samego producenta. Zamawiający wymaga, aby dostarczon</w:t>
      </w:r>
      <w:r w:rsidR="005C3ADF" w:rsidRPr="00287EF3">
        <w:rPr>
          <w:rFonts w:ascii="Arial" w:hAnsi="Arial" w:cs="Arial"/>
          <w:sz w:val="20"/>
          <w:szCs w:val="20"/>
        </w:rPr>
        <w:t>a</w:t>
      </w:r>
      <w:r w:rsidRPr="00287EF3">
        <w:rPr>
          <w:rFonts w:ascii="Arial" w:hAnsi="Arial" w:cs="Arial"/>
          <w:sz w:val="20"/>
          <w:szCs w:val="20"/>
        </w:rPr>
        <w:t xml:space="preserve"> </w:t>
      </w:r>
      <w:r w:rsidR="005C3ADF" w:rsidRPr="00287EF3">
        <w:rPr>
          <w:rFonts w:ascii="Arial" w:hAnsi="Arial" w:cs="Arial"/>
          <w:sz w:val="20"/>
          <w:szCs w:val="20"/>
        </w:rPr>
        <w:t>macierz</w:t>
      </w:r>
      <w:r w:rsidRPr="00287EF3">
        <w:rPr>
          <w:rFonts w:ascii="Arial" w:hAnsi="Arial" w:cs="Arial"/>
          <w:sz w:val="20"/>
          <w:szCs w:val="20"/>
        </w:rPr>
        <w:t xml:space="preserve"> pochodził</w:t>
      </w:r>
      <w:r w:rsidR="005C3ADF" w:rsidRPr="00287EF3">
        <w:rPr>
          <w:rFonts w:ascii="Arial" w:hAnsi="Arial" w:cs="Arial"/>
          <w:sz w:val="20"/>
          <w:szCs w:val="20"/>
        </w:rPr>
        <w:t>a</w:t>
      </w:r>
      <w:r w:rsidRPr="00287EF3">
        <w:rPr>
          <w:rFonts w:ascii="Arial" w:hAnsi="Arial" w:cs="Arial"/>
          <w:sz w:val="20"/>
          <w:szCs w:val="20"/>
        </w:rPr>
        <w:t xml:space="preserve"> z oficjalnego kanału dystrybucyjnego danego producenta, a serwis gwarancyjny był autoryzowany przez producenta urządze</w:t>
      </w:r>
      <w:r w:rsidR="005C3ADF" w:rsidRPr="00287EF3">
        <w:rPr>
          <w:rFonts w:ascii="Arial" w:hAnsi="Arial" w:cs="Arial"/>
          <w:sz w:val="20"/>
          <w:szCs w:val="20"/>
        </w:rPr>
        <w:t>nia</w:t>
      </w:r>
      <w:r w:rsidRPr="00287EF3">
        <w:rPr>
          <w:rFonts w:ascii="Arial" w:hAnsi="Arial" w:cs="Arial"/>
          <w:sz w:val="20"/>
          <w:szCs w:val="20"/>
        </w:rPr>
        <w:t xml:space="preserve"> i oprogramowania oraz świadczony przez producenta lub autoryzowanych partnerów w</w:t>
      </w:r>
      <w:r w:rsidR="00F13AEF" w:rsidRPr="00287EF3">
        <w:rPr>
          <w:rFonts w:ascii="Arial" w:hAnsi="Arial" w:cs="Arial"/>
          <w:sz w:val="20"/>
          <w:szCs w:val="20"/>
        </w:rPr>
        <w:t> </w:t>
      </w:r>
      <w:r w:rsidRPr="00287EF3">
        <w:rPr>
          <w:rFonts w:ascii="Arial" w:hAnsi="Arial" w:cs="Arial"/>
          <w:sz w:val="20"/>
          <w:szCs w:val="20"/>
        </w:rPr>
        <w:t>centrach serwisowych na terenie Unii Europejskiej.</w:t>
      </w:r>
    </w:p>
    <w:p w14:paraId="67C9C390" w14:textId="77777777" w:rsidR="00DA13B6" w:rsidRPr="00287EF3" w:rsidRDefault="00DA13B6" w:rsidP="005946CE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pacing w:val="4"/>
          <w:sz w:val="20"/>
          <w:szCs w:val="20"/>
        </w:rPr>
      </w:pPr>
    </w:p>
    <w:p w14:paraId="1C1FB296" w14:textId="498C07C7" w:rsidR="00A06324" w:rsidRPr="00287EF3" w:rsidRDefault="00287EF3" w:rsidP="005946CE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pacing w:val="4"/>
          <w:sz w:val="20"/>
          <w:szCs w:val="20"/>
        </w:rPr>
      </w:pPr>
      <w:r w:rsidRPr="00287EF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D</w:t>
      </w:r>
      <w:r w:rsidR="00F5580E" w:rsidRPr="00287EF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ostarczon</w:t>
      </w:r>
      <w:r w:rsidRPr="00287EF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a</w:t>
      </w:r>
      <w:r w:rsidR="00F5580E" w:rsidRPr="00287EF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 w:rsidRPr="00287EF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macierz m</w:t>
      </w:r>
      <w:r w:rsidR="00F5580E" w:rsidRPr="00287EF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us</w:t>
      </w:r>
      <w:r w:rsidR="00E1474A" w:rsidRPr="00287EF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i</w:t>
      </w:r>
      <w:r w:rsidR="00F5580E" w:rsidRPr="00287EF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spełniać poniżej opisane minimalne wymagania: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0"/>
        <w:gridCol w:w="2041"/>
        <w:gridCol w:w="6461"/>
      </w:tblGrid>
      <w:tr w:rsidR="00287EF3" w:rsidRPr="00287EF3" w14:paraId="4627A239" w14:textId="77777777" w:rsidTr="00287EF3">
        <w:trPr>
          <w:trHeight w:val="727"/>
        </w:trPr>
        <w:tc>
          <w:tcPr>
            <w:tcW w:w="560" w:type="dxa"/>
          </w:tcPr>
          <w:p w14:paraId="53782978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041" w:type="dxa"/>
          </w:tcPr>
          <w:p w14:paraId="7E357F46" w14:textId="39A1ACE3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Nazwa elementu,</w:t>
            </w:r>
          </w:p>
        </w:tc>
        <w:tc>
          <w:tcPr>
            <w:tcW w:w="6461" w:type="dxa"/>
          </w:tcPr>
          <w:p w14:paraId="65609B03" w14:textId="77777777" w:rsidR="00287EF3" w:rsidRPr="00287EF3" w:rsidRDefault="00287EF3" w:rsidP="00CC4A8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Szczegółowy opis wymagań</w:t>
            </w:r>
          </w:p>
        </w:tc>
      </w:tr>
      <w:tr w:rsidR="00287EF3" w:rsidRPr="00287EF3" w14:paraId="47F0E8DE" w14:textId="77777777" w:rsidTr="00CC4A83">
        <w:tc>
          <w:tcPr>
            <w:tcW w:w="560" w:type="dxa"/>
          </w:tcPr>
          <w:p w14:paraId="79874044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041" w:type="dxa"/>
          </w:tcPr>
          <w:p w14:paraId="54B96F8E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Definicja</w:t>
            </w:r>
          </w:p>
        </w:tc>
        <w:tc>
          <w:tcPr>
            <w:tcW w:w="6461" w:type="dxa"/>
          </w:tcPr>
          <w:p w14:paraId="68F9885B" w14:textId="77777777" w:rsidR="00287EF3" w:rsidRPr="00287EF3" w:rsidRDefault="00287EF3" w:rsidP="00CC4A8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Przez macierz dyskową Zamawiający rozumie zestaw nośników (dysków twardych, dysków SSD, modułów Flash) kontrolowanych przez dedykowane kontrolery macierzowe (bez zastosowania dodatkowych urządzeń pośrednich, serwerów wirtualizujących itp.) </w:t>
            </w:r>
          </w:p>
        </w:tc>
      </w:tr>
      <w:tr w:rsidR="00287EF3" w:rsidRPr="00287EF3" w14:paraId="4FED75E6" w14:textId="77777777" w:rsidTr="00CC4A83">
        <w:tc>
          <w:tcPr>
            <w:tcW w:w="560" w:type="dxa"/>
          </w:tcPr>
          <w:p w14:paraId="00227660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041" w:type="dxa"/>
          </w:tcPr>
          <w:p w14:paraId="4523FFAA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Typ obudowy</w:t>
            </w:r>
          </w:p>
        </w:tc>
        <w:tc>
          <w:tcPr>
            <w:tcW w:w="6461" w:type="dxa"/>
          </w:tcPr>
          <w:p w14:paraId="1113FED8" w14:textId="77777777" w:rsidR="00287EF3" w:rsidRPr="00287EF3" w:rsidRDefault="00287EF3" w:rsidP="00287EF3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być umożliwiać instalację w standardowej szafie serwerowej typu RACK 19”.</w:t>
            </w:r>
          </w:p>
          <w:p w14:paraId="47245D6A" w14:textId="77777777" w:rsidR="00287EF3" w:rsidRPr="00287EF3" w:rsidRDefault="00287EF3" w:rsidP="00287EF3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W obudowie podstawowej o wysokości co najwyżej 2U musi zawierać co najmniej dwa kontrolery macierzowe pracujące w trybie dual-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active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lub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active-active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9208725" w14:textId="77777777" w:rsidR="00287EF3" w:rsidRPr="00287EF3" w:rsidRDefault="00287EF3" w:rsidP="00287EF3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musi umożliwiać instalację w kontrolerach macierzowych kombinacji nośników dyskowych w technologii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dwóch rodzajów równocześnie: SSD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i Flash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287EF3" w:rsidRPr="00287EF3" w14:paraId="098761A6" w14:textId="77777777" w:rsidTr="00CC4A83">
        <w:tc>
          <w:tcPr>
            <w:tcW w:w="560" w:type="dxa"/>
          </w:tcPr>
          <w:p w14:paraId="63D0E220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041" w:type="dxa"/>
          </w:tcPr>
          <w:p w14:paraId="5F7FE334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Architektura</w:t>
            </w:r>
          </w:p>
        </w:tc>
        <w:tc>
          <w:tcPr>
            <w:tcW w:w="6461" w:type="dxa"/>
          </w:tcPr>
          <w:p w14:paraId="483C2C37" w14:textId="77777777" w:rsidR="00287EF3" w:rsidRPr="00287EF3" w:rsidRDefault="00287EF3" w:rsidP="00287EF3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Urządzenie musi składać się z pojedynczej macierzy dyskowej zarządzanej z jednego interfejsu graficznego (GUI) oraz tekstowego (CLI). W przypadku rozbudowy do czterech i więcej kontrolerów za pojedynczą macierz uznaje się rozwiązanie, w którym wszystkie </w:t>
            </w:r>
            <w:r w:rsidRPr="00287EF3">
              <w:rPr>
                <w:rFonts w:ascii="Arial" w:eastAsia="Calibri" w:hAnsi="Arial" w:cs="Arial"/>
                <w:sz w:val="20"/>
                <w:szCs w:val="20"/>
              </w:rPr>
              <w:lastRenderedPageBreak/>
              <w:t>kontrolery są wbudowane wewnętrznie w ramach jednej obudowy lub połączone poprzez przełączniki SAN, jednak rozwiązanie takie musi zagwarantować zarządzanie z jednego interfejsu GUI, CLI dla wszystkich kontrolerów dyskowych i ich zasobów.</w:t>
            </w:r>
          </w:p>
          <w:p w14:paraId="47790A27" w14:textId="77777777" w:rsidR="00287EF3" w:rsidRPr="00287EF3" w:rsidRDefault="00287EF3" w:rsidP="00287EF3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Kontrolery macierzowe muszą wykorzystywać wyłącznie protokół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do komunikacji z dyskami umieszczonymi w obudowie kontrolerów macierzy. Zamawiający nie dopuszcza stosowania protokołu SAS do komunikacji nośników dyskowych z kontrolerem. Zamawiający dopuszcza stosowanie protokołu SAS 12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Gb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jedynie do komunikacji z półkami dyskowymi podłączonymi do kontrolerów.</w:t>
            </w:r>
          </w:p>
        </w:tc>
      </w:tr>
      <w:tr w:rsidR="00287EF3" w:rsidRPr="00287EF3" w14:paraId="03620978" w14:textId="77777777" w:rsidTr="00CC4A83">
        <w:tc>
          <w:tcPr>
            <w:tcW w:w="560" w:type="dxa"/>
          </w:tcPr>
          <w:p w14:paraId="29B9CADD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41" w:type="dxa"/>
          </w:tcPr>
          <w:p w14:paraId="57A8448B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Pojemność</w:t>
            </w:r>
          </w:p>
        </w:tc>
        <w:tc>
          <w:tcPr>
            <w:tcW w:w="6461" w:type="dxa"/>
          </w:tcPr>
          <w:p w14:paraId="6D5A748A" w14:textId="77777777" w:rsidR="00287EF3" w:rsidRPr="00287EF3" w:rsidRDefault="00287EF3" w:rsidP="00287EF3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Całkowita pojemność brutto (fizyczna) macierzy musi wynosić minimum 140 TB i jednocześnie nie mniej niż 100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TiB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pojemności użytecznej zbudowane w RAID6 bez użycia mechanizmów redukcji danych. Macierz musi być zbudowana wyłącznie w oparciu o moduły dyskowe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Flash lub dyski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SSD. Niedopuszczalne jest użycie dysków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cMLC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(Consumer MLC).</w:t>
            </w:r>
          </w:p>
          <w:p w14:paraId="4235CF7D" w14:textId="77777777" w:rsidR="00287EF3" w:rsidRPr="00287EF3" w:rsidRDefault="00287EF3" w:rsidP="00287EF3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W przypadku zastosowania modułów Flash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rozmiar nośnika nie może być większy niż 10TB.</w:t>
            </w:r>
          </w:p>
          <w:p w14:paraId="2565C3E8" w14:textId="77777777" w:rsidR="00287EF3" w:rsidRPr="00287EF3" w:rsidRDefault="00287EF3" w:rsidP="00287EF3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W przypadku zastosowania dysków SSD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rozmiar nośnika nie może być większy niż 8TB.</w:t>
            </w:r>
          </w:p>
          <w:p w14:paraId="4C19586C" w14:textId="77777777" w:rsidR="00287EF3" w:rsidRPr="00287EF3" w:rsidRDefault="00287EF3" w:rsidP="00287EF3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w chwili dostawy musi obsługiwać min. 368 dysków SSD oraz jednocześnie min. 24 moduły Flash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. Macierz musi mieć możliwość rozbudowy poprzez dodanie kontrolerów oraz półek dyskowych do min. 1472 dysków oraz do min. 96 modułów Flash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287EF3" w:rsidRPr="00287EF3" w14:paraId="2599B552" w14:textId="77777777" w:rsidTr="00CC4A83">
        <w:tc>
          <w:tcPr>
            <w:tcW w:w="560" w:type="dxa"/>
          </w:tcPr>
          <w:p w14:paraId="6311F916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2041" w:type="dxa"/>
          </w:tcPr>
          <w:p w14:paraId="438DBF8C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Kontrolery</w:t>
            </w:r>
          </w:p>
          <w:p w14:paraId="2FFA2FAF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macierzowe</w:t>
            </w:r>
          </w:p>
        </w:tc>
        <w:tc>
          <w:tcPr>
            <w:tcW w:w="6461" w:type="dxa"/>
          </w:tcPr>
          <w:p w14:paraId="2C040D8A" w14:textId="77777777" w:rsidR="00287EF3" w:rsidRPr="00287EF3" w:rsidRDefault="00287EF3" w:rsidP="00287EF3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musi być zbudowana z minimum dwóch kontrolerów pracujących w trybie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active-active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lub dual-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active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2882D1E" w14:textId="77777777" w:rsidR="00287EF3" w:rsidRPr="00287EF3" w:rsidRDefault="00287EF3" w:rsidP="00287EF3">
            <w:pPr>
              <w:pStyle w:val="Akapitzlist"/>
              <w:numPr>
                <w:ilvl w:val="0"/>
                <w:numId w:val="24"/>
              </w:numPr>
              <w:tabs>
                <w:tab w:val="left" w:pos="2580"/>
              </w:tabs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umożliwiać podniesienie wydajności i niezawodności poprzez rozbudowę do minimum ośmiu kontrolerów macierzowych.</w:t>
            </w:r>
          </w:p>
          <w:p w14:paraId="2D37A467" w14:textId="77777777" w:rsidR="00287EF3" w:rsidRPr="00287EF3" w:rsidRDefault="00287EF3" w:rsidP="00287EF3">
            <w:pPr>
              <w:pStyle w:val="Akapitzlist"/>
              <w:numPr>
                <w:ilvl w:val="0"/>
                <w:numId w:val="24"/>
              </w:numPr>
              <w:tabs>
                <w:tab w:val="left" w:pos="2580"/>
              </w:tabs>
              <w:suppressAutoHyphens/>
              <w:spacing w:after="0" w:line="240" w:lineRule="auto"/>
              <w:ind w:left="316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Każdy kontroler macierzowy musi być wyposażony w minimum dwa procesory o sumarycznej ilości min. 20 rdzeni (ang.: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core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) co daje 40 rdzenie na macierz. Jeżeli oferowana macierz nie posiada 20 rdzeni w procesorach na kontroler należy dostarczyć taką liczbę kontrolerów, aby w sumie liczba dostarczonych rdzeni (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core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) była co najmniej równa 40.</w:t>
            </w:r>
          </w:p>
          <w:p w14:paraId="4AAAC85A" w14:textId="77777777" w:rsidR="00287EF3" w:rsidRPr="00287EF3" w:rsidRDefault="00287EF3" w:rsidP="00287EF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6" w:hanging="2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umożliwiać zbudowanie jednej grupy RAID z minimum 24 dysków SSD lub modułów Flash.</w:t>
            </w:r>
          </w:p>
          <w:p w14:paraId="14D502BC" w14:textId="77777777" w:rsidR="00287EF3" w:rsidRPr="00287EF3" w:rsidRDefault="00287EF3" w:rsidP="00287EF3">
            <w:pPr>
              <w:pStyle w:val="Akapitzlist"/>
              <w:numPr>
                <w:ilvl w:val="0"/>
                <w:numId w:val="24"/>
              </w:numPr>
              <w:tabs>
                <w:tab w:val="left" w:pos="2580"/>
              </w:tabs>
              <w:suppressAutoHyphens/>
              <w:spacing w:after="0" w:line="240" w:lineRule="auto"/>
              <w:ind w:left="316" w:hanging="283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umożliwiać dołożenie a co za tym idzie rozbudowę grupy RAID o 1 lub więcej dysków w przedziale minimum 1-12.</w:t>
            </w:r>
          </w:p>
          <w:p w14:paraId="4AD69833" w14:textId="77777777" w:rsidR="00287EF3" w:rsidRPr="00287EF3" w:rsidRDefault="00287EF3" w:rsidP="00287EF3">
            <w:pPr>
              <w:pStyle w:val="Akapitzlist"/>
              <w:numPr>
                <w:ilvl w:val="0"/>
                <w:numId w:val="24"/>
              </w:numPr>
              <w:tabs>
                <w:tab w:val="left" w:pos="2580"/>
              </w:tabs>
              <w:suppressAutoHyphens/>
              <w:spacing w:after="0" w:line="240" w:lineRule="auto"/>
              <w:ind w:left="316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Architektura macierzy ma być oparta o sprawdzone i powszechnie dostępne procesory technologii x86/x64</w:t>
            </w:r>
          </w:p>
        </w:tc>
      </w:tr>
      <w:tr w:rsidR="00287EF3" w:rsidRPr="00287EF3" w14:paraId="27B5B544" w14:textId="77777777" w:rsidTr="00CC4A83">
        <w:tc>
          <w:tcPr>
            <w:tcW w:w="560" w:type="dxa"/>
          </w:tcPr>
          <w:p w14:paraId="14CDC7A2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2041" w:type="dxa"/>
          </w:tcPr>
          <w:p w14:paraId="35705836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Pamięć cache</w:t>
            </w:r>
          </w:p>
        </w:tc>
        <w:tc>
          <w:tcPr>
            <w:tcW w:w="6461" w:type="dxa"/>
          </w:tcPr>
          <w:p w14:paraId="31F4D899" w14:textId="38BE09D6" w:rsidR="00287EF3" w:rsidRPr="00287EF3" w:rsidRDefault="00287EF3" w:rsidP="00287EF3">
            <w:pPr>
              <w:pStyle w:val="Akapitzlist"/>
              <w:numPr>
                <w:ilvl w:val="0"/>
                <w:numId w:val="23"/>
              </w:numPr>
              <w:tabs>
                <w:tab w:val="left" w:pos="258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zbudowana z dwóch kontrolerów musi być wyposażona w minimum </w:t>
            </w:r>
            <w:r>
              <w:rPr>
                <w:rFonts w:ascii="Arial" w:eastAsia="Calibri" w:hAnsi="Arial" w:cs="Arial"/>
                <w:sz w:val="20"/>
                <w:szCs w:val="20"/>
              </w:rPr>
              <w:t>768</w:t>
            </w: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GB pamięci podręcznej cache. Każdy z kontrolerów macierzowych musi udostępniać minimum 128 GB pamięci podręcznej cache. </w:t>
            </w:r>
          </w:p>
          <w:p w14:paraId="19263C47" w14:textId="77777777" w:rsidR="00287EF3" w:rsidRPr="00287EF3" w:rsidRDefault="00287EF3" w:rsidP="00CC4A83">
            <w:pPr>
              <w:pStyle w:val="Akapitzlist"/>
              <w:tabs>
                <w:tab w:val="left" w:pos="2580"/>
              </w:tabs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umożliwiać rozbudowę pamięci cache do 1536 GB dla pary kontrolerów.</w:t>
            </w:r>
          </w:p>
          <w:p w14:paraId="6AE32956" w14:textId="77777777" w:rsidR="00287EF3" w:rsidRPr="00287EF3" w:rsidRDefault="00287EF3" w:rsidP="00287EF3">
            <w:pPr>
              <w:pStyle w:val="Akapitzlist"/>
              <w:numPr>
                <w:ilvl w:val="0"/>
                <w:numId w:val="23"/>
              </w:numPr>
              <w:tabs>
                <w:tab w:val="left" w:pos="258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Zamawiający nie dopuszcza możliwości zastosowania dysków SSD lub kart pamięci/modułów FLASH jako rozszerzenia pamięci cache.</w:t>
            </w:r>
          </w:p>
        </w:tc>
      </w:tr>
      <w:tr w:rsidR="00287EF3" w:rsidRPr="00287EF3" w14:paraId="55FF5A37" w14:textId="77777777" w:rsidTr="00CC4A83">
        <w:tc>
          <w:tcPr>
            <w:tcW w:w="560" w:type="dxa"/>
          </w:tcPr>
          <w:p w14:paraId="00F7B046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2041" w:type="dxa"/>
          </w:tcPr>
          <w:p w14:paraId="3932143E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Interfejsy i</w:t>
            </w:r>
          </w:p>
          <w:p w14:paraId="513F6BCF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protokoły</w:t>
            </w:r>
          </w:p>
          <w:p w14:paraId="0917CEFA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komunikacji</w:t>
            </w:r>
          </w:p>
        </w:tc>
        <w:tc>
          <w:tcPr>
            <w:tcW w:w="6461" w:type="dxa"/>
          </w:tcPr>
          <w:p w14:paraId="716BFA13" w14:textId="77777777" w:rsidR="00287EF3" w:rsidRPr="00287EF3" w:rsidRDefault="00287EF3" w:rsidP="00287EF3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w chwili dostawy musi posiadać 8 portów FC 32Gb/s, Macierz w ramach podstawowej obudowy musi posiadać możliwość rozbudowy do minimum 24 portów FC 32Gb/s.</w:t>
            </w:r>
          </w:p>
          <w:p w14:paraId="5665A004" w14:textId="77777777" w:rsidR="00287EF3" w:rsidRPr="00287EF3" w:rsidRDefault="00287EF3" w:rsidP="00287EF3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Minimum 4 porty 10Gb/s Ethernet obsługujących protokół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iSCSI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3B88FB3" w14:textId="77777777" w:rsidR="00287EF3" w:rsidRPr="00287EF3" w:rsidRDefault="00287EF3" w:rsidP="00287EF3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umożliwiać zastosowanie interfejsów Ethernet o przepustowości 25Gb/s oraz 100Gb/s</w:t>
            </w:r>
          </w:p>
          <w:p w14:paraId="2A6D7C21" w14:textId="77777777" w:rsidR="00287EF3" w:rsidRPr="00287EF3" w:rsidRDefault="00287EF3" w:rsidP="00287EF3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Interfejsy Ethernet 25Gb/s oraz 100Gb/s muszą jednocześnie obsługiwać protokół RDMA-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</w:p>
          <w:p w14:paraId="453FB702" w14:textId="77777777" w:rsidR="00287EF3" w:rsidRPr="00287EF3" w:rsidRDefault="00287EF3" w:rsidP="00287EF3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Porty FC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  <w:lang w:val="en-US"/>
              </w:rPr>
              <w:t>muszą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  <w:lang w:val="en-US"/>
              </w:rPr>
              <w:t>obsługiwać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  <w:lang w:val="en-US"/>
              </w:rPr>
              <w:t>protokół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  <w:lang w:val="en-US"/>
              </w:rPr>
              <w:t>NVMe-oF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  <w:lang w:val="en-US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over Fabrics)</w:t>
            </w:r>
          </w:p>
          <w:p w14:paraId="385CAA55" w14:textId="77777777" w:rsidR="00287EF3" w:rsidRPr="00287EF3" w:rsidRDefault="00287EF3" w:rsidP="00287EF3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Wraz z macierzą należy dostarczyć niezbędną ilość kabli komunikacyjnych FC zgodną z ilością portów FC.</w:t>
            </w:r>
          </w:p>
        </w:tc>
      </w:tr>
      <w:tr w:rsidR="00287EF3" w:rsidRPr="00287EF3" w14:paraId="3C27C089" w14:textId="77777777" w:rsidTr="00CC4A83">
        <w:tc>
          <w:tcPr>
            <w:tcW w:w="560" w:type="dxa"/>
          </w:tcPr>
          <w:p w14:paraId="4034D9EE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41" w:type="dxa"/>
          </w:tcPr>
          <w:p w14:paraId="46995328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Bezpieczeństwo</w:t>
            </w:r>
          </w:p>
          <w:p w14:paraId="0317FB41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danych</w:t>
            </w:r>
          </w:p>
        </w:tc>
        <w:tc>
          <w:tcPr>
            <w:tcW w:w="6461" w:type="dxa"/>
          </w:tcPr>
          <w:p w14:paraId="4A0E984C" w14:textId="77777777" w:rsidR="00287EF3" w:rsidRPr="00287EF3" w:rsidRDefault="00287EF3" w:rsidP="00287EF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obsługiwać poziomy RAID1 i RAID6 (RAID dystrybuowany z dystrybuowaną przestrzenią zapasową typu hot-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spare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), musi być możliwe zdefiniowanie RAID na dowolnie wybranej przez użytkownika liczbie z zakresu co najmniej od 3 do 128 dysków. Dostarczona pojemność użyteczna musi być skonfigurowana z wykorzystaniem protekcji RAID6 (odporność na jednoczesną awarię dwóch dysków plus przestrzeń zapasowa hot-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spare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  <w:p w14:paraId="2CF5717B" w14:textId="77777777" w:rsidR="00287EF3" w:rsidRPr="00287EF3" w:rsidRDefault="00287EF3" w:rsidP="00287EF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Dyski/przestrzeń zapasowa (hot-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spare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) muszą zostać skonfigurowane/ dostarczone w ilości/pojemności zgodnej z udokumentowanymi rekomendacjami producenta oferowanej macierzy.</w:t>
            </w:r>
          </w:p>
          <w:p w14:paraId="5F0F4C4E" w14:textId="77777777" w:rsidR="00287EF3" w:rsidRPr="00287EF3" w:rsidRDefault="00287EF3" w:rsidP="00287EF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musi posiadać wbudowane sprzętowo na nośnikach dyskowych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szyfrowanie AES-256. Administrator musi mieć możliwość decyzji o aktywowaniu szyfrowania.</w:t>
            </w:r>
          </w:p>
          <w:p w14:paraId="68EF3742" w14:textId="77777777" w:rsidR="00287EF3" w:rsidRPr="00287EF3" w:rsidRDefault="00287EF3" w:rsidP="00287EF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musi posiadać funkcje szyfrowania danych, uniemożliwiając odczyt danych z usuniętych z macierzy dysków/modułów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flash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. Jeśli model licencjonowania tego wymaga należy dostarczyć niezbędną licencję.</w:t>
            </w:r>
          </w:p>
        </w:tc>
      </w:tr>
      <w:tr w:rsidR="00287EF3" w:rsidRPr="00287EF3" w14:paraId="67D1F461" w14:textId="77777777" w:rsidTr="00CC4A83">
        <w:tc>
          <w:tcPr>
            <w:tcW w:w="560" w:type="dxa"/>
          </w:tcPr>
          <w:p w14:paraId="5C120E47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2041" w:type="dxa"/>
          </w:tcPr>
          <w:p w14:paraId="3BBA90B6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Funkcje</w:t>
            </w:r>
          </w:p>
          <w:p w14:paraId="7F4E6490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niezawodnościowe</w:t>
            </w:r>
          </w:p>
        </w:tc>
        <w:tc>
          <w:tcPr>
            <w:tcW w:w="6461" w:type="dxa"/>
          </w:tcPr>
          <w:p w14:paraId="7D74EF54" w14:textId="77777777" w:rsidR="00287EF3" w:rsidRPr="00287EF3" w:rsidRDefault="00287EF3" w:rsidP="00287EF3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Brak pojedynczego punktu awarii. Wszystkie krytyczne komponenty macierzy takie jak adaptery HBA, kontrolery dyskowe, pamięć, zasilacze i wentylatory muszą być zaprojektowane nadmiarowo: tak, aby awaria pojedynczego elementu nie wpływała na ciągłość dostępu do danych całego systemu. Komponenty te muszą być wymienialne w trakcie pracy macierzy.</w:t>
            </w:r>
          </w:p>
          <w:p w14:paraId="0A0E7603" w14:textId="77777777" w:rsidR="00287EF3" w:rsidRPr="00287EF3" w:rsidRDefault="00287EF3" w:rsidP="00287EF3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cechować wsparcie dla zasilania z dwóch niezależnych źródeł prądu jednofazowego o napięciu 200-240V i częstotliwości 50-60Hz poprzez nadmiarowe zasilacze typu Hot-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Swap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. Macierz musi być wyposażona w baterie umożlwiające obsługę 2 zaników zasilania następujących jeden po drugim, bez utraty danych znajdujących się w pamięci podręcznej cache.</w:t>
            </w:r>
          </w:p>
        </w:tc>
      </w:tr>
      <w:tr w:rsidR="00287EF3" w:rsidRPr="00287EF3" w14:paraId="1088B4BA" w14:textId="77777777" w:rsidTr="00CC4A83">
        <w:tc>
          <w:tcPr>
            <w:tcW w:w="560" w:type="dxa"/>
          </w:tcPr>
          <w:p w14:paraId="7C991C47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2041" w:type="dxa"/>
          </w:tcPr>
          <w:p w14:paraId="18DED757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Zarządzanie</w:t>
            </w:r>
          </w:p>
        </w:tc>
        <w:tc>
          <w:tcPr>
            <w:tcW w:w="6461" w:type="dxa"/>
          </w:tcPr>
          <w:p w14:paraId="37F7EEB6" w14:textId="77777777" w:rsidR="00287EF3" w:rsidRPr="00287EF3" w:rsidRDefault="00287EF3" w:rsidP="00287EF3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Zarządzanie macierzą (tzn. zarządzanie co najmniej wszystkimi: portami We/Wy, woluminami, dyskami, nośnikami dyskowymi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, klonowaniem, replikacją) musi być realizowane z jednego interfejsu GUI, CLI niezależnie od liczby zainstalowanych kontrolerów macierzowych.</w:t>
            </w:r>
          </w:p>
          <w:p w14:paraId="3D8D883F" w14:textId="77777777" w:rsidR="00287EF3" w:rsidRPr="00287EF3" w:rsidRDefault="00287EF3" w:rsidP="00287EF3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musi umożliwiać zarządzanie przez redundantne interfejsy Ethernet 10Gbps i za pomocą przeglądarki internetowej z protokołem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https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9B0A157" w14:textId="77777777" w:rsidR="00287EF3" w:rsidRPr="00287EF3" w:rsidRDefault="00287EF3" w:rsidP="00287EF3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Wymagane jest, aby dostarczona macierz umożliwiała tworzenie i wykonywanie skryptów użytkownika.</w:t>
            </w:r>
          </w:p>
          <w:p w14:paraId="082A7940" w14:textId="77777777" w:rsidR="00287EF3" w:rsidRPr="00287EF3" w:rsidRDefault="00287EF3" w:rsidP="00287EF3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Zarządzanie musi umożliwić aktualizację daty i czasu z serwera NTP.</w:t>
            </w:r>
          </w:p>
          <w:p w14:paraId="607A3C6D" w14:textId="77777777" w:rsidR="00287EF3" w:rsidRPr="00287EF3" w:rsidRDefault="00287EF3" w:rsidP="00287EF3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Zarządzanie musi umożliwić konfigurację wysyłania raportów serwisowych (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callhome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) przez SMTP w sposób automatyczny i regularny (np. raz na 2 dni).</w:t>
            </w:r>
          </w:p>
          <w:p w14:paraId="4C6D19EF" w14:textId="77777777" w:rsidR="00287EF3" w:rsidRPr="00287EF3" w:rsidRDefault="00287EF3" w:rsidP="00287EF3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Zarządzanie musi umożliwić konfigurację powiadomień o błędach i ostrzeżeniach do serwera SNMP.</w:t>
            </w:r>
          </w:p>
        </w:tc>
      </w:tr>
      <w:tr w:rsidR="00287EF3" w:rsidRPr="00287EF3" w14:paraId="6459AB6F" w14:textId="77777777" w:rsidTr="00CC4A83">
        <w:tc>
          <w:tcPr>
            <w:tcW w:w="560" w:type="dxa"/>
          </w:tcPr>
          <w:p w14:paraId="678A014F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2041" w:type="dxa"/>
          </w:tcPr>
          <w:p w14:paraId="34612751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Funkcjonalności</w:t>
            </w:r>
          </w:p>
        </w:tc>
        <w:tc>
          <w:tcPr>
            <w:tcW w:w="6461" w:type="dxa"/>
          </w:tcPr>
          <w:p w14:paraId="0E2E0C52" w14:textId="77777777" w:rsidR="00287EF3" w:rsidRPr="00287EF3" w:rsidRDefault="00287EF3" w:rsidP="00287EF3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40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Zaoferowane rozwiązanie musi posiadać możliwość implementacji klastra geograficznego. W przypadku awarii jednego z ośrodków nastąpi bezprzerwowe przełączenie do lokalizacji zapasowej. Powyższa funkcjonalność musi być realizowana niezależnie od systemu operacyjnego na poziomie przełączania ścieżek do urządzenia logicznego.​</w:t>
            </w:r>
          </w:p>
          <w:p w14:paraId="179B5A9E" w14:textId="77777777" w:rsidR="00287EF3" w:rsidRPr="00287EF3" w:rsidRDefault="00287EF3" w:rsidP="00287EF3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musi obsługiwać funkcjonalność oszczędnych woluminów czyli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nadalokacji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thin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provisioning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) dla wszystkich wolumenów (zdefiniowanych na dyskach wewnętrznych oraz w przypadku zaoferowania na wewnętrznie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wirtualizowanych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  <w:p w14:paraId="3DF0150C" w14:textId="77777777" w:rsidR="00287EF3" w:rsidRPr="00287EF3" w:rsidRDefault="00287EF3" w:rsidP="00287EF3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Kompresja danych w trybie „na bieżąco” („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inline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”) bez wcześniejszego zapisywania danych na nośnikach dyskowych w formie nie skompresowanej. Kompresja musi być realizowana poprzez dedykowane zasoby sprzętowe przeznaczone do tego celu i dla dysków Tier-0 nie może być zatrzymana przez administratora lub wyłączona przez serwis producenta macierzy. </w:t>
            </w:r>
            <w:r w:rsidRPr="00287EF3">
              <w:rPr>
                <w:rFonts w:ascii="Arial" w:eastAsia="Calibri" w:hAnsi="Arial" w:cs="Arial"/>
                <w:sz w:val="20"/>
                <w:szCs w:val="20"/>
              </w:rPr>
              <w:lastRenderedPageBreak/>
              <w:t>Dopuszczona jest realizacja kompresji w trybie „na bieżąco” („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inline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”) na poziomie modułów Flash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NVMe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E64494C" w14:textId="77777777" w:rsidR="00287EF3" w:rsidRPr="00287EF3" w:rsidRDefault="00287EF3" w:rsidP="00287EF3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Możliwość włączenia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deduplikacji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danych w trybie „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inline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”.</w:t>
            </w:r>
          </w:p>
          <w:p w14:paraId="285CBD94" w14:textId="77777777" w:rsidR="00287EF3" w:rsidRPr="00287EF3" w:rsidRDefault="00287EF3" w:rsidP="00287EF3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Możliwość zdefiniowania w macierzy woluminów korzystających równocześnie z trzech technik redukcji pojemności: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thin-provisioning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deduplikacja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i kompresja.</w:t>
            </w:r>
          </w:p>
          <w:p w14:paraId="08E1AFDC" w14:textId="77777777" w:rsidR="00287EF3" w:rsidRPr="00287EF3" w:rsidRDefault="00287EF3" w:rsidP="00287EF3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musi obsługiwać dynamiczne zmniejszanie i zwiększanie rozmiaru wolumenów (LUN bez mechanizmu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thin-provisioning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) do 64 TB. Zamawiający zastrzega sobie prawo wykonania testów potwierdzających możliwość założenia woluminu o wielkości 1 TB i zwiększanie jego rozmiaru do 10 TB, następnie zapisania na nim danych do 100% pojemności jak również do założenia woluminu 2 TB, zapisania na nim danych do 50% pojemności i zmniejszenia rozmiaru do 1,5 TB.</w:t>
            </w:r>
          </w:p>
          <w:p w14:paraId="55243D46" w14:textId="77777777" w:rsidR="00287EF3" w:rsidRPr="00287EF3" w:rsidRDefault="00287EF3" w:rsidP="00287EF3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Funkcjonalność pamięci podręcznej (Cache) musi wspierać zarządzanie procesem odczytu i zapisu danych na poziomie każdego woluminu zdefiniowanego w macierzy. Musi istnieć możliwość wyłączenia funkcji cache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write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dla poszczególnych wolumenów z równoczesnym zachowaniem funkcji cache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read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dla tych woluminów. Musi istnieć możliwość wyłączenia obu funkcji cache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write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i cache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read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dla poszczególnych wolumenów.</w:t>
            </w:r>
          </w:p>
          <w:p w14:paraId="6A4F82AA" w14:textId="77777777" w:rsidR="00287EF3" w:rsidRPr="00287EF3" w:rsidRDefault="00287EF3" w:rsidP="00287EF3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zapewnić funkcjonalność zarządzania limitem operacji wejścia/wyjścia wykonywanych na danym wolumenie - zarządzanie musi być możliwe poprzez określenie ilości operacji I/O na sekundę lub przepustowości określonej w MB/s.</w:t>
            </w:r>
          </w:p>
          <w:p w14:paraId="0754A49B" w14:textId="77777777" w:rsidR="00287EF3" w:rsidRPr="00287EF3" w:rsidRDefault="00287EF3" w:rsidP="00287EF3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Urządzenie musi mieć wsparcie producenta dla następujących systemów operacyjnych: Microsoft Windows Server 2016, 2019, 2022, Red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Hat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Linux 7.x i 8.x, SUSE Linux 12 i 15,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VMware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vSphere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ESX 6.x i 7.x lub nowsze do wykorzystywania przez Zamawiającego. Informacja potwierdzająca spełnienie wymagania musi być opublikowana na ogólnodostępnej stronie internetowej.</w:t>
            </w:r>
          </w:p>
          <w:p w14:paraId="553B708D" w14:textId="77777777" w:rsidR="00287EF3" w:rsidRPr="00287EF3" w:rsidRDefault="00287EF3" w:rsidP="00287EF3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Jeżeli do obsługi powyższych funkcjonalności wymagane są dodatkowe licencje, należy je dostarczyć dla całej maksymalnej pojemności urządzenia.</w:t>
            </w:r>
          </w:p>
        </w:tc>
      </w:tr>
      <w:tr w:rsidR="00287EF3" w:rsidRPr="00287EF3" w14:paraId="1CD99CC6" w14:textId="77777777" w:rsidTr="00CC4A83">
        <w:tc>
          <w:tcPr>
            <w:tcW w:w="560" w:type="dxa"/>
          </w:tcPr>
          <w:p w14:paraId="5F12B5D6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041" w:type="dxa"/>
          </w:tcPr>
          <w:p w14:paraId="6BD6BDE3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Obsługa</w:t>
            </w:r>
          </w:p>
          <w:p w14:paraId="283FA3EE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wirtualnych</w:t>
            </w:r>
          </w:p>
          <w:p w14:paraId="2C809BAF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dysków logicznych</w:t>
            </w:r>
          </w:p>
        </w:tc>
        <w:tc>
          <w:tcPr>
            <w:tcW w:w="6461" w:type="dxa"/>
          </w:tcPr>
          <w:p w14:paraId="5CE14138" w14:textId="77777777" w:rsidR="00287EF3" w:rsidRPr="00287EF3" w:rsidRDefault="00287EF3" w:rsidP="00287EF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musi mieć możliwość zdefiniowania dla wolumenu logicznego dwóch rzeczywistych kopii danych na różnych grupach/pulach dysków wewnętrznych. Kopia musi być aktualizowana na bieżąco w czasie rzeczywistym. Funkcjonalność ta musi pozwalać na utrzymywanie obu kopii także wtedy, gdy charakterystyka obu grup dyskowych jest różna np. kopia pierwsza jest woluminem „tradycyjnym” (bez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deduplikacji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i bez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thin-provisiong’u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), a kopia druga jest typu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thinprovisioning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+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kompresja+deduplikacja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88FE779" w14:textId="77777777" w:rsidR="00287EF3" w:rsidRPr="00287EF3" w:rsidRDefault="00287EF3" w:rsidP="00287EF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musi zapewnić możliwość rozłożenia jednego wolumenu logicznego pomiędzy co najmniej dwoma różnymi typami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wirtualizowanych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macierzy dyskowych.</w:t>
            </w:r>
          </w:p>
          <w:p w14:paraId="53AFD689" w14:textId="77777777" w:rsidR="00287EF3" w:rsidRPr="00287EF3" w:rsidRDefault="00287EF3" w:rsidP="00287EF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umożliwiać stworzenie kopii lustrzanej (mirror) woluminu pomiędzy różnymi macierzami. Awaria jednej kopii lustra musi być niezauważalna dla systemu hosta.</w:t>
            </w:r>
          </w:p>
          <w:p w14:paraId="1BC62DD9" w14:textId="77777777" w:rsidR="00287EF3" w:rsidRPr="00287EF3" w:rsidRDefault="00287EF3" w:rsidP="00287EF3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musi wspierać technologię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VMware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vSphere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VVOL.</w:t>
            </w:r>
          </w:p>
        </w:tc>
      </w:tr>
      <w:tr w:rsidR="00287EF3" w:rsidRPr="00287EF3" w14:paraId="1BC1E000" w14:textId="77777777" w:rsidTr="00CC4A83">
        <w:tc>
          <w:tcPr>
            <w:tcW w:w="560" w:type="dxa"/>
          </w:tcPr>
          <w:p w14:paraId="63602195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2041" w:type="dxa"/>
          </w:tcPr>
          <w:p w14:paraId="79F5402B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Replikacja, klony</w:t>
            </w:r>
          </w:p>
          <w:p w14:paraId="50ABB92A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oraz kopie</w:t>
            </w:r>
          </w:p>
          <w:p w14:paraId="66EB70B9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migawkowe</w:t>
            </w:r>
          </w:p>
        </w:tc>
        <w:tc>
          <w:tcPr>
            <w:tcW w:w="6461" w:type="dxa"/>
          </w:tcPr>
          <w:p w14:paraId="71505BB2" w14:textId="77777777" w:rsidR="00287EF3" w:rsidRPr="00287EF3" w:rsidRDefault="00287EF3" w:rsidP="00287EF3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zapewnić funkcjonalność definiowania kopii danych pomiędzy woluminami źródłowymi a docelowymi (target).</w:t>
            </w:r>
          </w:p>
          <w:p w14:paraId="32DAAA7C" w14:textId="77777777" w:rsidR="00287EF3" w:rsidRPr="00287EF3" w:rsidRDefault="00287EF3" w:rsidP="00287EF3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Administrator musi mieć możliwość tworzenia kopii danych w trybach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incremental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(aktualizacja kopii o różnicę danych jaka powstała od czasu poprzednio wykonanej kopii),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multitarget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(możliwość równoczesnego zdefiniowania wielu woluminów docelowych dla jednego woluminu źródłowego), jako kopia binarna (klon) oraz kopia wskaźników.</w:t>
            </w:r>
          </w:p>
          <w:p w14:paraId="09CB2367" w14:textId="77777777" w:rsidR="00287EF3" w:rsidRPr="00287EF3" w:rsidRDefault="00287EF3" w:rsidP="00287EF3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Administrator musi mieć możliwość odtworzenia danych na źródle z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targetu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119DD6A" w14:textId="77777777" w:rsidR="00287EF3" w:rsidRPr="00287EF3" w:rsidRDefault="00287EF3" w:rsidP="00287EF3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obsługiwać co najmniej 254 kopii migawkowych jednego woluminu i musi obsługiwać co najmniej 2500 relacji kopiowania dla wielu woluminów źródło target.</w:t>
            </w:r>
          </w:p>
          <w:p w14:paraId="685011C8" w14:textId="77777777" w:rsidR="00287EF3" w:rsidRPr="00287EF3" w:rsidRDefault="00287EF3" w:rsidP="00287EF3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lastRenderedPageBreak/>
              <w:t>Macierz musi obsługiwać wykonanie kopii wolumenów odseparowanych logicznie dla co najmniej 10000 wolumenów.</w:t>
            </w:r>
          </w:p>
          <w:p w14:paraId="62C72389" w14:textId="77777777" w:rsidR="00287EF3" w:rsidRPr="00287EF3" w:rsidRDefault="00287EF3" w:rsidP="00287EF3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obsługiwać grupy spójności wolumenów do celów kopiowania i replikacji. Macierz musi zapewnić możliwość zdefiniowania co najmniej 256 różnych grup spójności. W jednej grupie spójności musi być możliwość zdefiniowania co najmniej 200 relacji źródło-target.</w:t>
            </w:r>
          </w:p>
          <w:p w14:paraId="0CAB1E9B" w14:textId="77777777" w:rsidR="00287EF3" w:rsidRPr="00287EF3" w:rsidRDefault="00287EF3" w:rsidP="00287EF3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Macierz musi mieć możliwość wykonywania replikacji synchronicznej i asynchronicznej wolumenów logicznych pomiędzy różnymi typami macierzy dyskowych tego samego producenta. Administrator musi mieć możliwość zmiany trybu replikacji z synchronicznej na asynchroniczną i odwrotnie. Zasoby źródłowe kopii zdalnej oraz docelowe kopii zdalnej (target) mogą być zabezpieczone różnymi poziomami RAID i egzystować na różnych technologicznie dyskach stałych (Flash, SSD, zewnętrznie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wirtualizowane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 xml:space="preserve"> SAS i NL-SAS). Administrator musi mieć możliwość zmiany kierunku replikacji (odtworzenia danych na źródle z </w:t>
            </w:r>
            <w:proofErr w:type="spellStart"/>
            <w:r w:rsidRPr="00287EF3">
              <w:rPr>
                <w:rFonts w:ascii="Arial" w:eastAsia="Calibri" w:hAnsi="Arial" w:cs="Arial"/>
                <w:sz w:val="20"/>
                <w:szCs w:val="20"/>
              </w:rPr>
              <w:t>targetu</w:t>
            </w:r>
            <w:proofErr w:type="spellEnd"/>
            <w:r w:rsidRPr="00287EF3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</w:tc>
      </w:tr>
      <w:tr w:rsidR="00287EF3" w:rsidRPr="00287EF3" w14:paraId="51ACAE5C" w14:textId="77777777" w:rsidTr="00CC4A83">
        <w:tc>
          <w:tcPr>
            <w:tcW w:w="560" w:type="dxa"/>
          </w:tcPr>
          <w:p w14:paraId="77BB229C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041" w:type="dxa"/>
          </w:tcPr>
          <w:p w14:paraId="612BA6DE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Migracja</w:t>
            </w:r>
          </w:p>
          <w:p w14:paraId="62AD7793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wolumenów</w:t>
            </w:r>
          </w:p>
          <w:p w14:paraId="33D135F1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logicznych</w:t>
            </w:r>
          </w:p>
        </w:tc>
        <w:tc>
          <w:tcPr>
            <w:tcW w:w="6461" w:type="dxa"/>
          </w:tcPr>
          <w:p w14:paraId="7C0F3BD5" w14:textId="77777777" w:rsidR="00287EF3" w:rsidRPr="00287EF3" w:rsidRDefault="00287EF3" w:rsidP="00287EF3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mieć możliwość wykonywania replikacji synchronicznej i asynchronicznej wolumenów logicznych pomiędzy różnymi typami macierzy dyskowych tego samego producenta.</w:t>
            </w:r>
          </w:p>
          <w:p w14:paraId="6F77600C" w14:textId="77777777" w:rsidR="00287EF3" w:rsidRPr="00287EF3" w:rsidRDefault="00287EF3" w:rsidP="00287EF3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mieć możliwość wykonania migracji wolumenów logicznych pomiędzy różnymi typami macierzy dyskowych, oraz wewnątrz macierzy, bez zatrzymywania aplikacji korzystającej z tych wolumenów. Wymaga się, aby zasoby źródłowe podlegające migracji oraz zasoby, do których są migrowane mogły być zabezpieczone różnymi poziomami RAID i egzystować na różnych technologicznie dyskach stałych.</w:t>
            </w:r>
          </w:p>
        </w:tc>
      </w:tr>
      <w:tr w:rsidR="00287EF3" w:rsidRPr="00287EF3" w14:paraId="2B0D28EC" w14:textId="77777777" w:rsidTr="00CC4A83">
        <w:tc>
          <w:tcPr>
            <w:tcW w:w="560" w:type="dxa"/>
          </w:tcPr>
          <w:p w14:paraId="68A9DEF4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2041" w:type="dxa"/>
          </w:tcPr>
          <w:p w14:paraId="57DB272F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Inne</w:t>
            </w:r>
          </w:p>
        </w:tc>
        <w:tc>
          <w:tcPr>
            <w:tcW w:w="6461" w:type="dxa"/>
          </w:tcPr>
          <w:p w14:paraId="0D7B092C" w14:textId="77777777" w:rsidR="00287EF3" w:rsidRPr="00287EF3" w:rsidRDefault="00287EF3" w:rsidP="00287EF3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Macierz musi być nowa, nigdy wcześniej nie używana i pochodzić z autoryzowanego kanału dystrybucji producenta a także być objęta serwisem producenta na terenie RP.</w:t>
            </w:r>
          </w:p>
          <w:p w14:paraId="441BA152" w14:textId="77777777" w:rsidR="00287EF3" w:rsidRPr="00287EF3" w:rsidRDefault="00287EF3" w:rsidP="00287EF3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Zamawiający oczekuje, aby wraz z dostawą macierzy zostały dostarczone usługi w ilości minimum 5 dni roboczych, które Zamawiający wykorzysta według własnych potrzeb na etapie analizy i weryfikacji środowiska w celu optymalnego dostosowania nowej macierzy, uruchomienia macierzy oraz migracji danych. Wszelkie usługi muszą być realizowane bezpośrednio przez polskojęzycznych pracowników polskiego przedstawiciela producenta macierzy.</w:t>
            </w:r>
          </w:p>
          <w:p w14:paraId="73089370" w14:textId="77777777" w:rsidR="00287EF3" w:rsidRPr="00287EF3" w:rsidRDefault="00287EF3" w:rsidP="00287EF3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Wraz z macierzą należy dostarczyć wszystkie inne elementy rekomendowane przez producenta niezbędne do podłączenia i uruchomienia macierzy, w tym niezbędne licencje.</w:t>
            </w:r>
          </w:p>
        </w:tc>
      </w:tr>
      <w:tr w:rsidR="00287EF3" w:rsidRPr="00287EF3" w14:paraId="1E908147" w14:textId="77777777" w:rsidTr="00CC4A83">
        <w:tc>
          <w:tcPr>
            <w:tcW w:w="560" w:type="dxa"/>
          </w:tcPr>
          <w:p w14:paraId="32E7BBAE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16.</w:t>
            </w:r>
          </w:p>
        </w:tc>
        <w:tc>
          <w:tcPr>
            <w:tcW w:w="2041" w:type="dxa"/>
          </w:tcPr>
          <w:p w14:paraId="7F17C2CC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Serwis</w:t>
            </w:r>
          </w:p>
        </w:tc>
        <w:tc>
          <w:tcPr>
            <w:tcW w:w="6461" w:type="dxa"/>
          </w:tcPr>
          <w:p w14:paraId="4D98FBFA" w14:textId="77777777" w:rsidR="00287EF3" w:rsidRPr="00287EF3" w:rsidRDefault="00287EF3" w:rsidP="00287EF3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Serwis macierzy świadczony przez producenta macierzy w trybie 7 dni w tygodniu przez 24 godziny.</w:t>
            </w:r>
          </w:p>
          <w:p w14:paraId="01078702" w14:textId="77777777" w:rsidR="00287EF3" w:rsidRPr="00287EF3" w:rsidRDefault="00287EF3" w:rsidP="00287EF3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Kontakt z pracownikiem serwisu będzie prowadzony wyłącznie w języku polskim przez 24 godziny na dobę.</w:t>
            </w:r>
          </w:p>
          <w:p w14:paraId="18D2FB65" w14:textId="77777777" w:rsidR="00287EF3" w:rsidRPr="00287EF3" w:rsidRDefault="00287EF3" w:rsidP="00287EF3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Czas naprawy usterki krytycznej w ciągu 24 godzin od momentu zgłoszenia.</w:t>
            </w:r>
          </w:p>
          <w:p w14:paraId="710316D9" w14:textId="77777777" w:rsidR="00287EF3" w:rsidRPr="00287EF3" w:rsidRDefault="00287EF3" w:rsidP="00287EF3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Uszkodzone nośniki danych stanowią własność Zamawiającego i nie podlegają zwrotowi Wykonawcy w ramach wymiany. Pozostałe uszkodzone elementy Wykonawca zobowiązany jest odebrać na swój koszt.</w:t>
            </w:r>
          </w:p>
        </w:tc>
      </w:tr>
      <w:tr w:rsidR="00287EF3" w:rsidRPr="00287EF3" w14:paraId="1C8A4AFA" w14:textId="77777777" w:rsidTr="00CC4A83">
        <w:tc>
          <w:tcPr>
            <w:tcW w:w="560" w:type="dxa"/>
          </w:tcPr>
          <w:p w14:paraId="28BC3505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17.</w:t>
            </w:r>
          </w:p>
        </w:tc>
        <w:tc>
          <w:tcPr>
            <w:tcW w:w="2041" w:type="dxa"/>
          </w:tcPr>
          <w:p w14:paraId="574ACB72" w14:textId="77777777" w:rsidR="00287EF3" w:rsidRPr="00287EF3" w:rsidRDefault="00287EF3" w:rsidP="00CC4A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6461" w:type="dxa"/>
          </w:tcPr>
          <w:p w14:paraId="6B6BAAF4" w14:textId="77777777" w:rsidR="00287EF3" w:rsidRPr="00287EF3" w:rsidRDefault="00287EF3" w:rsidP="00CC4A8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F3">
              <w:rPr>
                <w:rFonts w:ascii="Arial" w:eastAsia="Calibri" w:hAnsi="Arial" w:cs="Arial"/>
                <w:sz w:val="20"/>
                <w:szCs w:val="20"/>
              </w:rPr>
              <w:t>Wymagana jest gwarancja świadczona na wszystkie elementy macierzy (sprzęt oraz oprogramowanie) na wymagany okres 60 miesięcy z gwarantowanym czasem naprawy 24 godzin. Ze względu na minimum 60 miesięczny okres świadczenia gwarancji Zamawiający wymaga, aby usługi serwisowe świadczone były wyłącznie przez autoryzowany serwis producenta oferowanego sprzętu.</w:t>
            </w:r>
          </w:p>
        </w:tc>
      </w:tr>
    </w:tbl>
    <w:p w14:paraId="3C3E9C66" w14:textId="3A3EA730" w:rsidR="00A06324" w:rsidRPr="00A953DB" w:rsidRDefault="00A06324" w:rsidP="00A95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D1F08" w14:textId="200C002A" w:rsidR="00A06324" w:rsidRPr="00287EF3" w:rsidRDefault="00A06324" w:rsidP="005946CE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5CE0551" w14:textId="0560E7E3" w:rsidR="00905FCF" w:rsidRPr="00287EF3" w:rsidRDefault="00905FCF" w:rsidP="00905FCF">
      <w:pPr>
        <w:pStyle w:val="Teksttreci0"/>
        <w:shd w:val="clear" w:color="auto" w:fill="auto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287EF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 celu dołożenia należytej staranności przy ustalaniu szacunkowej wartości planowanego zamówienia, uprzejmie prosimy o podanie ceny netto i brutto za wykonanie przedmiotu, w tym celu należy wypełnić </w:t>
      </w:r>
      <w:r w:rsidRPr="00287EF3">
        <w:rPr>
          <w:rFonts w:ascii="Arial" w:hAnsi="Arial" w:cs="Arial"/>
          <w:color w:val="000000"/>
          <w:sz w:val="20"/>
          <w:szCs w:val="20"/>
          <w:lang w:eastAsia="pl-PL" w:bidi="pl-PL"/>
        </w:rPr>
        <w:lastRenderedPageBreak/>
        <w:t xml:space="preserve">i przesłać poniższy </w:t>
      </w:r>
      <w:r w:rsidRPr="00287EF3">
        <w:rPr>
          <w:rFonts w:ascii="Arial" w:hAnsi="Arial" w:cs="Arial"/>
          <w:color w:val="000000"/>
          <w:sz w:val="20"/>
          <w:szCs w:val="20"/>
          <w:u w:val="single"/>
          <w:lang w:eastAsia="pl-PL" w:bidi="pl-PL"/>
        </w:rPr>
        <w:t>formularz wyceny.</w:t>
      </w:r>
    </w:p>
    <w:p w14:paraId="076F022F" w14:textId="065E8138" w:rsidR="00A43F32" w:rsidRPr="00287EF3" w:rsidRDefault="00A43F32" w:rsidP="005946CE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98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506"/>
        <w:gridCol w:w="1247"/>
        <w:gridCol w:w="1511"/>
        <w:gridCol w:w="837"/>
        <w:gridCol w:w="1701"/>
        <w:gridCol w:w="1469"/>
      </w:tblGrid>
      <w:tr w:rsidR="00A43F32" w:rsidRPr="00287EF3" w14:paraId="14ECD5AC" w14:textId="77777777" w:rsidTr="00905FCF">
        <w:trPr>
          <w:trHeight w:val="633"/>
          <w:jc w:val="center"/>
        </w:trPr>
        <w:tc>
          <w:tcPr>
            <w:tcW w:w="618" w:type="dxa"/>
            <w:shd w:val="clear" w:color="auto" w:fill="8EA9DB"/>
            <w:vAlign w:val="center"/>
          </w:tcPr>
          <w:p w14:paraId="3DD11798" w14:textId="77777777" w:rsidR="00A43F32" w:rsidRPr="00287EF3" w:rsidRDefault="00A43F32" w:rsidP="002E7BF1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LP</w:t>
            </w:r>
          </w:p>
        </w:tc>
        <w:tc>
          <w:tcPr>
            <w:tcW w:w="2638" w:type="dxa"/>
            <w:shd w:val="clear" w:color="auto" w:fill="8EA9DB"/>
            <w:vAlign w:val="center"/>
          </w:tcPr>
          <w:p w14:paraId="1983098C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838" w:type="dxa"/>
            <w:shd w:val="clear" w:color="auto" w:fill="8EA9DB"/>
            <w:vAlign w:val="center"/>
          </w:tcPr>
          <w:p w14:paraId="531205D7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1560" w:type="dxa"/>
            <w:shd w:val="clear" w:color="auto" w:fill="8EA9DB"/>
            <w:vAlign w:val="center"/>
          </w:tcPr>
          <w:p w14:paraId="7576FBF8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Cena jednostkowa brutto zł</w:t>
            </w:r>
          </w:p>
        </w:tc>
        <w:tc>
          <w:tcPr>
            <w:tcW w:w="850" w:type="dxa"/>
            <w:shd w:val="clear" w:color="auto" w:fill="8EA9DB"/>
            <w:vAlign w:val="center"/>
          </w:tcPr>
          <w:p w14:paraId="70AD4463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Liczba</w:t>
            </w:r>
          </w:p>
          <w:p w14:paraId="42258E5D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szt./dni</w:t>
            </w:r>
          </w:p>
        </w:tc>
        <w:tc>
          <w:tcPr>
            <w:tcW w:w="1855" w:type="dxa"/>
            <w:shd w:val="clear" w:color="auto" w:fill="8EA9DB"/>
            <w:vAlign w:val="center"/>
          </w:tcPr>
          <w:p w14:paraId="35D35E20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Wartość</w:t>
            </w:r>
            <w:r w:rsidRPr="00287EF3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brutto zł</w:t>
            </w:r>
          </w:p>
          <w:p w14:paraId="08CED163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Kol. D x Kol. E</w:t>
            </w:r>
          </w:p>
        </w:tc>
        <w:tc>
          <w:tcPr>
            <w:tcW w:w="1529" w:type="dxa"/>
            <w:shd w:val="clear" w:color="auto" w:fill="8EA9DB"/>
            <w:vAlign w:val="center"/>
          </w:tcPr>
          <w:p w14:paraId="01437BB1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Oferowany produkt (producent, model/typ)</w:t>
            </w:r>
          </w:p>
        </w:tc>
      </w:tr>
      <w:tr w:rsidR="00A43F32" w:rsidRPr="00287EF3" w14:paraId="65D54162" w14:textId="77777777" w:rsidTr="00905FCF">
        <w:trPr>
          <w:trHeight w:val="298"/>
          <w:jc w:val="center"/>
        </w:trPr>
        <w:tc>
          <w:tcPr>
            <w:tcW w:w="618" w:type="dxa"/>
            <w:shd w:val="clear" w:color="auto" w:fill="8EA9DB"/>
            <w:vAlign w:val="center"/>
          </w:tcPr>
          <w:p w14:paraId="5CCDECF1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2638" w:type="dxa"/>
            <w:shd w:val="clear" w:color="auto" w:fill="8EA9DB"/>
            <w:vAlign w:val="center"/>
          </w:tcPr>
          <w:p w14:paraId="6307CD80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838" w:type="dxa"/>
            <w:shd w:val="clear" w:color="auto" w:fill="8EA9DB"/>
            <w:vAlign w:val="center"/>
          </w:tcPr>
          <w:p w14:paraId="3D6397E5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560" w:type="dxa"/>
            <w:shd w:val="clear" w:color="auto" w:fill="8EA9DB"/>
            <w:vAlign w:val="center"/>
          </w:tcPr>
          <w:p w14:paraId="30C6F15A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8EA9DB"/>
            <w:vAlign w:val="center"/>
          </w:tcPr>
          <w:p w14:paraId="5B25D645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1855" w:type="dxa"/>
            <w:shd w:val="clear" w:color="auto" w:fill="8EA9DB"/>
            <w:vAlign w:val="center"/>
          </w:tcPr>
          <w:p w14:paraId="559A0755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</w:tc>
        <w:tc>
          <w:tcPr>
            <w:tcW w:w="1529" w:type="dxa"/>
            <w:shd w:val="clear" w:color="auto" w:fill="8EA9DB"/>
            <w:vAlign w:val="center"/>
          </w:tcPr>
          <w:p w14:paraId="111821CC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EF3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</w:tr>
      <w:tr w:rsidR="00A43F32" w:rsidRPr="00287EF3" w14:paraId="33AFD7FF" w14:textId="77777777" w:rsidTr="00905FCF">
        <w:trPr>
          <w:trHeight w:val="555"/>
          <w:jc w:val="center"/>
        </w:trPr>
        <w:tc>
          <w:tcPr>
            <w:tcW w:w="618" w:type="dxa"/>
            <w:shd w:val="clear" w:color="auto" w:fill="FFFFFF"/>
            <w:vAlign w:val="center"/>
          </w:tcPr>
          <w:p w14:paraId="413A483C" w14:textId="77777777" w:rsidR="00A43F32" w:rsidRPr="00287EF3" w:rsidRDefault="00A43F32" w:rsidP="002E7BF1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E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38" w:type="dxa"/>
            <w:shd w:val="clear" w:color="auto" w:fill="FFFFFF"/>
            <w:vAlign w:val="center"/>
          </w:tcPr>
          <w:p w14:paraId="73F1F465" w14:textId="5AC26AA4" w:rsidR="000359F2" w:rsidRPr="00287EF3" w:rsidRDefault="00A953DB" w:rsidP="00905FCF">
            <w:pPr>
              <w:pStyle w:val="Domylny"/>
              <w:tabs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Macierz</w:t>
            </w:r>
            <w:r w:rsidR="00A43F32" w:rsidRPr="00287EF3">
              <w:rPr>
                <w:rFonts w:ascii="Arial" w:hAnsi="Arial" w:cs="Arial"/>
                <w:sz w:val="20"/>
                <w:szCs w:val="20"/>
              </w:rPr>
              <w:t xml:space="preserve"> wraz z</w:t>
            </w:r>
            <w:r>
              <w:rPr>
                <w:rFonts w:ascii="Arial" w:hAnsi="Arial" w:cs="Arial"/>
                <w:sz w:val="20"/>
                <w:szCs w:val="20"/>
              </w:rPr>
              <w:t xml:space="preserve"> niezbędnym </w:t>
            </w:r>
            <w:r w:rsidR="00A43F32" w:rsidRPr="00287EF3">
              <w:rPr>
                <w:rFonts w:ascii="Arial" w:hAnsi="Arial" w:cs="Arial"/>
                <w:sz w:val="20"/>
                <w:szCs w:val="20"/>
              </w:rPr>
              <w:t>wyposażeniem oraz oprogramowaniem niezbędnym do uruchomienia i poprawnego działania</w:t>
            </w:r>
          </w:p>
        </w:tc>
        <w:tc>
          <w:tcPr>
            <w:tcW w:w="838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2439B54A" w14:textId="77777777" w:rsidR="00A43F32" w:rsidRPr="00287EF3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54EC8F41" w14:textId="77777777" w:rsidR="00A43F32" w:rsidRPr="00287EF3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240935F" w14:textId="78FFFBB6" w:rsidR="00A43F32" w:rsidRPr="00287EF3" w:rsidRDefault="00A953DB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5262666C" w14:textId="77777777" w:rsidR="00A43F32" w:rsidRPr="00287EF3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24001EF1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F32" w:rsidRPr="00287EF3" w14:paraId="42C16BAB" w14:textId="77777777" w:rsidTr="00905FCF">
        <w:trPr>
          <w:trHeight w:val="555"/>
          <w:jc w:val="center"/>
        </w:trPr>
        <w:tc>
          <w:tcPr>
            <w:tcW w:w="618" w:type="dxa"/>
            <w:shd w:val="clear" w:color="auto" w:fill="FFFFFF"/>
            <w:vAlign w:val="center"/>
          </w:tcPr>
          <w:p w14:paraId="7BFE204F" w14:textId="77777777" w:rsidR="00A43F32" w:rsidRPr="00287EF3" w:rsidRDefault="00A43F32" w:rsidP="002E7BF1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E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8" w:type="dxa"/>
            <w:shd w:val="clear" w:color="auto" w:fill="FFFFFF"/>
            <w:vAlign w:val="center"/>
          </w:tcPr>
          <w:p w14:paraId="5F2A6C43" w14:textId="77777777" w:rsidR="00A43F32" w:rsidRPr="00287EF3" w:rsidRDefault="00A43F32" w:rsidP="002E7BF1">
            <w:pPr>
              <w:pStyle w:val="Domylny"/>
              <w:tabs>
                <w:tab w:val="left" w:pos="8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EF3">
              <w:rPr>
                <w:rFonts w:ascii="Arial" w:hAnsi="Arial" w:cs="Arial"/>
                <w:sz w:val="20"/>
                <w:szCs w:val="20"/>
              </w:rPr>
              <w:t>Termin realizacji zamówienia</w:t>
            </w:r>
          </w:p>
        </w:tc>
        <w:tc>
          <w:tcPr>
            <w:tcW w:w="838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79882007" w14:textId="77777777" w:rsidR="00A43F32" w:rsidRPr="00287EF3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764196A3" w14:textId="77777777" w:rsidR="00A43F32" w:rsidRPr="00287EF3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D3CF336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364B2C2B" w14:textId="77777777" w:rsidR="00A43F32" w:rsidRPr="00287EF3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7CEA4762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F32" w:rsidRPr="00287EF3" w14:paraId="6C9DFA22" w14:textId="77777777" w:rsidTr="00905FCF">
        <w:trPr>
          <w:trHeight w:val="55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C5CB6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D6093" w14:textId="77777777" w:rsidR="00A43F32" w:rsidRPr="00287EF3" w:rsidRDefault="00A43F32" w:rsidP="002E7BF1">
            <w:pPr>
              <w:pStyle w:val="Domylny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7EF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EB28D" w14:textId="77777777" w:rsidR="00A43F32" w:rsidRPr="00287EF3" w:rsidRDefault="00A43F32" w:rsidP="002E7BF1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51D4D28B" w14:textId="77777777" w:rsidR="00A43F32" w:rsidRPr="00287EF3" w:rsidRDefault="00A43F32" w:rsidP="002E7BF1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1DAB8B" w14:textId="77777777" w:rsidR="00A43F32" w:rsidRPr="00287EF3" w:rsidRDefault="00A43F32" w:rsidP="005946CE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sectPr w:rsidR="00A43F32" w:rsidRPr="00287EF3" w:rsidSect="00BE36AD">
      <w:pgSz w:w="11906" w:h="16838"/>
      <w:pgMar w:top="709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CF1"/>
    <w:multiLevelType w:val="multilevel"/>
    <w:tmpl w:val="DEC6E2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E47934"/>
    <w:multiLevelType w:val="hybridMultilevel"/>
    <w:tmpl w:val="029EE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5B6F"/>
    <w:multiLevelType w:val="multilevel"/>
    <w:tmpl w:val="F3B4DB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DF758A"/>
    <w:multiLevelType w:val="multilevel"/>
    <w:tmpl w:val="0C625D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D730D9A"/>
    <w:multiLevelType w:val="hybridMultilevel"/>
    <w:tmpl w:val="1AD4C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1D2C"/>
    <w:multiLevelType w:val="hybridMultilevel"/>
    <w:tmpl w:val="A50C5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346A"/>
    <w:multiLevelType w:val="hybridMultilevel"/>
    <w:tmpl w:val="123CC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32C0A"/>
    <w:multiLevelType w:val="multilevel"/>
    <w:tmpl w:val="87D6A8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A1297E"/>
    <w:multiLevelType w:val="hybridMultilevel"/>
    <w:tmpl w:val="0C101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87BF3"/>
    <w:multiLevelType w:val="multilevel"/>
    <w:tmpl w:val="C46C0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114DE6"/>
    <w:multiLevelType w:val="hybridMultilevel"/>
    <w:tmpl w:val="768A2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81237"/>
    <w:multiLevelType w:val="multilevel"/>
    <w:tmpl w:val="0C321E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32A5D00"/>
    <w:multiLevelType w:val="hybridMultilevel"/>
    <w:tmpl w:val="0CCC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2746"/>
    <w:multiLevelType w:val="multilevel"/>
    <w:tmpl w:val="CBA61D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9C34894"/>
    <w:multiLevelType w:val="multilevel"/>
    <w:tmpl w:val="1B38B9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NewRomanPSMT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A7F0A8C"/>
    <w:multiLevelType w:val="multilevel"/>
    <w:tmpl w:val="956CFC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F8B2D22"/>
    <w:multiLevelType w:val="hybridMultilevel"/>
    <w:tmpl w:val="57DAA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44765"/>
    <w:multiLevelType w:val="multilevel"/>
    <w:tmpl w:val="3E965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3DE1797"/>
    <w:multiLevelType w:val="multilevel"/>
    <w:tmpl w:val="52A05D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72C12778"/>
    <w:multiLevelType w:val="multilevel"/>
    <w:tmpl w:val="C5A26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CBD253E"/>
    <w:multiLevelType w:val="hybridMultilevel"/>
    <w:tmpl w:val="09F2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E1365"/>
    <w:multiLevelType w:val="hybridMultilevel"/>
    <w:tmpl w:val="768A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0757F"/>
    <w:multiLevelType w:val="hybridMultilevel"/>
    <w:tmpl w:val="9468C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B7F11"/>
    <w:multiLevelType w:val="multilevel"/>
    <w:tmpl w:val="00F62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4085822">
    <w:abstractNumId w:val="6"/>
  </w:num>
  <w:num w:numId="2" w16cid:durableId="1289047936">
    <w:abstractNumId w:val="1"/>
  </w:num>
  <w:num w:numId="3" w16cid:durableId="964625611">
    <w:abstractNumId w:val="20"/>
  </w:num>
  <w:num w:numId="4" w16cid:durableId="1141384430">
    <w:abstractNumId w:val="21"/>
  </w:num>
  <w:num w:numId="5" w16cid:durableId="1764647114">
    <w:abstractNumId w:val="22"/>
  </w:num>
  <w:num w:numId="6" w16cid:durableId="653408710">
    <w:abstractNumId w:val="4"/>
  </w:num>
  <w:num w:numId="7" w16cid:durableId="117651814">
    <w:abstractNumId w:val="12"/>
  </w:num>
  <w:num w:numId="8" w16cid:durableId="1598908587">
    <w:abstractNumId w:val="5"/>
  </w:num>
  <w:num w:numId="9" w16cid:durableId="1925215280">
    <w:abstractNumId w:val="8"/>
  </w:num>
  <w:num w:numId="10" w16cid:durableId="1167791731">
    <w:abstractNumId w:val="16"/>
  </w:num>
  <w:num w:numId="11" w16cid:durableId="1190338737">
    <w:abstractNumId w:val="10"/>
  </w:num>
  <w:num w:numId="12" w16cid:durableId="1724060327">
    <w:abstractNumId w:val="11"/>
  </w:num>
  <w:num w:numId="13" w16cid:durableId="863903047">
    <w:abstractNumId w:val="3"/>
  </w:num>
  <w:num w:numId="14" w16cid:durableId="1438255062">
    <w:abstractNumId w:val="17"/>
  </w:num>
  <w:num w:numId="15" w16cid:durableId="1458063945">
    <w:abstractNumId w:val="19"/>
  </w:num>
  <w:num w:numId="16" w16cid:durableId="438960792">
    <w:abstractNumId w:val="23"/>
  </w:num>
  <w:num w:numId="17" w16cid:durableId="875117681">
    <w:abstractNumId w:val="0"/>
  </w:num>
  <w:num w:numId="18" w16cid:durableId="2054840203">
    <w:abstractNumId w:val="9"/>
  </w:num>
  <w:num w:numId="19" w16cid:durableId="576794083">
    <w:abstractNumId w:val="7"/>
  </w:num>
  <w:num w:numId="20" w16cid:durableId="620109576">
    <w:abstractNumId w:val="13"/>
  </w:num>
  <w:num w:numId="21" w16cid:durableId="703215440">
    <w:abstractNumId w:val="15"/>
  </w:num>
  <w:num w:numId="22" w16cid:durableId="647396862">
    <w:abstractNumId w:val="2"/>
  </w:num>
  <w:num w:numId="23" w16cid:durableId="1039940932">
    <w:abstractNumId w:val="18"/>
  </w:num>
  <w:num w:numId="24" w16cid:durableId="4281594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4"/>
    <w:rsid w:val="00021397"/>
    <w:rsid w:val="000359F2"/>
    <w:rsid w:val="001833E3"/>
    <w:rsid w:val="001E5734"/>
    <w:rsid w:val="00270A68"/>
    <w:rsid w:val="00287EF3"/>
    <w:rsid w:val="005946CE"/>
    <w:rsid w:val="005C3ADF"/>
    <w:rsid w:val="00643AEC"/>
    <w:rsid w:val="0077590A"/>
    <w:rsid w:val="0081393E"/>
    <w:rsid w:val="008C0F7D"/>
    <w:rsid w:val="008D6088"/>
    <w:rsid w:val="00905FCF"/>
    <w:rsid w:val="00932183"/>
    <w:rsid w:val="00951FB3"/>
    <w:rsid w:val="00960919"/>
    <w:rsid w:val="009974A0"/>
    <w:rsid w:val="00A06324"/>
    <w:rsid w:val="00A43F32"/>
    <w:rsid w:val="00A47AD2"/>
    <w:rsid w:val="00A53F8B"/>
    <w:rsid w:val="00A93511"/>
    <w:rsid w:val="00A953DB"/>
    <w:rsid w:val="00AA166E"/>
    <w:rsid w:val="00B508C7"/>
    <w:rsid w:val="00BB3C99"/>
    <w:rsid w:val="00BC4B42"/>
    <w:rsid w:val="00BE36AD"/>
    <w:rsid w:val="00DA13B6"/>
    <w:rsid w:val="00DE2F1F"/>
    <w:rsid w:val="00E1474A"/>
    <w:rsid w:val="00E621E0"/>
    <w:rsid w:val="00EF3C1B"/>
    <w:rsid w:val="00F03399"/>
    <w:rsid w:val="00F13AEF"/>
    <w:rsid w:val="00F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072A"/>
  <w15:docId w15:val="{44513CC4-1B49-47EF-BBBF-F668D96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69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E3DAB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E3DAB"/>
    <w:rPr>
      <w:rFonts w:ascii="Arial" w:eastAsia="Times New Roman" w:hAnsi="Arial" w:cs="Arial"/>
      <w:b/>
      <w:bCs/>
      <w:color w:val="000000"/>
      <w:kern w:val="2"/>
      <w:sz w:val="32"/>
      <w:szCs w:val="32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643A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43AE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,List Paragraph,T_SZ_List Paragraph,Preambuła,BulletC,Wyliczanie,Obiekt,Bullets"/>
    <w:basedOn w:val="Normalny"/>
    <w:link w:val="AkapitzlistZnak"/>
    <w:qFormat/>
    <w:rsid w:val="005946CE"/>
    <w:pPr>
      <w:suppressAutoHyphens w:val="0"/>
      <w:ind w:left="720"/>
      <w:contextualSpacing/>
    </w:p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,List Paragraph Znak"/>
    <w:basedOn w:val="Domylnaczcionkaakapitu"/>
    <w:link w:val="Akapitzlist"/>
    <w:uiPriority w:val="34"/>
    <w:qFormat/>
    <w:locked/>
    <w:rsid w:val="005946CE"/>
  </w:style>
  <w:style w:type="paragraph" w:customStyle="1" w:styleId="Domylny">
    <w:name w:val="Domyślny"/>
    <w:uiPriority w:val="99"/>
    <w:rsid w:val="00A43F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05FC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FCF"/>
    <w:pPr>
      <w:widowControl w:val="0"/>
      <w:shd w:val="clear" w:color="auto" w:fill="FFFFFF"/>
      <w:suppressAutoHyphens w:val="0"/>
      <w:spacing w:after="280" w:line="257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Sadowska</dc:creator>
  <dc:description/>
  <cp:lastModifiedBy>Dąbrowski Krzysztof</cp:lastModifiedBy>
  <cp:revision>4</cp:revision>
  <dcterms:created xsi:type="dcterms:W3CDTF">2022-09-29T10:12:00Z</dcterms:created>
  <dcterms:modified xsi:type="dcterms:W3CDTF">2022-09-29T10:28:00Z</dcterms:modified>
  <dc:language>pl-PL</dc:language>
</cp:coreProperties>
</file>