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A7" w:rsidRDefault="000114A7" w:rsidP="000114A7">
      <w:pPr>
        <w:autoSpaceDE w:val="0"/>
        <w:spacing w:line="360" w:lineRule="auto"/>
        <w:jc w:val="center"/>
        <w:rPr>
          <w:rFonts w:eastAsia="A"/>
          <w:b/>
          <w:bCs/>
        </w:rPr>
      </w:pPr>
      <w:r>
        <w:rPr>
          <w:rFonts w:eastAsia="A"/>
          <w:b/>
          <w:bCs/>
        </w:rPr>
        <w:t>OPIS ISTOTNYCH ZAGADNIEŃ</w:t>
      </w:r>
    </w:p>
    <w:p w:rsidR="000114A7" w:rsidRDefault="000114A7" w:rsidP="000114A7">
      <w:pPr>
        <w:autoSpaceDE w:val="0"/>
        <w:spacing w:line="360" w:lineRule="auto"/>
        <w:jc w:val="center"/>
        <w:rPr>
          <w:rFonts w:eastAsia="A"/>
          <w:b/>
          <w:bCs/>
        </w:rPr>
      </w:pPr>
      <w:r>
        <w:rPr>
          <w:rFonts w:eastAsia="A"/>
          <w:b/>
          <w:bCs/>
        </w:rPr>
        <w:t xml:space="preserve">dla Komisji Egzaminacyjnej </w:t>
      </w:r>
    </w:p>
    <w:p w:rsidR="000114A7" w:rsidRDefault="000114A7" w:rsidP="000114A7">
      <w:pPr>
        <w:autoSpaceDE w:val="0"/>
        <w:spacing w:line="360" w:lineRule="auto"/>
        <w:jc w:val="center"/>
        <w:rPr>
          <w:rFonts w:eastAsia="A"/>
          <w:b/>
          <w:bCs/>
        </w:rPr>
      </w:pPr>
      <w:r>
        <w:rPr>
          <w:rFonts w:eastAsia="A"/>
          <w:b/>
          <w:bCs/>
        </w:rPr>
        <w:t>do zadania z zakresu prawa karnego</w:t>
      </w:r>
    </w:p>
    <w:p w:rsidR="000114A7" w:rsidRDefault="000114A7" w:rsidP="000114A7">
      <w:pPr>
        <w:autoSpaceDE w:val="0"/>
        <w:spacing w:line="360" w:lineRule="auto"/>
        <w:jc w:val="center"/>
        <w:rPr>
          <w:rFonts w:eastAsia="A"/>
        </w:rPr>
      </w:pPr>
      <w:r>
        <w:rPr>
          <w:rFonts w:eastAsia="A"/>
          <w:b/>
          <w:bCs/>
        </w:rPr>
        <w:t xml:space="preserve">egzamin radcowski - 15 marca 2016 r. </w:t>
      </w:r>
    </w:p>
    <w:p w:rsidR="001B0F41" w:rsidRPr="006961AD" w:rsidRDefault="001B0F41" w:rsidP="001B0F41">
      <w:pPr>
        <w:jc w:val="center"/>
        <w:rPr>
          <w:sz w:val="18"/>
          <w:szCs w:val="18"/>
        </w:rPr>
      </w:pPr>
    </w:p>
    <w:p w:rsidR="001B0F41" w:rsidRPr="006961AD" w:rsidRDefault="001B0F41" w:rsidP="001B0F41">
      <w:pPr>
        <w:spacing w:line="360" w:lineRule="auto"/>
        <w:jc w:val="both"/>
        <w:rPr>
          <w:sz w:val="18"/>
          <w:szCs w:val="18"/>
        </w:rPr>
      </w:pPr>
    </w:p>
    <w:p w:rsidR="001B0F41" w:rsidRPr="00D66679" w:rsidRDefault="005857D6" w:rsidP="001B0F41">
      <w:pPr>
        <w:spacing w:line="360" w:lineRule="auto"/>
        <w:ind w:firstLine="360"/>
        <w:jc w:val="both"/>
        <w:rPr>
          <w:sz w:val="23"/>
          <w:szCs w:val="23"/>
        </w:rPr>
      </w:pPr>
      <w:r w:rsidRPr="00D66679">
        <w:rPr>
          <w:sz w:val="23"/>
          <w:szCs w:val="23"/>
        </w:rPr>
        <w:t xml:space="preserve">Zdaniem </w:t>
      </w:r>
      <w:r w:rsidR="00B458A5">
        <w:rPr>
          <w:sz w:val="23"/>
          <w:szCs w:val="23"/>
        </w:rPr>
        <w:t>z</w:t>
      </w:r>
      <w:r w:rsidR="001B0F41" w:rsidRPr="00D66679">
        <w:rPr>
          <w:sz w:val="23"/>
          <w:szCs w:val="23"/>
        </w:rPr>
        <w:t>espołu</w:t>
      </w:r>
      <w:r w:rsidR="00B458A5">
        <w:rPr>
          <w:sz w:val="23"/>
          <w:szCs w:val="23"/>
        </w:rPr>
        <w:t xml:space="preserve"> do przygotowania zadań na egzamin radcowski</w:t>
      </w:r>
      <w:r w:rsidR="001B0F41" w:rsidRPr="00D66679">
        <w:rPr>
          <w:sz w:val="23"/>
          <w:szCs w:val="23"/>
        </w:rPr>
        <w:t xml:space="preserve">, w przypadku zadania </w:t>
      </w:r>
      <w:r w:rsidR="007614A9">
        <w:rPr>
          <w:sz w:val="23"/>
          <w:szCs w:val="23"/>
        </w:rPr>
        <w:t xml:space="preserve">          </w:t>
      </w:r>
      <w:r w:rsidR="001B0F41" w:rsidRPr="00D66679">
        <w:rPr>
          <w:sz w:val="23"/>
          <w:szCs w:val="23"/>
        </w:rPr>
        <w:t>z zakresu prawa karnego, zasadne jest sporządzenie apelacji.</w:t>
      </w:r>
      <w:r w:rsidR="0056614D" w:rsidRPr="00D66679">
        <w:rPr>
          <w:sz w:val="23"/>
          <w:szCs w:val="23"/>
        </w:rPr>
        <w:t xml:space="preserve"> Przy ocenie prac</w:t>
      </w:r>
      <w:r w:rsidR="001B0F41" w:rsidRPr="00D66679">
        <w:rPr>
          <w:sz w:val="23"/>
          <w:szCs w:val="23"/>
        </w:rPr>
        <w:t xml:space="preserve"> należy zwrócić uwagę na następujące problemy:</w:t>
      </w:r>
    </w:p>
    <w:p w:rsidR="00E84CE1" w:rsidRPr="00B458A5" w:rsidRDefault="00E84CE1" w:rsidP="007801E4">
      <w:pPr>
        <w:spacing w:line="360" w:lineRule="auto"/>
        <w:jc w:val="both"/>
        <w:rPr>
          <w:sz w:val="18"/>
          <w:szCs w:val="18"/>
        </w:rPr>
      </w:pPr>
    </w:p>
    <w:p w:rsidR="009337F7" w:rsidRPr="00D66679" w:rsidRDefault="00E84CE1" w:rsidP="006C0DB4">
      <w:pPr>
        <w:spacing w:line="360" w:lineRule="auto"/>
        <w:jc w:val="both"/>
        <w:rPr>
          <w:sz w:val="23"/>
          <w:szCs w:val="23"/>
        </w:rPr>
      </w:pPr>
      <w:r w:rsidRPr="00BC19F6">
        <w:rPr>
          <w:b/>
          <w:sz w:val="23"/>
          <w:szCs w:val="23"/>
        </w:rPr>
        <w:t>1.</w:t>
      </w:r>
      <w:r w:rsidRPr="00D66679">
        <w:rPr>
          <w:sz w:val="23"/>
          <w:szCs w:val="23"/>
        </w:rPr>
        <w:t xml:space="preserve"> </w:t>
      </w:r>
      <w:r w:rsidR="0048551F" w:rsidRPr="00D66679">
        <w:rPr>
          <w:sz w:val="23"/>
          <w:szCs w:val="23"/>
        </w:rPr>
        <w:t xml:space="preserve">Sąd Rejonowy błędnie </w:t>
      </w:r>
      <w:r w:rsidR="001C506E" w:rsidRPr="00D66679">
        <w:rPr>
          <w:sz w:val="23"/>
          <w:szCs w:val="23"/>
        </w:rPr>
        <w:t xml:space="preserve">uznał, że w przypadku przestępstwa z art. 13 § 1 k.k. w zw. z art. 280 </w:t>
      </w:r>
      <w:r w:rsidR="006961AD">
        <w:rPr>
          <w:sz w:val="23"/>
          <w:szCs w:val="23"/>
        </w:rPr>
        <w:br/>
      </w:r>
      <w:r w:rsidR="001C506E" w:rsidRPr="00D66679">
        <w:rPr>
          <w:sz w:val="23"/>
          <w:szCs w:val="23"/>
        </w:rPr>
        <w:t>§ 1 k.k. wobec oskarżonego Piotra Mareckiego znajduje zastosowanie art. 15 § 1 k.k.</w:t>
      </w:r>
      <w:r w:rsidR="008F5540" w:rsidRPr="00D66679">
        <w:rPr>
          <w:sz w:val="23"/>
          <w:szCs w:val="23"/>
        </w:rPr>
        <w:t xml:space="preserve"> i w efekcie niesłusznie umorzył w tym zakresie postę</w:t>
      </w:r>
      <w:r w:rsidR="001C506E" w:rsidRPr="00D66679">
        <w:rPr>
          <w:sz w:val="23"/>
          <w:szCs w:val="23"/>
        </w:rPr>
        <w:t>powanie na podstawie art. 17 § 1 pkt 4 k.p.k. Prawdą jest, że Piotr Marecki dobrowolnie odstąpił od dokonania tego czynu. Dla przyjęcia najpełniejszej formy stadialnej</w:t>
      </w:r>
      <w:r w:rsidR="001D796E" w:rsidRPr="00D66679">
        <w:rPr>
          <w:sz w:val="23"/>
          <w:szCs w:val="23"/>
        </w:rPr>
        <w:t xml:space="preserve"> przestępstwa rozboju, czyli dokonania, konieczne jest bowiem dokonanie kradzieży, tj. zaboru w celu przywłaszczenia cudzej rzeczy ruchomej</w:t>
      </w:r>
      <w:r w:rsidR="0048551F" w:rsidRPr="00D66679">
        <w:rPr>
          <w:sz w:val="23"/>
          <w:szCs w:val="23"/>
        </w:rPr>
        <w:t xml:space="preserve"> (przy zastosowaniu sposobów, o których mowa w art. 280 § 1 k.k.)</w:t>
      </w:r>
      <w:r w:rsidR="001D796E" w:rsidRPr="00D66679">
        <w:rPr>
          <w:sz w:val="23"/>
          <w:szCs w:val="23"/>
        </w:rPr>
        <w:t>. Grożąc pokrzywdzonemu natychmiastowym użyciem przemocy w celu dokonania kradzieży pieniędzy oskarżony wstąpił na etap usiłowania rozboju. Odstąpił jednak od zaboru pie</w:t>
      </w:r>
      <w:r w:rsidR="0048551F" w:rsidRPr="00D66679">
        <w:rPr>
          <w:sz w:val="23"/>
          <w:szCs w:val="23"/>
        </w:rPr>
        <w:t xml:space="preserve">niędzy. Uczynił to dobrowolnie - </w:t>
      </w:r>
      <w:r w:rsidR="001D796E" w:rsidRPr="00D66679">
        <w:rPr>
          <w:sz w:val="23"/>
          <w:szCs w:val="23"/>
        </w:rPr>
        <w:t xml:space="preserve">pod wpływem wzruszenia i litości nad płaczącym pokrzywdzonym. Zdecydowały zatem o tym jego przeżycia wewnętrzne, a nie czynniki zewnętrzne. </w:t>
      </w:r>
      <w:r w:rsidR="008F5540" w:rsidRPr="00D66679">
        <w:rPr>
          <w:sz w:val="23"/>
          <w:szCs w:val="23"/>
        </w:rPr>
        <w:t>Rzecz</w:t>
      </w:r>
      <w:r w:rsidR="001D796E" w:rsidRPr="00D66679">
        <w:rPr>
          <w:sz w:val="23"/>
          <w:szCs w:val="23"/>
        </w:rPr>
        <w:t xml:space="preserve"> jednak</w:t>
      </w:r>
      <w:r w:rsidR="008F5540" w:rsidRPr="00D66679">
        <w:rPr>
          <w:sz w:val="23"/>
          <w:szCs w:val="23"/>
        </w:rPr>
        <w:t xml:space="preserve"> w tym, że</w:t>
      </w:r>
      <w:r w:rsidR="001D796E" w:rsidRPr="00D66679">
        <w:rPr>
          <w:sz w:val="23"/>
          <w:szCs w:val="23"/>
        </w:rPr>
        <w:t xml:space="preserve"> art. 15 § 1 k.k. znajduje zastosowanie</w:t>
      </w:r>
      <w:r w:rsidR="00D32551" w:rsidRPr="00D66679">
        <w:rPr>
          <w:sz w:val="23"/>
          <w:szCs w:val="23"/>
        </w:rPr>
        <w:t xml:space="preserve"> do </w:t>
      </w:r>
      <w:proofErr w:type="spellStart"/>
      <w:r w:rsidR="00D32551" w:rsidRPr="00D66679">
        <w:rPr>
          <w:sz w:val="23"/>
          <w:szCs w:val="23"/>
        </w:rPr>
        <w:t>jednosprawstwa</w:t>
      </w:r>
      <w:proofErr w:type="spellEnd"/>
      <w:r w:rsidR="00D32551" w:rsidRPr="00D66679">
        <w:rPr>
          <w:sz w:val="23"/>
          <w:szCs w:val="23"/>
        </w:rPr>
        <w:t>. Piotr Marecki współdziałał zaś przy popełnieniu tego przestępstwa z Andrzejem Zającem.</w:t>
      </w:r>
      <w:r w:rsidR="006C0DB4" w:rsidRPr="00D66679">
        <w:rPr>
          <w:sz w:val="23"/>
          <w:szCs w:val="23"/>
        </w:rPr>
        <w:t xml:space="preserve"> W tej sytuacji </w:t>
      </w:r>
      <w:r w:rsidR="008937D7" w:rsidRPr="00D66679">
        <w:rPr>
          <w:sz w:val="23"/>
          <w:szCs w:val="23"/>
        </w:rPr>
        <w:t xml:space="preserve">kwestia skutecznego czynnego żalu winna być rozpatrywana na tle art. 23 § 1 k.k., który w odniesieniu do sprawczego współdziałania stanowi </w:t>
      </w:r>
      <w:r w:rsidR="008937D7" w:rsidRPr="00D66679">
        <w:rPr>
          <w:i/>
          <w:sz w:val="23"/>
          <w:szCs w:val="23"/>
        </w:rPr>
        <w:t xml:space="preserve">lex </w:t>
      </w:r>
      <w:proofErr w:type="spellStart"/>
      <w:r w:rsidR="008937D7" w:rsidRPr="00D66679">
        <w:rPr>
          <w:i/>
          <w:sz w:val="23"/>
          <w:szCs w:val="23"/>
        </w:rPr>
        <w:t>specialis</w:t>
      </w:r>
      <w:proofErr w:type="spellEnd"/>
      <w:r w:rsidR="008937D7" w:rsidRPr="00D66679">
        <w:rPr>
          <w:i/>
          <w:sz w:val="23"/>
          <w:szCs w:val="23"/>
        </w:rPr>
        <w:t xml:space="preserve"> </w:t>
      </w:r>
      <w:r w:rsidR="008937D7" w:rsidRPr="00D66679">
        <w:rPr>
          <w:sz w:val="23"/>
          <w:szCs w:val="23"/>
        </w:rPr>
        <w:t>do regulacji czynnego żalu zawartej w art. 15 § 1 k.k. (por. P. Kardas (w:) A. Zoll</w:t>
      </w:r>
      <w:r w:rsidR="00951721" w:rsidRPr="00D66679">
        <w:rPr>
          <w:sz w:val="23"/>
          <w:szCs w:val="23"/>
        </w:rPr>
        <w:t xml:space="preserve">, </w:t>
      </w:r>
      <w:r w:rsidR="006961AD">
        <w:rPr>
          <w:sz w:val="23"/>
          <w:szCs w:val="23"/>
        </w:rPr>
        <w:t xml:space="preserve"> </w:t>
      </w:r>
      <w:r w:rsidR="00951721" w:rsidRPr="00D66679">
        <w:rPr>
          <w:sz w:val="23"/>
          <w:szCs w:val="23"/>
        </w:rPr>
        <w:t xml:space="preserve">G. Bogdan, Z. Ćwiąkalski, P. Kardas, J. Majewski, J. </w:t>
      </w:r>
      <w:proofErr w:type="spellStart"/>
      <w:r w:rsidR="00951721" w:rsidRPr="00D66679">
        <w:rPr>
          <w:sz w:val="23"/>
          <w:szCs w:val="23"/>
        </w:rPr>
        <w:t>Raglewski</w:t>
      </w:r>
      <w:proofErr w:type="spellEnd"/>
      <w:r w:rsidR="00951721" w:rsidRPr="00D66679">
        <w:rPr>
          <w:sz w:val="23"/>
          <w:szCs w:val="23"/>
        </w:rPr>
        <w:t>, M. Szewczyk i W. Wróbel</w:t>
      </w:r>
      <w:r w:rsidR="008937D7" w:rsidRPr="00D66679">
        <w:rPr>
          <w:sz w:val="23"/>
          <w:szCs w:val="23"/>
        </w:rPr>
        <w:t xml:space="preserve"> Kodeks karny, Część ogólna, Komentarz, Tom I</w:t>
      </w:r>
      <w:r w:rsidR="00951721" w:rsidRPr="00D66679">
        <w:rPr>
          <w:sz w:val="23"/>
          <w:szCs w:val="23"/>
        </w:rPr>
        <w:t xml:space="preserve">, </w:t>
      </w:r>
      <w:r w:rsidR="007E2130" w:rsidRPr="00D66679">
        <w:rPr>
          <w:sz w:val="23"/>
          <w:szCs w:val="23"/>
        </w:rPr>
        <w:t>teza 4, 5 i 8 do art. 23, str.</w:t>
      </w:r>
      <w:r w:rsidR="00951721" w:rsidRPr="00D66679">
        <w:rPr>
          <w:sz w:val="23"/>
          <w:szCs w:val="23"/>
        </w:rPr>
        <w:t xml:space="preserve"> 382 – 384, Warszawa 2007). W konsekwencji, przesłanką warunkującą niepodleganie karze przez Piotra Mareckiego było </w:t>
      </w:r>
      <w:r w:rsidR="00951721" w:rsidRPr="00D66679">
        <w:rPr>
          <w:b/>
          <w:sz w:val="23"/>
          <w:szCs w:val="23"/>
        </w:rPr>
        <w:t>dobrowolne zapobieżenie dokonaniu rozboju</w:t>
      </w:r>
      <w:r w:rsidR="006C0DB4" w:rsidRPr="00D66679">
        <w:rPr>
          <w:b/>
          <w:sz w:val="23"/>
          <w:szCs w:val="23"/>
        </w:rPr>
        <w:t xml:space="preserve"> przez współdziałającego z nim Andrzeja Zająca.</w:t>
      </w:r>
      <w:r w:rsidR="006C0DB4" w:rsidRPr="00D66679">
        <w:rPr>
          <w:sz w:val="23"/>
          <w:szCs w:val="23"/>
        </w:rPr>
        <w:t xml:space="preserve"> Piotr Marecki nie tylko, że nie uczynił tego, ale też nie podjął żadnych działań w tym kierunku.</w:t>
      </w:r>
    </w:p>
    <w:p w:rsidR="003B0924" w:rsidRPr="00D66679" w:rsidRDefault="003059ED" w:rsidP="008078A1">
      <w:pPr>
        <w:spacing w:line="360" w:lineRule="auto"/>
        <w:jc w:val="both"/>
        <w:rPr>
          <w:sz w:val="23"/>
          <w:szCs w:val="23"/>
        </w:rPr>
      </w:pPr>
      <w:r w:rsidRPr="00BC19F6">
        <w:rPr>
          <w:b/>
          <w:sz w:val="23"/>
          <w:szCs w:val="23"/>
        </w:rPr>
        <w:t>2.</w:t>
      </w:r>
      <w:r w:rsidRPr="00D66679">
        <w:rPr>
          <w:sz w:val="23"/>
          <w:szCs w:val="23"/>
        </w:rPr>
        <w:t xml:space="preserve"> </w:t>
      </w:r>
      <w:r w:rsidR="00B31D2D" w:rsidRPr="00D66679">
        <w:rPr>
          <w:sz w:val="23"/>
          <w:szCs w:val="23"/>
        </w:rPr>
        <w:t>Sąd Rejonowy błędnie</w:t>
      </w:r>
      <w:r w:rsidR="001D2CA8" w:rsidRPr="00D66679">
        <w:rPr>
          <w:sz w:val="23"/>
          <w:szCs w:val="23"/>
        </w:rPr>
        <w:t xml:space="preserve"> </w:t>
      </w:r>
      <w:r w:rsidR="00780F7A" w:rsidRPr="00D66679">
        <w:rPr>
          <w:sz w:val="23"/>
          <w:szCs w:val="23"/>
        </w:rPr>
        <w:t xml:space="preserve">oddalił wniosek prokuratora i oskarżyciela posiłkowego o odczytanie protokołu przesłuchania w charakterze świadka Marii Zając w postępowaniu przygotowawczym. </w:t>
      </w:r>
      <w:r w:rsidR="00062588" w:rsidRPr="00D66679">
        <w:rPr>
          <w:sz w:val="23"/>
          <w:szCs w:val="23"/>
        </w:rPr>
        <w:t>Zgodnie bowiem z dominującym</w:t>
      </w:r>
      <w:r w:rsidR="00166681" w:rsidRPr="00D66679">
        <w:rPr>
          <w:sz w:val="23"/>
          <w:szCs w:val="23"/>
        </w:rPr>
        <w:t xml:space="preserve"> w orzecznictwie i piśmiennictwie poglądem</w:t>
      </w:r>
      <w:r w:rsidR="007E2130" w:rsidRPr="00D66679">
        <w:rPr>
          <w:sz w:val="23"/>
          <w:szCs w:val="23"/>
        </w:rPr>
        <w:t>, dopuszczalne jest odczytanie na rozprawie zeznań świadka, który uprzedzony w post</w:t>
      </w:r>
      <w:r w:rsidR="00166681" w:rsidRPr="00D66679">
        <w:rPr>
          <w:sz w:val="23"/>
          <w:szCs w:val="23"/>
        </w:rPr>
        <w:t>ę</w:t>
      </w:r>
      <w:r w:rsidR="007E2130" w:rsidRPr="00D66679">
        <w:rPr>
          <w:sz w:val="23"/>
          <w:szCs w:val="23"/>
        </w:rPr>
        <w:t xml:space="preserve">powaniu przygotowawczym </w:t>
      </w:r>
      <w:r w:rsidR="006961AD">
        <w:rPr>
          <w:sz w:val="23"/>
          <w:szCs w:val="23"/>
        </w:rPr>
        <w:t xml:space="preserve"> </w:t>
      </w:r>
      <w:r w:rsidR="007E2130" w:rsidRPr="00D66679">
        <w:rPr>
          <w:sz w:val="23"/>
          <w:szCs w:val="23"/>
        </w:rPr>
        <w:t>o p</w:t>
      </w:r>
      <w:r w:rsidR="001F3080" w:rsidRPr="00D66679">
        <w:rPr>
          <w:sz w:val="23"/>
          <w:szCs w:val="23"/>
        </w:rPr>
        <w:t>rawie do ich odmowy zeznania</w:t>
      </w:r>
      <w:r w:rsidR="007E2130" w:rsidRPr="00D66679">
        <w:rPr>
          <w:sz w:val="23"/>
          <w:szCs w:val="23"/>
        </w:rPr>
        <w:t xml:space="preserve"> złożył, a następnie zmarł przed rozprawą (por. uchwała SN </w:t>
      </w:r>
      <w:r w:rsidR="006961AD">
        <w:rPr>
          <w:sz w:val="23"/>
          <w:szCs w:val="23"/>
        </w:rPr>
        <w:t xml:space="preserve">      </w:t>
      </w:r>
      <w:r w:rsidR="007E2130" w:rsidRPr="00D66679">
        <w:rPr>
          <w:sz w:val="23"/>
          <w:szCs w:val="23"/>
        </w:rPr>
        <w:t>z 30 września 1970 r., VI KZP 25/70, OSNKW 11/70, poz. 135: T. Grzegorczyk, Kodeks postepowania karnego, Komentarz, teza 2 do art. 391, str.</w:t>
      </w:r>
      <w:r w:rsidR="00E75FA2" w:rsidRPr="00D66679">
        <w:rPr>
          <w:sz w:val="23"/>
          <w:szCs w:val="23"/>
        </w:rPr>
        <w:t xml:space="preserve"> 1002, Kraków 2003</w:t>
      </w:r>
      <w:r w:rsidR="00166681" w:rsidRPr="00D66679">
        <w:rPr>
          <w:sz w:val="23"/>
          <w:szCs w:val="23"/>
        </w:rPr>
        <w:t xml:space="preserve">; R.A. Stefański </w:t>
      </w:r>
      <w:r w:rsidR="00166681" w:rsidRPr="00D66679">
        <w:rPr>
          <w:sz w:val="23"/>
          <w:szCs w:val="23"/>
        </w:rPr>
        <w:lastRenderedPageBreak/>
        <w:t xml:space="preserve">(w:) Z. Gostyński, J. </w:t>
      </w:r>
      <w:proofErr w:type="spellStart"/>
      <w:r w:rsidR="00166681" w:rsidRPr="00D66679">
        <w:rPr>
          <w:sz w:val="23"/>
          <w:szCs w:val="23"/>
        </w:rPr>
        <w:t>Bratoszewski</w:t>
      </w:r>
      <w:proofErr w:type="spellEnd"/>
      <w:r w:rsidR="00166681" w:rsidRPr="00D66679">
        <w:rPr>
          <w:sz w:val="23"/>
          <w:szCs w:val="23"/>
        </w:rPr>
        <w:t xml:space="preserve">, L. Gardocki, S. M. </w:t>
      </w:r>
      <w:proofErr w:type="spellStart"/>
      <w:r w:rsidR="00166681" w:rsidRPr="00D66679">
        <w:rPr>
          <w:sz w:val="23"/>
          <w:szCs w:val="23"/>
        </w:rPr>
        <w:t>Przyjemski</w:t>
      </w:r>
      <w:proofErr w:type="spellEnd"/>
      <w:r w:rsidR="00166681" w:rsidRPr="00D66679">
        <w:rPr>
          <w:sz w:val="23"/>
          <w:szCs w:val="23"/>
        </w:rPr>
        <w:t xml:space="preserve"> i S. Zabłocki, Kodeks postepowania karnego, Komentarz, Tom II, teza 13 do art. 391, str. 289 – 290, Warszawa 1998). Pamiętać jednocześnie należy, że istota egzaminu radcowskiego polega m.in.</w:t>
      </w:r>
      <w:r w:rsidR="001F3080" w:rsidRPr="00D66679">
        <w:rPr>
          <w:sz w:val="23"/>
          <w:szCs w:val="23"/>
        </w:rPr>
        <w:t xml:space="preserve"> na umiejętności powołania się na te poglądy, które są korzystne dla reprezentowanej przez zdającego strony</w:t>
      </w:r>
      <w:r w:rsidR="00062588" w:rsidRPr="00D66679">
        <w:rPr>
          <w:sz w:val="23"/>
          <w:szCs w:val="23"/>
        </w:rPr>
        <w:t>, tym bardziej, gdy są one dominujące.</w:t>
      </w:r>
      <w:r w:rsidR="001F3080" w:rsidRPr="00D66679">
        <w:rPr>
          <w:sz w:val="23"/>
          <w:szCs w:val="23"/>
        </w:rPr>
        <w:t xml:space="preserve"> </w:t>
      </w:r>
    </w:p>
    <w:p w:rsidR="00957D3E" w:rsidRPr="00D66679" w:rsidRDefault="001F3080" w:rsidP="001F3080">
      <w:pPr>
        <w:spacing w:line="360" w:lineRule="auto"/>
        <w:ind w:firstLine="708"/>
        <w:jc w:val="both"/>
        <w:rPr>
          <w:sz w:val="23"/>
          <w:szCs w:val="23"/>
        </w:rPr>
      </w:pPr>
      <w:r w:rsidRPr="00D66679">
        <w:rPr>
          <w:sz w:val="23"/>
          <w:szCs w:val="23"/>
        </w:rPr>
        <w:t>Przedmiotowe uchybienie miało istotny wpływ na treść zapadłego wyroku. Zeznania Marii Zając</w:t>
      </w:r>
      <w:r w:rsidR="0056614D" w:rsidRPr="00D66679">
        <w:rPr>
          <w:sz w:val="23"/>
          <w:szCs w:val="23"/>
        </w:rPr>
        <w:t>, złożone w postępowaniu przygotowawczym, były bowiem jedynym dowodem bezpośrednio wskazującym na sprawstw</w:t>
      </w:r>
      <w:r w:rsidRPr="00D66679">
        <w:rPr>
          <w:sz w:val="23"/>
          <w:szCs w:val="23"/>
        </w:rPr>
        <w:t>o Andrzeja Zająca</w:t>
      </w:r>
      <w:r w:rsidR="00CB2E45" w:rsidRPr="00D66679">
        <w:rPr>
          <w:sz w:val="23"/>
          <w:szCs w:val="23"/>
        </w:rPr>
        <w:t xml:space="preserve"> w zakresie rozboju</w:t>
      </w:r>
      <w:r w:rsidR="0056614D" w:rsidRPr="00D66679">
        <w:rPr>
          <w:sz w:val="23"/>
          <w:szCs w:val="23"/>
        </w:rPr>
        <w:t xml:space="preserve">. </w:t>
      </w:r>
      <w:r w:rsidR="00CB2E45" w:rsidRPr="00D66679">
        <w:rPr>
          <w:sz w:val="23"/>
          <w:szCs w:val="23"/>
        </w:rPr>
        <w:t xml:space="preserve">Brak tych zeznań skutkował uniewinnieniem oskarżonego od popełnienia tego czynu, co wynika wprost </w:t>
      </w:r>
      <w:r w:rsidR="006961AD">
        <w:rPr>
          <w:sz w:val="23"/>
          <w:szCs w:val="23"/>
        </w:rPr>
        <w:br/>
      </w:r>
      <w:r w:rsidR="00CB2E45" w:rsidRPr="00D66679">
        <w:rPr>
          <w:sz w:val="23"/>
          <w:szCs w:val="23"/>
        </w:rPr>
        <w:t>z uzasadnienia wyroku.</w:t>
      </w:r>
    </w:p>
    <w:p w:rsidR="00CB2E45" w:rsidRPr="00D66679" w:rsidRDefault="00CB2E45" w:rsidP="00CB2E45">
      <w:pPr>
        <w:spacing w:line="360" w:lineRule="auto"/>
        <w:jc w:val="both"/>
        <w:rPr>
          <w:sz w:val="23"/>
          <w:szCs w:val="23"/>
        </w:rPr>
      </w:pPr>
      <w:r w:rsidRPr="00BC19F6">
        <w:rPr>
          <w:b/>
          <w:sz w:val="23"/>
          <w:szCs w:val="23"/>
        </w:rPr>
        <w:t>3.</w:t>
      </w:r>
      <w:r w:rsidRPr="00D66679">
        <w:rPr>
          <w:sz w:val="23"/>
          <w:szCs w:val="23"/>
        </w:rPr>
        <w:t xml:space="preserve"> Niesłusznie Sąd Rejonowy zastosował wobec Piotra Mareckiego art. 60 § 3 k.k</w:t>
      </w:r>
      <w:r w:rsidR="00036FA4" w:rsidRPr="00D66679">
        <w:rPr>
          <w:sz w:val="23"/>
          <w:szCs w:val="23"/>
        </w:rPr>
        <w:t>. Przewidziane w tym przepisie nadzwyczajne złagodzenie kary</w:t>
      </w:r>
      <w:r w:rsidRPr="00D66679">
        <w:rPr>
          <w:sz w:val="23"/>
          <w:szCs w:val="23"/>
        </w:rPr>
        <w:t xml:space="preserve"> stosuje się do sprawcy </w:t>
      </w:r>
      <w:r w:rsidRPr="00D66679">
        <w:rPr>
          <w:b/>
          <w:sz w:val="23"/>
          <w:szCs w:val="23"/>
        </w:rPr>
        <w:t xml:space="preserve">„współdziałającego </w:t>
      </w:r>
      <w:r w:rsidR="006961AD">
        <w:rPr>
          <w:b/>
          <w:sz w:val="23"/>
          <w:szCs w:val="23"/>
        </w:rPr>
        <w:br/>
      </w:r>
      <w:r w:rsidRPr="00D66679">
        <w:rPr>
          <w:b/>
          <w:sz w:val="23"/>
          <w:szCs w:val="23"/>
        </w:rPr>
        <w:t>z innymi osobami”,</w:t>
      </w:r>
      <w:r w:rsidRPr="00D66679">
        <w:rPr>
          <w:sz w:val="23"/>
          <w:szCs w:val="23"/>
        </w:rPr>
        <w:t xml:space="preserve"> czyli co najmniej dwiema. Popełniając przestępstwo z art. 288 § 1 k.k. </w:t>
      </w:r>
      <w:r w:rsidR="00B458A5">
        <w:rPr>
          <w:sz w:val="23"/>
          <w:szCs w:val="23"/>
        </w:rPr>
        <w:t xml:space="preserve">                 </w:t>
      </w:r>
      <w:r w:rsidRPr="00D66679">
        <w:rPr>
          <w:sz w:val="23"/>
          <w:szCs w:val="23"/>
        </w:rPr>
        <w:t>w zw. z art. 57a § 1 k.k. Piotr Marecki współdziałał tylko z jedną osobą, tj. z Janem Kołkiem.</w:t>
      </w:r>
    </w:p>
    <w:p w:rsidR="00D752F5" w:rsidRPr="00D66679" w:rsidRDefault="009D5EB4" w:rsidP="00957D3E">
      <w:pPr>
        <w:spacing w:line="360" w:lineRule="auto"/>
        <w:jc w:val="both"/>
        <w:rPr>
          <w:rFonts w:cs="A"/>
          <w:sz w:val="23"/>
          <w:szCs w:val="23"/>
        </w:rPr>
      </w:pPr>
      <w:r w:rsidRPr="00BC19F6">
        <w:rPr>
          <w:rFonts w:cs="A"/>
          <w:b/>
          <w:sz w:val="23"/>
          <w:szCs w:val="23"/>
        </w:rPr>
        <w:t>4</w:t>
      </w:r>
      <w:r w:rsidR="00957D3E" w:rsidRPr="00BC19F6">
        <w:rPr>
          <w:rFonts w:cs="A"/>
          <w:b/>
          <w:sz w:val="23"/>
          <w:szCs w:val="23"/>
        </w:rPr>
        <w:t>.</w:t>
      </w:r>
      <w:r w:rsidR="00957D3E" w:rsidRPr="00D66679">
        <w:rPr>
          <w:rFonts w:cs="A"/>
          <w:sz w:val="23"/>
          <w:szCs w:val="23"/>
        </w:rPr>
        <w:t xml:space="preserve"> </w:t>
      </w:r>
      <w:r w:rsidR="0080069E" w:rsidRPr="00D66679">
        <w:rPr>
          <w:rFonts w:cs="A"/>
          <w:sz w:val="23"/>
          <w:szCs w:val="23"/>
        </w:rPr>
        <w:t>Nietrafne jest stanowisko Sądu Rejonowego</w:t>
      </w:r>
      <w:r w:rsidR="00B31D2D" w:rsidRPr="00D66679">
        <w:rPr>
          <w:rFonts w:cs="A"/>
          <w:sz w:val="23"/>
          <w:szCs w:val="23"/>
        </w:rPr>
        <w:t>, że wniosek p</w:t>
      </w:r>
      <w:r w:rsidR="00036FA4" w:rsidRPr="00D66679">
        <w:rPr>
          <w:rFonts w:cs="A"/>
          <w:sz w:val="23"/>
          <w:szCs w:val="23"/>
        </w:rPr>
        <w:t>okrzywdzonego</w:t>
      </w:r>
      <w:r w:rsidRPr="00D66679">
        <w:rPr>
          <w:rFonts w:cs="A"/>
          <w:sz w:val="23"/>
          <w:szCs w:val="23"/>
        </w:rPr>
        <w:t xml:space="preserve"> Leszka Sroki</w:t>
      </w:r>
      <w:r w:rsidR="00036FA4" w:rsidRPr="00D66679">
        <w:rPr>
          <w:rFonts w:cs="A"/>
          <w:sz w:val="23"/>
          <w:szCs w:val="23"/>
        </w:rPr>
        <w:t xml:space="preserve"> </w:t>
      </w:r>
      <w:r w:rsidRPr="00D66679">
        <w:rPr>
          <w:rFonts w:cs="A"/>
          <w:sz w:val="23"/>
          <w:szCs w:val="23"/>
        </w:rPr>
        <w:t xml:space="preserve"> </w:t>
      </w:r>
      <w:r w:rsidR="006961AD">
        <w:rPr>
          <w:rFonts w:cs="A"/>
          <w:sz w:val="23"/>
          <w:szCs w:val="23"/>
        </w:rPr>
        <w:br/>
      </w:r>
      <w:r w:rsidRPr="00D66679">
        <w:rPr>
          <w:rFonts w:cs="A"/>
          <w:sz w:val="23"/>
          <w:szCs w:val="23"/>
        </w:rPr>
        <w:t>o nałożenie na oskarżonych</w:t>
      </w:r>
      <w:r w:rsidR="00B31D2D" w:rsidRPr="00D66679">
        <w:rPr>
          <w:rFonts w:cs="A"/>
          <w:sz w:val="23"/>
          <w:szCs w:val="23"/>
        </w:rPr>
        <w:t>, na podstawie art. 46 § 1 k.k., obowiązku</w:t>
      </w:r>
      <w:r w:rsidRPr="00D66679">
        <w:rPr>
          <w:rFonts w:cs="A"/>
          <w:sz w:val="23"/>
          <w:szCs w:val="23"/>
        </w:rPr>
        <w:t xml:space="preserve"> naprawienia szkody </w:t>
      </w:r>
      <w:r w:rsidR="001E384C" w:rsidRPr="00D66679">
        <w:rPr>
          <w:rFonts w:cs="A"/>
          <w:sz w:val="23"/>
          <w:szCs w:val="23"/>
        </w:rPr>
        <w:t>był</w:t>
      </w:r>
      <w:r w:rsidR="00B31D2D" w:rsidRPr="00D66679">
        <w:rPr>
          <w:rFonts w:cs="A"/>
          <w:sz w:val="23"/>
          <w:szCs w:val="23"/>
        </w:rPr>
        <w:t xml:space="preserve"> spóźniony.</w:t>
      </w:r>
      <w:r w:rsidR="00D752F5" w:rsidRPr="00D66679">
        <w:rPr>
          <w:rFonts w:cs="A"/>
          <w:sz w:val="23"/>
          <w:szCs w:val="23"/>
        </w:rPr>
        <w:t xml:space="preserve"> Zgodnie z art. 49</w:t>
      </w:r>
      <w:r w:rsidRPr="00D66679">
        <w:rPr>
          <w:rFonts w:cs="A"/>
          <w:sz w:val="23"/>
          <w:szCs w:val="23"/>
        </w:rPr>
        <w:t>a k.p.k., pokrzywdzony może złożyć ten wniosek aż do zamknięcia przewodu sądowego na rozprawie głównej</w:t>
      </w:r>
      <w:r w:rsidR="00D752F5" w:rsidRPr="00D66679">
        <w:rPr>
          <w:rFonts w:cs="A"/>
          <w:sz w:val="23"/>
          <w:szCs w:val="23"/>
        </w:rPr>
        <w:t>,</w:t>
      </w:r>
      <w:r w:rsidRPr="00D66679">
        <w:rPr>
          <w:rFonts w:cs="A"/>
          <w:sz w:val="23"/>
          <w:szCs w:val="23"/>
        </w:rPr>
        <w:t xml:space="preserve"> a nie do zakończenia pierwszego przesłuchania pokrzywdzonego na tej rozprawie,</w:t>
      </w:r>
      <w:r w:rsidR="00D752F5" w:rsidRPr="00D66679">
        <w:rPr>
          <w:rFonts w:cs="A"/>
          <w:sz w:val="23"/>
          <w:szCs w:val="23"/>
        </w:rPr>
        <w:t xml:space="preserve"> jak przyjął Sąd.</w:t>
      </w:r>
    </w:p>
    <w:p w:rsidR="00B07E0C" w:rsidRPr="00D66679" w:rsidRDefault="009D5EB4" w:rsidP="00D752F5">
      <w:pPr>
        <w:spacing w:line="360" w:lineRule="auto"/>
        <w:jc w:val="both"/>
        <w:rPr>
          <w:rFonts w:cs="A"/>
          <w:sz w:val="23"/>
          <w:szCs w:val="23"/>
        </w:rPr>
      </w:pPr>
      <w:r w:rsidRPr="00D66679">
        <w:rPr>
          <w:rFonts w:cs="A"/>
          <w:sz w:val="23"/>
          <w:szCs w:val="23"/>
        </w:rPr>
        <w:tab/>
        <w:t xml:space="preserve">Leszek Sroka złożył </w:t>
      </w:r>
      <w:r w:rsidR="00D752F5" w:rsidRPr="00D66679">
        <w:rPr>
          <w:rFonts w:cs="A"/>
          <w:sz w:val="23"/>
          <w:szCs w:val="23"/>
        </w:rPr>
        <w:t>omawian</w:t>
      </w:r>
      <w:r w:rsidRPr="00D66679">
        <w:rPr>
          <w:rFonts w:cs="A"/>
          <w:sz w:val="23"/>
          <w:szCs w:val="23"/>
        </w:rPr>
        <w:t>y wniosek przed zamknięciem przewodu sądowego</w:t>
      </w:r>
      <w:r w:rsidR="00D752F5" w:rsidRPr="00D66679">
        <w:rPr>
          <w:rFonts w:cs="A"/>
          <w:sz w:val="23"/>
          <w:szCs w:val="23"/>
        </w:rPr>
        <w:t>, a więc w terminie przewidzianym w art. 49a k.p.k.</w:t>
      </w:r>
      <w:r w:rsidR="000A3C02" w:rsidRPr="00D66679">
        <w:rPr>
          <w:rFonts w:cs="A"/>
          <w:sz w:val="23"/>
          <w:szCs w:val="23"/>
        </w:rPr>
        <w:t xml:space="preserve"> </w:t>
      </w:r>
    </w:p>
    <w:p w:rsidR="00A377D0" w:rsidRPr="00D66679" w:rsidRDefault="00120A26" w:rsidP="00D752F5">
      <w:pPr>
        <w:spacing w:line="360" w:lineRule="auto"/>
        <w:jc w:val="both"/>
        <w:rPr>
          <w:rFonts w:cs="A"/>
          <w:sz w:val="23"/>
          <w:szCs w:val="23"/>
        </w:rPr>
      </w:pPr>
      <w:r w:rsidRPr="00D66679">
        <w:rPr>
          <w:rFonts w:cs="A"/>
          <w:sz w:val="23"/>
          <w:szCs w:val="23"/>
        </w:rPr>
        <w:tab/>
        <w:t>Nadto żaden przepis nie określa</w:t>
      </w:r>
      <w:r w:rsidR="004E65F7" w:rsidRPr="00D66679">
        <w:rPr>
          <w:rFonts w:cs="A"/>
          <w:sz w:val="23"/>
          <w:szCs w:val="23"/>
        </w:rPr>
        <w:t xml:space="preserve"> szczególnych wymogów</w:t>
      </w:r>
      <w:r w:rsidR="00A7313F" w:rsidRPr="00D66679">
        <w:rPr>
          <w:rFonts w:cs="A"/>
          <w:sz w:val="23"/>
          <w:szCs w:val="23"/>
        </w:rPr>
        <w:t xml:space="preserve"> formalnych</w:t>
      </w:r>
      <w:r w:rsidR="004E65F7" w:rsidRPr="00D66679">
        <w:rPr>
          <w:rFonts w:cs="A"/>
          <w:sz w:val="23"/>
          <w:szCs w:val="23"/>
        </w:rPr>
        <w:t xml:space="preserve"> wobec przedmiotowego wniosku. Może być on więc złożony zarówno na piśmie, jak i ustnie do protokołu</w:t>
      </w:r>
      <w:r w:rsidRPr="00D66679">
        <w:rPr>
          <w:rFonts w:cs="A"/>
          <w:sz w:val="23"/>
          <w:szCs w:val="23"/>
        </w:rPr>
        <w:t xml:space="preserve"> (por. Z. Sienkiewicz (w:) J</w:t>
      </w:r>
      <w:r w:rsidR="004E65F7" w:rsidRPr="00D66679">
        <w:rPr>
          <w:rFonts w:cs="A"/>
          <w:sz w:val="23"/>
          <w:szCs w:val="23"/>
        </w:rPr>
        <w:t>.</w:t>
      </w:r>
      <w:r w:rsidRPr="00D66679">
        <w:rPr>
          <w:rFonts w:cs="A"/>
          <w:sz w:val="23"/>
          <w:szCs w:val="23"/>
        </w:rPr>
        <w:t xml:space="preserve"> Bojarski, M. Bojarski, M. Filar, W. Filipkowski, </w:t>
      </w:r>
      <w:r w:rsidR="006961AD">
        <w:rPr>
          <w:rFonts w:cs="A"/>
          <w:sz w:val="23"/>
          <w:szCs w:val="23"/>
        </w:rPr>
        <w:t xml:space="preserve">               </w:t>
      </w:r>
      <w:r w:rsidRPr="00D66679">
        <w:rPr>
          <w:rFonts w:cs="A"/>
          <w:sz w:val="23"/>
          <w:szCs w:val="23"/>
        </w:rPr>
        <w:t xml:space="preserve">O. </w:t>
      </w:r>
      <w:proofErr w:type="spellStart"/>
      <w:r w:rsidRPr="00D66679">
        <w:rPr>
          <w:rFonts w:cs="A"/>
          <w:sz w:val="23"/>
          <w:szCs w:val="23"/>
        </w:rPr>
        <w:t>Górniok</w:t>
      </w:r>
      <w:proofErr w:type="spellEnd"/>
      <w:r w:rsidRPr="00D66679">
        <w:rPr>
          <w:rFonts w:cs="A"/>
          <w:sz w:val="23"/>
          <w:szCs w:val="23"/>
        </w:rPr>
        <w:t xml:space="preserve">, E. Guzik – </w:t>
      </w:r>
      <w:proofErr w:type="spellStart"/>
      <w:r w:rsidRPr="00D66679">
        <w:rPr>
          <w:rFonts w:cs="A"/>
          <w:sz w:val="23"/>
          <w:szCs w:val="23"/>
        </w:rPr>
        <w:t>Makaruk</w:t>
      </w:r>
      <w:proofErr w:type="spellEnd"/>
      <w:r w:rsidRPr="00D66679">
        <w:rPr>
          <w:rFonts w:cs="A"/>
          <w:sz w:val="23"/>
          <w:szCs w:val="23"/>
        </w:rPr>
        <w:t xml:space="preserve">, S. Hoc, P. Hofmański, M. </w:t>
      </w:r>
      <w:proofErr w:type="spellStart"/>
      <w:r w:rsidRPr="00D66679">
        <w:rPr>
          <w:rFonts w:cs="A"/>
          <w:sz w:val="23"/>
          <w:szCs w:val="23"/>
        </w:rPr>
        <w:t>Kalitowski</w:t>
      </w:r>
      <w:proofErr w:type="spellEnd"/>
      <w:r w:rsidRPr="00D66679">
        <w:rPr>
          <w:rFonts w:cs="A"/>
          <w:sz w:val="23"/>
          <w:szCs w:val="23"/>
        </w:rPr>
        <w:t xml:space="preserve">, M. Kulik, </w:t>
      </w:r>
      <w:r w:rsidR="006961AD">
        <w:rPr>
          <w:rFonts w:cs="A"/>
          <w:sz w:val="23"/>
          <w:szCs w:val="23"/>
        </w:rPr>
        <w:t xml:space="preserve">                  </w:t>
      </w:r>
      <w:r w:rsidRPr="00D66679">
        <w:rPr>
          <w:rFonts w:cs="A"/>
          <w:sz w:val="23"/>
          <w:szCs w:val="23"/>
        </w:rPr>
        <w:t xml:space="preserve">L.K. Paprzycki, E. </w:t>
      </w:r>
      <w:proofErr w:type="spellStart"/>
      <w:r w:rsidRPr="00D66679">
        <w:rPr>
          <w:rFonts w:cs="A"/>
          <w:sz w:val="23"/>
          <w:szCs w:val="23"/>
        </w:rPr>
        <w:t>Pływaczewski</w:t>
      </w:r>
      <w:proofErr w:type="spellEnd"/>
      <w:r w:rsidRPr="00D66679">
        <w:rPr>
          <w:rFonts w:cs="A"/>
          <w:sz w:val="23"/>
          <w:szCs w:val="23"/>
        </w:rPr>
        <w:t xml:space="preserve">, W. Radecki, Z. Sienkiewicz, Z. </w:t>
      </w:r>
      <w:proofErr w:type="spellStart"/>
      <w:r w:rsidRPr="00D66679">
        <w:rPr>
          <w:rFonts w:cs="A"/>
          <w:sz w:val="23"/>
          <w:szCs w:val="23"/>
        </w:rPr>
        <w:t>Siwik</w:t>
      </w:r>
      <w:proofErr w:type="spellEnd"/>
      <w:r w:rsidRPr="00D66679">
        <w:rPr>
          <w:rFonts w:cs="A"/>
          <w:sz w:val="23"/>
          <w:szCs w:val="23"/>
        </w:rPr>
        <w:t xml:space="preserve">, </w:t>
      </w:r>
      <w:r w:rsidR="006961AD">
        <w:rPr>
          <w:rFonts w:cs="A"/>
          <w:sz w:val="23"/>
          <w:szCs w:val="23"/>
        </w:rPr>
        <w:t xml:space="preserve">R.A. Stefański,             L. Tyszkiewicz, </w:t>
      </w:r>
      <w:r w:rsidRPr="00D66679">
        <w:rPr>
          <w:rFonts w:cs="A"/>
          <w:sz w:val="23"/>
          <w:szCs w:val="23"/>
        </w:rPr>
        <w:t>A. Wąsek i L. Wilk, Kodeks karny, Komentarz, teza 3 do art. 46, str. 190</w:t>
      </w:r>
      <w:r w:rsidR="00A377D0" w:rsidRPr="00D66679">
        <w:rPr>
          <w:rFonts w:cs="A"/>
          <w:sz w:val="23"/>
          <w:szCs w:val="23"/>
        </w:rPr>
        <w:t>; wyrok Sądu Apelacyjnego w Warsza</w:t>
      </w:r>
      <w:r w:rsidR="001E384C" w:rsidRPr="00D66679">
        <w:rPr>
          <w:rFonts w:cs="A"/>
          <w:sz w:val="23"/>
          <w:szCs w:val="23"/>
        </w:rPr>
        <w:t>wie z 26 czerwca 2002 r., sygn.</w:t>
      </w:r>
      <w:r w:rsidR="00A377D0" w:rsidRPr="00D66679">
        <w:rPr>
          <w:rFonts w:cs="A"/>
          <w:sz w:val="23"/>
          <w:szCs w:val="23"/>
        </w:rPr>
        <w:t xml:space="preserve"> akt II </w:t>
      </w:r>
      <w:proofErr w:type="spellStart"/>
      <w:r w:rsidR="00A377D0" w:rsidRPr="00D66679">
        <w:rPr>
          <w:rFonts w:cs="A"/>
          <w:sz w:val="23"/>
          <w:szCs w:val="23"/>
        </w:rPr>
        <w:t>AKa</w:t>
      </w:r>
      <w:proofErr w:type="spellEnd"/>
      <w:r w:rsidR="00A377D0" w:rsidRPr="00D66679">
        <w:rPr>
          <w:rFonts w:cs="A"/>
          <w:sz w:val="23"/>
          <w:szCs w:val="23"/>
        </w:rPr>
        <w:t xml:space="preserve"> 219/02, OSA 2003, nr 1, poz. 3). </w:t>
      </w:r>
    </w:p>
    <w:p w:rsidR="00702C79" w:rsidRPr="00D66679" w:rsidRDefault="00702C79" w:rsidP="00A377D0">
      <w:pPr>
        <w:spacing w:line="360" w:lineRule="auto"/>
        <w:ind w:firstLine="708"/>
        <w:jc w:val="both"/>
        <w:rPr>
          <w:rFonts w:cs="A"/>
          <w:sz w:val="23"/>
          <w:szCs w:val="23"/>
        </w:rPr>
      </w:pPr>
      <w:r w:rsidRPr="00D66679">
        <w:rPr>
          <w:rFonts w:cs="A"/>
          <w:sz w:val="23"/>
          <w:szCs w:val="23"/>
        </w:rPr>
        <w:t xml:space="preserve">Sąd powinien zatem uwzględnić wniosek pokrzywdzonego o naprawienie szkody związanej z uszkodzeniem jego samochodu. Jeżeli chodzi o rozbój, to uwzględnienie tego wniosku nie było możliwe, ponieważ żaden z oskarżonych za ten czyn nie został skazany, </w:t>
      </w:r>
      <w:r w:rsidR="006961AD">
        <w:rPr>
          <w:rFonts w:cs="A"/>
          <w:sz w:val="23"/>
          <w:szCs w:val="23"/>
        </w:rPr>
        <w:br/>
      </w:r>
      <w:r w:rsidRPr="00D66679">
        <w:rPr>
          <w:rFonts w:cs="A"/>
          <w:sz w:val="23"/>
          <w:szCs w:val="23"/>
        </w:rPr>
        <w:t>a przecież art. 46 § 1 k</w:t>
      </w:r>
      <w:bookmarkStart w:id="0" w:name="_GoBack"/>
      <w:bookmarkEnd w:id="0"/>
      <w:r w:rsidRPr="00D66679">
        <w:rPr>
          <w:rFonts w:cs="A"/>
          <w:sz w:val="23"/>
          <w:szCs w:val="23"/>
        </w:rPr>
        <w:t>.k. stosuje się tylko „w razie skazania”. Rozpoznanie wniosku w tej części winno nastąpić przy ponownym rozpoznaniu sprawy – po uchyleniu punktu 1 i 2 wyroku.</w:t>
      </w:r>
    </w:p>
    <w:p w:rsidR="003059ED" w:rsidRDefault="00994369" w:rsidP="00957D3E">
      <w:pPr>
        <w:spacing w:line="360" w:lineRule="auto"/>
        <w:jc w:val="both"/>
        <w:rPr>
          <w:rFonts w:cs="A"/>
        </w:rPr>
      </w:pPr>
      <w:r w:rsidRPr="00BC19F6">
        <w:rPr>
          <w:b/>
          <w:sz w:val="23"/>
          <w:szCs w:val="23"/>
        </w:rPr>
        <w:t>5.</w:t>
      </w:r>
      <w:r w:rsidRPr="00D66679">
        <w:rPr>
          <w:sz w:val="23"/>
          <w:szCs w:val="23"/>
        </w:rPr>
        <w:t xml:space="preserve"> Nie można wykluczyć podniesienia zarzutu rażącej niewspółmierności </w:t>
      </w:r>
      <w:r w:rsidR="00702C79" w:rsidRPr="00D66679">
        <w:rPr>
          <w:sz w:val="23"/>
          <w:szCs w:val="23"/>
        </w:rPr>
        <w:t>kary</w:t>
      </w:r>
      <w:r w:rsidR="00062588" w:rsidRPr="00D66679">
        <w:rPr>
          <w:sz w:val="23"/>
          <w:szCs w:val="23"/>
        </w:rPr>
        <w:t>, choć – jak się wydaje – tylko w odniesieniu do oskarżonego Jana Kołka.</w:t>
      </w:r>
      <w:r w:rsidRPr="00D66679">
        <w:rPr>
          <w:sz w:val="23"/>
          <w:szCs w:val="23"/>
        </w:rPr>
        <w:t xml:space="preserve"> Zasadność takiego zarzutu, będącego wszak wysoce </w:t>
      </w:r>
      <w:proofErr w:type="spellStart"/>
      <w:r w:rsidRPr="00D66679">
        <w:rPr>
          <w:sz w:val="23"/>
          <w:szCs w:val="23"/>
        </w:rPr>
        <w:t>ocennym</w:t>
      </w:r>
      <w:proofErr w:type="spellEnd"/>
      <w:r w:rsidRPr="00D66679">
        <w:rPr>
          <w:sz w:val="23"/>
          <w:szCs w:val="23"/>
        </w:rPr>
        <w:t>, winna być oceniona przez pryzmat „siły” argumentów przytoczonych przez osobę zdającą.</w:t>
      </w:r>
      <w:r w:rsidR="00DA584C">
        <w:rPr>
          <w:rFonts w:cs="A"/>
        </w:rPr>
        <w:tab/>
      </w:r>
    </w:p>
    <w:sectPr w:rsidR="003059ED" w:rsidSect="00B458A5">
      <w:headerReference w:type="default" r:id="rId8"/>
      <w:footerReference w:type="default" r:id="rId9"/>
      <w:footerReference w:type="first" r:id="rId10"/>
      <w:pgSz w:w="11906" w:h="16838" w:code="9"/>
      <w:pgMar w:top="737" w:right="1418" w:bottom="567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F5" w:rsidRDefault="00975EF5" w:rsidP="005857D6">
      <w:r>
        <w:separator/>
      </w:r>
    </w:p>
  </w:endnote>
  <w:endnote w:type="continuationSeparator" w:id="0">
    <w:p w:rsidR="00975EF5" w:rsidRDefault="00975EF5" w:rsidP="0058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4657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C19F6" w:rsidRPr="00BC19F6" w:rsidRDefault="00BC19F6">
        <w:pPr>
          <w:pStyle w:val="Stopka"/>
          <w:jc w:val="right"/>
          <w:rPr>
            <w:sz w:val="20"/>
            <w:szCs w:val="20"/>
          </w:rPr>
        </w:pPr>
        <w:r w:rsidRPr="00BC19F6">
          <w:rPr>
            <w:sz w:val="20"/>
            <w:szCs w:val="20"/>
          </w:rPr>
          <w:fldChar w:fldCharType="begin"/>
        </w:r>
        <w:r w:rsidRPr="00BC19F6">
          <w:rPr>
            <w:sz w:val="20"/>
            <w:szCs w:val="20"/>
          </w:rPr>
          <w:instrText>PAGE   \* MERGEFORMAT</w:instrText>
        </w:r>
        <w:r w:rsidRPr="00BC19F6">
          <w:rPr>
            <w:sz w:val="20"/>
            <w:szCs w:val="20"/>
          </w:rPr>
          <w:fldChar w:fldCharType="separate"/>
        </w:r>
        <w:r w:rsidR="007614A9">
          <w:rPr>
            <w:noProof/>
            <w:sz w:val="20"/>
            <w:szCs w:val="20"/>
          </w:rPr>
          <w:t>2</w:t>
        </w:r>
        <w:r w:rsidRPr="00BC19F6">
          <w:rPr>
            <w:sz w:val="20"/>
            <w:szCs w:val="20"/>
          </w:rPr>
          <w:fldChar w:fldCharType="end"/>
        </w:r>
      </w:p>
    </w:sdtContent>
  </w:sdt>
  <w:p w:rsidR="00BC19F6" w:rsidRDefault="00BC19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0348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C19F6" w:rsidRPr="00BC19F6" w:rsidRDefault="00BC19F6">
        <w:pPr>
          <w:pStyle w:val="Stopka"/>
          <w:jc w:val="right"/>
          <w:rPr>
            <w:sz w:val="22"/>
            <w:szCs w:val="22"/>
          </w:rPr>
        </w:pPr>
        <w:r w:rsidRPr="00BC19F6">
          <w:rPr>
            <w:sz w:val="22"/>
            <w:szCs w:val="22"/>
          </w:rPr>
          <w:fldChar w:fldCharType="begin"/>
        </w:r>
        <w:r w:rsidRPr="00BC19F6">
          <w:rPr>
            <w:sz w:val="22"/>
            <w:szCs w:val="22"/>
          </w:rPr>
          <w:instrText>PAGE   \* MERGEFORMAT</w:instrText>
        </w:r>
        <w:r w:rsidRPr="00BC19F6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BC19F6">
          <w:rPr>
            <w:sz w:val="22"/>
            <w:szCs w:val="22"/>
          </w:rPr>
          <w:fldChar w:fldCharType="end"/>
        </w:r>
      </w:p>
    </w:sdtContent>
  </w:sdt>
  <w:p w:rsidR="00BC19F6" w:rsidRDefault="00BC1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F5" w:rsidRDefault="00975EF5" w:rsidP="005857D6">
      <w:r>
        <w:separator/>
      </w:r>
    </w:p>
  </w:footnote>
  <w:footnote w:type="continuationSeparator" w:id="0">
    <w:p w:rsidR="00975EF5" w:rsidRDefault="00975EF5" w:rsidP="0058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D6" w:rsidRDefault="005857D6">
    <w:pPr>
      <w:pStyle w:val="Nagwek"/>
      <w:jc w:val="center"/>
    </w:pPr>
  </w:p>
  <w:p w:rsidR="005857D6" w:rsidRDefault="005857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206"/>
    <w:multiLevelType w:val="hybridMultilevel"/>
    <w:tmpl w:val="A3EC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49E7"/>
    <w:multiLevelType w:val="hybridMultilevel"/>
    <w:tmpl w:val="3F96DD98"/>
    <w:lvl w:ilvl="0" w:tplc="F3E2D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5901"/>
    <w:multiLevelType w:val="hybridMultilevel"/>
    <w:tmpl w:val="64F0B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3">
    <w:nsid w:val="22C16F99"/>
    <w:multiLevelType w:val="hybridMultilevel"/>
    <w:tmpl w:val="27B0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A5BFD"/>
    <w:multiLevelType w:val="hybridMultilevel"/>
    <w:tmpl w:val="9AE2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B356A"/>
    <w:multiLevelType w:val="hybridMultilevel"/>
    <w:tmpl w:val="C370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10D75"/>
    <w:multiLevelType w:val="hybridMultilevel"/>
    <w:tmpl w:val="0302C39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41"/>
    <w:rsid w:val="000114A7"/>
    <w:rsid w:val="00036FA4"/>
    <w:rsid w:val="0004710F"/>
    <w:rsid w:val="00062588"/>
    <w:rsid w:val="00097C18"/>
    <w:rsid w:val="000A3C02"/>
    <w:rsid w:val="000E0FF0"/>
    <w:rsid w:val="000E2053"/>
    <w:rsid w:val="00107A4F"/>
    <w:rsid w:val="00120A26"/>
    <w:rsid w:val="00166681"/>
    <w:rsid w:val="001B0F41"/>
    <w:rsid w:val="001C0C43"/>
    <w:rsid w:val="001C506E"/>
    <w:rsid w:val="001D2CA8"/>
    <w:rsid w:val="001D796E"/>
    <w:rsid w:val="001E384C"/>
    <w:rsid w:val="001E5B4C"/>
    <w:rsid w:val="001F3080"/>
    <w:rsid w:val="001F68D1"/>
    <w:rsid w:val="002116CD"/>
    <w:rsid w:val="00211A3F"/>
    <w:rsid w:val="0027320A"/>
    <w:rsid w:val="002F62D1"/>
    <w:rsid w:val="003059ED"/>
    <w:rsid w:val="00342EAB"/>
    <w:rsid w:val="003451AA"/>
    <w:rsid w:val="00350344"/>
    <w:rsid w:val="00355179"/>
    <w:rsid w:val="003B0924"/>
    <w:rsid w:val="00423E87"/>
    <w:rsid w:val="0045230F"/>
    <w:rsid w:val="00456C7D"/>
    <w:rsid w:val="00480AC2"/>
    <w:rsid w:val="0048551F"/>
    <w:rsid w:val="0048706C"/>
    <w:rsid w:val="0049157A"/>
    <w:rsid w:val="004A6C49"/>
    <w:rsid w:val="004C7A30"/>
    <w:rsid w:val="004E0BE8"/>
    <w:rsid w:val="004E65F7"/>
    <w:rsid w:val="00561B76"/>
    <w:rsid w:val="0056614D"/>
    <w:rsid w:val="005857D6"/>
    <w:rsid w:val="005934FF"/>
    <w:rsid w:val="00595526"/>
    <w:rsid w:val="00596E33"/>
    <w:rsid w:val="00621A64"/>
    <w:rsid w:val="006726BE"/>
    <w:rsid w:val="00693FEA"/>
    <w:rsid w:val="006961AD"/>
    <w:rsid w:val="006C0DB4"/>
    <w:rsid w:val="006E03F0"/>
    <w:rsid w:val="00702C79"/>
    <w:rsid w:val="007226C8"/>
    <w:rsid w:val="007614A9"/>
    <w:rsid w:val="007801E4"/>
    <w:rsid w:val="00780F7A"/>
    <w:rsid w:val="00785BAD"/>
    <w:rsid w:val="007A16B1"/>
    <w:rsid w:val="007C074F"/>
    <w:rsid w:val="007E2130"/>
    <w:rsid w:val="007E29B8"/>
    <w:rsid w:val="0080069E"/>
    <w:rsid w:val="008078A1"/>
    <w:rsid w:val="00845244"/>
    <w:rsid w:val="008465B6"/>
    <w:rsid w:val="008937D7"/>
    <w:rsid w:val="008A6616"/>
    <w:rsid w:val="008B5DFE"/>
    <w:rsid w:val="008D5A86"/>
    <w:rsid w:val="008F5540"/>
    <w:rsid w:val="0092139D"/>
    <w:rsid w:val="009337F7"/>
    <w:rsid w:val="00951721"/>
    <w:rsid w:val="00957D3E"/>
    <w:rsid w:val="00960902"/>
    <w:rsid w:val="00962F76"/>
    <w:rsid w:val="00975EF5"/>
    <w:rsid w:val="00994369"/>
    <w:rsid w:val="009B6C1C"/>
    <w:rsid w:val="009D5EB4"/>
    <w:rsid w:val="009E5B9D"/>
    <w:rsid w:val="00A377D0"/>
    <w:rsid w:val="00A45CC8"/>
    <w:rsid w:val="00A7313F"/>
    <w:rsid w:val="00A95D67"/>
    <w:rsid w:val="00AC2311"/>
    <w:rsid w:val="00AF0419"/>
    <w:rsid w:val="00B07E0C"/>
    <w:rsid w:val="00B31D2D"/>
    <w:rsid w:val="00B458A5"/>
    <w:rsid w:val="00B56DFF"/>
    <w:rsid w:val="00BA589F"/>
    <w:rsid w:val="00BB432A"/>
    <w:rsid w:val="00BC19F6"/>
    <w:rsid w:val="00C43E5F"/>
    <w:rsid w:val="00CB2E45"/>
    <w:rsid w:val="00CC7222"/>
    <w:rsid w:val="00CD2CC3"/>
    <w:rsid w:val="00D32551"/>
    <w:rsid w:val="00D53116"/>
    <w:rsid w:val="00D53FF4"/>
    <w:rsid w:val="00D64473"/>
    <w:rsid w:val="00D66679"/>
    <w:rsid w:val="00D752F5"/>
    <w:rsid w:val="00DA584C"/>
    <w:rsid w:val="00DC77D1"/>
    <w:rsid w:val="00DF461A"/>
    <w:rsid w:val="00E22AD5"/>
    <w:rsid w:val="00E231EA"/>
    <w:rsid w:val="00E75FA2"/>
    <w:rsid w:val="00E84CE1"/>
    <w:rsid w:val="00EB7087"/>
    <w:rsid w:val="00EF3675"/>
    <w:rsid w:val="00F243DE"/>
    <w:rsid w:val="00F63AD9"/>
    <w:rsid w:val="00F81D2D"/>
    <w:rsid w:val="00FB2425"/>
    <w:rsid w:val="00FB45BC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7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7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egzamin radcowski</cp:lastModifiedBy>
  <cp:revision>37</cp:revision>
  <dcterms:created xsi:type="dcterms:W3CDTF">2014-01-22T14:44:00Z</dcterms:created>
  <dcterms:modified xsi:type="dcterms:W3CDTF">2016-02-25T12:47:00Z</dcterms:modified>
</cp:coreProperties>
</file>