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60BF1" w14:textId="384F3182" w:rsidR="005F3901" w:rsidRDefault="00185D3C" w:rsidP="00296CC8">
      <w:pPr>
        <w:pStyle w:val="Nagwek1"/>
        <w:rPr>
          <w:rFonts w:eastAsia="Times New Roman"/>
          <w:noProof/>
          <w:lang w:eastAsia="pl-PL"/>
        </w:rPr>
      </w:pPr>
      <w:r w:rsidRPr="00185D3C">
        <w:rPr>
          <w:rFonts w:eastAsia="Times New Roman"/>
          <w:noProof/>
          <w:lang w:eastAsia="pl-PL"/>
        </w:rPr>
        <w:t xml:space="preserve">Odpowiedzi na pytania zadane podczas szkolenia </w:t>
      </w:r>
      <w:r w:rsidR="000D346A">
        <w:rPr>
          <w:rFonts w:eastAsia="Times New Roman"/>
          <w:noProof/>
          <w:lang w:eastAsia="pl-PL"/>
        </w:rPr>
        <w:t xml:space="preserve">dla Wnioskodawców z dnia 21.10.2024 r. w ramach programu </w:t>
      </w:r>
      <w:r w:rsidRPr="00185D3C">
        <w:rPr>
          <w:rFonts w:eastAsia="Times New Roman"/>
          <w:noProof/>
          <w:lang w:eastAsia="pl-PL"/>
        </w:rPr>
        <w:t xml:space="preserve"> „</w:t>
      </w:r>
      <w:r w:rsidR="000D346A" w:rsidRPr="000D346A">
        <w:rPr>
          <w:rFonts w:eastAsia="Times New Roman"/>
          <w:noProof/>
          <w:lang w:eastAsia="pl-PL"/>
        </w:rPr>
        <w:t xml:space="preserve">Współfinansowanie projektów </w:t>
      </w:r>
      <w:r w:rsidR="000D346A" w:rsidRPr="000D346A">
        <w:rPr>
          <w:kern w:val="2"/>
          <w:sz w:val="40"/>
          <w:szCs w:val="40"/>
          <w14:ligatures w14:val="standardContextual"/>
        </w:rPr>
        <w:t>realizowanych</w:t>
      </w:r>
      <w:r w:rsidR="000D346A" w:rsidRPr="000D346A">
        <w:rPr>
          <w:rFonts w:eastAsia="Times New Roman"/>
          <w:noProof/>
          <w:lang w:eastAsia="pl-PL"/>
        </w:rPr>
        <w:t xml:space="preserve"> w ramach Programu Fundusze Europejskie na Infrastrukturę, Klimat, Środowisko 2021-2027 (FEnIKS), Część 1) Poprawa efektywności energetycznej (wraz z instalacją OZE) w dużych i średnich przedsiębiorstwach</w:t>
      </w:r>
      <w:r w:rsidRPr="00185D3C">
        <w:rPr>
          <w:rFonts w:eastAsia="Times New Roman"/>
          <w:noProof/>
          <w:lang w:eastAsia="pl-PL"/>
        </w:rPr>
        <w:t>”.</w:t>
      </w:r>
    </w:p>
    <w:p w14:paraId="1FADD683" w14:textId="77777777" w:rsidR="00DD3D54" w:rsidRDefault="00DD3D54" w:rsidP="00185D3C">
      <w:pPr>
        <w:spacing w:after="0" w:line="240" w:lineRule="auto"/>
        <w:rPr>
          <w:lang w:eastAsia="pl-PL"/>
        </w:rPr>
      </w:pPr>
    </w:p>
    <w:p w14:paraId="5A683FF4" w14:textId="77777777" w:rsidR="000D346A" w:rsidRPr="00BE0D16" w:rsidRDefault="000D346A" w:rsidP="00185D3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94EB99" w14:textId="6CA133E1" w:rsidR="00BE0D16" w:rsidRPr="00464805" w:rsidRDefault="000D346A" w:rsidP="002D627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Open Sans" w:eastAsia="Times New Roman" w:hAnsi="Open Sans" w:cs="Open Sans"/>
          <w:b/>
          <w:bCs/>
          <w:lang w:eastAsia="pl-PL"/>
        </w:rPr>
      </w:pPr>
      <w:r w:rsidRPr="000D346A">
        <w:rPr>
          <w:rFonts w:ascii="Open Sans" w:eastAsia="Times New Roman" w:hAnsi="Open Sans" w:cs="Open Sans"/>
          <w:b/>
          <w:bCs/>
          <w:lang w:eastAsia="pl-PL"/>
        </w:rPr>
        <w:t>Jeśli pożyczka preferencyjna jest powyżej 50%, czy musimy stosować PZP</w:t>
      </w:r>
      <w:r w:rsidR="00BE0D16" w:rsidRPr="00464805">
        <w:rPr>
          <w:rFonts w:ascii="Open Sans" w:eastAsia="Times New Roman" w:hAnsi="Open Sans" w:cs="Open Sans"/>
          <w:b/>
          <w:bCs/>
          <w:lang w:eastAsia="pl-PL"/>
        </w:rPr>
        <w:t>?</w:t>
      </w:r>
    </w:p>
    <w:p w14:paraId="3B2EA8B8" w14:textId="080B7031" w:rsidR="000D346A" w:rsidRDefault="000D346A" w:rsidP="000D346A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Zamawiający, </w:t>
      </w:r>
      <w:r w:rsidRPr="000D346A">
        <w:rPr>
          <w:rFonts w:ascii="Open Sans" w:eastAsia="Times New Roman" w:hAnsi="Open Sans" w:cs="Open Sans"/>
          <w:lang w:eastAsia="pl-PL"/>
        </w:rPr>
        <w:t>w rozumieniu art. 4, 5 lub 6 ustawy z dnia 11 września 2019 r. Prawo zamówień publicznych, musi wykazać na etapie aplikowania o środki, że jest lub nie jest zobowiązanym do stosowania przy udzielaniu zamówień przepisów tej ustawy. Oznacza to, że umowy z wykonawcami dla zadań objętych projektem zawierane będą zgodnie z ww. ustawą Prawo zamówień publicznych, gdy wymóg jej stosowania wynika z tej ustawy. Ponadto wnioskodawca jest zobowiązany do przygotowania i przeprowadzenia postępowania o udzielenie zamówienia w sposób zapewniający zachowanie uczciwej konkurencji oraz równe traktowanie wykonawców, a także do działania w sposób przejrzysty i proporcjonalny – zgodnie z procedurą określoną w podrozdziale 3.2 Wytycznych dotyczących kwalifikowalności wydatków na lata 2021-2027 (zasadą konkurencyjności), do których link przesyłamy poniżej</w:t>
      </w:r>
      <w:r>
        <w:rPr>
          <w:rFonts w:ascii="Open Sans" w:eastAsia="Times New Roman" w:hAnsi="Open Sans" w:cs="Open Sans"/>
          <w:lang w:eastAsia="pl-PL"/>
        </w:rPr>
        <w:t>:</w:t>
      </w:r>
    </w:p>
    <w:p w14:paraId="3D088BD6" w14:textId="2B639E6F" w:rsidR="000D346A" w:rsidRDefault="000D346A" w:rsidP="000D346A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hyperlink r:id="rId5" w:history="1">
        <w:r w:rsidRPr="000D346A">
          <w:rPr>
            <w:rStyle w:val="Hipercze"/>
            <w:rFonts w:ascii="Open Sans" w:eastAsia="Times New Roman" w:hAnsi="Open Sans" w:cs="Open Sans"/>
            <w:lang w:eastAsia="pl-PL"/>
          </w:rPr>
          <w:t>Wytyczne dotyczące kwalifikowalności 2021-2027 - Ministerstwo Funduszy i Polityki Regionalnej</w:t>
        </w:r>
      </w:hyperlink>
    </w:p>
    <w:p w14:paraId="44EB3FA8" w14:textId="77777777" w:rsidR="000D346A" w:rsidRPr="00185D3C" w:rsidRDefault="000D346A" w:rsidP="000D346A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14:paraId="411F3EA0" w14:textId="0540BFD9" w:rsidR="00BE0D16" w:rsidRPr="00464805" w:rsidRDefault="000D346A" w:rsidP="00185D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Open Sans" w:eastAsia="Times New Roman" w:hAnsi="Open Sans" w:cs="Open Sans"/>
          <w:b/>
          <w:bCs/>
          <w:lang w:eastAsia="pl-PL"/>
        </w:rPr>
      </w:pPr>
      <w:bookmarkStart w:id="0" w:name="_Hlk179879773"/>
      <w:r w:rsidRPr="000D346A">
        <w:rPr>
          <w:rFonts w:ascii="Open Sans" w:eastAsia="Times New Roman" w:hAnsi="Open Sans" w:cs="Open Sans"/>
          <w:b/>
          <w:bCs/>
          <w:lang w:eastAsia="pl-PL"/>
        </w:rPr>
        <w:t>Czy jest określona minimalna lub maksymalna wartość inwestycji</w:t>
      </w:r>
      <w:r w:rsidR="00BE0D16" w:rsidRPr="00464805">
        <w:rPr>
          <w:rFonts w:ascii="Open Sans" w:eastAsia="Times New Roman" w:hAnsi="Open Sans" w:cs="Open Sans"/>
          <w:b/>
          <w:bCs/>
          <w:lang w:eastAsia="pl-PL"/>
        </w:rPr>
        <w:t>?</w:t>
      </w:r>
      <w:r w:rsidR="00B86F4C" w:rsidRPr="00464805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bookmarkEnd w:id="0"/>
    </w:p>
    <w:p w14:paraId="39AC7AF1" w14:textId="78767485" w:rsidR="00BD3965" w:rsidRPr="00185D3C" w:rsidRDefault="000D346A" w:rsidP="00185D3C">
      <w:pPr>
        <w:spacing w:after="36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Nie ma określonego pułapu minimalnej lub maksymalnej wartości inwestycji.</w:t>
      </w:r>
    </w:p>
    <w:p w14:paraId="66B24522" w14:textId="4979C426" w:rsidR="003E0121" w:rsidRPr="00464805" w:rsidRDefault="0082585E" w:rsidP="002D627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Open Sans" w:eastAsia="Times New Roman" w:hAnsi="Open Sans" w:cs="Open Sans"/>
          <w:b/>
          <w:bCs/>
          <w:lang w:eastAsia="pl-PL"/>
        </w:rPr>
      </w:pPr>
      <w:bookmarkStart w:id="1" w:name="_Hlk179891081"/>
      <w:r w:rsidRPr="0082585E">
        <w:rPr>
          <w:rFonts w:ascii="Open Sans" w:eastAsia="Times New Roman" w:hAnsi="Open Sans" w:cs="Open Sans"/>
          <w:b/>
          <w:bCs/>
          <w:lang w:eastAsia="pl-PL"/>
        </w:rPr>
        <w:t>Czy w ramach wniosku poprawy efektywności energetycznej można zmodernizować tylko linię technologiczną bez instalacji OZE</w:t>
      </w:r>
      <w:r w:rsidR="003E0121" w:rsidRPr="00464805">
        <w:rPr>
          <w:rFonts w:ascii="Open Sans" w:eastAsia="Times New Roman" w:hAnsi="Open Sans" w:cs="Open Sans"/>
          <w:b/>
          <w:bCs/>
          <w:lang w:eastAsia="pl-PL"/>
        </w:rPr>
        <w:t>?</w:t>
      </w:r>
    </w:p>
    <w:p w14:paraId="0BF9CF43" w14:textId="2C766330" w:rsidR="00B86F4C" w:rsidRPr="00185D3C" w:rsidRDefault="0082585E" w:rsidP="00185D3C">
      <w:pPr>
        <w:spacing w:after="36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Tak. </w:t>
      </w:r>
      <w:r w:rsidRPr="0082585E">
        <w:rPr>
          <w:rFonts w:ascii="Open Sans" w:eastAsia="Times New Roman" w:hAnsi="Open Sans" w:cs="Open Sans"/>
          <w:lang w:eastAsia="pl-PL"/>
        </w:rPr>
        <w:t xml:space="preserve">Jeżeli potencjalny wnioskodawca planuje </w:t>
      </w:r>
      <w:r>
        <w:rPr>
          <w:rFonts w:ascii="Open Sans" w:eastAsia="Times New Roman" w:hAnsi="Open Sans" w:cs="Open Sans"/>
          <w:lang w:eastAsia="pl-PL"/>
        </w:rPr>
        <w:t>realizację</w:t>
      </w:r>
      <w:r w:rsidRPr="0082585E">
        <w:rPr>
          <w:rFonts w:ascii="Open Sans" w:eastAsia="Times New Roman" w:hAnsi="Open Sans" w:cs="Open Sans"/>
          <w:lang w:eastAsia="pl-PL"/>
        </w:rPr>
        <w:t xml:space="preserve"> jedynie samej instalacji OZE</w:t>
      </w:r>
      <w:r>
        <w:rPr>
          <w:rFonts w:ascii="Open Sans" w:eastAsia="Times New Roman" w:hAnsi="Open Sans" w:cs="Open Sans"/>
          <w:lang w:eastAsia="pl-PL"/>
        </w:rPr>
        <w:t xml:space="preserve">, </w:t>
      </w:r>
      <w:r w:rsidRPr="0082585E">
        <w:rPr>
          <w:rFonts w:ascii="Open Sans" w:eastAsia="Times New Roman" w:hAnsi="Open Sans" w:cs="Open Sans"/>
          <w:lang w:eastAsia="pl-PL"/>
        </w:rPr>
        <w:t>wówczas nie może ona zostać objęta wsparciem, bowiem zgodnie z treścią programu priorytetowego istnieje de facto możliwość wsparcia współpracującej instalacji OZE, niemniej może ona stanowić jedynie element dodatkowy w projekcie (powiązany z inwestycją w termomodernizację budynków zakładowych i/lub podniesienie efektywności energetycznej linii/procesów technologicznych)</w:t>
      </w:r>
      <w:r>
        <w:rPr>
          <w:rFonts w:ascii="Open Sans" w:eastAsia="Times New Roman" w:hAnsi="Open Sans" w:cs="Open Sans"/>
          <w:lang w:eastAsia="pl-PL"/>
        </w:rPr>
        <w:t>. Każdorazowo z</w:t>
      </w:r>
      <w:r w:rsidRPr="0082585E">
        <w:rPr>
          <w:rFonts w:ascii="Open Sans" w:eastAsia="Times New Roman" w:hAnsi="Open Sans" w:cs="Open Sans"/>
          <w:lang w:eastAsia="pl-PL"/>
        </w:rPr>
        <w:t xml:space="preserve">akres działań w odniesieniu do budynków, urządzeń technicznych lub </w:t>
      </w:r>
      <w:r w:rsidRPr="0082585E">
        <w:rPr>
          <w:rFonts w:ascii="Open Sans" w:eastAsia="Times New Roman" w:hAnsi="Open Sans" w:cs="Open Sans"/>
          <w:u w:val="single"/>
          <w:lang w:eastAsia="pl-PL"/>
        </w:rPr>
        <w:t>instalacji i procesów technologicznych</w:t>
      </w:r>
      <w:r w:rsidRPr="0082585E">
        <w:rPr>
          <w:rFonts w:ascii="Open Sans" w:eastAsia="Times New Roman" w:hAnsi="Open Sans" w:cs="Open Sans"/>
          <w:lang w:eastAsia="pl-PL"/>
        </w:rPr>
        <w:t xml:space="preserve"> musi wynikać z audytów energetycznych</w:t>
      </w:r>
      <w:r>
        <w:rPr>
          <w:rFonts w:ascii="Open Sans" w:eastAsia="Times New Roman" w:hAnsi="Open Sans" w:cs="Open Sans"/>
          <w:lang w:eastAsia="pl-PL"/>
        </w:rPr>
        <w:t>.</w:t>
      </w:r>
    </w:p>
    <w:bookmarkEnd w:id="1"/>
    <w:p w14:paraId="60130E5A" w14:textId="5F54FFA4" w:rsidR="00BE0D16" w:rsidRPr="00132135" w:rsidRDefault="0082585E" w:rsidP="002D627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Open Sans" w:eastAsia="Times New Roman" w:hAnsi="Open Sans" w:cs="Open Sans"/>
          <w:b/>
          <w:bCs/>
          <w:lang w:eastAsia="pl-PL"/>
        </w:rPr>
      </w:pPr>
      <w:r w:rsidRPr="0082585E">
        <w:rPr>
          <w:rFonts w:ascii="Open Sans" w:eastAsia="Times New Roman" w:hAnsi="Open Sans" w:cs="Open Sans"/>
          <w:b/>
          <w:bCs/>
          <w:lang w:eastAsia="pl-PL"/>
        </w:rPr>
        <w:t>Czy udostępni</w:t>
      </w:r>
      <w:r>
        <w:rPr>
          <w:rFonts w:ascii="Open Sans" w:eastAsia="Times New Roman" w:hAnsi="Open Sans" w:cs="Open Sans"/>
          <w:b/>
          <w:bCs/>
          <w:lang w:eastAsia="pl-PL"/>
        </w:rPr>
        <w:t>ą</w:t>
      </w:r>
      <w:r w:rsidRPr="0082585E">
        <w:rPr>
          <w:rFonts w:ascii="Open Sans" w:eastAsia="Times New Roman" w:hAnsi="Open Sans" w:cs="Open Sans"/>
          <w:b/>
          <w:bCs/>
          <w:lang w:eastAsia="pl-PL"/>
        </w:rPr>
        <w:t xml:space="preserve"> Państwo prezentacj</w:t>
      </w:r>
      <w:r>
        <w:rPr>
          <w:rFonts w:ascii="Open Sans" w:eastAsia="Times New Roman" w:hAnsi="Open Sans" w:cs="Open Sans"/>
          <w:b/>
          <w:bCs/>
          <w:lang w:eastAsia="pl-PL"/>
        </w:rPr>
        <w:t>ę</w:t>
      </w:r>
      <w:r w:rsidR="00BE0D16" w:rsidRPr="00132135">
        <w:rPr>
          <w:rFonts w:ascii="Open Sans" w:eastAsia="Times New Roman" w:hAnsi="Open Sans" w:cs="Open Sans"/>
          <w:b/>
          <w:bCs/>
          <w:lang w:eastAsia="pl-PL"/>
        </w:rPr>
        <w:t>?</w:t>
      </w:r>
    </w:p>
    <w:p w14:paraId="2F11F59E" w14:textId="77777777" w:rsidR="0082585E" w:rsidRDefault="0082585E" w:rsidP="0082585E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Tak, prezentacja została udostępniona i znajduje się w sekcji Materiały na stronie internetowej poświęconej naborowi, pod poniższym linkiem:</w:t>
      </w:r>
    </w:p>
    <w:p w14:paraId="3F978B9F" w14:textId="2F05954E" w:rsidR="00B86F4C" w:rsidRDefault="0082585E" w:rsidP="0082585E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hyperlink r:id="rId6" w:history="1">
        <w:r w:rsidRPr="0082585E">
          <w:rPr>
            <w:rStyle w:val="Hipercze"/>
            <w:rFonts w:ascii="Open Sans" w:eastAsia="Times New Roman" w:hAnsi="Open Sans" w:cs="Open Sans"/>
            <w:lang w:eastAsia="pl-PL"/>
          </w:rPr>
          <w:t>8.6.1 Część 1) Poprawa efektywności energetycznej (wraz z instalacją OZE) w dużych i średnich przedsiębiorstwach - Narodowy Fundusz Ochrony Środowiska i Gospodarki Wodnej - Portal Gov.pl</w:t>
        </w:r>
      </w:hyperlink>
    </w:p>
    <w:p w14:paraId="1CB9699C" w14:textId="77777777" w:rsidR="0082585E" w:rsidRPr="00185D3C" w:rsidRDefault="0082585E" w:rsidP="0082585E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14:paraId="561A8D34" w14:textId="205963C3" w:rsidR="00BE0D16" w:rsidRPr="00132135" w:rsidRDefault="00D1248F" w:rsidP="002D627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Open Sans" w:eastAsia="Times New Roman" w:hAnsi="Open Sans" w:cs="Open Sans"/>
          <w:b/>
          <w:bCs/>
          <w:lang w:eastAsia="pl-PL"/>
        </w:rPr>
      </w:pPr>
      <w:r>
        <w:rPr>
          <w:rFonts w:ascii="Open Sans" w:eastAsia="Times New Roman" w:hAnsi="Open Sans" w:cs="Open Sans"/>
          <w:b/>
          <w:bCs/>
          <w:lang w:eastAsia="pl-PL"/>
        </w:rPr>
        <w:t>Czym są firmy ESCO</w:t>
      </w:r>
      <w:r w:rsidR="00BE0D16" w:rsidRPr="00132135">
        <w:rPr>
          <w:rFonts w:ascii="Open Sans" w:eastAsia="Times New Roman" w:hAnsi="Open Sans" w:cs="Open Sans"/>
          <w:b/>
          <w:bCs/>
          <w:lang w:eastAsia="pl-PL"/>
        </w:rPr>
        <w:t>?</w:t>
      </w:r>
    </w:p>
    <w:p w14:paraId="5ABC34EC" w14:textId="4AF941FA" w:rsidR="00B86F4C" w:rsidRDefault="00D1248F" w:rsidP="00464805">
      <w:pPr>
        <w:spacing w:after="360" w:line="240" w:lineRule="auto"/>
        <w:rPr>
          <w:rFonts w:ascii="Open Sans" w:eastAsia="Times New Roman" w:hAnsi="Open Sans" w:cs="Open Sans"/>
          <w:lang w:eastAsia="pl-PL"/>
        </w:rPr>
      </w:pPr>
      <w:r w:rsidRPr="00D1248F">
        <w:rPr>
          <w:rFonts w:ascii="Open Sans" w:eastAsia="Times New Roman" w:hAnsi="Open Sans" w:cs="Open Sans"/>
          <w:lang w:eastAsia="pl-PL"/>
        </w:rPr>
        <w:t>Przedsiębiorstwo oszczędzania energii typu ESCO (skrót od Energy Service Company) to firma świadcząca usługi energetyczne lub dostarczająca innych środków poprawy efektywności energetycznej dla użytkownika/odbiorcy energii, biorąc przy tym na siebie pewną część ryzyka finansowego. Zapłata za wykonane usługi jest oparta (w całości lub w części) na osiągnięciu poprawy efektywności energetycznej oraz spełnieniu innych uzgodnionych kryteriów efektywnoś</w:t>
      </w:r>
      <w:r>
        <w:rPr>
          <w:rFonts w:ascii="Open Sans" w:eastAsia="Times New Roman" w:hAnsi="Open Sans" w:cs="Open Sans"/>
          <w:lang w:eastAsia="pl-PL"/>
        </w:rPr>
        <w:t>ć.</w:t>
      </w:r>
    </w:p>
    <w:p w14:paraId="540734B3" w14:textId="2F3DEF55" w:rsidR="00D1248F" w:rsidRDefault="00D1248F" w:rsidP="00464805">
      <w:pPr>
        <w:spacing w:after="36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F</w:t>
      </w:r>
      <w:r w:rsidRPr="00D1248F">
        <w:rPr>
          <w:rFonts w:ascii="Open Sans" w:eastAsia="Times New Roman" w:hAnsi="Open Sans" w:cs="Open Sans"/>
          <w:lang w:eastAsia="pl-PL"/>
        </w:rPr>
        <w:t>irma typu ESCO angażuje swoje środki finansowe w przeprowadzenie u klienta przedsięwzięcia modernizacyjnego, a odzyskuje poniesione nakłady (wraz z wynagrodzeniem) poprzez płatności rozłożone w czasie. Okres zwrotu inwestycji zależy od indywidualnych ustaleń pomiędzy stronami. Płatności dokonywane przez klienta pochodzą z wygenerowanych oszczędności w kosztach energii. W praktyce istnieje szereg modeli usług świadczonych przez firmy typu ESCO, które różnią się sposobem finansowania, podziałem ryzyka oraz podziałem zysków pochodzących z zaoszczędzonych pieniędzy</w:t>
      </w:r>
      <w:r>
        <w:rPr>
          <w:rFonts w:ascii="Open Sans" w:eastAsia="Times New Roman" w:hAnsi="Open Sans" w:cs="Open Sans"/>
          <w:lang w:eastAsia="pl-PL"/>
        </w:rPr>
        <w:t>.</w:t>
      </w:r>
    </w:p>
    <w:p w14:paraId="60083DD1" w14:textId="77FDCEA0" w:rsidR="00D1248F" w:rsidRPr="00185D3C" w:rsidRDefault="00D1248F" w:rsidP="00464805">
      <w:pPr>
        <w:spacing w:after="360" w:line="240" w:lineRule="auto"/>
        <w:rPr>
          <w:rFonts w:ascii="Open Sans" w:eastAsia="Times New Roman" w:hAnsi="Open Sans" w:cs="Open Sans"/>
          <w:lang w:eastAsia="pl-PL"/>
        </w:rPr>
      </w:pPr>
      <w:r w:rsidRPr="00D1248F">
        <w:rPr>
          <w:rFonts w:ascii="Open Sans" w:eastAsia="Times New Roman" w:hAnsi="Open Sans" w:cs="Open Sans"/>
          <w:lang w:eastAsia="pl-PL"/>
        </w:rPr>
        <w:t>Firma typu ESCO może korzystać z różnych źródeł finansowania, w tym również z finansowania, które uzyskał klient (m.in. w formie pomocy publicznej polegającej na uzyskaniu różnego rodzaju dotacji lub finansowania)</w:t>
      </w:r>
      <w:r>
        <w:rPr>
          <w:rFonts w:ascii="Open Sans" w:eastAsia="Times New Roman" w:hAnsi="Open Sans" w:cs="Open Sans"/>
          <w:lang w:eastAsia="pl-PL"/>
        </w:rPr>
        <w:t>.</w:t>
      </w:r>
    </w:p>
    <w:p w14:paraId="53A7DD0E" w14:textId="6508EA56" w:rsidR="00BE0D16" w:rsidRPr="00132135" w:rsidRDefault="00AB2127" w:rsidP="002D627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Open Sans" w:eastAsia="Times New Roman" w:hAnsi="Open Sans" w:cs="Open Sans"/>
          <w:b/>
          <w:bCs/>
          <w:lang w:eastAsia="pl-PL"/>
        </w:rPr>
      </w:pPr>
      <w:bookmarkStart w:id="2" w:name="_Hlk179879791"/>
      <w:bookmarkStart w:id="3" w:name="_Hlk179890635"/>
      <w:r w:rsidRPr="00AB2127">
        <w:rPr>
          <w:rFonts w:ascii="Open Sans" w:eastAsia="Times New Roman" w:hAnsi="Open Sans" w:cs="Open Sans"/>
          <w:b/>
          <w:bCs/>
          <w:lang w:eastAsia="pl-PL"/>
        </w:rPr>
        <w:t xml:space="preserve">Jeśli </w:t>
      </w:r>
      <w:r w:rsidRPr="00B4150F">
        <w:rPr>
          <w:rFonts w:ascii="Open Sans" w:eastAsia="Times New Roman" w:hAnsi="Open Sans" w:cs="Open Sans"/>
          <w:b/>
          <w:bCs/>
          <w:lang w:eastAsia="pl-PL"/>
        </w:rPr>
        <w:t>realizuję inwestycję wspierającą efektywność procesów produkcji + OZE to dofinasowanie kosztów kwalifikowanych będzie wynosiło 30% + 45%</w:t>
      </w:r>
      <w:r w:rsidR="00BE0D16" w:rsidRPr="00B4150F">
        <w:rPr>
          <w:rFonts w:ascii="Open Sans" w:eastAsia="Times New Roman" w:hAnsi="Open Sans" w:cs="Open Sans"/>
          <w:b/>
          <w:bCs/>
          <w:lang w:eastAsia="pl-PL"/>
        </w:rPr>
        <w:t>?</w:t>
      </w:r>
      <w:r w:rsidR="00B86F4C" w:rsidRPr="00132135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bookmarkEnd w:id="2"/>
    </w:p>
    <w:p w14:paraId="23226693" w14:textId="1F71C2DD" w:rsidR="00F24731" w:rsidRDefault="00B4150F" w:rsidP="00B4150F">
      <w:pPr>
        <w:spacing w:after="360" w:line="240" w:lineRule="auto"/>
        <w:rPr>
          <w:rFonts w:ascii="Open Sans" w:eastAsia="Times New Roman" w:hAnsi="Open Sans" w:cs="Open Sans"/>
          <w:lang w:eastAsia="pl-PL"/>
        </w:rPr>
      </w:pPr>
      <w:r w:rsidRPr="00B4150F">
        <w:rPr>
          <w:rFonts w:ascii="Open Sans" w:eastAsia="Times New Roman" w:hAnsi="Open Sans" w:cs="Open Sans"/>
          <w:lang w:eastAsia="pl-PL"/>
        </w:rPr>
        <w:t>Instrument finansowy przewiduje dofinansowanie 100% kosztów kwalifikowalnych, w tym dofinansowanie z UE (Fundusz Spójności) do 85% kosztów kwalifikowalnych projektu, tj. pożyczka z komponentem umorzeniowym oraz obligatoryjne współfinansowanie pożyczkowe ze środków NFOŚiGW w wysokości co najmniej 15% kosztów kwalifikowanych projektu</w:t>
      </w:r>
      <w:r>
        <w:rPr>
          <w:rFonts w:ascii="Open Sans" w:eastAsia="Times New Roman" w:hAnsi="Open Sans" w:cs="Open Sans"/>
          <w:lang w:eastAsia="pl-PL"/>
        </w:rPr>
        <w:t>.</w:t>
      </w:r>
    </w:p>
    <w:p w14:paraId="636240B7" w14:textId="75B7AF30" w:rsidR="00B4150F" w:rsidRDefault="00B4150F" w:rsidP="00B4150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Open Sans" w:eastAsia="Times New Roman" w:hAnsi="Open Sans" w:cs="Open Sans"/>
          <w:b/>
          <w:bCs/>
          <w:lang w:eastAsia="pl-PL"/>
        </w:rPr>
      </w:pPr>
      <w:r>
        <w:rPr>
          <w:rFonts w:ascii="Open Sans" w:eastAsia="Times New Roman" w:hAnsi="Open Sans" w:cs="Open Sans"/>
          <w:b/>
          <w:bCs/>
          <w:lang w:eastAsia="pl-PL"/>
        </w:rPr>
        <w:t>C</w:t>
      </w:r>
      <w:r w:rsidRPr="00B4150F">
        <w:rPr>
          <w:rFonts w:ascii="Open Sans" w:eastAsia="Times New Roman" w:hAnsi="Open Sans" w:cs="Open Sans"/>
          <w:b/>
          <w:bCs/>
          <w:lang w:eastAsia="pl-PL"/>
        </w:rPr>
        <w:t>zy do zliczenia minimum punktowego z par. 5 Ocena wniosku o dofinansowanie, pkt 2) cześć a) sumuje się kryteria horyzontalne rankingujące oraz kryteria specyficzne rankingując</w:t>
      </w:r>
      <w:r>
        <w:rPr>
          <w:rFonts w:ascii="Open Sans" w:eastAsia="Times New Roman" w:hAnsi="Open Sans" w:cs="Open Sans"/>
          <w:b/>
          <w:bCs/>
          <w:lang w:eastAsia="pl-PL"/>
        </w:rPr>
        <w:t>e?</w:t>
      </w:r>
    </w:p>
    <w:p w14:paraId="0A3E03FD" w14:textId="77777777" w:rsidR="00B4150F" w:rsidRPr="00B4150F" w:rsidRDefault="00B4150F" w:rsidP="00B4150F">
      <w:pPr>
        <w:spacing w:after="0" w:line="240" w:lineRule="auto"/>
        <w:rPr>
          <w:rFonts w:ascii="Open Sans" w:eastAsia="Times New Roman" w:hAnsi="Open Sans" w:cs="Open Sans"/>
          <w:b/>
          <w:bCs/>
          <w:lang w:eastAsia="pl-PL"/>
        </w:rPr>
      </w:pPr>
    </w:p>
    <w:p w14:paraId="221848DC" w14:textId="72DACB4F" w:rsidR="00B4150F" w:rsidRDefault="00B4150F" w:rsidP="00B4150F">
      <w:pPr>
        <w:spacing w:after="36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W §5 „Ocena wniosku o dofinansowanie” ust. 2 pkt a) Regulaminu naboru projektów zostało wskazane, że wnioski o dofinansowanie będą oceniane punktowo kryteriami horyzontalnymi rankingującymi (nr 1-11), zawartymi </w:t>
      </w:r>
      <w:r w:rsidRPr="00B4150F">
        <w:rPr>
          <w:rFonts w:ascii="Open Sans" w:eastAsia="Times New Roman" w:hAnsi="Open Sans" w:cs="Open Sans"/>
          <w:lang w:eastAsia="pl-PL"/>
        </w:rPr>
        <w:t>w załączniku nr 1 pn. „Kryteria horyzontalne dla Programu Fundusze Europejskie na Infrastrukturę, Klimat, Środowisko na lata 2021-2027 (FEnIKS)” do programu priorytetowego</w:t>
      </w:r>
      <w:r>
        <w:rPr>
          <w:rFonts w:ascii="Open Sans" w:eastAsia="Times New Roman" w:hAnsi="Open Sans" w:cs="Open Sans"/>
          <w:lang w:eastAsia="pl-PL"/>
        </w:rPr>
        <w:t xml:space="preserve">, a także kryteriami specyficznymi rankingującymi (nr 1-7), zawartymi w </w:t>
      </w:r>
      <w:r w:rsidRPr="00B4150F">
        <w:rPr>
          <w:rFonts w:ascii="Open Sans" w:eastAsia="Times New Roman" w:hAnsi="Open Sans" w:cs="Open Sans"/>
          <w:lang w:eastAsia="pl-PL"/>
        </w:rPr>
        <w:t>załączniku nr 2 pn. „Kryteria wyboru projektów specyficzne dla ostatecznych odbiorców wsparcia w formie Instrumentów Finansowych”</w:t>
      </w:r>
      <w:r w:rsidR="00F57385">
        <w:rPr>
          <w:rFonts w:ascii="Open Sans" w:eastAsia="Times New Roman" w:hAnsi="Open Sans" w:cs="Open Sans"/>
          <w:lang w:eastAsia="pl-PL"/>
        </w:rPr>
        <w:t xml:space="preserve"> do programu. Punkty z powyższych kryteriów sumują się. Łączna liczba </w:t>
      </w:r>
      <w:r w:rsidR="00F57385">
        <w:rPr>
          <w:rFonts w:ascii="Open Sans" w:eastAsia="Times New Roman" w:hAnsi="Open Sans" w:cs="Open Sans"/>
          <w:lang w:eastAsia="pl-PL"/>
        </w:rPr>
        <w:lastRenderedPageBreak/>
        <w:t>punktów wymaganych do rekomendowania przedsięwzięcia do dofinansowania wynosi co najmniej 23 punkty.</w:t>
      </w:r>
    </w:p>
    <w:bookmarkEnd w:id="3"/>
    <w:p w14:paraId="6413D28D" w14:textId="77777777" w:rsidR="00B4150F" w:rsidRPr="00185D3C" w:rsidRDefault="00B4150F" w:rsidP="00B4150F">
      <w:pPr>
        <w:spacing w:after="360" w:line="240" w:lineRule="auto"/>
        <w:rPr>
          <w:rFonts w:ascii="Open Sans" w:eastAsia="Times New Roman" w:hAnsi="Open Sans" w:cs="Open Sans"/>
          <w:lang w:eastAsia="pl-PL"/>
        </w:rPr>
      </w:pPr>
    </w:p>
    <w:sectPr w:rsidR="00B4150F" w:rsidRPr="0018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54FE"/>
    <w:multiLevelType w:val="hybridMultilevel"/>
    <w:tmpl w:val="2B90A730"/>
    <w:lvl w:ilvl="0" w:tplc="89FAA06A">
      <w:start w:val="1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74B79"/>
    <w:multiLevelType w:val="hybridMultilevel"/>
    <w:tmpl w:val="39C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8CE"/>
    <w:multiLevelType w:val="hybridMultilevel"/>
    <w:tmpl w:val="5B7C3DBA"/>
    <w:lvl w:ilvl="0" w:tplc="83DAD5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96748C"/>
    <w:multiLevelType w:val="hybridMultilevel"/>
    <w:tmpl w:val="D0C82D60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15E43"/>
    <w:multiLevelType w:val="hybridMultilevel"/>
    <w:tmpl w:val="D3D413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3715986">
    <w:abstractNumId w:val="1"/>
  </w:num>
  <w:num w:numId="2" w16cid:durableId="432677345">
    <w:abstractNumId w:val="3"/>
  </w:num>
  <w:num w:numId="3" w16cid:durableId="482770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459511">
    <w:abstractNumId w:val="4"/>
  </w:num>
  <w:num w:numId="5" w16cid:durableId="51211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16"/>
    <w:rsid w:val="000C04CF"/>
    <w:rsid w:val="000D346A"/>
    <w:rsid w:val="00114650"/>
    <w:rsid w:val="00132135"/>
    <w:rsid w:val="001562BF"/>
    <w:rsid w:val="001771B6"/>
    <w:rsid w:val="00185D3C"/>
    <w:rsid w:val="001A4D54"/>
    <w:rsid w:val="001D0B6C"/>
    <w:rsid w:val="001D1417"/>
    <w:rsid w:val="001E73AE"/>
    <w:rsid w:val="002131D0"/>
    <w:rsid w:val="00250511"/>
    <w:rsid w:val="00260845"/>
    <w:rsid w:val="00274EEF"/>
    <w:rsid w:val="00280DC4"/>
    <w:rsid w:val="00296CC8"/>
    <w:rsid w:val="00297092"/>
    <w:rsid w:val="002D627A"/>
    <w:rsid w:val="002E5987"/>
    <w:rsid w:val="00322F6B"/>
    <w:rsid w:val="00356A0A"/>
    <w:rsid w:val="00362346"/>
    <w:rsid w:val="003D12E7"/>
    <w:rsid w:val="003E0121"/>
    <w:rsid w:val="00413602"/>
    <w:rsid w:val="00464805"/>
    <w:rsid w:val="0046533A"/>
    <w:rsid w:val="004700CB"/>
    <w:rsid w:val="004973EE"/>
    <w:rsid w:val="004D0458"/>
    <w:rsid w:val="004E25B4"/>
    <w:rsid w:val="00500B79"/>
    <w:rsid w:val="005070EF"/>
    <w:rsid w:val="00553526"/>
    <w:rsid w:val="00554FB7"/>
    <w:rsid w:val="00555A8A"/>
    <w:rsid w:val="00597559"/>
    <w:rsid w:val="005F3901"/>
    <w:rsid w:val="00624CEF"/>
    <w:rsid w:val="00642F3D"/>
    <w:rsid w:val="00665955"/>
    <w:rsid w:val="0067278E"/>
    <w:rsid w:val="00681CEA"/>
    <w:rsid w:val="00763920"/>
    <w:rsid w:val="00774F0C"/>
    <w:rsid w:val="007C1C3C"/>
    <w:rsid w:val="007F1026"/>
    <w:rsid w:val="007F4266"/>
    <w:rsid w:val="00816771"/>
    <w:rsid w:val="0082106E"/>
    <w:rsid w:val="0082585E"/>
    <w:rsid w:val="0083322E"/>
    <w:rsid w:val="00833C6F"/>
    <w:rsid w:val="008F3EAD"/>
    <w:rsid w:val="00906966"/>
    <w:rsid w:val="00926159"/>
    <w:rsid w:val="009625FF"/>
    <w:rsid w:val="00964071"/>
    <w:rsid w:val="0098535C"/>
    <w:rsid w:val="009A4FA8"/>
    <w:rsid w:val="009C34FF"/>
    <w:rsid w:val="00A10212"/>
    <w:rsid w:val="00A17932"/>
    <w:rsid w:val="00A368DD"/>
    <w:rsid w:val="00A36C08"/>
    <w:rsid w:val="00A52733"/>
    <w:rsid w:val="00AA5E21"/>
    <w:rsid w:val="00AB2127"/>
    <w:rsid w:val="00B16982"/>
    <w:rsid w:val="00B225AE"/>
    <w:rsid w:val="00B4150F"/>
    <w:rsid w:val="00B86F4C"/>
    <w:rsid w:val="00BB4F4A"/>
    <w:rsid w:val="00BC7B36"/>
    <w:rsid w:val="00BD3965"/>
    <w:rsid w:val="00BE0D16"/>
    <w:rsid w:val="00BF2007"/>
    <w:rsid w:val="00C47FD5"/>
    <w:rsid w:val="00C50076"/>
    <w:rsid w:val="00C97822"/>
    <w:rsid w:val="00CC35A3"/>
    <w:rsid w:val="00D1248F"/>
    <w:rsid w:val="00D15D6C"/>
    <w:rsid w:val="00DC3AA5"/>
    <w:rsid w:val="00DD3D54"/>
    <w:rsid w:val="00DD6EB1"/>
    <w:rsid w:val="00E062F8"/>
    <w:rsid w:val="00E21310"/>
    <w:rsid w:val="00E22A34"/>
    <w:rsid w:val="00E461E0"/>
    <w:rsid w:val="00E57880"/>
    <w:rsid w:val="00EA6D64"/>
    <w:rsid w:val="00EB2194"/>
    <w:rsid w:val="00ED3A7A"/>
    <w:rsid w:val="00ED66BB"/>
    <w:rsid w:val="00EE4041"/>
    <w:rsid w:val="00EF66F7"/>
    <w:rsid w:val="00F06D40"/>
    <w:rsid w:val="00F24731"/>
    <w:rsid w:val="00F2593F"/>
    <w:rsid w:val="00F51355"/>
    <w:rsid w:val="00F52DC9"/>
    <w:rsid w:val="00F57385"/>
    <w:rsid w:val="00F7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4932"/>
  <w15:chartTrackingRefBased/>
  <w15:docId w15:val="{2451704F-1641-4347-8DD2-5541EABC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EE"/>
  </w:style>
  <w:style w:type="paragraph" w:styleId="Nagwek1">
    <w:name w:val="heading 1"/>
    <w:basedOn w:val="Normalny"/>
    <w:next w:val="Normalny"/>
    <w:link w:val="Nagwek1Znak"/>
    <w:uiPriority w:val="9"/>
    <w:qFormat/>
    <w:rsid w:val="00296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BE0D16"/>
  </w:style>
  <w:style w:type="paragraph" w:styleId="Akapitzlist">
    <w:name w:val="List Paragraph"/>
    <w:basedOn w:val="Normalny"/>
    <w:uiPriority w:val="34"/>
    <w:qFormat/>
    <w:rsid w:val="00BE0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C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C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96C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7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8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5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4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3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nfosigw/861-wspolfinansowanie-projektow-realizowanych-w-ramach-programu-fundusze-europejskie-na-infrastrukture-klimat-srodowisko-2021-2027-feniks-czesc-1-poprawa-efektywnosci-energetycznej-wraz-z-instalacja-oze-w-duzych-i-srednich-przedsiebiorstwach" TargetMode="External"/><Relationship Id="rId5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Urzyczyn Anna</dc:creator>
  <cp:keywords/>
  <dc:description/>
  <cp:lastModifiedBy>Kryczkowski Paweł</cp:lastModifiedBy>
  <cp:revision>65</cp:revision>
  <dcterms:created xsi:type="dcterms:W3CDTF">2024-10-15T07:46:00Z</dcterms:created>
  <dcterms:modified xsi:type="dcterms:W3CDTF">2024-11-05T09:52:00Z</dcterms:modified>
</cp:coreProperties>
</file>