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B63" w:rsidRPr="00FF289E" w:rsidRDefault="00421B63" w:rsidP="00421B63">
      <w:pPr>
        <w:tabs>
          <w:tab w:val="center" w:pos="4536"/>
          <w:tab w:val="right" w:pos="9072"/>
        </w:tabs>
        <w:jc w:val="center"/>
        <w:rPr>
          <w:rFonts w:ascii="Times New Roman" w:hAnsi="Times New Roman"/>
          <w:b/>
          <w:i/>
          <w:sz w:val="20"/>
          <w:szCs w:val="20"/>
        </w:rPr>
      </w:pPr>
      <w:r w:rsidRPr="00FF289E">
        <w:rPr>
          <w:rFonts w:ascii="Times New Roman" w:hAnsi="Times New Roman"/>
          <w:b/>
          <w:sz w:val="20"/>
          <w:szCs w:val="20"/>
        </w:rPr>
        <w:t xml:space="preserve">Zestawienie uwag zgłoszonych w ramach II tury uzgodnień międzyresortowych do projektu ustawy </w:t>
      </w:r>
      <w:r w:rsidRPr="00FF289E">
        <w:rPr>
          <w:rFonts w:ascii="Times New Roman" w:hAnsi="Times New Roman"/>
          <w:b/>
          <w:sz w:val="20"/>
          <w:szCs w:val="20"/>
        </w:rPr>
        <w:br/>
      </w:r>
      <w:r w:rsidRPr="00FF289E">
        <w:rPr>
          <w:rFonts w:ascii="Times New Roman" w:hAnsi="Times New Roman"/>
          <w:b/>
          <w:i/>
          <w:sz w:val="20"/>
          <w:szCs w:val="20"/>
        </w:rPr>
        <w:t xml:space="preserve">o zmianie ustawy – Kodeks spółek handlowych oraz </w:t>
      </w:r>
      <w:r w:rsidR="00781006">
        <w:rPr>
          <w:rFonts w:ascii="Times New Roman" w:hAnsi="Times New Roman"/>
          <w:b/>
          <w:i/>
          <w:sz w:val="20"/>
          <w:szCs w:val="20"/>
        </w:rPr>
        <w:t xml:space="preserve">niektórych innych ustaw </w:t>
      </w:r>
      <w:r w:rsidRPr="00FF289E">
        <w:rPr>
          <w:rFonts w:ascii="Times New Roman" w:hAnsi="Times New Roman"/>
          <w:b/>
          <w:sz w:val="20"/>
          <w:szCs w:val="20"/>
        </w:rPr>
        <w:t>(UD117)</w:t>
      </w:r>
      <w:r w:rsidRPr="00FF289E">
        <w:rPr>
          <w:rFonts w:ascii="Times New Roman" w:hAnsi="Times New Roman"/>
          <w:sz w:val="20"/>
          <w:szCs w:val="20"/>
        </w:rPr>
        <w:t xml:space="preserve"> </w:t>
      </w:r>
      <w:r w:rsidR="00C4155F">
        <w:rPr>
          <w:rFonts w:ascii="Times New Roman" w:hAnsi="Times New Roman"/>
          <w:sz w:val="20"/>
          <w:szCs w:val="20"/>
        </w:rPr>
        <w:t>w wersji z dnia 5.02.2018 r.</w:t>
      </w:r>
    </w:p>
    <w:p w:rsidR="00421B63" w:rsidRPr="00FF289E" w:rsidRDefault="00421B63" w:rsidP="00421B63">
      <w:pPr>
        <w:tabs>
          <w:tab w:val="center" w:pos="4536"/>
          <w:tab w:val="right" w:pos="9072"/>
        </w:tabs>
        <w:jc w:val="center"/>
        <w:rPr>
          <w:rFonts w:ascii="Times New Roman" w:hAnsi="Times New Roman"/>
          <w:b/>
          <w:sz w:val="20"/>
          <w:szCs w:val="20"/>
        </w:rPr>
      </w:pPr>
    </w:p>
    <w:p w:rsidR="00421B63" w:rsidRPr="00FF289E" w:rsidRDefault="00421B63" w:rsidP="00421B63">
      <w:pPr>
        <w:tabs>
          <w:tab w:val="center" w:pos="4536"/>
          <w:tab w:val="right" w:pos="9072"/>
        </w:tabs>
        <w:jc w:val="center"/>
        <w:rPr>
          <w:rFonts w:ascii="Times New Roman" w:hAnsi="Times New Roman"/>
          <w:b/>
          <w:sz w:val="20"/>
          <w:szCs w:val="20"/>
        </w:rPr>
      </w:pPr>
    </w:p>
    <w:p w:rsidR="00421B63" w:rsidRPr="00FF289E" w:rsidRDefault="003F4A57" w:rsidP="00421B63">
      <w:pPr>
        <w:tabs>
          <w:tab w:val="center" w:pos="4536"/>
          <w:tab w:val="right" w:pos="9072"/>
        </w:tabs>
        <w:rPr>
          <w:rFonts w:ascii="Times New Roman" w:hAnsi="Times New Roman"/>
          <w:b/>
          <w:sz w:val="20"/>
          <w:szCs w:val="20"/>
        </w:rPr>
      </w:pPr>
      <w:proofErr w:type="spellStart"/>
      <w:r w:rsidRPr="00FF289E">
        <w:rPr>
          <w:rFonts w:ascii="Times New Roman" w:hAnsi="Times New Roman"/>
          <w:b/>
          <w:sz w:val="20"/>
          <w:szCs w:val="20"/>
        </w:rPr>
        <w:t>MGMiŻŚ</w:t>
      </w:r>
      <w:proofErr w:type="spellEnd"/>
      <w:r w:rsidRPr="00FF289E">
        <w:rPr>
          <w:rFonts w:ascii="Times New Roman" w:hAnsi="Times New Roman"/>
          <w:b/>
          <w:sz w:val="20"/>
          <w:szCs w:val="20"/>
        </w:rPr>
        <w:t xml:space="preserve"> – Ministerstwo Gospodarki Morskiej i Żeglugi Śródlądowej</w:t>
      </w:r>
    </w:p>
    <w:p w:rsidR="00421B63" w:rsidRPr="00FF289E" w:rsidRDefault="00421B63" w:rsidP="00421B63">
      <w:pPr>
        <w:tabs>
          <w:tab w:val="center" w:pos="4536"/>
          <w:tab w:val="right" w:pos="9072"/>
        </w:tabs>
        <w:rPr>
          <w:rFonts w:ascii="Times New Roman" w:hAnsi="Times New Roman"/>
          <w:b/>
          <w:sz w:val="20"/>
          <w:szCs w:val="20"/>
        </w:rPr>
      </w:pPr>
      <w:r w:rsidRPr="00FF289E">
        <w:rPr>
          <w:rFonts w:ascii="Times New Roman" w:hAnsi="Times New Roman"/>
          <w:b/>
          <w:sz w:val="20"/>
          <w:szCs w:val="20"/>
        </w:rPr>
        <w:t>RCL – Rządowe Centrum Legislacji</w:t>
      </w:r>
    </w:p>
    <w:tbl>
      <w:tblPr>
        <w:tblpPr w:leftFromText="141" w:rightFromText="141" w:vertAnchor="page" w:horzAnchor="margin" w:tblpY="32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1320"/>
        <w:gridCol w:w="2663"/>
        <w:gridCol w:w="5032"/>
        <w:gridCol w:w="4632"/>
      </w:tblGrid>
      <w:tr w:rsidR="00362E13" w:rsidRPr="00FF289E" w:rsidTr="00244107">
        <w:trPr>
          <w:trHeight w:val="1125"/>
        </w:trPr>
        <w:tc>
          <w:tcPr>
            <w:tcW w:w="572" w:type="dxa"/>
          </w:tcPr>
          <w:p w:rsidR="00421B63" w:rsidRPr="00FF289E" w:rsidRDefault="00421B63" w:rsidP="00244107">
            <w:pPr>
              <w:spacing w:line="276" w:lineRule="auto"/>
              <w:jc w:val="center"/>
              <w:rPr>
                <w:rFonts w:ascii="Times New Roman" w:eastAsia="MS Mincho" w:hAnsi="Times New Roman"/>
                <w:b/>
                <w:sz w:val="20"/>
                <w:szCs w:val="20"/>
              </w:rPr>
            </w:pPr>
            <w:r w:rsidRPr="00FF289E">
              <w:rPr>
                <w:rFonts w:ascii="Times New Roman" w:eastAsia="MS Mincho" w:hAnsi="Times New Roman"/>
                <w:b/>
                <w:sz w:val="20"/>
                <w:szCs w:val="20"/>
              </w:rPr>
              <w:t>L.P.</w:t>
            </w:r>
          </w:p>
        </w:tc>
        <w:tc>
          <w:tcPr>
            <w:tcW w:w="1379" w:type="dxa"/>
          </w:tcPr>
          <w:p w:rsidR="00421B63" w:rsidRPr="00FF289E" w:rsidRDefault="005B5F7D" w:rsidP="00244107">
            <w:pPr>
              <w:spacing w:line="276" w:lineRule="auto"/>
              <w:jc w:val="center"/>
              <w:rPr>
                <w:rFonts w:ascii="Times New Roman" w:eastAsia="MS Mincho" w:hAnsi="Times New Roman"/>
                <w:b/>
                <w:sz w:val="20"/>
                <w:szCs w:val="20"/>
              </w:rPr>
            </w:pPr>
            <w:r w:rsidRPr="00FF289E">
              <w:rPr>
                <w:rFonts w:ascii="Times New Roman" w:eastAsia="MS Mincho" w:hAnsi="Times New Roman"/>
                <w:b/>
                <w:sz w:val="20"/>
                <w:szCs w:val="20"/>
              </w:rPr>
              <w:t xml:space="preserve">AUTOR UWAGI </w:t>
            </w:r>
          </w:p>
        </w:tc>
        <w:tc>
          <w:tcPr>
            <w:tcW w:w="2753" w:type="dxa"/>
          </w:tcPr>
          <w:p w:rsidR="00421B63" w:rsidRPr="00FF289E" w:rsidRDefault="005B5F7D" w:rsidP="00244107">
            <w:pPr>
              <w:spacing w:line="276" w:lineRule="auto"/>
              <w:jc w:val="center"/>
              <w:rPr>
                <w:rFonts w:ascii="Times New Roman" w:eastAsia="MS Mincho" w:hAnsi="Times New Roman"/>
                <w:b/>
                <w:sz w:val="20"/>
                <w:szCs w:val="20"/>
              </w:rPr>
            </w:pPr>
            <w:r w:rsidRPr="00FF289E">
              <w:rPr>
                <w:rFonts w:ascii="Times New Roman" w:eastAsia="MS Mincho" w:hAnsi="Times New Roman"/>
                <w:b/>
                <w:sz w:val="20"/>
                <w:szCs w:val="20"/>
              </w:rPr>
              <w:t>JEDNOSTKA REDAKCYJNA/</w:t>
            </w:r>
          </w:p>
          <w:p w:rsidR="005B5F7D" w:rsidRPr="00FF289E" w:rsidRDefault="005B5F7D" w:rsidP="00244107">
            <w:pPr>
              <w:spacing w:line="276" w:lineRule="auto"/>
              <w:jc w:val="center"/>
              <w:rPr>
                <w:rFonts w:ascii="Times New Roman" w:eastAsia="MS Mincho" w:hAnsi="Times New Roman"/>
                <w:b/>
                <w:sz w:val="20"/>
                <w:szCs w:val="20"/>
              </w:rPr>
            </w:pPr>
            <w:r w:rsidRPr="00FF289E">
              <w:rPr>
                <w:rFonts w:ascii="Times New Roman" w:eastAsia="MS Mincho" w:hAnsi="Times New Roman"/>
                <w:b/>
                <w:sz w:val="20"/>
                <w:szCs w:val="20"/>
              </w:rPr>
              <w:t>PROBLEM</w:t>
            </w:r>
          </w:p>
        </w:tc>
        <w:tc>
          <w:tcPr>
            <w:tcW w:w="5741" w:type="dxa"/>
          </w:tcPr>
          <w:p w:rsidR="00421B63" w:rsidRPr="00FF289E" w:rsidRDefault="00421B63" w:rsidP="00244107">
            <w:pPr>
              <w:spacing w:line="276" w:lineRule="auto"/>
              <w:jc w:val="center"/>
              <w:rPr>
                <w:rFonts w:ascii="Times New Roman" w:eastAsia="MS Mincho" w:hAnsi="Times New Roman"/>
                <w:b/>
                <w:sz w:val="20"/>
                <w:szCs w:val="20"/>
              </w:rPr>
            </w:pPr>
            <w:r w:rsidRPr="00FF289E">
              <w:rPr>
                <w:rFonts w:ascii="Times New Roman" w:eastAsia="MS Mincho" w:hAnsi="Times New Roman"/>
                <w:b/>
                <w:sz w:val="20"/>
                <w:szCs w:val="20"/>
              </w:rPr>
              <w:t>TREŚĆ UWAGI</w:t>
            </w:r>
          </w:p>
        </w:tc>
        <w:tc>
          <w:tcPr>
            <w:tcW w:w="5169" w:type="dxa"/>
          </w:tcPr>
          <w:p w:rsidR="00421B63" w:rsidRPr="00FF289E" w:rsidRDefault="002C5806" w:rsidP="00244107">
            <w:pPr>
              <w:spacing w:line="276" w:lineRule="auto"/>
              <w:jc w:val="center"/>
              <w:rPr>
                <w:rFonts w:ascii="Times New Roman" w:eastAsia="MS Mincho" w:hAnsi="Times New Roman"/>
                <w:b/>
                <w:sz w:val="20"/>
                <w:szCs w:val="20"/>
              </w:rPr>
            </w:pPr>
            <w:r>
              <w:rPr>
                <w:rFonts w:ascii="Times New Roman" w:eastAsia="MS Mincho" w:hAnsi="Times New Roman"/>
                <w:b/>
                <w:sz w:val="20"/>
                <w:szCs w:val="20"/>
              </w:rPr>
              <w:t>STANOWISKO PROJEKTODAWCY/ WYJAŚNIENIE</w:t>
            </w:r>
          </w:p>
        </w:tc>
      </w:tr>
      <w:tr w:rsidR="00362E13" w:rsidRPr="00FF289E" w:rsidTr="000E415A">
        <w:trPr>
          <w:trHeight w:val="210"/>
        </w:trPr>
        <w:tc>
          <w:tcPr>
            <w:tcW w:w="572" w:type="dxa"/>
          </w:tcPr>
          <w:p w:rsidR="00421B63" w:rsidRPr="00FF289E" w:rsidRDefault="00421B63" w:rsidP="00790311">
            <w:pPr>
              <w:jc w:val="center"/>
              <w:rPr>
                <w:rFonts w:ascii="Times New Roman" w:eastAsia="MS Mincho" w:hAnsi="Times New Roman"/>
                <w:sz w:val="20"/>
                <w:szCs w:val="20"/>
              </w:rPr>
            </w:pPr>
            <w:r w:rsidRPr="00FF289E">
              <w:rPr>
                <w:rFonts w:ascii="Times New Roman" w:eastAsia="MS Mincho" w:hAnsi="Times New Roman"/>
                <w:sz w:val="20"/>
                <w:szCs w:val="20"/>
              </w:rPr>
              <w:t>1.</w:t>
            </w:r>
          </w:p>
        </w:tc>
        <w:tc>
          <w:tcPr>
            <w:tcW w:w="1379" w:type="dxa"/>
          </w:tcPr>
          <w:p w:rsidR="00421B63" w:rsidRPr="00FF289E" w:rsidRDefault="005B5F7D" w:rsidP="005B5F7D">
            <w:pPr>
              <w:rPr>
                <w:rFonts w:ascii="Times New Roman" w:eastAsia="MS Mincho" w:hAnsi="Times New Roman"/>
                <w:b/>
                <w:sz w:val="20"/>
                <w:szCs w:val="20"/>
              </w:rPr>
            </w:pPr>
            <w:proofErr w:type="spellStart"/>
            <w:r w:rsidRPr="00FF289E">
              <w:rPr>
                <w:rFonts w:ascii="Times New Roman" w:eastAsia="MS Mincho" w:hAnsi="Times New Roman"/>
                <w:b/>
                <w:sz w:val="20"/>
                <w:szCs w:val="20"/>
              </w:rPr>
              <w:t>MGMiŻŚ</w:t>
            </w:r>
            <w:proofErr w:type="spellEnd"/>
            <w:r w:rsidRPr="00FF289E">
              <w:rPr>
                <w:rFonts w:ascii="Times New Roman" w:eastAsia="MS Mincho" w:hAnsi="Times New Roman"/>
                <w:b/>
                <w:sz w:val="20"/>
                <w:szCs w:val="20"/>
              </w:rPr>
              <w:t xml:space="preserve"> </w:t>
            </w:r>
          </w:p>
        </w:tc>
        <w:tc>
          <w:tcPr>
            <w:tcW w:w="2753" w:type="dxa"/>
          </w:tcPr>
          <w:p w:rsidR="00421B63" w:rsidRPr="00FF289E" w:rsidRDefault="005B5F7D" w:rsidP="00FF289E">
            <w:pPr>
              <w:jc w:val="center"/>
              <w:rPr>
                <w:rFonts w:ascii="Times New Roman" w:eastAsia="MS Mincho" w:hAnsi="Times New Roman"/>
                <w:b/>
                <w:sz w:val="20"/>
                <w:szCs w:val="20"/>
              </w:rPr>
            </w:pPr>
            <w:r w:rsidRPr="00FF289E">
              <w:rPr>
                <w:rFonts w:ascii="Times New Roman" w:eastAsia="MS Mincho" w:hAnsi="Times New Roman"/>
                <w:b/>
                <w:sz w:val="20"/>
                <w:szCs w:val="20"/>
              </w:rPr>
              <w:t>Nieproporcjonalność regulacji do założonego celu</w:t>
            </w:r>
          </w:p>
        </w:tc>
        <w:tc>
          <w:tcPr>
            <w:tcW w:w="5741" w:type="dxa"/>
          </w:tcPr>
          <w:p w:rsidR="00421B63" w:rsidRPr="00FF289E" w:rsidRDefault="0050733D" w:rsidP="00FF289E">
            <w:pPr>
              <w:jc w:val="both"/>
              <w:rPr>
                <w:rFonts w:ascii="Times New Roman" w:eastAsia="MS Mincho" w:hAnsi="Times New Roman"/>
                <w:sz w:val="20"/>
                <w:szCs w:val="20"/>
              </w:rPr>
            </w:pPr>
            <w:r w:rsidRPr="00FF289E">
              <w:rPr>
                <w:rFonts w:ascii="Times New Roman" w:eastAsia="MS Mincho" w:hAnsi="Times New Roman"/>
                <w:sz w:val="20"/>
                <w:szCs w:val="20"/>
              </w:rPr>
              <w:t>Skala zmian, jaką przybrał projekt nowelizacj</w:t>
            </w:r>
            <w:r w:rsidR="001846D0" w:rsidRPr="00FF289E">
              <w:rPr>
                <w:rFonts w:ascii="Times New Roman" w:eastAsia="MS Mincho" w:hAnsi="Times New Roman"/>
                <w:sz w:val="20"/>
                <w:szCs w:val="20"/>
              </w:rPr>
              <w:t xml:space="preserve">i </w:t>
            </w:r>
            <w:proofErr w:type="spellStart"/>
            <w:r w:rsidR="001846D0" w:rsidRPr="00FF289E">
              <w:rPr>
                <w:rFonts w:ascii="Times New Roman" w:eastAsia="MS Mincho" w:hAnsi="Times New Roman"/>
                <w:sz w:val="20"/>
                <w:szCs w:val="20"/>
              </w:rPr>
              <w:t>k</w:t>
            </w:r>
            <w:r w:rsidRPr="00FF289E">
              <w:rPr>
                <w:rFonts w:ascii="Times New Roman" w:eastAsia="MS Mincho" w:hAnsi="Times New Roman"/>
                <w:sz w:val="20"/>
                <w:szCs w:val="20"/>
              </w:rPr>
              <w:t>.s.h</w:t>
            </w:r>
            <w:proofErr w:type="spellEnd"/>
            <w:r w:rsidRPr="00FF289E">
              <w:rPr>
                <w:rFonts w:ascii="Times New Roman" w:eastAsia="MS Mincho" w:hAnsi="Times New Roman"/>
                <w:sz w:val="20"/>
                <w:szCs w:val="20"/>
              </w:rPr>
              <w:t>. oraz użyte ku temu środki wydają się nieproporcjonalne do osiągnięcia zamierzonych celów, za które bez wątpienia uznać należy: możliwość pozyskiwania przez organy administracji podatkowej informacji o udziałowcach spółek akcyjnych oraz komandytowo-akcyjnych dysponujących akcjami na okaziciela</w:t>
            </w:r>
            <w:r w:rsidR="001846D0" w:rsidRPr="00FF289E">
              <w:rPr>
                <w:rFonts w:ascii="Times New Roman" w:eastAsia="MS Mincho" w:hAnsi="Times New Roman"/>
                <w:sz w:val="20"/>
                <w:szCs w:val="20"/>
              </w:rPr>
              <w:t>.</w:t>
            </w:r>
          </w:p>
          <w:p w:rsidR="001846D0" w:rsidRPr="00FF289E" w:rsidRDefault="001846D0" w:rsidP="00FF289E">
            <w:pPr>
              <w:jc w:val="both"/>
              <w:rPr>
                <w:rFonts w:ascii="Times New Roman" w:eastAsia="MS Mincho" w:hAnsi="Times New Roman"/>
                <w:sz w:val="20"/>
                <w:szCs w:val="20"/>
              </w:rPr>
            </w:pPr>
            <w:r w:rsidRPr="00FF289E">
              <w:rPr>
                <w:rFonts w:ascii="Times New Roman" w:eastAsia="MS Mincho" w:hAnsi="Times New Roman"/>
                <w:sz w:val="20"/>
                <w:szCs w:val="20"/>
              </w:rPr>
              <w:t xml:space="preserve">Projektowane zmiany są bardzo dogłębne i stawiają pod znakiem zapytania wypracowany na bazie </w:t>
            </w:r>
            <w:proofErr w:type="spellStart"/>
            <w:r w:rsidRPr="00FF289E">
              <w:rPr>
                <w:rFonts w:ascii="Times New Roman" w:eastAsia="MS Mincho" w:hAnsi="Times New Roman"/>
                <w:sz w:val="20"/>
                <w:szCs w:val="20"/>
              </w:rPr>
              <w:t>k.s.h</w:t>
            </w:r>
            <w:proofErr w:type="spellEnd"/>
            <w:r w:rsidRPr="00FF289E">
              <w:rPr>
                <w:rFonts w:ascii="Times New Roman" w:eastAsia="MS Mincho" w:hAnsi="Times New Roman"/>
                <w:sz w:val="20"/>
                <w:szCs w:val="20"/>
              </w:rPr>
              <w:t>. system funkcjonowania spółek oraz akcji w kontekście ucieleśnienia ogółu praw i obowiązków akcjonariusza w spółce oraz wydzielenia części kapitału akcyjnego.</w:t>
            </w:r>
          </w:p>
        </w:tc>
        <w:tc>
          <w:tcPr>
            <w:tcW w:w="5169" w:type="dxa"/>
          </w:tcPr>
          <w:p w:rsidR="00C50125" w:rsidRPr="00C50125" w:rsidRDefault="000E415A" w:rsidP="00196369">
            <w:pPr>
              <w:jc w:val="both"/>
              <w:rPr>
                <w:rFonts w:ascii="Times New Roman" w:hAnsi="Times New Roman"/>
                <w:iCs/>
                <w:sz w:val="20"/>
                <w:szCs w:val="20"/>
              </w:rPr>
            </w:pPr>
            <w:r w:rsidRPr="00FF289E">
              <w:rPr>
                <w:rFonts w:ascii="Times New Roman" w:hAnsi="Times New Roman"/>
                <w:iCs/>
                <w:sz w:val="20"/>
                <w:szCs w:val="20"/>
              </w:rPr>
              <w:t xml:space="preserve">Należy zauważyć, że </w:t>
            </w:r>
            <w:proofErr w:type="spellStart"/>
            <w:r w:rsidR="00C50125" w:rsidRPr="00C50125">
              <w:rPr>
                <w:rFonts w:ascii="Times New Roman" w:hAnsi="Times New Roman"/>
                <w:iCs/>
                <w:sz w:val="20"/>
                <w:szCs w:val="20"/>
              </w:rPr>
              <w:t>MGMiŻŚ</w:t>
            </w:r>
            <w:proofErr w:type="spellEnd"/>
            <w:r w:rsidR="00C50125" w:rsidRPr="00C50125">
              <w:rPr>
                <w:rFonts w:ascii="Times New Roman" w:hAnsi="Times New Roman"/>
                <w:iCs/>
                <w:sz w:val="20"/>
                <w:szCs w:val="20"/>
              </w:rPr>
              <w:t xml:space="preserve"> nie zgłaszało uwag do wcześniejszej wersji projektu; wątpliwości co do zakresu projektowanych zmian były natomiast podnoszone przez inne resorty, które to wątpliwości były już wyjaśniane, także w toku konferencji uzgodnieniowej.</w:t>
            </w:r>
          </w:p>
          <w:p w:rsidR="00421B63" w:rsidRPr="00FF289E" w:rsidRDefault="00C50125" w:rsidP="00D620EB">
            <w:pPr>
              <w:jc w:val="both"/>
              <w:rPr>
                <w:rFonts w:ascii="Times New Roman" w:eastAsia="MS Mincho" w:hAnsi="Times New Roman"/>
                <w:color w:val="FF0000"/>
                <w:sz w:val="20"/>
                <w:szCs w:val="20"/>
              </w:rPr>
            </w:pPr>
            <w:r w:rsidRPr="00FF289E">
              <w:rPr>
                <w:rFonts w:ascii="Times New Roman" w:hAnsi="Times New Roman"/>
                <w:iCs/>
                <w:sz w:val="20"/>
                <w:szCs w:val="20"/>
              </w:rPr>
              <w:t xml:space="preserve"> W uzasadnieniu projektu szczegółowo wskazano jakie są cele projektowanych zmian. Niewątpliwie, dematerializacja akcji spółek tak publicznych, jak i niepublicznych jest znakiem czasu. Zwiększa się przy tym poziom bezpieczeństwa obrotu akcjami spółek nienotowanych na rynku regulowanym, jak i jego efektywność  (z uwagi na powierzenie prowadzenia rejestrów lub rachunków podmiotom kwalifikowanych). Należy zauważyć, iż w warunkach dematerializacji udałoby się np. uniknąć problemów związanych z obrotem akcjami reaktywowanych, przedwojennych spółek. Dodatkowo, zmniejszy się  poziom kosztów dla spółki związany z produkcją i przechowywaniem akcji w papierowej postaci. Wreszcie celem projektowanych zmian jest uproszczenie istniejących konstrukcji prawnych w zakresie obrotu akcjami i umożliwienie identyfikowania, dla celów podatkowych i przeciwdziałania praniu pieniędzy, osób uprawnionych z tytułu akcji na okaziciela.</w:t>
            </w:r>
          </w:p>
        </w:tc>
      </w:tr>
      <w:tr w:rsidR="00362E13" w:rsidRPr="00FF289E" w:rsidTr="000E415A">
        <w:trPr>
          <w:trHeight w:val="558"/>
        </w:trPr>
        <w:tc>
          <w:tcPr>
            <w:tcW w:w="572" w:type="dxa"/>
          </w:tcPr>
          <w:p w:rsidR="00421B63" w:rsidRPr="00FF289E" w:rsidRDefault="00421B63" w:rsidP="00790311">
            <w:pPr>
              <w:jc w:val="center"/>
              <w:rPr>
                <w:rFonts w:ascii="Times New Roman" w:eastAsia="MS Mincho" w:hAnsi="Times New Roman"/>
                <w:sz w:val="20"/>
                <w:szCs w:val="20"/>
              </w:rPr>
            </w:pPr>
            <w:r w:rsidRPr="00FF289E">
              <w:rPr>
                <w:rFonts w:ascii="Times New Roman" w:eastAsia="MS Mincho" w:hAnsi="Times New Roman"/>
                <w:sz w:val="20"/>
                <w:szCs w:val="20"/>
              </w:rPr>
              <w:lastRenderedPageBreak/>
              <w:t>2.</w:t>
            </w:r>
          </w:p>
        </w:tc>
        <w:tc>
          <w:tcPr>
            <w:tcW w:w="1379" w:type="dxa"/>
          </w:tcPr>
          <w:p w:rsidR="00421B63" w:rsidRPr="00FF289E" w:rsidRDefault="00C50125" w:rsidP="00790311">
            <w:pPr>
              <w:rPr>
                <w:rFonts w:ascii="Times New Roman" w:eastAsia="MS Mincho" w:hAnsi="Times New Roman"/>
                <w:b/>
                <w:sz w:val="20"/>
                <w:szCs w:val="20"/>
              </w:rPr>
            </w:pPr>
            <w:proofErr w:type="spellStart"/>
            <w:r w:rsidRPr="00FF289E">
              <w:rPr>
                <w:rFonts w:ascii="Times New Roman" w:eastAsia="MS Mincho" w:hAnsi="Times New Roman"/>
                <w:b/>
                <w:sz w:val="20"/>
                <w:szCs w:val="20"/>
              </w:rPr>
              <w:t>MGMiŻŚ</w:t>
            </w:r>
            <w:proofErr w:type="spellEnd"/>
          </w:p>
        </w:tc>
        <w:tc>
          <w:tcPr>
            <w:tcW w:w="2753" w:type="dxa"/>
          </w:tcPr>
          <w:p w:rsidR="00421B63" w:rsidRPr="00FF289E" w:rsidRDefault="003F4A57" w:rsidP="00FF289E">
            <w:pPr>
              <w:jc w:val="center"/>
              <w:rPr>
                <w:rFonts w:ascii="Times New Roman" w:eastAsia="MS Mincho" w:hAnsi="Times New Roman"/>
                <w:b/>
                <w:sz w:val="20"/>
                <w:szCs w:val="20"/>
              </w:rPr>
            </w:pPr>
            <w:r w:rsidRPr="00FF289E">
              <w:rPr>
                <w:rFonts w:ascii="Times New Roman" w:eastAsia="MS Mincho" w:hAnsi="Times New Roman"/>
                <w:b/>
                <w:sz w:val="20"/>
                <w:szCs w:val="20"/>
              </w:rPr>
              <w:t xml:space="preserve">Projektowany art. 328 </w:t>
            </w:r>
            <w:proofErr w:type="spellStart"/>
            <w:r w:rsidRPr="00FF289E">
              <w:rPr>
                <w:rFonts w:ascii="Times New Roman" w:eastAsia="MS Mincho" w:hAnsi="Times New Roman"/>
                <w:b/>
                <w:sz w:val="20"/>
                <w:szCs w:val="20"/>
              </w:rPr>
              <w:t>k.s.h</w:t>
            </w:r>
            <w:proofErr w:type="spellEnd"/>
            <w:r w:rsidRPr="00FF289E">
              <w:rPr>
                <w:rFonts w:ascii="Times New Roman" w:eastAsia="MS Mincho" w:hAnsi="Times New Roman"/>
                <w:b/>
                <w:sz w:val="20"/>
                <w:szCs w:val="20"/>
              </w:rPr>
              <w:t>.</w:t>
            </w:r>
          </w:p>
        </w:tc>
        <w:tc>
          <w:tcPr>
            <w:tcW w:w="5741" w:type="dxa"/>
          </w:tcPr>
          <w:p w:rsidR="000E415A" w:rsidRPr="00FF289E" w:rsidRDefault="000E415A"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t xml:space="preserve">Pod największą wątpliwość poddałbym koncepcję pozbawienia akcji formy materialnej (nowy art. 328 </w:t>
            </w:r>
            <w:proofErr w:type="spellStart"/>
            <w:r w:rsidRPr="00FF289E">
              <w:rPr>
                <w:rFonts w:ascii="Times New Roman" w:eastAsia="MS Mincho" w:hAnsi="Times New Roman"/>
                <w:iCs/>
                <w:sz w:val="20"/>
                <w:szCs w:val="20"/>
              </w:rPr>
              <w:t>k.s.h</w:t>
            </w:r>
            <w:proofErr w:type="spellEnd"/>
            <w:r w:rsidRPr="00FF289E">
              <w:rPr>
                <w:rFonts w:ascii="Times New Roman" w:eastAsia="MS Mincho" w:hAnsi="Times New Roman"/>
                <w:iCs/>
                <w:sz w:val="20"/>
                <w:szCs w:val="20"/>
              </w:rPr>
              <w:t xml:space="preserve">.), co wiąże się z przybraniem kierunku działań, zrównujących status spółek publicznych i niepublicznych. Ewentualne przyjęcie proponowanych rozwiązań wraz z resztą postanowień ujętych w projekcie, będzie się wiązać z powstaniem wspólnej definicji dematerializacji akcji i ustanowienia wspólnego źródła podstawy dematerializacji akcji wszystkich spółek akcyjnych (zarówno publicznych jak i niemających takiego charakteru), którym będzie – Kodeks spółek handlowych. </w:t>
            </w:r>
          </w:p>
          <w:p w:rsidR="000E415A" w:rsidRPr="00FF289E" w:rsidRDefault="000E415A" w:rsidP="00FF289E">
            <w:pPr>
              <w:jc w:val="both"/>
              <w:rPr>
                <w:rFonts w:ascii="Times New Roman" w:eastAsia="MS Mincho" w:hAnsi="Times New Roman"/>
                <w:iCs/>
                <w:sz w:val="20"/>
                <w:szCs w:val="20"/>
              </w:rPr>
            </w:pPr>
            <w:r w:rsidRPr="00FF289E">
              <w:rPr>
                <w:rFonts w:ascii="Times New Roman" w:eastAsia="MS Mincho" w:hAnsi="Times New Roman"/>
                <w:iCs/>
                <w:sz w:val="20"/>
                <w:szCs w:val="20"/>
                <w:u w:val="single"/>
              </w:rPr>
              <w:t>Tym samym, swój byt utraci wypracowany w polskim reżimie prawnym, klarowny podział na spółki publiczne i niepubliczne oraz stosowne rozróżnienie podstaw prawnych określających ich akcje</w:t>
            </w:r>
            <w:r w:rsidRPr="00FF289E">
              <w:rPr>
                <w:rFonts w:ascii="Times New Roman" w:eastAsia="MS Mincho" w:hAnsi="Times New Roman"/>
                <w:iCs/>
                <w:sz w:val="20"/>
                <w:szCs w:val="20"/>
              </w:rPr>
              <w:t>.</w:t>
            </w:r>
          </w:p>
          <w:p w:rsidR="00421B63" w:rsidRPr="00FF289E" w:rsidRDefault="000E415A" w:rsidP="00FF289E">
            <w:pPr>
              <w:jc w:val="both"/>
              <w:rPr>
                <w:rFonts w:ascii="Times New Roman" w:eastAsia="MS Mincho" w:hAnsi="Times New Roman"/>
                <w:sz w:val="20"/>
                <w:szCs w:val="20"/>
              </w:rPr>
            </w:pPr>
            <w:r w:rsidRPr="00FF289E">
              <w:rPr>
                <w:rFonts w:ascii="Times New Roman" w:eastAsia="MS Mincho" w:hAnsi="Times New Roman"/>
                <w:iCs/>
                <w:sz w:val="20"/>
                <w:szCs w:val="20"/>
              </w:rPr>
              <w:t xml:space="preserve">Brak spójnego podejścia przy uwzględnieniu wypracowanej na bazie </w:t>
            </w:r>
            <w:r w:rsidRPr="00FF289E">
              <w:rPr>
                <w:rFonts w:ascii="Times New Roman" w:eastAsia="MS Mincho" w:hAnsi="Times New Roman"/>
                <w:i/>
                <w:iCs/>
                <w:sz w:val="20"/>
                <w:szCs w:val="20"/>
              </w:rPr>
              <w:t xml:space="preserve">ustawy o obrocie instrumentami finansowymi </w:t>
            </w:r>
            <w:r w:rsidRPr="00FF289E">
              <w:rPr>
                <w:rFonts w:ascii="Times New Roman" w:eastAsia="MS Mincho" w:hAnsi="Times New Roman"/>
                <w:iCs/>
                <w:sz w:val="20"/>
                <w:szCs w:val="20"/>
              </w:rPr>
              <w:t>zasady dematerializacji akcji, będzie rodzić wątpliwości co do stosowania nowelizowanej ustawy, zwłaszcza w kontekście klasyfikacji spółek (publiczne, niepubliczne) oraz wynikających z tego praw i obowiązków dla spółek.</w:t>
            </w:r>
          </w:p>
        </w:tc>
        <w:tc>
          <w:tcPr>
            <w:tcW w:w="5169" w:type="dxa"/>
          </w:tcPr>
          <w:p w:rsidR="00244107" w:rsidRPr="00FF289E" w:rsidRDefault="00244107"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t xml:space="preserve">Uwaga ta nie jest zasadna. Należy jednak zauważyć, że tego typu wątpliwości były już podnoszone na wcześniejszym etapie.  Projekt nie zmierza do zrównania statusu spółek publicznych i niepublicznych; reżim prawny właściwy spółce publicznej nie zostanie w </w:t>
            </w:r>
            <w:r w:rsidR="00D620EB">
              <w:rPr>
                <w:rFonts w:ascii="Times New Roman" w:eastAsia="MS Mincho" w:hAnsi="Times New Roman"/>
                <w:iCs/>
                <w:sz w:val="20"/>
                <w:szCs w:val="20"/>
              </w:rPr>
              <w:t>żad</w:t>
            </w:r>
            <w:r w:rsidR="00D620EB" w:rsidRPr="00FF289E">
              <w:rPr>
                <w:rFonts w:ascii="Times New Roman" w:eastAsia="MS Mincho" w:hAnsi="Times New Roman"/>
                <w:iCs/>
                <w:sz w:val="20"/>
                <w:szCs w:val="20"/>
              </w:rPr>
              <w:t>e</w:t>
            </w:r>
            <w:r w:rsidR="00D620EB">
              <w:rPr>
                <w:rFonts w:ascii="Times New Roman" w:eastAsia="MS Mincho" w:hAnsi="Times New Roman"/>
                <w:iCs/>
                <w:sz w:val="20"/>
                <w:szCs w:val="20"/>
              </w:rPr>
              <w:t>n</w:t>
            </w:r>
            <w:r w:rsidR="00D620EB" w:rsidRPr="00FF289E">
              <w:rPr>
                <w:rFonts w:ascii="Times New Roman" w:eastAsia="MS Mincho" w:hAnsi="Times New Roman"/>
                <w:iCs/>
                <w:sz w:val="20"/>
                <w:szCs w:val="20"/>
              </w:rPr>
              <w:t xml:space="preserve"> </w:t>
            </w:r>
            <w:r w:rsidRPr="00FF289E">
              <w:rPr>
                <w:rFonts w:ascii="Times New Roman" w:eastAsia="MS Mincho" w:hAnsi="Times New Roman"/>
                <w:iCs/>
                <w:sz w:val="20"/>
                <w:szCs w:val="20"/>
              </w:rPr>
              <w:t xml:space="preserve">sposób naruszony poprzez wprowadzenie projektowanych zmian. </w:t>
            </w:r>
            <w:r w:rsidR="00D620EB" w:rsidRPr="00FF289E">
              <w:rPr>
                <w:rFonts w:ascii="Times New Roman" w:eastAsia="MS Mincho" w:hAnsi="Times New Roman"/>
                <w:iCs/>
                <w:sz w:val="20"/>
                <w:szCs w:val="20"/>
              </w:rPr>
              <w:t>Zmi</w:t>
            </w:r>
            <w:r w:rsidR="00D620EB">
              <w:rPr>
                <w:rFonts w:ascii="Times New Roman" w:eastAsia="MS Mincho" w:hAnsi="Times New Roman"/>
                <w:iCs/>
                <w:sz w:val="20"/>
                <w:szCs w:val="20"/>
              </w:rPr>
              <w:t>anie</w:t>
            </w:r>
            <w:r w:rsidR="00D620EB" w:rsidRPr="00FF289E">
              <w:rPr>
                <w:rFonts w:ascii="Times New Roman" w:eastAsia="MS Mincho" w:hAnsi="Times New Roman"/>
                <w:iCs/>
                <w:sz w:val="20"/>
                <w:szCs w:val="20"/>
              </w:rPr>
              <w:t xml:space="preserve"> </w:t>
            </w:r>
            <w:r w:rsidRPr="00FF289E">
              <w:rPr>
                <w:rFonts w:ascii="Times New Roman" w:eastAsia="MS Mincho" w:hAnsi="Times New Roman"/>
                <w:iCs/>
                <w:sz w:val="20"/>
                <w:szCs w:val="20"/>
              </w:rPr>
              <w:t>ulega wprawdzie definicja spółki publicznej, jednakże podział na spółki publiczne i nie będące spółkami publicznymi będzie nadal klarowny.</w:t>
            </w:r>
          </w:p>
          <w:p w:rsidR="00421B63" w:rsidRPr="00FF289E" w:rsidRDefault="00244107" w:rsidP="00FF289E">
            <w:pPr>
              <w:jc w:val="both"/>
              <w:rPr>
                <w:rFonts w:ascii="Times New Roman" w:eastAsia="MS Mincho" w:hAnsi="Times New Roman"/>
                <w:sz w:val="20"/>
                <w:szCs w:val="20"/>
              </w:rPr>
            </w:pPr>
            <w:r w:rsidRPr="00FF289E">
              <w:rPr>
                <w:rFonts w:ascii="Times New Roman" w:eastAsia="MS Mincho" w:hAnsi="Times New Roman"/>
                <w:iCs/>
                <w:sz w:val="20"/>
                <w:szCs w:val="20"/>
              </w:rPr>
              <w:t xml:space="preserve">Jednym z głównych celów projektu jest umożliwienie identyfikacji akcjonariuszy dla potrzeb podatkowych  i związanych z wykonaniem obowiązków wynikających z ustawy z 1 marca 2018 r. o przeciwdziałaniu praniu pieniędzy oraz finansowaniu terroryzmu. Zgodnie z przepisami ww. ustawy podmioty zobowiązane </w:t>
            </w:r>
            <w:r w:rsidRPr="00FF289E">
              <w:rPr>
                <w:rFonts w:ascii="Times New Roman" w:eastAsia="MS Mincho" w:hAnsi="Times New Roman"/>
                <w:iCs/>
                <w:sz w:val="20"/>
                <w:szCs w:val="20"/>
              </w:rPr>
              <w:br/>
              <w:t xml:space="preserve">(w tym podmioty kwalifikowane, uprawnione do prowadzenia rachunków papierów wartościowych) stosują wobec swoich klientów środki bezpieczeństwa finansowego. Zgodnie z art. 34 tej ustawy do takich środków zalicza się </w:t>
            </w:r>
            <w:r w:rsidRPr="00FF289E">
              <w:rPr>
                <w:rFonts w:ascii="Times New Roman" w:eastAsia="MS Mincho" w:hAnsi="Times New Roman"/>
                <w:sz w:val="20"/>
                <w:szCs w:val="20"/>
              </w:rPr>
              <w:t>identyfikację klienta oraz weryfikację jego tożsamości, a także identyfikację beneficjenta rzeczywistego. Tymczasem konstrukcja akcji na okaziciela nie umożliwia takiej identyfikacji.  Należy mieć również na uwadze, że proponowane rozwiązania są spó</w:t>
            </w:r>
            <w:r w:rsidRPr="00FF289E">
              <w:rPr>
                <w:rFonts w:ascii="Times New Roman" w:eastAsia="MS Mincho" w:hAnsi="Times New Roman"/>
                <w:iCs/>
                <w:sz w:val="20"/>
                <w:szCs w:val="20"/>
              </w:rPr>
              <w:t xml:space="preserve">jne z rozwiązaniami wypracowywanymi na forum UE. W przypadku identyfikacji akcjonariuszy spółek publicznych w tym miejscu wypada wskazać na konieczność implementacji do prawa krajowego </w:t>
            </w:r>
            <w:r w:rsidRPr="00FF289E">
              <w:rPr>
                <w:rFonts w:ascii="Times New Roman" w:eastAsia="MS Mincho" w:hAnsi="Times New Roman"/>
                <w:bCs/>
                <w:iCs/>
                <w:sz w:val="20"/>
                <w:szCs w:val="20"/>
              </w:rPr>
              <w:t>przepisów dyrektywy PE i Rady nr 2017/828/UE zmi</w:t>
            </w:r>
            <w:r w:rsidR="00E52DFA" w:rsidRPr="00FF289E">
              <w:rPr>
                <w:rFonts w:ascii="Times New Roman" w:eastAsia="MS Mincho" w:hAnsi="Times New Roman"/>
                <w:bCs/>
                <w:iCs/>
                <w:sz w:val="20"/>
                <w:szCs w:val="20"/>
              </w:rPr>
              <w:t xml:space="preserve">eniającej dyrektywę 2007/36/WE </w:t>
            </w:r>
            <w:r w:rsidRPr="00FF289E">
              <w:rPr>
                <w:rFonts w:ascii="Times New Roman" w:eastAsia="MS Mincho" w:hAnsi="Times New Roman"/>
                <w:bCs/>
                <w:iCs/>
                <w:sz w:val="20"/>
                <w:szCs w:val="20"/>
              </w:rPr>
              <w:t>w zakresie zachęcania akcjonariuszy do długoterminowego zaangażowania. Bez dematerializacji akcji nie będzie możliwości zrealizowania obowiązków wynikających z ww. przepisów. Ponadto, jak już wskazano dematerializacja akcji odpowiada na potrzeby i wyzwania XXI wieku, zaś szczegółowe korzyści płynące z tego procesu wskazano w uzasadnieniu do projektu (str. 8-10).</w:t>
            </w:r>
          </w:p>
        </w:tc>
      </w:tr>
      <w:tr w:rsidR="00362E13" w:rsidRPr="00FF289E" w:rsidTr="000E415A">
        <w:trPr>
          <w:trHeight w:val="425"/>
        </w:trPr>
        <w:tc>
          <w:tcPr>
            <w:tcW w:w="572" w:type="dxa"/>
          </w:tcPr>
          <w:p w:rsidR="00421B63" w:rsidRPr="00FF289E" w:rsidRDefault="008D19F2" w:rsidP="00790311">
            <w:pPr>
              <w:spacing w:line="276" w:lineRule="auto"/>
              <w:rPr>
                <w:rFonts w:ascii="Times New Roman" w:eastAsia="MS Mincho" w:hAnsi="Times New Roman"/>
                <w:sz w:val="20"/>
                <w:szCs w:val="20"/>
              </w:rPr>
            </w:pPr>
            <w:r w:rsidRPr="00FF289E">
              <w:rPr>
                <w:rFonts w:ascii="Times New Roman" w:eastAsia="MS Mincho" w:hAnsi="Times New Roman"/>
                <w:sz w:val="20"/>
                <w:szCs w:val="20"/>
              </w:rPr>
              <w:lastRenderedPageBreak/>
              <w:t>3.</w:t>
            </w:r>
          </w:p>
        </w:tc>
        <w:tc>
          <w:tcPr>
            <w:tcW w:w="1379" w:type="dxa"/>
          </w:tcPr>
          <w:p w:rsidR="00421B63" w:rsidRPr="00FF289E" w:rsidRDefault="008D19F2" w:rsidP="00790311">
            <w:pPr>
              <w:spacing w:line="276" w:lineRule="auto"/>
              <w:rPr>
                <w:rFonts w:ascii="Times New Roman" w:eastAsia="MS Mincho" w:hAnsi="Times New Roman"/>
                <w:b/>
                <w:sz w:val="20"/>
                <w:szCs w:val="20"/>
              </w:rPr>
            </w:pPr>
            <w:proofErr w:type="spellStart"/>
            <w:r w:rsidRPr="00FF289E">
              <w:rPr>
                <w:rFonts w:ascii="Times New Roman" w:eastAsia="MS Mincho" w:hAnsi="Times New Roman"/>
                <w:b/>
                <w:sz w:val="20"/>
                <w:szCs w:val="20"/>
              </w:rPr>
              <w:t>MGMiŻŚ</w:t>
            </w:r>
            <w:proofErr w:type="spellEnd"/>
          </w:p>
        </w:tc>
        <w:tc>
          <w:tcPr>
            <w:tcW w:w="2753" w:type="dxa"/>
          </w:tcPr>
          <w:p w:rsidR="00421B63" w:rsidRPr="00FF289E" w:rsidRDefault="008D19F2" w:rsidP="00FF289E">
            <w:pPr>
              <w:jc w:val="center"/>
              <w:rPr>
                <w:rFonts w:ascii="Times New Roman" w:eastAsia="MS Mincho" w:hAnsi="Times New Roman"/>
                <w:b/>
                <w:sz w:val="20"/>
                <w:szCs w:val="20"/>
              </w:rPr>
            </w:pPr>
            <w:r w:rsidRPr="00FF289E">
              <w:rPr>
                <w:rFonts w:ascii="Times New Roman" w:eastAsia="MS Mincho" w:hAnsi="Times New Roman"/>
                <w:b/>
                <w:sz w:val="20"/>
                <w:szCs w:val="20"/>
              </w:rPr>
              <w:t>Obowiązek prowadzenia rejestru akcjonariuszy</w:t>
            </w:r>
          </w:p>
        </w:tc>
        <w:tc>
          <w:tcPr>
            <w:tcW w:w="5741" w:type="dxa"/>
          </w:tcPr>
          <w:p w:rsidR="00421B63" w:rsidRPr="00FF289E" w:rsidRDefault="008D19F2" w:rsidP="00FF289E">
            <w:pPr>
              <w:jc w:val="both"/>
              <w:rPr>
                <w:rFonts w:ascii="Times New Roman" w:eastAsia="MS Mincho" w:hAnsi="Times New Roman"/>
                <w:sz w:val="20"/>
                <w:szCs w:val="20"/>
              </w:rPr>
            </w:pPr>
            <w:r w:rsidRPr="00FF289E">
              <w:rPr>
                <w:rFonts w:ascii="Times New Roman" w:eastAsia="MS Mincho" w:hAnsi="Times New Roman"/>
                <w:sz w:val="20"/>
                <w:szCs w:val="20"/>
              </w:rPr>
              <w:t>Trudny do oszacowania w potencjalnie negatywnych skutkach obowiązek; takie rozwiązanie będzie generować wysokie koszty, wyższe niż prowadzenie zwykłej księgi akcyjnej</w:t>
            </w:r>
            <w:r w:rsidR="00A70558" w:rsidRPr="00FF289E">
              <w:rPr>
                <w:rFonts w:ascii="Times New Roman" w:eastAsia="MS Mincho" w:hAnsi="Times New Roman"/>
                <w:sz w:val="20"/>
                <w:szCs w:val="20"/>
              </w:rPr>
              <w:t>. Dla wielu spółek takie rozwiązanie może oznaczać kłopoty finansowe.</w:t>
            </w:r>
          </w:p>
        </w:tc>
        <w:tc>
          <w:tcPr>
            <w:tcW w:w="5169" w:type="dxa"/>
          </w:tcPr>
          <w:p w:rsidR="00421B63" w:rsidRPr="00FF289E" w:rsidRDefault="00E52DFA" w:rsidP="00D620EB">
            <w:pPr>
              <w:jc w:val="both"/>
              <w:rPr>
                <w:rFonts w:ascii="Times New Roman" w:eastAsia="MS Mincho" w:hAnsi="Times New Roman"/>
                <w:sz w:val="20"/>
                <w:szCs w:val="20"/>
              </w:rPr>
            </w:pPr>
            <w:r w:rsidRPr="00FF289E">
              <w:rPr>
                <w:rFonts w:ascii="Times New Roman" w:hAnsi="Times New Roman"/>
                <w:sz w:val="20"/>
                <w:szCs w:val="20"/>
              </w:rPr>
              <w:t xml:space="preserve">Praktyka dowodzi, że dematerializacja akcji jest w ogólnym rozrachunku tańsza dla spółki niż reżim tradycyjny (akcje w postaci dokumentu i księga akcyjna). Należy zwrócić uwagę na koszty związane z „produkcją” i przechowywaniem akcji w formie papierowej, a z drugiej strony oszczędności generowane zwiększeniem bezpieczeństwa obrotu. Jak wynika z informacji przekazanych przez Izbę Domów Maklerskich dla spółek koszty związane z prowadzeniem rejestru akcjonariuszy mogą być zróżnicowane w zależności od konkretnych ustaleń umowy o prowadzenie rejestru, jednak podstawowy szacowany koszt  to opłata roczna rzędu 4-6 tys. zł. Nie wydaje się aby opłata w tej wysokości, w skali roku,  stanowiła dla spółki niemożliwy do poniesienia koszt. Można w tym przypadku choćby wskazać, iż spółki ponoszą rocznie o wiele wyższe opłaty już choćby z tytułu zatrudnienia pracownika „obsługującego” księgę akcyjną. Poza tym, należy zauważyć, iż w obowiązującym stanie prawnym księga akcyjna może zostać przekazana, zgodnie z art. 342 </w:t>
            </w:r>
            <w:proofErr w:type="spellStart"/>
            <w:r w:rsidRPr="00FF289E">
              <w:rPr>
                <w:rFonts w:ascii="Times New Roman" w:hAnsi="Times New Roman"/>
                <w:sz w:val="20"/>
                <w:szCs w:val="20"/>
              </w:rPr>
              <w:t>K.s.h</w:t>
            </w:r>
            <w:proofErr w:type="spellEnd"/>
            <w:r w:rsidRPr="00FF289E">
              <w:rPr>
                <w:rFonts w:ascii="Times New Roman" w:hAnsi="Times New Roman"/>
                <w:sz w:val="20"/>
                <w:szCs w:val="20"/>
              </w:rPr>
              <w:t>. do prowadzenia bankowi lub firmie inwestycyjnej. A zatem przynajmniej dla części spółek koszt prowadzenia rejestru akcjonariuszy nie będzie relatywnie wyższy. Poza tym, należy również zwrócić uwagę, iż na poziom opłat niewątpliwie będzie mieć wpływ konkurencja pomiędzy podmiotami kwalifikowanymi, które będą się starały ukształtować ofertę w sposób adekwatny do wymagań rynku i emitentów.</w:t>
            </w:r>
            <w:r w:rsidR="00A3457E" w:rsidRPr="00FF289E">
              <w:rPr>
                <w:rFonts w:ascii="Times New Roman" w:hAnsi="Times New Roman"/>
                <w:sz w:val="20"/>
                <w:szCs w:val="20"/>
              </w:rPr>
              <w:t xml:space="preserve"> Jak wynika z OSR</w:t>
            </w:r>
            <w:r w:rsidR="00D620EB">
              <w:rPr>
                <w:rFonts w:ascii="Times New Roman" w:hAnsi="Times New Roman"/>
                <w:sz w:val="20"/>
                <w:szCs w:val="20"/>
              </w:rPr>
              <w:t>,</w:t>
            </w:r>
            <w:r w:rsidR="00A3457E" w:rsidRPr="00FF289E">
              <w:rPr>
                <w:rFonts w:ascii="Times New Roman" w:hAnsi="Times New Roman"/>
                <w:sz w:val="20"/>
                <w:szCs w:val="20"/>
              </w:rPr>
              <w:t xml:space="preserve"> będzie wiele podmiot</w:t>
            </w:r>
            <w:r w:rsidR="00763EEA" w:rsidRPr="00FF289E">
              <w:rPr>
                <w:rFonts w:ascii="Times New Roman" w:hAnsi="Times New Roman"/>
                <w:sz w:val="20"/>
                <w:szCs w:val="20"/>
              </w:rPr>
              <w:t>ów, które sporządzą taką ofertę</w:t>
            </w:r>
            <w:r w:rsidR="00A3457E" w:rsidRPr="00FF289E">
              <w:rPr>
                <w:rFonts w:ascii="Times New Roman" w:hAnsi="Times New Roman"/>
                <w:sz w:val="20"/>
                <w:szCs w:val="20"/>
              </w:rPr>
              <w:t xml:space="preserve"> i, pomimo tego, że w pierwszym okr</w:t>
            </w:r>
            <w:r w:rsidR="00D620EB">
              <w:rPr>
                <w:rFonts w:ascii="Times New Roman" w:hAnsi="Times New Roman"/>
                <w:sz w:val="20"/>
                <w:szCs w:val="20"/>
              </w:rPr>
              <w:t xml:space="preserve">esie po wejściu w życie ustawy, </w:t>
            </w:r>
            <w:r w:rsidR="00362E13" w:rsidRPr="00FF289E">
              <w:rPr>
                <w:rFonts w:ascii="Times New Roman" w:hAnsi="Times New Roman"/>
                <w:sz w:val="20"/>
                <w:szCs w:val="20"/>
              </w:rPr>
              <w:t>opłaty</w:t>
            </w:r>
            <w:r w:rsidR="00A3457E" w:rsidRPr="00FF289E">
              <w:rPr>
                <w:rFonts w:ascii="Times New Roman" w:hAnsi="Times New Roman"/>
                <w:sz w:val="20"/>
                <w:szCs w:val="20"/>
              </w:rPr>
              <w:t xml:space="preserve"> </w:t>
            </w:r>
            <w:r w:rsidR="00763EEA" w:rsidRPr="00FF289E">
              <w:rPr>
                <w:rFonts w:ascii="Times New Roman" w:hAnsi="Times New Roman"/>
                <w:sz w:val="20"/>
                <w:szCs w:val="20"/>
              </w:rPr>
              <w:t>związane z prowadzeniem rejestru</w:t>
            </w:r>
            <w:r w:rsidR="00A3457E" w:rsidRPr="00FF289E">
              <w:rPr>
                <w:rFonts w:ascii="Times New Roman" w:hAnsi="Times New Roman"/>
                <w:sz w:val="20"/>
                <w:szCs w:val="20"/>
              </w:rPr>
              <w:t xml:space="preserve"> mogą być </w:t>
            </w:r>
            <w:r w:rsidR="00763EEA" w:rsidRPr="00FF289E">
              <w:rPr>
                <w:rFonts w:ascii="Times New Roman" w:hAnsi="Times New Roman"/>
                <w:sz w:val="20"/>
                <w:szCs w:val="20"/>
              </w:rPr>
              <w:t>zbliżone do zakład</w:t>
            </w:r>
            <w:r w:rsidR="00D620EB">
              <w:rPr>
                <w:rFonts w:ascii="Times New Roman" w:hAnsi="Times New Roman"/>
                <w:sz w:val="20"/>
                <w:szCs w:val="20"/>
              </w:rPr>
              <w:t xml:space="preserve">anych, to niewątpliwie </w:t>
            </w:r>
            <w:r w:rsidR="00763EEA" w:rsidRPr="00FF289E">
              <w:rPr>
                <w:rFonts w:ascii="Times New Roman" w:hAnsi="Times New Roman"/>
                <w:sz w:val="20"/>
                <w:szCs w:val="20"/>
              </w:rPr>
              <w:t>wielość podmiotów i konkurencja cenowa będą wywierać pozytywny wpływ na</w:t>
            </w:r>
            <w:r w:rsidRPr="00FF289E">
              <w:rPr>
                <w:rFonts w:ascii="Times New Roman" w:hAnsi="Times New Roman"/>
                <w:sz w:val="20"/>
                <w:szCs w:val="20"/>
              </w:rPr>
              <w:t xml:space="preserve"> </w:t>
            </w:r>
            <w:r w:rsidR="00362E13" w:rsidRPr="00FF289E">
              <w:rPr>
                <w:rFonts w:ascii="Times New Roman" w:hAnsi="Times New Roman"/>
                <w:sz w:val="20"/>
                <w:szCs w:val="20"/>
              </w:rPr>
              <w:t>ostateczny</w:t>
            </w:r>
            <w:r w:rsidRPr="00FF289E">
              <w:rPr>
                <w:rFonts w:ascii="Times New Roman" w:hAnsi="Times New Roman"/>
                <w:sz w:val="20"/>
                <w:szCs w:val="20"/>
              </w:rPr>
              <w:t xml:space="preserve"> </w:t>
            </w:r>
            <w:r w:rsidR="00362E13" w:rsidRPr="00FF289E">
              <w:rPr>
                <w:rFonts w:ascii="Times New Roman" w:hAnsi="Times New Roman"/>
                <w:sz w:val="20"/>
                <w:szCs w:val="20"/>
              </w:rPr>
              <w:t>poziom kosztów.</w:t>
            </w:r>
          </w:p>
        </w:tc>
      </w:tr>
      <w:tr w:rsidR="00362E13" w:rsidRPr="00FF289E" w:rsidTr="000E415A">
        <w:trPr>
          <w:trHeight w:val="425"/>
        </w:trPr>
        <w:tc>
          <w:tcPr>
            <w:tcW w:w="572" w:type="dxa"/>
          </w:tcPr>
          <w:p w:rsidR="00421B63" w:rsidRPr="00FF289E" w:rsidRDefault="00362E13" w:rsidP="00761EEB">
            <w:pPr>
              <w:spacing w:line="276" w:lineRule="auto"/>
              <w:rPr>
                <w:rFonts w:ascii="Times New Roman" w:eastAsia="MS Mincho" w:hAnsi="Times New Roman"/>
                <w:sz w:val="20"/>
                <w:szCs w:val="20"/>
              </w:rPr>
            </w:pPr>
            <w:r w:rsidRPr="00FF289E">
              <w:rPr>
                <w:rFonts w:ascii="Times New Roman" w:eastAsia="MS Mincho" w:hAnsi="Times New Roman"/>
                <w:sz w:val="20"/>
                <w:szCs w:val="20"/>
              </w:rPr>
              <w:t>4.</w:t>
            </w:r>
          </w:p>
        </w:tc>
        <w:tc>
          <w:tcPr>
            <w:tcW w:w="1379" w:type="dxa"/>
          </w:tcPr>
          <w:p w:rsidR="00421B63" w:rsidRPr="00FF289E" w:rsidRDefault="00761EEB" w:rsidP="00790311">
            <w:pPr>
              <w:spacing w:line="276" w:lineRule="auto"/>
              <w:rPr>
                <w:rFonts w:ascii="Times New Roman" w:eastAsia="MS Mincho" w:hAnsi="Times New Roman"/>
                <w:b/>
                <w:sz w:val="20"/>
                <w:szCs w:val="20"/>
              </w:rPr>
            </w:pPr>
            <w:proofErr w:type="spellStart"/>
            <w:r w:rsidRPr="00FF289E">
              <w:rPr>
                <w:rFonts w:ascii="Times New Roman" w:eastAsia="MS Mincho" w:hAnsi="Times New Roman"/>
                <w:b/>
                <w:sz w:val="20"/>
                <w:szCs w:val="20"/>
              </w:rPr>
              <w:t>MGMiŻŚ</w:t>
            </w:r>
            <w:proofErr w:type="spellEnd"/>
          </w:p>
        </w:tc>
        <w:tc>
          <w:tcPr>
            <w:tcW w:w="2753" w:type="dxa"/>
          </w:tcPr>
          <w:p w:rsidR="00421B63" w:rsidRPr="00FF289E" w:rsidRDefault="00761EEB" w:rsidP="00FF289E">
            <w:pPr>
              <w:jc w:val="center"/>
              <w:rPr>
                <w:rFonts w:ascii="Times New Roman" w:eastAsia="MS Mincho" w:hAnsi="Times New Roman"/>
                <w:b/>
                <w:sz w:val="20"/>
                <w:szCs w:val="20"/>
              </w:rPr>
            </w:pPr>
            <w:r w:rsidRPr="00FF289E">
              <w:rPr>
                <w:rFonts w:ascii="Times New Roman" w:eastAsia="MS Mincho" w:hAnsi="Times New Roman"/>
                <w:b/>
                <w:sz w:val="20"/>
                <w:szCs w:val="20"/>
              </w:rPr>
              <w:t xml:space="preserve">Konstrukcja prawna akcji rejestrowej  </w:t>
            </w:r>
          </w:p>
        </w:tc>
        <w:tc>
          <w:tcPr>
            <w:tcW w:w="5741" w:type="dxa"/>
          </w:tcPr>
          <w:p w:rsidR="00421B63" w:rsidRPr="00FF289E" w:rsidRDefault="00761EEB" w:rsidP="00FF289E">
            <w:pPr>
              <w:jc w:val="both"/>
              <w:rPr>
                <w:rFonts w:ascii="Times New Roman" w:eastAsia="MS Mincho" w:hAnsi="Times New Roman"/>
                <w:sz w:val="20"/>
                <w:szCs w:val="20"/>
              </w:rPr>
            </w:pPr>
            <w:r w:rsidRPr="00FF289E">
              <w:rPr>
                <w:rFonts w:ascii="Times New Roman" w:eastAsia="MS Mincho" w:hAnsi="Times New Roman"/>
                <w:iCs/>
                <w:sz w:val="20"/>
                <w:szCs w:val="20"/>
              </w:rPr>
              <w:t xml:space="preserve">Wysoce wątpliwy w swojej konstrukcji pozostaje również status akcji imiennych i na okaziciela, miejsce akcji </w:t>
            </w:r>
            <w:r w:rsidRPr="00FF289E">
              <w:rPr>
                <w:rFonts w:ascii="Times New Roman" w:eastAsia="MS Mincho" w:hAnsi="Times New Roman"/>
                <w:iCs/>
                <w:sz w:val="20"/>
                <w:szCs w:val="20"/>
              </w:rPr>
              <w:lastRenderedPageBreak/>
              <w:t>rejestrowych w katalogu akcji spółek akcyjnych, przepisy związane z nabyciem akcji rejestrowych i ustanawianiu na nich ograniczonych praw rzeczowych, pozbawienia akcjonariusza praw udziałowych czy przesłanki organizacji WZ spółki akcyjnej niepublicznej na zasadach dotyczących spółek publicznych.</w:t>
            </w:r>
          </w:p>
        </w:tc>
        <w:tc>
          <w:tcPr>
            <w:tcW w:w="5169" w:type="dxa"/>
          </w:tcPr>
          <w:p w:rsidR="00761EEB" w:rsidRPr="00FF289E" w:rsidRDefault="00761EEB"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lastRenderedPageBreak/>
              <w:t>Zasadniczym celem projektowanych zmian jest zmiana nośnik</w:t>
            </w:r>
            <w:r w:rsidR="00D620EB">
              <w:rPr>
                <w:rFonts w:ascii="Times New Roman" w:eastAsia="MS Mincho" w:hAnsi="Times New Roman"/>
                <w:iCs/>
                <w:sz w:val="20"/>
                <w:szCs w:val="20"/>
              </w:rPr>
              <w:t>a</w:t>
            </w:r>
            <w:r w:rsidRPr="00FF289E">
              <w:rPr>
                <w:rFonts w:ascii="Times New Roman" w:eastAsia="MS Mincho" w:hAnsi="Times New Roman"/>
                <w:iCs/>
                <w:sz w:val="20"/>
                <w:szCs w:val="20"/>
              </w:rPr>
              <w:t xml:space="preserve"> akcji jako prawa udziałowego, a nie </w:t>
            </w:r>
            <w:r w:rsidRPr="00FF289E">
              <w:rPr>
                <w:rFonts w:ascii="Times New Roman" w:eastAsia="MS Mincho" w:hAnsi="Times New Roman"/>
                <w:iCs/>
                <w:sz w:val="20"/>
                <w:szCs w:val="20"/>
              </w:rPr>
              <w:lastRenderedPageBreak/>
              <w:t>dokonywanie jeszcze głębszej zmiany systemowej w zakresie eliminacji podziału akcji na akcje na okaziciela i akcje imienne – jakkolwiek w wyniku proponowanej dematerializacji akcji podział na akcje imienne i na okaziciela straci na znaczeniu, to jednak wydaje się, że odejście od niego wymaga dalszych, pogłębionych analiz z punktu widzenia jego wpływu na stosunki w spółce i cały system prawa i dlatego też powinno być objęte kolejny etapem zmian legislacyjnych. Pozostawienie zatem podziału na akcje imienne i na akcje na okaziciela wynika z przyjętej metody regulacji.</w:t>
            </w:r>
          </w:p>
          <w:p w:rsidR="00761EEB" w:rsidRPr="00FF289E" w:rsidRDefault="00761EEB"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t>Należy mieć na uwadze, że uwaga została skonstruowana w sposób bardzo ogólny, dlatego też trudno jest się szczegółowo do niej odnieść; można jednak zauważyć, że cele regulacji, jak i kwestie dotyczące podniesionych w uwadze zagadnień wyjaśnione zostały w uzasadnieniu projektu.</w:t>
            </w:r>
          </w:p>
          <w:p w:rsidR="00421B63" w:rsidRPr="00FF289E" w:rsidRDefault="00761EEB" w:rsidP="00FF289E">
            <w:pPr>
              <w:jc w:val="both"/>
              <w:rPr>
                <w:rFonts w:ascii="Times New Roman" w:eastAsia="MS Mincho" w:hAnsi="Times New Roman"/>
                <w:b/>
                <w:sz w:val="20"/>
                <w:szCs w:val="20"/>
              </w:rPr>
            </w:pPr>
            <w:r w:rsidRPr="00FF289E">
              <w:rPr>
                <w:rFonts w:ascii="Times New Roman" w:eastAsia="MS Mincho" w:hAnsi="Times New Roman"/>
                <w:iCs/>
                <w:sz w:val="20"/>
                <w:szCs w:val="20"/>
              </w:rPr>
              <w:t>Jeśli chodzi o kwestię akcji rejestrowych</w:t>
            </w:r>
            <w:r w:rsidR="00034C53" w:rsidRPr="00FF289E">
              <w:rPr>
                <w:rFonts w:ascii="Times New Roman" w:eastAsia="MS Mincho" w:hAnsi="Times New Roman"/>
                <w:iCs/>
                <w:sz w:val="20"/>
                <w:szCs w:val="20"/>
              </w:rPr>
              <w:t xml:space="preserve"> </w:t>
            </w:r>
            <w:r w:rsidRPr="00FF289E">
              <w:rPr>
                <w:rFonts w:ascii="Times New Roman" w:eastAsia="MS Mincho" w:hAnsi="Times New Roman"/>
                <w:iCs/>
                <w:sz w:val="20"/>
                <w:szCs w:val="20"/>
              </w:rPr>
              <w:t>- to trzeba podkreślić, że mają być to akcje właściwe spółkom niepublicznym</w:t>
            </w:r>
            <w:r w:rsidR="00034C53" w:rsidRPr="00FF289E">
              <w:rPr>
                <w:rFonts w:ascii="Times New Roman" w:eastAsia="MS Mincho" w:hAnsi="Times New Roman"/>
                <w:iCs/>
                <w:sz w:val="20"/>
                <w:szCs w:val="20"/>
              </w:rPr>
              <w:t xml:space="preserve"> (</w:t>
            </w:r>
            <w:r w:rsidRPr="00FF289E">
              <w:rPr>
                <w:rFonts w:ascii="Times New Roman" w:eastAsia="MS Mincho" w:hAnsi="Times New Roman"/>
                <w:iCs/>
                <w:sz w:val="20"/>
                <w:szCs w:val="20"/>
              </w:rPr>
              <w:t>cecha akcji spółki niepublicznej).  Należy także zauważyć, iż projektowany art. 328</w:t>
            </w:r>
            <w:r w:rsidRPr="00FF289E">
              <w:rPr>
                <w:rFonts w:ascii="Times New Roman" w:eastAsia="MS Mincho" w:hAnsi="Times New Roman"/>
                <w:iCs/>
                <w:sz w:val="20"/>
                <w:szCs w:val="20"/>
                <w:vertAlign w:val="superscript"/>
              </w:rPr>
              <w:t>9</w:t>
            </w:r>
            <w:r w:rsidRPr="00FF289E">
              <w:rPr>
                <w:rFonts w:ascii="Times New Roman" w:eastAsia="MS Mincho" w:hAnsi="Times New Roman"/>
                <w:iCs/>
                <w:sz w:val="20"/>
                <w:szCs w:val="20"/>
              </w:rPr>
              <w:t xml:space="preserve"> </w:t>
            </w:r>
            <w:proofErr w:type="spellStart"/>
            <w:r w:rsidR="00094F99" w:rsidRPr="00FF289E">
              <w:rPr>
                <w:rFonts w:ascii="Times New Roman" w:eastAsia="MS Mincho" w:hAnsi="Times New Roman"/>
                <w:iCs/>
                <w:sz w:val="20"/>
                <w:szCs w:val="20"/>
              </w:rPr>
              <w:t>k.s.h</w:t>
            </w:r>
            <w:proofErr w:type="spellEnd"/>
            <w:r w:rsidR="00094F99" w:rsidRPr="00FF289E">
              <w:rPr>
                <w:rFonts w:ascii="Times New Roman" w:eastAsia="MS Mincho" w:hAnsi="Times New Roman"/>
                <w:iCs/>
                <w:sz w:val="20"/>
                <w:szCs w:val="20"/>
              </w:rPr>
              <w:t xml:space="preserve">. </w:t>
            </w:r>
            <w:r w:rsidRPr="00FF289E">
              <w:rPr>
                <w:rFonts w:ascii="Times New Roman" w:eastAsia="MS Mincho" w:hAnsi="Times New Roman"/>
                <w:iCs/>
                <w:sz w:val="20"/>
                <w:szCs w:val="20"/>
              </w:rPr>
              <w:t>oparty został na już istniejącej regulacji art. 7 ustawy o obrocie instrumentami finansowymi. Odnosząc się zaś do problematyki pozbawienia akcjonariusza praw udziałowych</w:t>
            </w:r>
            <w:r w:rsidR="00034C53" w:rsidRPr="00FF289E">
              <w:rPr>
                <w:rFonts w:ascii="Times New Roman" w:eastAsia="MS Mincho" w:hAnsi="Times New Roman"/>
                <w:iCs/>
                <w:sz w:val="20"/>
                <w:szCs w:val="20"/>
              </w:rPr>
              <w:t xml:space="preserve"> </w:t>
            </w:r>
            <w:r w:rsidR="005427D9" w:rsidRPr="00FF289E">
              <w:rPr>
                <w:rFonts w:ascii="Times New Roman" w:eastAsia="MS Mincho" w:hAnsi="Times New Roman"/>
                <w:iCs/>
                <w:sz w:val="20"/>
                <w:szCs w:val="20"/>
              </w:rPr>
              <w:t>–</w:t>
            </w:r>
            <w:r w:rsidRPr="00FF289E">
              <w:rPr>
                <w:rFonts w:ascii="Times New Roman" w:eastAsia="MS Mincho" w:hAnsi="Times New Roman"/>
                <w:iCs/>
                <w:sz w:val="20"/>
                <w:szCs w:val="20"/>
              </w:rPr>
              <w:t xml:space="preserve"> należy podkreślić, że w tym zakresie projekt nie wprowadza nowych w stosunku do obowiązujących rozwiązań</w:t>
            </w:r>
            <w:r w:rsidRPr="00FF289E">
              <w:rPr>
                <w:rFonts w:ascii="Times New Roman" w:eastAsia="MS Mincho" w:hAnsi="Times New Roman"/>
                <w:b/>
                <w:iCs/>
                <w:sz w:val="20"/>
                <w:szCs w:val="20"/>
              </w:rPr>
              <w:t>.</w:t>
            </w:r>
          </w:p>
        </w:tc>
      </w:tr>
      <w:tr w:rsidR="00642810" w:rsidRPr="00FF289E" w:rsidTr="000E415A">
        <w:trPr>
          <w:trHeight w:val="425"/>
        </w:trPr>
        <w:tc>
          <w:tcPr>
            <w:tcW w:w="572" w:type="dxa"/>
          </w:tcPr>
          <w:p w:rsidR="00642810" w:rsidRPr="00FF289E" w:rsidRDefault="00642810" w:rsidP="00761EEB">
            <w:pPr>
              <w:spacing w:line="276" w:lineRule="auto"/>
              <w:rPr>
                <w:rFonts w:ascii="Times New Roman" w:eastAsia="MS Mincho" w:hAnsi="Times New Roman"/>
                <w:sz w:val="20"/>
                <w:szCs w:val="20"/>
              </w:rPr>
            </w:pPr>
            <w:r w:rsidRPr="00FF289E">
              <w:rPr>
                <w:rFonts w:ascii="Times New Roman" w:eastAsia="MS Mincho" w:hAnsi="Times New Roman"/>
                <w:sz w:val="20"/>
                <w:szCs w:val="20"/>
              </w:rPr>
              <w:lastRenderedPageBreak/>
              <w:t>5.</w:t>
            </w:r>
          </w:p>
        </w:tc>
        <w:tc>
          <w:tcPr>
            <w:tcW w:w="1379" w:type="dxa"/>
          </w:tcPr>
          <w:p w:rsidR="00642810" w:rsidRPr="00FF289E" w:rsidRDefault="00642810" w:rsidP="00790311">
            <w:pPr>
              <w:spacing w:line="276" w:lineRule="auto"/>
              <w:rPr>
                <w:rFonts w:ascii="Times New Roman" w:eastAsia="MS Mincho" w:hAnsi="Times New Roman"/>
                <w:b/>
                <w:sz w:val="20"/>
                <w:szCs w:val="20"/>
              </w:rPr>
            </w:pPr>
            <w:proofErr w:type="spellStart"/>
            <w:r w:rsidRPr="00FF289E">
              <w:rPr>
                <w:rFonts w:ascii="Times New Roman" w:eastAsia="MS Mincho" w:hAnsi="Times New Roman"/>
                <w:b/>
                <w:sz w:val="20"/>
                <w:szCs w:val="20"/>
              </w:rPr>
              <w:t>MGMiŻŚ</w:t>
            </w:r>
            <w:proofErr w:type="spellEnd"/>
          </w:p>
        </w:tc>
        <w:tc>
          <w:tcPr>
            <w:tcW w:w="2753" w:type="dxa"/>
          </w:tcPr>
          <w:p w:rsidR="00642810" w:rsidRPr="00FF289E" w:rsidRDefault="00642810" w:rsidP="00FF289E">
            <w:pPr>
              <w:jc w:val="center"/>
              <w:rPr>
                <w:rFonts w:ascii="Times New Roman" w:eastAsia="MS Mincho" w:hAnsi="Times New Roman"/>
                <w:b/>
                <w:sz w:val="20"/>
                <w:szCs w:val="20"/>
              </w:rPr>
            </w:pPr>
            <w:r w:rsidRPr="00FF289E">
              <w:rPr>
                <w:rFonts w:ascii="Times New Roman" w:eastAsia="MS Mincho" w:hAnsi="Times New Roman"/>
                <w:b/>
                <w:sz w:val="20"/>
                <w:szCs w:val="20"/>
              </w:rPr>
              <w:t>Postulat szerszej analizy skutków regulacji</w:t>
            </w:r>
          </w:p>
        </w:tc>
        <w:tc>
          <w:tcPr>
            <w:tcW w:w="5741" w:type="dxa"/>
          </w:tcPr>
          <w:p w:rsidR="00642810" w:rsidRPr="00FF289E" w:rsidRDefault="00642810" w:rsidP="00FF289E">
            <w:pPr>
              <w:jc w:val="both"/>
              <w:rPr>
                <w:rFonts w:ascii="Times New Roman" w:hAnsi="Times New Roman"/>
                <w:sz w:val="20"/>
                <w:szCs w:val="20"/>
              </w:rPr>
            </w:pPr>
            <w:r w:rsidRPr="00FF289E">
              <w:rPr>
                <w:rFonts w:ascii="Times New Roman" w:hAnsi="Times New Roman"/>
                <w:sz w:val="20"/>
                <w:szCs w:val="20"/>
              </w:rPr>
              <w:t>Przy formułowaniu ocen skutków społecznych i finansowych widoczne powinny być szerokie dane dotyczące efektów ekonomicznych, wyliczenia co do liczby i rodzajów spółek (ich akcjonariuszy), przegląd rynku usług maklerskich, liczba podmiotów uprawnionych do prowadzenia rachunku papierów wartościowych, która będzie do dyspozycji spółek objętych obowiązkiem dematerializacji etc.</w:t>
            </w:r>
          </w:p>
        </w:tc>
        <w:tc>
          <w:tcPr>
            <w:tcW w:w="5169" w:type="dxa"/>
          </w:tcPr>
          <w:p w:rsidR="00094F99" w:rsidRPr="00FF289E" w:rsidRDefault="00642810" w:rsidP="00196369">
            <w:pPr>
              <w:jc w:val="both"/>
              <w:rPr>
                <w:rFonts w:ascii="Times New Roman" w:hAnsi="Times New Roman"/>
                <w:sz w:val="20"/>
                <w:szCs w:val="20"/>
              </w:rPr>
            </w:pPr>
            <w:r w:rsidRPr="00FF289E">
              <w:rPr>
                <w:rFonts w:ascii="Times New Roman" w:hAnsi="Times New Roman"/>
                <w:sz w:val="20"/>
                <w:szCs w:val="20"/>
              </w:rPr>
              <w:t xml:space="preserve">Kwestie te poddane zostały </w:t>
            </w:r>
            <w:r w:rsidR="00D620EB">
              <w:rPr>
                <w:rFonts w:ascii="Times New Roman" w:hAnsi="Times New Roman"/>
                <w:sz w:val="20"/>
                <w:szCs w:val="20"/>
              </w:rPr>
              <w:t>analizie</w:t>
            </w:r>
            <w:r w:rsidRPr="00FF289E">
              <w:rPr>
                <w:rFonts w:ascii="Times New Roman" w:hAnsi="Times New Roman"/>
                <w:sz w:val="20"/>
                <w:szCs w:val="20"/>
              </w:rPr>
              <w:t>, Ocena Skutków Regulacji do projektu zawiera dane, o których wspomina się w uwadze.</w:t>
            </w:r>
            <w:r w:rsidR="006C4949" w:rsidRPr="00FF289E">
              <w:rPr>
                <w:rFonts w:ascii="Times New Roman" w:hAnsi="Times New Roman"/>
                <w:sz w:val="20"/>
                <w:szCs w:val="20"/>
              </w:rPr>
              <w:t xml:space="preserve"> </w:t>
            </w:r>
          </w:p>
          <w:p w:rsidR="00094F99" w:rsidRPr="00FF289E" w:rsidRDefault="00094F99" w:rsidP="00196369">
            <w:pPr>
              <w:jc w:val="both"/>
              <w:rPr>
                <w:rFonts w:ascii="Times New Roman" w:hAnsi="Times New Roman"/>
                <w:sz w:val="20"/>
                <w:szCs w:val="20"/>
              </w:rPr>
            </w:pPr>
          </w:p>
          <w:p w:rsidR="00642810" w:rsidRPr="00FF289E" w:rsidRDefault="006C4949" w:rsidP="00196369">
            <w:pPr>
              <w:jc w:val="both"/>
              <w:rPr>
                <w:rFonts w:ascii="Times New Roman" w:hAnsi="Times New Roman"/>
                <w:sz w:val="20"/>
                <w:szCs w:val="20"/>
              </w:rPr>
            </w:pPr>
            <w:r w:rsidRPr="00FF289E">
              <w:rPr>
                <w:rFonts w:ascii="Times New Roman" w:hAnsi="Times New Roman"/>
                <w:sz w:val="20"/>
                <w:szCs w:val="20"/>
              </w:rPr>
              <w:t>Jeśli zaś chodzi o liczbę akcjonariuszy spółek, których dotyczyć będzie projekt, to należy zauważyć, iż brak jest danych umożliwiających takie wyliczenie, choćby poprzez fakt istnienia w obrocie akcji na okaziciela.</w:t>
            </w:r>
          </w:p>
        </w:tc>
      </w:tr>
      <w:tr w:rsidR="00642810" w:rsidRPr="00FF289E" w:rsidTr="000E415A">
        <w:trPr>
          <w:trHeight w:val="425"/>
        </w:trPr>
        <w:tc>
          <w:tcPr>
            <w:tcW w:w="572" w:type="dxa"/>
          </w:tcPr>
          <w:p w:rsidR="00642810" w:rsidRPr="00FF289E" w:rsidRDefault="00094F99" w:rsidP="00761EEB">
            <w:pPr>
              <w:spacing w:line="276" w:lineRule="auto"/>
              <w:rPr>
                <w:rFonts w:ascii="Times New Roman" w:eastAsia="MS Mincho" w:hAnsi="Times New Roman"/>
                <w:sz w:val="20"/>
                <w:szCs w:val="20"/>
              </w:rPr>
            </w:pPr>
            <w:r w:rsidRPr="00FF289E">
              <w:rPr>
                <w:rFonts w:ascii="Times New Roman" w:eastAsia="MS Mincho" w:hAnsi="Times New Roman"/>
                <w:sz w:val="20"/>
                <w:szCs w:val="20"/>
              </w:rPr>
              <w:t>6.</w:t>
            </w:r>
          </w:p>
        </w:tc>
        <w:tc>
          <w:tcPr>
            <w:tcW w:w="1379" w:type="dxa"/>
          </w:tcPr>
          <w:p w:rsidR="00642810" w:rsidRPr="00FF289E" w:rsidRDefault="00094F99" w:rsidP="00790311">
            <w:pPr>
              <w:spacing w:line="276" w:lineRule="auto"/>
              <w:rPr>
                <w:rFonts w:ascii="Times New Roman" w:eastAsia="MS Mincho" w:hAnsi="Times New Roman"/>
                <w:b/>
                <w:sz w:val="20"/>
                <w:szCs w:val="20"/>
              </w:rPr>
            </w:pPr>
            <w:r w:rsidRPr="00FF289E">
              <w:rPr>
                <w:rFonts w:ascii="Times New Roman" w:eastAsia="MS Mincho" w:hAnsi="Times New Roman"/>
                <w:b/>
                <w:sz w:val="20"/>
                <w:szCs w:val="20"/>
              </w:rPr>
              <w:t>RCL</w:t>
            </w:r>
          </w:p>
        </w:tc>
        <w:tc>
          <w:tcPr>
            <w:tcW w:w="2753" w:type="dxa"/>
          </w:tcPr>
          <w:p w:rsidR="00642810" w:rsidRPr="00FF289E" w:rsidRDefault="00094F99" w:rsidP="00FF289E">
            <w:pPr>
              <w:jc w:val="center"/>
              <w:rPr>
                <w:rFonts w:ascii="Times New Roman" w:eastAsia="MS Mincho" w:hAnsi="Times New Roman"/>
                <w:b/>
                <w:sz w:val="20"/>
                <w:szCs w:val="20"/>
              </w:rPr>
            </w:pPr>
            <w:r w:rsidRPr="00FF289E">
              <w:rPr>
                <w:rFonts w:ascii="Times New Roman" w:eastAsia="MS Mincho" w:hAnsi="Times New Roman"/>
                <w:b/>
                <w:iCs/>
                <w:sz w:val="20"/>
                <w:szCs w:val="20"/>
              </w:rPr>
              <w:t xml:space="preserve">Postulat rozważenia </w:t>
            </w:r>
            <w:r w:rsidR="00F50D33" w:rsidRPr="00FF289E">
              <w:rPr>
                <w:rFonts w:ascii="Times New Roman" w:eastAsia="MS Mincho" w:hAnsi="Times New Roman"/>
                <w:b/>
                <w:iCs/>
                <w:sz w:val="20"/>
                <w:szCs w:val="20"/>
              </w:rPr>
              <w:t>wprowadzenia d</w:t>
            </w:r>
            <w:r w:rsidRPr="00FF289E">
              <w:rPr>
                <w:rFonts w:ascii="Times New Roman" w:eastAsia="MS Mincho" w:hAnsi="Times New Roman"/>
                <w:b/>
                <w:iCs/>
                <w:sz w:val="20"/>
                <w:szCs w:val="20"/>
              </w:rPr>
              <w:t>efinicj</w:t>
            </w:r>
            <w:r w:rsidR="00F50D33" w:rsidRPr="00FF289E">
              <w:rPr>
                <w:rFonts w:ascii="Times New Roman" w:eastAsia="MS Mincho" w:hAnsi="Times New Roman"/>
                <w:b/>
                <w:iCs/>
                <w:sz w:val="20"/>
                <w:szCs w:val="20"/>
              </w:rPr>
              <w:t>i</w:t>
            </w:r>
            <w:r w:rsidRPr="00FF289E">
              <w:rPr>
                <w:rFonts w:ascii="Times New Roman" w:eastAsia="MS Mincho" w:hAnsi="Times New Roman"/>
                <w:b/>
                <w:iCs/>
                <w:sz w:val="20"/>
                <w:szCs w:val="20"/>
              </w:rPr>
              <w:t xml:space="preserve"> spółki niepublicznej </w:t>
            </w:r>
            <w:r w:rsidR="00F50D33" w:rsidRPr="00FF289E">
              <w:rPr>
                <w:rFonts w:ascii="Times New Roman" w:eastAsia="MS Mincho" w:hAnsi="Times New Roman"/>
                <w:b/>
                <w:iCs/>
                <w:sz w:val="20"/>
                <w:szCs w:val="20"/>
              </w:rPr>
              <w:t>(w</w:t>
            </w:r>
            <w:r w:rsidRPr="00FF289E">
              <w:rPr>
                <w:rFonts w:ascii="Times New Roman" w:eastAsia="MS Mincho" w:hAnsi="Times New Roman"/>
                <w:b/>
                <w:iCs/>
                <w:sz w:val="20"/>
                <w:szCs w:val="20"/>
              </w:rPr>
              <w:t xml:space="preserve"> art. </w:t>
            </w:r>
            <w:r w:rsidRPr="00FF289E">
              <w:rPr>
                <w:rFonts w:ascii="Times New Roman" w:eastAsia="MS Mincho" w:hAnsi="Times New Roman"/>
                <w:b/>
                <w:iCs/>
                <w:sz w:val="20"/>
                <w:szCs w:val="20"/>
              </w:rPr>
              <w:lastRenderedPageBreak/>
              <w:t xml:space="preserve">4 </w:t>
            </w:r>
            <w:proofErr w:type="spellStart"/>
            <w:r w:rsidRPr="00FF289E">
              <w:rPr>
                <w:rFonts w:ascii="Times New Roman" w:eastAsia="MS Mincho" w:hAnsi="Times New Roman"/>
                <w:b/>
                <w:iCs/>
                <w:sz w:val="20"/>
                <w:szCs w:val="20"/>
              </w:rPr>
              <w:t>k.s.h</w:t>
            </w:r>
            <w:proofErr w:type="spellEnd"/>
            <w:r w:rsidRPr="00FF289E">
              <w:rPr>
                <w:rFonts w:ascii="Times New Roman" w:eastAsia="MS Mincho" w:hAnsi="Times New Roman"/>
                <w:b/>
                <w:iCs/>
                <w:sz w:val="20"/>
                <w:szCs w:val="20"/>
              </w:rPr>
              <w:t>.</w:t>
            </w:r>
            <w:r w:rsidR="00F50D33" w:rsidRPr="00FF289E">
              <w:rPr>
                <w:rFonts w:ascii="Times New Roman" w:eastAsia="MS Mincho" w:hAnsi="Times New Roman"/>
                <w:b/>
                <w:iCs/>
                <w:sz w:val="20"/>
                <w:szCs w:val="20"/>
              </w:rPr>
              <w:t>)</w:t>
            </w:r>
          </w:p>
        </w:tc>
        <w:tc>
          <w:tcPr>
            <w:tcW w:w="5741" w:type="dxa"/>
          </w:tcPr>
          <w:p w:rsidR="00F50D33" w:rsidRPr="00FF289E" w:rsidRDefault="00F50D33"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lastRenderedPageBreak/>
              <w:t xml:space="preserve">Rozważenia wymaga uzupełnienie projektu ustawy o definicję spółki niepublicznej, która powinna zostać określona w art. 4 </w:t>
            </w:r>
            <w:proofErr w:type="spellStart"/>
            <w:r w:rsidRPr="00FF289E">
              <w:rPr>
                <w:rFonts w:ascii="Times New Roman" w:eastAsia="MS Mincho" w:hAnsi="Times New Roman"/>
                <w:iCs/>
                <w:sz w:val="20"/>
                <w:szCs w:val="20"/>
              </w:rPr>
              <w:t>K.s.h</w:t>
            </w:r>
            <w:proofErr w:type="spellEnd"/>
            <w:r w:rsidRPr="00FF289E">
              <w:rPr>
                <w:rFonts w:ascii="Times New Roman" w:eastAsia="MS Mincho" w:hAnsi="Times New Roman"/>
                <w:iCs/>
                <w:sz w:val="20"/>
                <w:szCs w:val="20"/>
              </w:rPr>
              <w:t xml:space="preserve">. – brak stosownej definicji może w </w:t>
            </w:r>
            <w:r w:rsidRPr="00FF289E">
              <w:rPr>
                <w:rFonts w:ascii="Times New Roman" w:eastAsia="MS Mincho" w:hAnsi="Times New Roman"/>
                <w:iCs/>
                <w:sz w:val="20"/>
                <w:szCs w:val="20"/>
              </w:rPr>
              <w:lastRenderedPageBreak/>
              <w:t>przyszłości rodzić problemy interpretacyjne. (…).</w:t>
            </w:r>
          </w:p>
          <w:p w:rsidR="00642810" w:rsidRPr="00FF289E" w:rsidRDefault="00642810" w:rsidP="00FF289E">
            <w:pPr>
              <w:jc w:val="both"/>
              <w:rPr>
                <w:rFonts w:ascii="Times New Roman" w:eastAsia="MS Mincho" w:hAnsi="Times New Roman"/>
                <w:iCs/>
                <w:sz w:val="20"/>
                <w:szCs w:val="20"/>
              </w:rPr>
            </w:pPr>
          </w:p>
          <w:p w:rsidR="00D435C7" w:rsidRPr="00FF289E" w:rsidRDefault="00D435C7" w:rsidP="00FF289E">
            <w:pPr>
              <w:jc w:val="both"/>
              <w:rPr>
                <w:rFonts w:ascii="Times New Roman" w:eastAsia="MS Mincho" w:hAnsi="Times New Roman"/>
                <w:iCs/>
                <w:sz w:val="20"/>
                <w:szCs w:val="20"/>
              </w:rPr>
            </w:pPr>
          </w:p>
          <w:p w:rsidR="00D435C7" w:rsidRPr="00FF289E" w:rsidRDefault="00D435C7" w:rsidP="00FF289E">
            <w:pPr>
              <w:jc w:val="both"/>
              <w:rPr>
                <w:rFonts w:ascii="Times New Roman" w:eastAsia="MS Mincho" w:hAnsi="Times New Roman"/>
                <w:iCs/>
                <w:sz w:val="20"/>
                <w:szCs w:val="20"/>
              </w:rPr>
            </w:pPr>
          </w:p>
          <w:p w:rsidR="00D435C7" w:rsidRPr="00FF289E" w:rsidRDefault="00D435C7" w:rsidP="00FF289E">
            <w:pPr>
              <w:jc w:val="both"/>
              <w:rPr>
                <w:rFonts w:ascii="Times New Roman" w:eastAsia="MS Mincho" w:hAnsi="Times New Roman"/>
                <w:iCs/>
                <w:sz w:val="20"/>
                <w:szCs w:val="20"/>
              </w:rPr>
            </w:pPr>
          </w:p>
          <w:p w:rsidR="00D435C7" w:rsidRPr="00FF289E" w:rsidRDefault="00D435C7" w:rsidP="00FF289E">
            <w:pPr>
              <w:jc w:val="both"/>
              <w:rPr>
                <w:rFonts w:ascii="Times New Roman" w:hAnsi="Times New Roman"/>
                <w:iCs/>
                <w:sz w:val="20"/>
                <w:szCs w:val="20"/>
              </w:rPr>
            </w:pPr>
            <w:r w:rsidRPr="00FF289E">
              <w:rPr>
                <w:rFonts w:ascii="Times New Roman" w:hAnsi="Times New Roman"/>
                <w:b/>
                <w:sz w:val="20"/>
                <w:szCs w:val="20"/>
              </w:rPr>
              <w:t>Z uwagi na proponowaną w art. 3 pkt 1 projektu definicję spółki publicznej wydaje się, że definicja ta konsumuje spółkę niepubliczną, o której mowa w projektowanym art. 328</w:t>
            </w:r>
            <w:r w:rsidRPr="00FF289E">
              <w:rPr>
                <w:rFonts w:ascii="Times New Roman" w:hAnsi="Times New Roman"/>
                <w:b/>
                <w:sz w:val="20"/>
                <w:szCs w:val="20"/>
                <w:vertAlign w:val="superscript"/>
              </w:rPr>
              <w:t>15</w:t>
            </w:r>
            <w:r w:rsidRPr="00FF289E">
              <w:rPr>
                <w:rFonts w:ascii="Times New Roman" w:hAnsi="Times New Roman"/>
                <w:b/>
                <w:sz w:val="20"/>
                <w:szCs w:val="20"/>
              </w:rPr>
              <w:t xml:space="preserve"> </w:t>
            </w:r>
            <w:proofErr w:type="spellStart"/>
            <w:r w:rsidRPr="00FF289E">
              <w:rPr>
                <w:rFonts w:ascii="Times New Roman" w:hAnsi="Times New Roman"/>
                <w:b/>
                <w:sz w:val="20"/>
                <w:szCs w:val="20"/>
              </w:rPr>
              <w:t>k.s.h</w:t>
            </w:r>
            <w:proofErr w:type="spellEnd"/>
            <w:r w:rsidRPr="00FF289E">
              <w:rPr>
                <w:rFonts w:ascii="Times New Roman" w:hAnsi="Times New Roman"/>
                <w:b/>
                <w:sz w:val="20"/>
                <w:szCs w:val="20"/>
              </w:rPr>
              <w:t>.</w:t>
            </w:r>
            <w:r w:rsidRPr="00FF289E">
              <w:rPr>
                <w:rFonts w:ascii="Times New Roman" w:hAnsi="Times New Roman"/>
                <w:sz w:val="20"/>
                <w:szCs w:val="20"/>
              </w:rPr>
              <w:t xml:space="preserve"> </w:t>
            </w:r>
          </w:p>
          <w:p w:rsidR="00D435C7" w:rsidRPr="00FF289E" w:rsidRDefault="00D435C7" w:rsidP="00FF289E">
            <w:pPr>
              <w:jc w:val="both"/>
              <w:rPr>
                <w:rFonts w:ascii="Times New Roman" w:eastAsia="MS Mincho" w:hAnsi="Times New Roman"/>
                <w:iCs/>
                <w:sz w:val="20"/>
                <w:szCs w:val="20"/>
              </w:rPr>
            </w:pPr>
            <w:r w:rsidRPr="00FF289E">
              <w:rPr>
                <w:rFonts w:ascii="Times New Roman" w:hAnsi="Times New Roman"/>
                <w:sz w:val="20"/>
                <w:szCs w:val="20"/>
                <w:u w:val="single"/>
              </w:rPr>
              <w:t>W tej sytuacji rozróżnienie statusu spółki niepublicznej, której akcje będą zarejestrowane w depozycie papierów wartościowych, od spółki publicznej – jest znacznie utrudnione</w:t>
            </w:r>
            <w:r w:rsidRPr="00FF289E">
              <w:rPr>
                <w:rFonts w:ascii="Times New Roman" w:hAnsi="Times New Roman"/>
                <w:sz w:val="20"/>
                <w:szCs w:val="20"/>
              </w:rPr>
              <w:t>. Kwestia ta wymaga doprecyzowania i szczegółowego omówienia w uzasadnieniu do projektu ustawy.</w:t>
            </w:r>
          </w:p>
        </w:tc>
        <w:tc>
          <w:tcPr>
            <w:tcW w:w="5169" w:type="dxa"/>
          </w:tcPr>
          <w:p w:rsidR="007E2347" w:rsidRPr="007E2347" w:rsidRDefault="007E2347" w:rsidP="00FF289E">
            <w:pPr>
              <w:jc w:val="both"/>
              <w:rPr>
                <w:rFonts w:ascii="Times New Roman" w:eastAsia="MS Mincho" w:hAnsi="Times New Roman"/>
                <w:b/>
                <w:iCs/>
                <w:sz w:val="20"/>
                <w:szCs w:val="20"/>
              </w:rPr>
            </w:pPr>
            <w:r w:rsidRPr="007E2347">
              <w:rPr>
                <w:rFonts w:ascii="Times New Roman" w:eastAsia="MS Mincho" w:hAnsi="Times New Roman"/>
                <w:b/>
                <w:iCs/>
                <w:sz w:val="20"/>
                <w:szCs w:val="20"/>
              </w:rPr>
              <w:lastRenderedPageBreak/>
              <w:t>Uwaga została wyjaśniona.</w:t>
            </w:r>
          </w:p>
          <w:p w:rsidR="00F50D33" w:rsidRPr="00FF289E" w:rsidRDefault="00F50D33" w:rsidP="00FF289E">
            <w:pPr>
              <w:jc w:val="both"/>
              <w:rPr>
                <w:rFonts w:ascii="Times New Roman" w:eastAsia="MS Mincho" w:hAnsi="Times New Roman"/>
                <w:iCs/>
                <w:sz w:val="20"/>
                <w:szCs w:val="20"/>
              </w:rPr>
            </w:pPr>
            <w:r w:rsidRPr="00FF289E">
              <w:rPr>
                <w:rFonts w:ascii="Times New Roman" w:eastAsia="MS Mincho" w:hAnsi="Times New Roman"/>
                <w:iCs/>
                <w:sz w:val="20"/>
                <w:szCs w:val="20"/>
              </w:rPr>
              <w:t>Kwestia ta nie budziła dotychczas wątpliwości; nie wydaje się, aby wprowadzanie definicji sp</w:t>
            </w:r>
            <w:r w:rsidR="00D620EB">
              <w:rPr>
                <w:rFonts w:ascii="Times New Roman" w:eastAsia="MS Mincho" w:hAnsi="Times New Roman"/>
                <w:iCs/>
                <w:sz w:val="20"/>
                <w:szCs w:val="20"/>
              </w:rPr>
              <w:t xml:space="preserve">ółki </w:t>
            </w:r>
            <w:r w:rsidR="00D620EB">
              <w:rPr>
                <w:rFonts w:ascii="Times New Roman" w:eastAsia="MS Mincho" w:hAnsi="Times New Roman"/>
                <w:iCs/>
                <w:sz w:val="20"/>
                <w:szCs w:val="20"/>
              </w:rPr>
              <w:lastRenderedPageBreak/>
              <w:t>niepublicznej było celowe.</w:t>
            </w:r>
            <w:r w:rsidRPr="00FF289E">
              <w:rPr>
                <w:rFonts w:ascii="Times New Roman" w:eastAsia="MS Mincho" w:hAnsi="Times New Roman"/>
                <w:iCs/>
                <w:sz w:val="20"/>
                <w:szCs w:val="20"/>
              </w:rPr>
              <w:t xml:space="preserve"> Jeśli jednak jest to bardziej czytelne z punktu widzenia zasad techniki legislacyjnej, to można zmienić metodę regulacji i zastąpić „spółkę niepubliczną” sformułowaniem „spółka nie będącą spółką publiczną”.</w:t>
            </w:r>
          </w:p>
          <w:p w:rsidR="00642810" w:rsidRPr="00FF289E" w:rsidRDefault="00642810" w:rsidP="00FF289E">
            <w:pPr>
              <w:jc w:val="both"/>
              <w:rPr>
                <w:rFonts w:ascii="Times New Roman" w:eastAsia="MS Mincho" w:hAnsi="Times New Roman"/>
                <w:iCs/>
                <w:sz w:val="20"/>
                <w:szCs w:val="20"/>
              </w:rPr>
            </w:pPr>
          </w:p>
          <w:p w:rsidR="00D435C7" w:rsidRPr="00FF289E" w:rsidRDefault="00D435C7" w:rsidP="00FF289E">
            <w:pPr>
              <w:jc w:val="both"/>
              <w:rPr>
                <w:rFonts w:ascii="Times New Roman" w:hAnsi="Times New Roman"/>
                <w:sz w:val="20"/>
                <w:szCs w:val="20"/>
              </w:rPr>
            </w:pPr>
            <w:r w:rsidRPr="00FF289E">
              <w:rPr>
                <w:rFonts w:ascii="Times New Roman" w:hAnsi="Times New Roman"/>
                <w:sz w:val="20"/>
                <w:szCs w:val="20"/>
              </w:rPr>
              <w:t>Należy zwrócić uwagę, że  obie sytuacje są rozłączne; art. 328</w:t>
            </w:r>
            <w:r w:rsidRPr="00FF289E">
              <w:rPr>
                <w:rFonts w:ascii="Times New Roman" w:hAnsi="Times New Roman"/>
                <w:sz w:val="20"/>
                <w:szCs w:val="20"/>
                <w:vertAlign w:val="superscript"/>
              </w:rPr>
              <w:t>15</w:t>
            </w:r>
            <w:r w:rsidRPr="00FF289E">
              <w:rPr>
                <w:rFonts w:ascii="Times New Roman" w:hAnsi="Times New Roman"/>
                <w:sz w:val="20"/>
                <w:szCs w:val="20"/>
              </w:rPr>
              <w:t xml:space="preserve"> </w:t>
            </w:r>
            <w:proofErr w:type="spellStart"/>
            <w:r w:rsidRPr="00FF289E">
              <w:rPr>
                <w:rFonts w:ascii="Times New Roman" w:hAnsi="Times New Roman"/>
                <w:sz w:val="20"/>
                <w:szCs w:val="20"/>
              </w:rPr>
              <w:t>k.s.h</w:t>
            </w:r>
            <w:proofErr w:type="spellEnd"/>
            <w:r w:rsidRPr="00FF289E">
              <w:rPr>
                <w:rFonts w:ascii="Times New Roman" w:hAnsi="Times New Roman"/>
                <w:sz w:val="20"/>
                <w:szCs w:val="20"/>
              </w:rPr>
              <w:t>. dotyczy spółki nie będącej spółką publiczną w rozumieniu polskiej ustawy, której akcje zostały dopuszczone  do  obrotu na rynku r</w:t>
            </w:r>
            <w:r w:rsidR="000F4ADC" w:rsidRPr="00FF289E">
              <w:rPr>
                <w:rFonts w:ascii="Times New Roman" w:hAnsi="Times New Roman"/>
                <w:sz w:val="20"/>
                <w:szCs w:val="20"/>
              </w:rPr>
              <w:t>egulowanym na terytorium innego</w:t>
            </w:r>
            <w:r w:rsidRPr="00FF289E">
              <w:rPr>
                <w:rFonts w:ascii="Times New Roman" w:hAnsi="Times New Roman"/>
                <w:sz w:val="20"/>
                <w:szCs w:val="20"/>
              </w:rPr>
              <w:t xml:space="preserve"> niż R</w:t>
            </w:r>
            <w:r w:rsidR="000F4ADC" w:rsidRPr="00FF289E">
              <w:rPr>
                <w:rFonts w:ascii="Times New Roman" w:hAnsi="Times New Roman"/>
                <w:sz w:val="20"/>
                <w:szCs w:val="20"/>
              </w:rPr>
              <w:t xml:space="preserve">zeczpospolita </w:t>
            </w:r>
            <w:r w:rsidRPr="00FF289E">
              <w:rPr>
                <w:rFonts w:ascii="Times New Roman" w:hAnsi="Times New Roman"/>
                <w:sz w:val="20"/>
                <w:szCs w:val="20"/>
              </w:rPr>
              <w:t>P</w:t>
            </w:r>
            <w:r w:rsidR="000F4ADC" w:rsidRPr="00FF289E">
              <w:rPr>
                <w:rFonts w:ascii="Times New Roman" w:hAnsi="Times New Roman"/>
                <w:sz w:val="20"/>
                <w:szCs w:val="20"/>
              </w:rPr>
              <w:t>olska</w:t>
            </w:r>
            <w:r w:rsidRPr="00FF289E">
              <w:rPr>
                <w:rFonts w:ascii="Times New Roman" w:hAnsi="Times New Roman"/>
                <w:sz w:val="20"/>
                <w:szCs w:val="20"/>
              </w:rPr>
              <w:t xml:space="preserve"> państwa członkowskiego UE lub państwa</w:t>
            </w:r>
            <w:r w:rsidR="00FF289E" w:rsidRPr="00FF289E">
              <w:rPr>
                <w:rFonts w:ascii="Times New Roman" w:hAnsi="Times New Roman"/>
                <w:sz w:val="20"/>
                <w:szCs w:val="20"/>
              </w:rPr>
              <w:t xml:space="preserve"> </w:t>
            </w:r>
            <w:r w:rsidRPr="00FF289E">
              <w:rPr>
                <w:rFonts w:ascii="Times New Roman" w:hAnsi="Times New Roman"/>
                <w:sz w:val="20"/>
                <w:szCs w:val="20"/>
              </w:rPr>
              <w:t>-</w:t>
            </w:r>
            <w:r w:rsidR="00FF289E" w:rsidRPr="00FF289E">
              <w:rPr>
                <w:rFonts w:ascii="Times New Roman" w:hAnsi="Times New Roman"/>
                <w:sz w:val="20"/>
                <w:szCs w:val="20"/>
              </w:rPr>
              <w:t xml:space="preserve"> </w:t>
            </w:r>
            <w:r w:rsidRPr="00FF289E">
              <w:rPr>
                <w:rFonts w:ascii="Times New Roman" w:hAnsi="Times New Roman"/>
                <w:sz w:val="20"/>
                <w:szCs w:val="20"/>
              </w:rPr>
              <w:t xml:space="preserve">strony umowy o EOG. Do takiej spółki przepisy o organizacji walnego zgromadzenia spółki publicznej mogą znaleźć zastosowanie jedynie odpowiednio.  </w:t>
            </w:r>
          </w:p>
          <w:p w:rsidR="00FF289E" w:rsidRPr="00FF289E" w:rsidRDefault="00FF289E" w:rsidP="00FF289E">
            <w:pPr>
              <w:jc w:val="both"/>
              <w:rPr>
                <w:rFonts w:ascii="Times New Roman" w:hAnsi="Times New Roman"/>
                <w:sz w:val="20"/>
                <w:szCs w:val="20"/>
              </w:rPr>
            </w:pPr>
          </w:p>
          <w:p w:rsidR="00D435C7" w:rsidRPr="00FF289E" w:rsidRDefault="00D435C7" w:rsidP="00E17F9E">
            <w:pPr>
              <w:jc w:val="both"/>
              <w:rPr>
                <w:rFonts w:ascii="Times New Roman" w:eastAsia="MS Mincho" w:hAnsi="Times New Roman"/>
                <w:iCs/>
                <w:sz w:val="20"/>
                <w:szCs w:val="20"/>
              </w:rPr>
            </w:pPr>
            <w:bookmarkStart w:id="0" w:name="_GoBack"/>
            <w:bookmarkEnd w:id="0"/>
          </w:p>
        </w:tc>
      </w:tr>
      <w:tr w:rsidR="00642810" w:rsidRPr="00FF289E" w:rsidTr="000E415A">
        <w:trPr>
          <w:trHeight w:val="425"/>
        </w:trPr>
        <w:tc>
          <w:tcPr>
            <w:tcW w:w="572" w:type="dxa"/>
          </w:tcPr>
          <w:p w:rsidR="00642810" w:rsidRPr="00FF289E" w:rsidRDefault="00F50D33" w:rsidP="00761EEB">
            <w:pPr>
              <w:spacing w:line="276" w:lineRule="auto"/>
              <w:rPr>
                <w:rFonts w:ascii="Times New Roman" w:eastAsia="MS Mincho" w:hAnsi="Times New Roman"/>
                <w:sz w:val="20"/>
                <w:szCs w:val="20"/>
              </w:rPr>
            </w:pPr>
            <w:r w:rsidRPr="00FF289E">
              <w:rPr>
                <w:rFonts w:ascii="Times New Roman" w:eastAsia="MS Mincho" w:hAnsi="Times New Roman"/>
                <w:sz w:val="20"/>
                <w:szCs w:val="20"/>
              </w:rPr>
              <w:lastRenderedPageBreak/>
              <w:t>7.</w:t>
            </w:r>
          </w:p>
        </w:tc>
        <w:tc>
          <w:tcPr>
            <w:tcW w:w="1379" w:type="dxa"/>
          </w:tcPr>
          <w:p w:rsidR="00642810" w:rsidRPr="00FF289E" w:rsidRDefault="00F50D33" w:rsidP="00790311">
            <w:pPr>
              <w:spacing w:line="276" w:lineRule="auto"/>
              <w:rPr>
                <w:rFonts w:ascii="Times New Roman" w:eastAsia="MS Mincho" w:hAnsi="Times New Roman"/>
                <w:b/>
                <w:sz w:val="20"/>
                <w:szCs w:val="20"/>
              </w:rPr>
            </w:pPr>
            <w:r w:rsidRPr="00FF289E">
              <w:rPr>
                <w:rFonts w:ascii="Times New Roman" w:eastAsia="MS Mincho" w:hAnsi="Times New Roman"/>
                <w:b/>
                <w:sz w:val="20"/>
                <w:szCs w:val="20"/>
              </w:rPr>
              <w:t>RCL</w:t>
            </w:r>
          </w:p>
        </w:tc>
        <w:tc>
          <w:tcPr>
            <w:tcW w:w="2753" w:type="dxa"/>
          </w:tcPr>
          <w:p w:rsidR="00642810" w:rsidRPr="00FF289E" w:rsidRDefault="007228EB"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 xml:space="preserve">Postulat rozdzielenia regulacji dotyczącej spółki publicznej i spółki niepublicznej </w:t>
            </w:r>
          </w:p>
        </w:tc>
        <w:tc>
          <w:tcPr>
            <w:tcW w:w="5741" w:type="dxa"/>
          </w:tcPr>
          <w:p w:rsidR="00642810" w:rsidRPr="00FF289E" w:rsidRDefault="00EC0485" w:rsidP="00790311">
            <w:pPr>
              <w:jc w:val="both"/>
              <w:rPr>
                <w:rFonts w:ascii="Times New Roman" w:eastAsia="MS Mincho" w:hAnsi="Times New Roman"/>
                <w:iCs/>
                <w:sz w:val="20"/>
                <w:szCs w:val="20"/>
              </w:rPr>
            </w:pPr>
            <w:r w:rsidRPr="00EC0485">
              <w:rPr>
                <w:rFonts w:ascii="Times New Roman" w:eastAsia="MS Mincho" w:hAnsi="Times New Roman"/>
                <w:iCs/>
                <w:sz w:val="20"/>
                <w:szCs w:val="20"/>
              </w:rPr>
              <w:t>Wskazuje na to np. treść projektowanego</w:t>
            </w:r>
            <w:r w:rsidRPr="00EC0485">
              <w:rPr>
                <w:rFonts w:ascii="Times New Roman" w:eastAsia="MS Mincho" w:hAnsi="Times New Roman"/>
                <w:b/>
                <w:iCs/>
                <w:sz w:val="20"/>
                <w:szCs w:val="20"/>
              </w:rPr>
              <w:t xml:space="preserve"> art. 348 § 3 </w:t>
            </w:r>
            <w:proofErr w:type="spellStart"/>
            <w:r w:rsidRPr="00EC0485">
              <w:rPr>
                <w:rFonts w:ascii="Times New Roman" w:eastAsia="MS Mincho" w:hAnsi="Times New Roman"/>
                <w:b/>
                <w:iCs/>
                <w:sz w:val="20"/>
                <w:szCs w:val="20"/>
              </w:rPr>
              <w:t>k.s.h</w:t>
            </w:r>
            <w:proofErr w:type="spellEnd"/>
            <w:r w:rsidRPr="00EC0485">
              <w:rPr>
                <w:rFonts w:ascii="Times New Roman" w:eastAsia="MS Mincho" w:hAnsi="Times New Roman"/>
                <w:iCs/>
                <w:sz w:val="20"/>
                <w:szCs w:val="20"/>
              </w:rPr>
              <w:t xml:space="preserve">., w którym wprowadzono rozróżnienie dnia dywidendy w spółce publicznej i w spółce niepublicznej, który ustalać będzie zwyczajne walne zgromadzenie. Powołany przepis </w:t>
            </w:r>
            <w:r w:rsidRPr="00EC0485">
              <w:rPr>
                <w:rFonts w:ascii="Times New Roman" w:eastAsia="MS Mincho" w:hAnsi="Times New Roman"/>
                <w:b/>
                <w:iCs/>
                <w:sz w:val="20"/>
                <w:szCs w:val="20"/>
              </w:rPr>
              <w:t>art. 328</w:t>
            </w:r>
            <w:r w:rsidRPr="00EC0485">
              <w:rPr>
                <w:rFonts w:ascii="Times New Roman" w:eastAsia="MS Mincho" w:hAnsi="Times New Roman"/>
                <w:b/>
                <w:iCs/>
                <w:sz w:val="20"/>
                <w:szCs w:val="20"/>
                <w:vertAlign w:val="superscript"/>
              </w:rPr>
              <w:t>15</w:t>
            </w:r>
            <w:r w:rsidRPr="00EC0485">
              <w:rPr>
                <w:rFonts w:ascii="Times New Roman" w:eastAsia="MS Mincho" w:hAnsi="Times New Roman"/>
                <w:b/>
                <w:iCs/>
                <w:sz w:val="20"/>
                <w:szCs w:val="20"/>
              </w:rPr>
              <w:t xml:space="preserve"> </w:t>
            </w:r>
            <w:proofErr w:type="spellStart"/>
            <w:r w:rsidRPr="00EC0485">
              <w:rPr>
                <w:rFonts w:ascii="Times New Roman" w:eastAsia="MS Mincho" w:hAnsi="Times New Roman"/>
                <w:b/>
                <w:iCs/>
                <w:sz w:val="20"/>
                <w:szCs w:val="20"/>
              </w:rPr>
              <w:t>k.s.h</w:t>
            </w:r>
            <w:proofErr w:type="spellEnd"/>
            <w:r w:rsidRPr="00EC0485">
              <w:rPr>
                <w:rFonts w:ascii="Times New Roman" w:eastAsia="MS Mincho" w:hAnsi="Times New Roman"/>
                <w:iCs/>
                <w:sz w:val="20"/>
                <w:szCs w:val="20"/>
              </w:rPr>
              <w:t xml:space="preserve">., jak również projektowany </w:t>
            </w:r>
            <w:r w:rsidRPr="00EC0485">
              <w:rPr>
                <w:rFonts w:ascii="Times New Roman" w:eastAsia="MS Mincho" w:hAnsi="Times New Roman"/>
                <w:b/>
                <w:iCs/>
                <w:sz w:val="20"/>
                <w:szCs w:val="20"/>
              </w:rPr>
              <w:t>art.</w:t>
            </w:r>
            <w:r>
              <w:rPr>
                <w:rFonts w:ascii="Times New Roman" w:eastAsia="MS Mincho" w:hAnsi="Times New Roman"/>
                <w:b/>
                <w:iCs/>
                <w:sz w:val="20"/>
                <w:szCs w:val="20"/>
              </w:rPr>
              <w:t xml:space="preserve"> </w:t>
            </w:r>
            <w:r w:rsidRPr="00EC0485">
              <w:rPr>
                <w:rFonts w:ascii="Times New Roman" w:eastAsia="MS Mincho" w:hAnsi="Times New Roman"/>
                <w:b/>
                <w:iCs/>
                <w:sz w:val="20"/>
                <w:szCs w:val="20"/>
              </w:rPr>
              <w:t>328</w:t>
            </w:r>
            <w:r w:rsidRPr="00EC0485">
              <w:rPr>
                <w:rFonts w:ascii="Times New Roman" w:eastAsia="MS Mincho" w:hAnsi="Times New Roman"/>
                <w:b/>
                <w:iCs/>
                <w:sz w:val="20"/>
                <w:szCs w:val="20"/>
                <w:vertAlign w:val="superscript"/>
              </w:rPr>
              <w:t>14</w:t>
            </w:r>
            <w:r w:rsidRPr="00EC0485">
              <w:rPr>
                <w:rFonts w:ascii="Times New Roman" w:eastAsia="MS Mincho" w:hAnsi="Times New Roman"/>
                <w:b/>
                <w:iCs/>
                <w:sz w:val="20"/>
                <w:szCs w:val="20"/>
              </w:rPr>
              <w:t xml:space="preserve"> </w:t>
            </w:r>
            <w:proofErr w:type="spellStart"/>
            <w:r w:rsidRPr="00EC0485">
              <w:rPr>
                <w:rFonts w:ascii="Times New Roman" w:eastAsia="MS Mincho" w:hAnsi="Times New Roman"/>
                <w:b/>
                <w:iCs/>
                <w:sz w:val="20"/>
                <w:szCs w:val="20"/>
              </w:rPr>
              <w:t>k.s.h</w:t>
            </w:r>
            <w:proofErr w:type="spellEnd"/>
            <w:r w:rsidRPr="00EC0485">
              <w:rPr>
                <w:rFonts w:ascii="Times New Roman" w:eastAsia="MS Mincho" w:hAnsi="Times New Roman"/>
                <w:iCs/>
                <w:sz w:val="20"/>
                <w:szCs w:val="20"/>
              </w:rPr>
              <w:t>. dotyczące spółki niepublicznej, której akcje są zarejestrowane w depozycie papierów wartościowych, odsyłają do stosowania przepisów o organizacji walnego zgromadzenia spółki publicznej.</w:t>
            </w:r>
          </w:p>
        </w:tc>
        <w:tc>
          <w:tcPr>
            <w:tcW w:w="5169" w:type="dxa"/>
          </w:tcPr>
          <w:p w:rsidR="00BD5804" w:rsidRPr="00E17F9E" w:rsidRDefault="00EC0485" w:rsidP="00BD5804">
            <w:pPr>
              <w:jc w:val="both"/>
              <w:rPr>
                <w:rFonts w:ascii="Times New Roman" w:eastAsia="MS Mincho" w:hAnsi="Times New Roman"/>
                <w:b/>
                <w:iCs/>
                <w:sz w:val="20"/>
                <w:szCs w:val="20"/>
              </w:rPr>
            </w:pPr>
            <w:r w:rsidRPr="00E17F9E">
              <w:rPr>
                <w:rFonts w:ascii="Times New Roman" w:eastAsia="MS Mincho" w:hAnsi="Times New Roman"/>
                <w:b/>
                <w:iCs/>
                <w:sz w:val="20"/>
                <w:szCs w:val="20"/>
              </w:rPr>
              <w:t xml:space="preserve">Uwaga </w:t>
            </w:r>
            <w:r w:rsidR="00BD5804" w:rsidRPr="00E17F9E">
              <w:rPr>
                <w:rFonts w:ascii="Times New Roman" w:eastAsia="MS Mincho" w:hAnsi="Times New Roman"/>
                <w:b/>
                <w:iCs/>
                <w:sz w:val="20"/>
                <w:szCs w:val="20"/>
              </w:rPr>
              <w:t>częściowo uwzględniona.</w:t>
            </w:r>
          </w:p>
          <w:p w:rsidR="00642810" w:rsidRPr="00E17F9E" w:rsidRDefault="00D620EB" w:rsidP="00CB6E13">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 </w:t>
            </w:r>
            <w:r w:rsidR="00EC0485" w:rsidRPr="00E17F9E">
              <w:rPr>
                <w:rFonts w:ascii="Times New Roman" w:eastAsia="MS Mincho" w:hAnsi="Times New Roman"/>
                <w:iCs/>
                <w:sz w:val="20"/>
                <w:szCs w:val="20"/>
              </w:rPr>
              <w:t>Nie wydaje się aby przepis wymagał zmiany struktury; w § 2 określono zasadę w za</w:t>
            </w:r>
            <w:r w:rsidR="00565474" w:rsidRPr="00E17F9E">
              <w:rPr>
                <w:rFonts w:ascii="Times New Roman" w:eastAsia="MS Mincho" w:hAnsi="Times New Roman"/>
                <w:iCs/>
                <w:sz w:val="20"/>
                <w:szCs w:val="20"/>
              </w:rPr>
              <w:t>kresie ustalania dnia dywidendy zaś w</w:t>
            </w:r>
            <w:r w:rsidR="00EC0485" w:rsidRPr="00E17F9E">
              <w:rPr>
                <w:rFonts w:ascii="Times New Roman" w:eastAsia="MS Mincho" w:hAnsi="Times New Roman"/>
                <w:iCs/>
                <w:sz w:val="20"/>
                <w:szCs w:val="20"/>
              </w:rPr>
              <w:t xml:space="preserve"> § 3 zasadę, że w spółce publicznej i w spółce niepublicznej, której akcje są zarejestrowane w depozycie papierów wartościowych (a więc w spółce w reżimie publicznej organizacji WZA) dzień dywidendy ustala zwyczajne walne zgromadzenie. Z kolei </w:t>
            </w:r>
            <w:r w:rsidR="00565474" w:rsidRPr="00E17F9E">
              <w:rPr>
                <w:rFonts w:ascii="Times New Roman" w:eastAsia="MS Mincho" w:hAnsi="Times New Roman"/>
                <w:iCs/>
                <w:sz w:val="20"/>
                <w:szCs w:val="20"/>
              </w:rPr>
              <w:t>projektowany</w:t>
            </w:r>
            <w:r w:rsidR="00EC0485" w:rsidRPr="00E17F9E">
              <w:rPr>
                <w:rFonts w:ascii="Times New Roman" w:eastAsia="MS Mincho" w:hAnsi="Times New Roman"/>
                <w:iCs/>
                <w:sz w:val="20"/>
                <w:szCs w:val="20"/>
              </w:rPr>
              <w:t xml:space="preserve"> § 4 odnosi się do ram czasowych, w jakich można ustalić dzień dywidendy.  Wreszcie w § 5 wskazuje się termin, w jakim można wypłacić dywidendę we wszystkich spółkach.</w:t>
            </w:r>
            <w:r w:rsidR="00565474" w:rsidRPr="00E17F9E">
              <w:rPr>
                <w:rFonts w:ascii="Times New Roman" w:eastAsia="MS Mincho" w:hAnsi="Times New Roman"/>
                <w:iCs/>
                <w:sz w:val="20"/>
                <w:szCs w:val="20"/>
              </w:rPr>
              <w:t xml:space="preserve"> </w:t>
            </w:r>
            <w:r w:rsidR="00EC0485" w:rsidRPr="00E17F9E">
              <w:rPr>
                <w:rFonts w:ascii="Times New Roman" w:eastAsia="MS Mincho" w:hAnsi="Times New Roman"/>
                <w:iCs/>
                <w:sz w:val="20"/>
                <w:szCs w:val="20"/>
              </w:rPr>
              <w:t xml:space="preserve">Problematyczne może </w:t>
            </w:r>
            <w:r w:rsidR="004708CC" w:rsidRPr="00E17F9E">
              <w:rPr>
                <w:rFonts w:ascii="Times New Roman" w:eastAsia="MS Mincho" w:hAnsi="Times New Roman"/>
                <w:iCs/>
                <w:sz w:val="20"/>
                <w:szCs w:val="20"/>
              </w:rPr>
              <w:t>wydawać się</w:t>
            </w:r>
            <w:r w:rsidR="00EC0485" w:rsidRPr="00E17F9E">
              <w:rPr>
                <w:rFonts w:ascii="Times New Roman" w:eastAsia="MS Mincho" w:hAnsi="Times New Roman"/>
                <w:iCs/>
                <w:sz w:val="20"/>
                <w:szCs w:val="20"/>
              </w:rPr>
              <w:t xml:space="preserve"> jedynie sformułowanie w § 2 odnoszące się do słów </w:t>
            </w:r>
            <w:r w:rsidR="00EC0485" w:rsidRPr="00E17F9E">
              <w:rPr>
                <w:rFonts w:ascii="Times New Roman" w:eastAsia="MS Mincho" w:hAnsi="Times New Roman"/>
                <w:iCs/>
                <w:sz w:val="20"/>
                <w:szCs w:val="20"/>
              </w:rPr>
              <w:br/>
              <w:t xml:space="preserve">„której akcje nie są zarejestrowane w depozycie papierów wartościowych (...) – </w:t>
            </w:r>
            <w:r w:rsidR="00CB6E13" w:rsidRPr="00E17F9E">
              <w:rPr>
                <w:rFonts w:ascii="Times New Roman" w:eastAsia="MS Mincho" w:hAnsi="Times New Roman"/>
                <w:b/>
                <w:iCs/>
                <w:sz w:val="20"/>
                <w:szCs w:val="20"/>
              </w:rPr>
              <w:t>w tym zakresie zostanie zmieniona redakcja przepisu w § 2.</w:t>
            </w:r>
          </w:p>
        </w:tc>
      </w:tr>
      <w:tr w:rsidR="00642810" w:rsidRPr="00FF289E" w:rsidTr="000E415A">
        <w:trPr>
          <w:trHeight w:val="425"/>
        </w:trPr>
        <w:tc>
          <w:tcPr>
            <w:tcW w:w="572" w:type="dxa"/>
          </w:tcPr>
          <w:p w:rsidR="00642810" w:rsidRPr="00FF289E" w:rsidRDefault="00EA47E1" w:rsidP="00761EEB">
            <w:pPr>
              <w:spacing w:line="276" w:lineRule="auto"/>
              <w:rPr>
                <w:rFonts w:ascii="Times New Roman" w:eastAsia="MS Mincho" w:hAnsi="Times New Roman"/>
                <w:sz w:val="20"/>
                <w:szCs w:val="20"/>
              </w:rPr>
            </w:pPr>
            <w:r>
              <w:rPr>
                <w:rFonts w:ascii="Times New Roman" w:eastAsia="MS Mincho" w:hAnsi="Times New Roman"/>
                <w:sz w:val="20"/>
                <w:szCs w:val="20"/>
              </w:rPr>
              <w:t>8.</w:t>
            </w:r>
          </w:p>
        </w:tc>
        <w:tc>
          <w:tcPr>
            <w:tcW w:w="1379" w:type="dxa"/>
          </w:tcPr>
          <w:p w:rsidR="00642810" w:rsidRPr="00FF289E" w:rsidRDefault="00EA47E1" w:rsidP="00790311">
            <w:pPr>
              <w:spacing w:line="276" w:lineRule="auto"/>
              <w:rPr>
                <w:rFonts w:ascii="Times New Roman" w:eastAsia="MS Mincho" w:hAnsi="Times New Roman"/>
                <w:b/>
                <w:sz w:val="20"/>
                <w:szCs w:val="20"/>
              </w:rPr>
            </w:pPr>
            <w:r>
              <w:rPr>
                <w:rFonts w:ascii="Times New Roman" w:eastAsia="MS Mincho" w:hAnsi="Times New Roman"/>
                <w:b/>
                <w:sz w:val="20"/>
                <w:szCs w:val="20"/>
              </w:rPr>
              <w:t>RCL</w:t>
            </w:r>
          </w:p>
        </w:tc>
        <w:tc>
          <w:tcPr>
            <w:tcW w:w="2753" w:type="dxa"/>
          </w:tcPr>
          <w:p w:rsidR="00642810" w:rsidRPr="00FF289E" w:rsidRDefault="00EA47E1"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 xml:space="preserve">art. 1 pkt 1 projektu </w:t>
            </w:r>
            <w:r>
              <w:rPr>
                <w:rFonts w:ascii="Times New Roman" w:eastAsia="MS Mincho" w:hAnsi="Times New Roman"/>
                <w:b/>
                <w:sz w:val="20"/>
                <w:szCs w:val="20"/>
              </w:rPr>
              <w:br/>
              <w:t xml:space="preserve">(zmiana w art. 5 </w:t>
            </w:r>
            <w:proofErr w:type="spellStart"/>
            <w:r>
              <w:rPr>
                <w:rFonts w:ascii="Times New Roman" w:eastAsia="MS Mincho" w:hAnsi="Times New Roman"/>
                <w:b/>
                <w:sz w:val="20"/>
                <w:szCs w:val="20"/>
              </w:rPr>
              <w:t>k.s.h</w:t>
            </w:r>
            <w:proofErr w:type="spellEnd"/>
            <w:r>
              <w:rPr>
                <w:rFonts w:ascii="Times New Roman" w:eastAsia="MS Mincho" w:hAnsi="Times New Roman"/>
                <w:b/>
                <w:sz w:val="20"/>
                <w:szCs w:val="20"/>
              </w:rPr>
              <w:t>.)</w:t>
            </w:r>
          </w:p>
        </w:tc>
        <w:tc>
          <w:tcPr>
            <w:tcW w:w="5741" w:type="dxa"/>
          </w:tcPr>
          <w:p w:rsidR="00642810" w:rsidRPr="00FF289E" w:rsidRDefault="000D6726" w:rsidP="00790311">
            <w:pPr>
              <w:jc w:val="both"/>
              <w:rPr>
                <w:rFonts w:ascii="Times New Roman" w:eastAsia="MS Mincho" w:hAnsi="Times New Roman"/>
                <w:iCs/>
                <w:sz w:val="20"/>
                <w:szCs w:val="20"/>
              </w:rPr>
            </w:pPr>
            <w:r w:rsidRPr="000D6726">
              <w:rPr>
                <w:rFonts w:ascii="Times New Roman" w:eastAsia="MS Mincho" w:hAnsi="Times New Roman"/>
                <w:iCs/>
                <w:sz w:val="20"/>
                <w:szCs w:val="20"/>
              </w:rPr>
              <w:t>W związku z wprowadzeniem obowiązku prowadzenia przez każdą spółkę akcyjną własnej strony internetowej wyjaśnienia wymaga pozostawienie obligatoryjnego katalogu informacji zamieszczanych na tej stronie, określonego w art. 402</w:t>
            </w:r>
            <w:r w:rsidRPr="000D6726">
              <w:rPr>
                <w:rFonts w:ascii="Times New Roman" w:eastAsia="MS Mincho" w:hAnsi="Times New Roman"/>
                <w:iCs/>
                <w:sz w:val="20"/>
                <w:szCs w:val="20"/>
                <w:vertAlign w:val="superscript"/>
              </w:rPr>
              <w:t xml:space="preserve">3 </w:t>
            </w:r>
            <w:r w:rsidRPr="000D6726">
              <w:rPr>
                <w:rFonts w:ascii="Times New Roman" w:eastAsia="MS Mincho" w:hAnsi="Times New Roman"/>
                <w:iCs/>
                <w:sz w:val="20"/>
                <w:szCs w:val="20"/>
              </w:rPr>
              <w:t xml:space="preserve">§ 1 </w:t>
            </w:r>
            <w:proofErr w:type="spellStart"/>
            <w:r w:rsidRPr="000D6726">
              <w:rPr>
                <w:rFonts w:ascii="Times New Roman" w:eastAsia="MS Mincho" w:hAnsi="Times New Roman"/>
                <w:iCs/>
                <w:sz w:val="20"/>
                <w:szCs w:val="20"/>
              </w:rPr>
              <w:t>k.s.h</w:t>
            </w:r>
            <w:proofErr w:type="spellEnd"/>
            <w:r w:rsidRPr="000D6726">
              <w:rPr>
                <w:rFonts w:ascii="Times New Roman" w:eastAsia="MS Mincho" w:hAnsi="Times New Roman"/>
                <w:iCs/>
                <w:sz w:val="20"/>
                <w:szCs w:val="20"/>
              </w:rPr>
              <w:t xml:space="preserve">., </w:t>
            </w:r>
            <w:r w:rsidRPr="000D6726">
              <w:rPr>
                <w:rFonts w:ascii="Times New Roman" w:eastAsia="MS Mincho" w:hAnsi="Times New Roman"/>
                <w:iCs/>
                <w:sz w:val="20"/>
                <w:szCs w:val="20"/>
                <w:u w:val="single"/>
              </w:rPr>
              <w:t xml:space="preserve">tylko do spółki </w:t>
            </w:r>
            <w:r w:rsidRPr="000D6726">
              <w:rPr>
                <w:rFonts w:ascii="Times New Roman" w:eastAsia="MS Mincho" w:hAnsi="Times New Roman"/>
                <w:iCs/>
                <w:sz w:val="20"/>
                <w:szCs w:val="20"/>
                <w:u w:val="single"/>
              </w:rPr>
              <w:lastRenderedPageBreak/>
              <w:t>publicznej.</w:t>
            </w:r>
          </w:p>
        </w:tc>
        <w:tc>
          <w:tcPr>
            <w:tcW w:w="5169" w:type="dxa"/>
          </w:tcPr>
          <w:p w:rsidR="00AA4AFF" w:rsidRPr="00E17F9E" w:rsidRDefault="00AA4AFF" w:rsidP="00FF7661">
            <w:pPr>
              <w:jc w:val="both"/>
              <w:rPr>
                <w:rFonts w:ascii="Times New Roman" w:eastAsia="MS Mincho" w:hAnsi="Times New Roman"/>
                <w:b/>
                <w:iCs/>
                <w:sz w:val="20"/>
                <w:szCs w:val="20"/>
              </w:rPr>
            </w:pPr>
            <w:r w:rsidRPr="00E17F9E">
              <w:rPr>
                <w:rFonts w:ascii="Times New Roman" w:eastAsia="MS Mincho" w:hAnsi="Times New Roman"/>
                <w:b/>
                <w:iCs/>
                <w:sz w:val="20"/>
                <w:szCs w:val="20"/>
              </w:rPr>
              <w:lastRenderedPageBreak/>
              <w:t>Uwaga została wyjaśniona na konferencji uzgodnieniowej.</w:t>
            </w:r>
          </w:p>
          <w:p w:rsidR="00642810" w:rsidRPr="00E17F9E" w:rsidRDefault="000D6726" w:rsidP="00FF7661">
            <w:pPr>
              <w:jc w:val="both"/>
              <w:rPr>
                <w:rFonts w:ascii="Times New Roman" w:eastAsia="MS Mincho" w:hAnsi="Times New Roman"/>
                <w:iCs/>
                <w:sz w:val="20"/>
                <w:szCs w:val="20"/>
              </w:rPr>
            </w:pPr>
            <w:r w:rsidRPr="00E17F9E">
              <w:rPr>
                <w:rFonts w:ascii="Times New Roman" w:eastAsia="MS Mincho" w:hAnsi="Times New Roman"/>
                <w:iCs/>
                <w:sz w:val="20"/>
                <w:szCs w:val="20"/>
              </w:rPr>
              <w:t>Katalog opisany w art. 402</w:t>
            </w:r>
            <w:r w:rsidRPr="00E17F9E">
              <w:rPr>
                <w:rFonts w:ascii="Times New Roman" w:eastAsia="MS Mincho" w:hAnsi="Times New Roman"/>
                <w:iCs/>
                <w:sz w:val="20"/>
                <w:szCs w:val="20"/>
                <w:vertAlign w:val="superscript"/>
              </w:rPr>
              <w:t>3</w:t>
            </w:r>
            <w:r w:rsidRPr="00E17F9E">
              <w:rPr>
                <w:rFonts w:ascii="Times New Roman" w:eastAsia="MS Mincho" w:hAnsi="Times New Roman"/>
                <w:iCs/>
                <w:sz w:val="20"/>
                <w:szCs w:val="20"/>
              </w:rPr>
              <w:t xml:space="preserve"> § 1 </w:t>
            </w:r>
            <w:proofErr w:type="spellStart"/>
            <w:r w:rsidRPr="00E17F9E">
              <w:rPr>
                <w:rFonts w:ascii="Times New Roman" w:eastAsia="MS Mincho" w:hAnsi="Times New Roman"/>
                <w:iCs/>
                <w:sz w:val="20"/>
                <w:szCs w:val="20"/>
              </w:rPr>
              <w:t>k.s.h</w:t>
            </w:r>
            <w:proofErr w:type="spellEnd"/>
            <w:r w:rsidRPr="00E17F9E">
              <w:rPr>
                <w:rFonts w:ascii="Times New Roman" w:eastAsia="MS Mincho" w:hAnsi="Times New Roman"/>
                <w:iCs/>
                <w:sz w:val="20"/>
                <w:szCs w:val="20"/>
              </w:rPr>
              <w:t xml:space="preserve">. to szczególna sytuacja, która znajduje zastosowanie wyłącznie do spółek publicznych; obowiązek zamieszczania na </w:t>
            </w:r>
            <w:r w:rsidRPr="00E17F9E">
              <w:rPr>
                <w:rFonts w:ascii="Times New Roman" w:eastAsia="MS Mincho" w:hAnsi="Times New Roman"/>
                <w:iCs/>
                <w:sz w:val="20"/>
                <w:szCs w:val="20"/>
              </w:rPr>
              <w:lastRenderedPageBreak/>
              <w:t>stronie internetowej spółki akcyjnej określonych informacji wynika z projektowanego art. 5</w:t>
            </w:r>
            <w:r w:rsidR="00FF7661" w:rsidRPr="00E17F9E">
              <w:rPr>
                <w:rFonts w:ascii="Times New Roman" w:eastAsia="MS Mincho" w:hAnsi="Times New Roman"/>
                <w:iCs/>
                <w:sz w:val="20"/>
                <w:szCs w:val="20"/>
              </w:rPr>
              <w:t xml:space="preserve"> </w:t>
            </w:r>
            <w:r w:rsidRPr="00E17F9E">
              <w:rPr>
                <w:rFonts w:ascii="Times New Roman" w:eastAsia="MS Mincho" w:hAnsi="Times New Roman"/>
                <w:iCs/>
                <w:sz w:val="20"/>
                <w:szCs w:val="20"/>
              </w:rPr>
              <w:t xml:space="preserve">§ 5 </w:t>
            </w:r>
            <w:proofErr w:type="spellStart"/>
            <w:r w:rsidRPr="00E17F9E">
              <w:rPr>
                <w:rFonts w:ascii="Times New Roman" w:eastAsia="MS Mincho" w:hAnsi="Times New Roman"/>
                <w:iCs/>
                <w:sz w:val="20"/>
                <w:szCs w:val="20"/>
              </w:rPr>
              <w:t>k.s.h</w:t>
            </w:r>
            <w:proofErr w:type="spellEnd"/>
            <w:r w:rsidRPr="00E17F9E">
              <w:rPr>
                <w:rFonts w:ascii="Times New Roman" w:eastAsia="MS Mincho" w:hAnsi="Times New Roman"/>
                <w:iCs/>
                <w:sz w:val="20"/>
                <w:szCs w:val="20"/>
              </w:rPr>
              <w:t>. W stosunku do tego ostatniego przepisu art. 402</w:t>
            </w:r>
            <w:r w:rsidRPr="00E17F9E">
              <w:rPr>
                <w:rFonts w:ascii="Times New Roman" w:eastAsia="MS Mincho" w:hAnsi="Times New Roman"/>
                <w:iCs/>
                <w:sz w:val="20"/>
                <w:szCs w:val="20"/>
                <w:vertAlign w:val="superscript"/>
              </w:rPr>
              <w:t>3</w:t>
            </w:r>
            <w:r w:rsidRPr="00E17F9E">
              <w:rPr>
                <w:rFonts w:ascii="Times New Roman" w:eastAsia="MS Mincho" w:hAnsi="Times New Roman"/>
                <w:iCs/>
                <w:sz w:val="20"/>
                <w:szCs w:val="20"/>
              </w:rPr>
              <w:t xml:space="preserve"> § 1 </w:t>
            </w:r>
            <w:proofErr w:type="spellStart"/>
            <w:r w:rsidRPr="00E17F9E">
              <w:rPr>
                <w:rFonts w:ascii="Times New Roman" w:eastAsia="MS Mincho" w:hAnsi="Times New Roman"/>
                <w:iCs/>
                <w:sz w:val="20"/>
                <w:szCs w:val="20"/>
              </w:rPr>
              <w:t>k.s.h</w:t>
            </w:r>
            <w:proofErr w:type="spellEnd"/>
            <w:r w:rsidRPr="00E17F9E">
              <w:rPr>
                <w:rFonts w:ascii="Times New Roman" w:eastAsia="MS Mincho" w:hAnsi="Times New Roman"/>
                <w:iCs/>
                <w:sz w:val="20"/>
                <w:szCs w:val="20"/>
              </w:rPr>
              <w:t xml:space="preserve">. w projektowanym brzmieniu stanowi </w:t>
            </w:r>
            <w:r w:rsidRPr="00E17F9E">
              <w:rPr>
                <w:rFonts w:ascii="Times New Roman" w:eastAsia="MS Mincho" w:hAnsi="Times New Roman"/>
                <w:i/>
                <w:iCs/>
                <w:sz w:val="20"/>
                <w:szCs w:val="20"/>
              </w:rPr>
              <w:t xml:space="preserve">lex </w:t>
            </w:r>
            <w:proofErr w:type="spellStart"/>
            <w:r w:rsidRPr="00E17F9E">
              <w:rPr>
                <w:rFonts w:ascii="Times New Roman" w:eastAsia="MS Mincho" w:hAnsi="Times New Roman"/>
                <w:i/>
                <w:iCs/>
                <w:sz w:val="20"/>
                <w:szCs w:val="20"/>
              </w:rPr>
              <w:t>specialis</w:t>
            </w:r>
            <w:proofErr w:type="spellEnd"/>
            <w:r w:rsidRPr="00E17F9E">
              <w:rPr>
                <w:rFonts w:ascii="Times New Roman" w:eastAsia="MS Mincho" w:hAnsi="Times New Roman"/>
                <w:iCs/>
                <w:sz w:val="20"/>
                <w:szCs w:val="20"/>
              </w:rPr>
              <w:t xml:space="preserve"> i łączy się z implementacją przepisów UE i wynikających z nich obowiązków dla spółek publicznych. </w:t>
            </w:r>
            <w:r w:rsidRPr="00E17F9E">
              <w:rPr>
                <w:rFonts w:ascii="Times New Roman" w:eastAsia="MS Mincho" w:hAnsi="Times New Roman"/>
                <w:iCs/>
                <w:sz w:val="20"/>
                <w:szCs w:val="20"/>
                <w:u w:val="single"/>
              </w:rPr>
              <w:t>Intencją projektu nie jest rozszerzanie tych obowiązków na inne spółki akcyjne</w:t>
            </w:r>
            <w:r w:rsidRPr="00E17F9E">
              <w:rPr>
                <w:rFonts w:ascii="Times New Roman" w:eastAsia="MS Mincho" w:hAnsi="Times New Roman"/>
                <w:iCs/>
                <w:sz w:val="20"/>
                <w:szCs w:val="20"/>
              </w:rPr>
              <w:t>. Poprzez art. 328</w:t>
            </w:r>
            <w:r w:rsidRPr="00E17F9E">
              <w:rPr>
                <w:rFonts w:ascii="Times New Roman" w:eastAsia="MS Mincho" w:hAnsi="Times New Roman"/>
                <w:iCs/>
                <w:sz w:val="20"/>
                <w:szCs w:val="20"/>
                <w:vertAlign w:val="superscript"/>
              </w:rPr>
              <w:t xml:space="preserve">14 </w:t>
            </w:r>
            <w:r w:rsidRPr="00E17F9E">
              <w:rPr>
                <w:rFonts w:ascii="Times New Roman" w:eastAsia="MS Mincho" w:hAnsi="Times New Roman"/>
                <w:iCs/>
                <w:sz w:val="20"/>
                <w:szCs w:val="20"/>
              </w:rPr>
              <w:t>projektu obowiązki wynikające z organizacji walnego zgromadzenia spółki publicznej znajdą również zastosowanie do spółki nie będącej spółką publiczną</w:t>
            </w:r>
            <w:r w:rsidR="00FF7661" w:rsidRPr="00E17F9E">
              <w:rPr>
                <w:rFonts w:ascii="Times New Roman" w:eastAsia="MS Mincho" w:hAnsi="Times New Roman"/>
                <w:iCs/>
                <w:sz w:val="20"/>
                <w:szCs w:val="20"/>
              </w:rPr>
              <w:t>, której akcje zostaną zarejestrowane</w:t>
            </w:r>
            <w:r w:rsidRPr="00E17F9E">
              <w:rPr>
                <w:rFonts w:ascii="Times New Roman" w:eastAsia="MS Mincho" w:hAnsi="Times New Roman"/>
                <w:iCs/>
                <w:sz w:val="20"/>
                <w:szCs w:val="20"/>
              </w:rPr>
              <w:t xml:space="preserve"> w KDPW.</w:t>
            </w:r>
            <w:r w:rsidR="00FF7661" w:rsidRPr="00E17F9E">
              <w:rPr>
                <w:rFonts w:ascii="Times New Roman" w:eastAsia="MS Mincho" w:hAnsi="Times New Roman"/>
                <w:iCs/>
                <w:sz w:val="20"/>
                <w:szCs w:val="20"/>
              </w:rPr>
              <w:t xml:space="preserve"> Wymogi te będą wynikać pośrednio z przepisów dotyczących organizacji WZA.</w:t>
            </w:r>
          </w:p>
        </w:tc>
      </w:tr>
      <w:tr w:rsidR="003400D1" w:rsidRPr="00FF289E" w:rsidTr="000E415A">
        <w:trPr>
          <w:trHeight w:val="425"/>
        </w:trPr>
        <w:tc>
          <w:tcPr>
            <w:tcW w:w="572" w:type="dxa"/>
          </w:tcPr>
          <w:p w:rsidR="003400D1" w:rsidRDefault="003400D1" w:rsidP="00761EEB">
            <w:pPr>
              <w:spacing w:line="276" w:lineRule="auto"/>
              <w:rPr>
                <w:rFonts w:ascii="Times New Roman" w:eastAsia="MS Mincho" w:hAnsi="Times New Roman"/>
                <w:sz w:val="20"/>
                <w:szCs w:val="20"/>
              </w:rPr>
            </w:pPr>
            <w:r>
              <w:rPr>
                <w:rFonts w:ascii="Times New Roman" w:eastAsia="MS Mincho" w:hAnsi="Times New Roman"/>
                <w:sz w:val="20"/>
                <w:szCs w:val="20"/>
              </w:rPr>
              <w:lastRenderedPageBreak/>
              <w:t>9.</w:t>
            </w:r>
          </w:p>
        </w:tc>
        <w:tc>
          <w:tcPr>
            <w:tcW w:w="1379" w:type="dxa"/>
          </w:tcPr>
          <w:p w:rsidR="003400D1" w:rsidRDefault="00BB7421" w:rsidP="00790311">
            <w:pPr>
              <w:spacing w:line="276" w:lineRule="auto"/>
              <w:rPr>
                <w:rFonts w:ascii="Times New Roman" w:eastAsia="MS Mincho" w:hAnsi="Times New Roman"/>
                <w:b/>
                <w:sz w:val="20"/>
                <w:szCs w:val="20"/>
              </w:rPr>
            </w:pPr>
            <w:r>
              <w:rPr>
                <w:rFonts w:ascii="Times New Roman" w:eastAsia="MS Mincho" w:hAnsi="Times New Roman"/>
                <w:b/>
                <w:sz w:val="20"/>
                <w:szCs w:val="20"/>
              </w:rPr>
              <w:t>RCL</w:t>
            </w:r>
          </w:p>
        </w:tc>
        <w:tc>
          <w:tcPr>
            <w:tcW w:w="2753" w:type="dxa"/>
          </w:tcPr>
          <w:p w:rsidR="003400D1" w:rsidRDefault="00BB7421"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Postulat wydłużenia okresu dostosowawczego dla spółek</w:t>
            </w:r>
          </w:p>
        </w:tc>
        <w:tc>
          <w:tcPr>
            <w:tcW w:w="5741" w:type="dxa"/>
          </w:tcPr>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Przepis art. 9 projektu nakłada obowiązek zawarcia przez spółkę niepubliczną przed pierwszym wezwaniem akcjonariuszy, czyli w bliżej niesprecyzowanym terminie przypadającym jednak przed dniem 30 czerwca 2019 r., umowy o prowadzenie rejestru akcjonariuszy z podmiotem, który na podstawie przepisów </w:t>
            </w:r>
            <w:r w:rsidRPr="00E17F9E">
              <w:rPr>
                <w:rFonts w:ascii="Times New Roman" w:eastAsia="MS Mincho" w:hAnsi="Times New Roman"/>
                <w:i/>
                <w:iCs/>
                <w:sz w:val="20"/>
                <w:szCs w:val="20"/>
              </w:rPr>
              <w:t xml:space="preserve">ustawy z dnia 29 lipca 2005 r. o obrocie instrumentami finansowymi </w:t>
            </w:r>
            <w:r w:rsidRPr="00E17F9E">
              <w:rPr>
                <w:rFonts w:ascii="Times New Roman" w:eastAsia="MS Mincho" w:hAnsi="Times New Roman"/>
                <w:iCs/>
                <w:sz w:val="20"/>
                <w:szCs w:val="20"/>
              </w:rPr>
              <w:t xml:space="preserve">jest uprawniony do prowadzenia rachunków papierów wartościowych, wybranym przez walne zgromadzenie, albo - w przypadku spółki niepublicznej, w której walne zgromadzenie podjęło uchwałę o zarejestrowaniu jej akcji w depozycie papierów wartościowych w rozumieniu przepisów wyżej wymienionej ustawy - umowy o rejestracji akcji w depozycie papierów wartościowych. Za niedopełnienie tego obowiązku w przepisie art. 10 projektu przewidziano grzywnę w wysokości do 20.000 zł. </w:t>
            </w: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Należy jednakże zauważyć, że przepisy materialne wprowadzające obowiązek rejestrowania akcji spółki niepublicznej w rejestrze akcjonariuszy (art. 328</w:t>
            </w:r>
            <w:r w:rsidRPr="00E17F9E">
              <w:rPr>
                <w:rFonts w:ascii="Times New Roman" w:eastAsia="MS Mincho" w:hAnsi="Times New Roman"/>
                <w:iCs/>
                <w:sz w:val="20"/>
                <w:szCs w:val="20"/>
                <w:vertAlign w:val="superscript"/>
              </w:rPr>
              <w:t>1</w:t>
            </w:r>
            <w:r w:rsidRPr="00E17F9E">
              <w:rPr>
                <w:rFonts w:ascii="Times New Roman" w:eastAsia="MS Mincho" w:hAnsi="Times New Roman"/>
                <w:iCs/>
                <w:sz w:val="20"/>
                <w:szCs w:val="20"/>
              </w:rPr>
              <w:t xml:space="preserve"> § 1 </w:t>
            </w:r>
            <w:r w:rsidRPr="00E17F9E">
              <w:rPr>
                <w:rFonts w:ascii="Times New Roman" w:eastAsia="MS Mincho" w:hAnsi="Times New Roman"/>
                <w:i/>
                <w:iCs/>
                <w:sz w:val="20"/>
                <w:szCs w:val="20"/>
              </w:rPr>
              <w:t xml:space="preserve">Kodeksu spółek handlowych), </w:t>
            </w:r>
            <w:r w:rsidRPr="00E17F9E">
              <w:rPr>
                <w:rFonts w:ascii="Times New Roman" w:eastAsia="MS Mincho" w:hAnsi="Times New Roman"/>
                <w:iCs/>
                <w:sz w:val="20"/>
                <w:szCs w:val="20"/>
              </w:rPr>
              <w:t>przewidujące wybór podmiotu prowadzącego rejestr akcjonariuszy w drodze uchwały walnego zgromadzenia (art. 328</w:t>
            </w:r>
            <w:r w:rsidRPr="00E17F9E">
              <w:rPr>
                <w:rFonts w:ascii="Times New Roman" w:eastAsia="MS Mincho" w:hAnsi="Times New Roman"/>
                <w:iCs/>
                <w:sz w:val="20"/>
                <w:szCs w:val="20"/>
                <w:vertAlign w:val="superscript"/>
              </w:rPr>
              <w:t>1</w:t>
            </w:r>
            <w:r w:rsidRPr="00E17F9E">
              <w:rPr>
                <w:rFonts w:ascii="Times New Roman" w:eastAsia="MS Mincho" w:hAnsi="Times New Roman"/>
                <w:iCs/>
                <w:sz w:val="20"/>
                <w:szCs w:val="20"/>
              </w:rPr>
              <w:t xml:space="preserve"> § 3 </w:t>
            </w:r>
            <w:r w:rsidRPr="00E17F9E">
              <w:rPr>
                <w:rFonts w:ascii="Times New Roman" w:eastAsia="MS Mincho" w:hAnsi="Times New Roman"/>
                <w:i/>
                <w:iCs/>
                <w:sz w:val="20"/>
                <w:szCs w:val="20"/>
              </w:rPr>
              <w:t xml:space="preserve">Kodeksu spółek handlowych) </w:t>
            </w:r>
            <w:r w:rsidRPr="00E17F9E">
              <w:rPr>
                <w:rFonts w:ascii="Times New Roman" w:eastAsia="MS Mincho" w:hAnsi="Times New Roman"/>
                <w:iCs/>
                <w:sz w:val="20"/>
                <w:szCs w:val="20"/>
              </w:rPr>
              <w:t xml:space="preserve">oraz dopuszczające możliwość rejestrowania akcji spółki niepublicznej w depozycie papierów wartościowych (art. 328 </w:t>
            </w:r>
            <w:r w:rsidRPr="00E17F9E">
              <w:rPr>
                <w:rFonts w:ascii="Times New Roman" w:eastAsia="MS Mincho" w:hAnsi="Times New Roman"/>
                <w:i/>
                <w:iCs/>
                <w:sz w:val="20"/>
                <w:szCs w:val="20"/>
              </w:rPr>
              <w:t xml:space="preserve">Kodeksu spółek </w:t>
            </w:r>
            <w:r w:rsidRPr="00E17F9E">
              <w:rPr>
                <w:rFonts w:ascii="Times New Roman" w:eastAsia="MS Mincho" w:hAnsi="Times New Roman"/>
                <w:i/>
                <w:iCs/>
                <w:sz w:val="20"/>
                <w:szCs w:val="20"/>
              </w:rPr>
              <w:lastRenderedPageBreak/>
              <w:t xml:space="preserve">handlowych) </w:t>
            </w:r>
            <w:r w:rsidRPr="00E17F9E">
              <w:rPr>
                <w:rFonts w:ascii="Times New Roman" w:eastAsia="MS Mincho" w:hAnsi="Times New Roman"/>
                <w:iCs/>
                <w:sz w:val="20"/>
                <w:szCs w:val="20"/>
              </w:rPr>
              <w:t xml:space="preserve">jako nowe instytucje prawne, zgodnie z art. 13 projektu ustawy wejdą w życie z dniem 1 stycznia 2020 r. </w:t>
            </w: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u w:val="single"/>
              </w:rPr>
              <w:t>Zgodnie zatem z projektowanymi przepisami spółka niepubliczna będzie zobligowana do podjęcia decyzji co do wyboru formy rejestrowania akcji, czyli przesądzenia czy mają być one rejestrowane w rejestrze akcjonariuszy czy w depozycie papierów wartościowych, w bardzo krótkim czasie. Od wejścia w życie przepisów dostosowujących spółka będzie miała maksymalnie pół roku na podjęcie decyzji i sfinalizowanie czynności związanych z zawarciem umowy, co w praktyce może okazać się niewykonalne.</w:t>
            </w:r>
            <w:r w:rsidRPr="00E17F9E">
              <w:rPr>
                <w:rFonts w:ascii="Times New Roman" w:eastAsia="MS Mincho" w:hAnsi="Times New Roman"/>
                <w:iCs/>
                <w:sz w:val="20"/>
                <w:szCs w:val="20"/>
              </w:rPr>
              <w:t xml:space="preserve"> </w:t>
            </w:r>
          </w:p>
          <w:p w:rsidR="00BB7421" w:rsidRPr="00E17F9E" w:rsidRDefault="00BB7421"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Z uwagi na grożące spółce sankcje karne </w:t>
            </w:r>
            <w:r w:rsidRPr="00E17F9E">
              <w:rPr>
                <w:rFonts w:ascii="Times New Roman" w:eastAsia="MS Mincho" w:hAnsi="Times New Roman"/>
                <w:b/>
                <w:iCs/>
                <w:sz w:val="20"/>
                <w:szCs w:val="20"/>
              </w:rPr>
              <w:t>jest konieczne przeprowadzenie ponownej analizy tego zagadnienia i wydłużenie okresu dostosowawczego.</w:t>
            </w:r>
            <w:r w:rsidRPr="00E17F9E">
              <w:rPr>
                <w:rFonts w:ascii="Times New Roman" w:eastAsia="MS Mincho" w:hAnsi="Times New Roman"/>
                <w:iCs/>
                <w:sz w:val="20"/>
                <w:szCs w:val="20"/>
              </w:rPr>
              <w:t xml:space="preserve"> </w:t>
            </w:r>
          </w:p>
          <w:p w:rsidR="00BB7421" w:rsidRPr="00E17F9E" w:rsidRDefault="00BB7421"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u w:val="single"/>
              </w:rPr>
            </w:pPr>
            <w:r w:rsidRPr="00E17F9E">
              <w:rPr>
                <w:rFonts w:ascii="Times New Roman" w:eastAsia="MS Mincho" w:hAnsi="Times New Roman"/>
                <w:iCs/>
                <w:sz w:val="20"/>
                <w:szCs w:val="20"/>
              </w:rPr>
              <w:t xml:space="preserve">Wyjaśnienia wymaga również przyjęte w projekcie rozwiązanie skutkujące </w:t>
            </w:r>
            <w:r w:rsidRPr="00E17F9E">
              <w:rPr>
                <w:rFonts w:ascii="Times New Roman" w:eastAsia="MS Mincho" w:hAnsi="Times New Roman"/>
                <w:iCs/>
                <w:sz w:val="20"/>
                <w:szCs w:val="20"/>
                <w:u w:val="single"/>
              </w:rPr>
              <w:t xml:space="preserve">nałożeniem na spółkę obowiązku zawarcia umowy o prowadzenie rejestru akcjonariuszy albo umowy o rejestracji akcji w depozycie papierów wartościowych do czasu pierwszego wezwania, a więc najpóźniej do dnia 30 czerwca 2019 r. </w:t>
            </w:r>
          </w:p>
          <w:p w:rsidR="00BB7421" w:rsidRPr="00E17F9E" w:rsidRDefault="00BB7421" w:rsidP="00BB7421">
            <w:pPr>
              <w:jc w:val="both"/>
              <w:rPr>
                <w:rFonts w:ascii="Times New Roman" w:eastAsia="MS Mincho" w:hAnsi="Times New Roman"/>
                <w:iCs/>
                <w:sz w:val="20"/>
                <w:szCs w:val="20"/>
                <w:u w:val="single"/>
              </w:rPr>
            </w:pPr>
          </w:p>
          <w:p w:rsidR="003400D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Umowa ta przez co najmniej pół roku, czyli do czasu wejścia w życie przepisów materialnych projektowanej ustawy, tj. do dnia 1 stycznia 2020 r., nie będzie mogła być wykonywana. Brak bowiem przepisów, które pozwalałyby na dokonywanie jakichkolwiek wpisów w rejestrze akcjonariuszy albo na rejestrowanie akcji w depozycie papierów wartościowych w okresie między zawarciem stosownej umowy a wejściem w życie norm odnoszących się do rejestru akcjonariuszy lub do rejestrowania akcji w depozycie papierów wartościowych.</w:t>
            </w:r>
          </w:p>
        </w:tc>
        <w:tc>
          <w:tcPr>
            <w:tcW w:w="5169" w:type="dxa"/>
          </w:tcPr>
          <w:p w:rsidR="00F10BFD" w:rsidRPr="00E17F9E" w:rsidRDefault="00F10BFD" w:rsidP="00F10BFD">
            <w:pPr>
              <w:jc w:val="both"/>
              <w:rPr>
                <w:rFonts w:ascii="Times New Roman" w:eastAsia="MS Mincho" w:hAnsi="Times New Roman"/>
                <w:b/>
                <w:iCs/>
                <w:sz w:val="20"/>
                <w:szCs w:val="20"/>
              </w:rPr>
            </w:pPr>
            <w:r w:rsidRPr="00E17F9E">
              <w:rPr>
                <w:rFonts w:ascii="Times New Roman" w:eastAsia="MS Mincho" w:hAnsi="Times New Roman"/>
                <w:b/>
                <w:iCs/>
                <w:sz w:val="20"/>
                <w:szCs w:val="20"/>
              </w:rPr>
              <w:lastRenderedPageBreak/>
              <w:t>Uwaga została wyjaśniona na konferencji uzgodnieniowej.</w:t>
            </w:r>
          </w:p>
          <w:p w:rsidR="00BB7421" w:rsidRPr="00E17F9E" w:rsidRDefault="002E1034"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Przyjęta</w:t>
            </w:r>
            <w:r w:rsidR="00BB7421" w:rsidRPr="00E17F9E">
              <w:rPr>
                <w:rFonts w:ascii="Times New Roman" w:eastAsia="MS Mincho" w:hAnsi="Times New Roman"/>
                <w:iCs/>
                <w:sz w:val="20"/>
                <w:szCs w:val="20"/>
              </w:rPr>
              <w:t xml:space="preserve"> w przepisach przejściowych sekwencja zdarzeń jest prawidłowa: najpierw należy zawrzeć umowę z podmiotem prowadzącym rejestr akcjonariuszy, a następnie wzywać akcjonariuszy do  złożenia dokumentów akcji w spółce, zgodnie z art. 8 projektu. </w:t>
            </w:r>
          </w:p>
          <w:p w:rsidR="00BB7421" w:rsidRPr="00E17F9E" w:rsidRDefault="00BB7421"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Należy zwrócić uwagę, że przepisy przejściowe zostały opracowane przy założeniu, że projekt zostanie przyjęty w połowie 2018 r.</w:t>
            </w:r>
            <w:r w:rsidR="00D620EB" w:rsidRPr="00E17F9E">
              <w:rPr>
                <w:rFonts w:ascii="Times New Roman" w:eastAsia="MS Mincho" w:hAnsi="Times New Roman"/>
                <w:iCs/>
                <w:sz w:val="20"/>
                <w:szCs w:val="20"/>
              </w:rPr>
              <w:t>,</w:t>
            </w:r>
            <w:r w:rsidRPr="00E17F9E">
              <w:rPr>
                <w:rFonts w:ascii="Times New Roman" w:eastAsia="MS Mincho" w:hAnsi="Times New Roman"/>
                <w:iCs/>
                <w:sz w:val="20"/>
                <w:szCs w:val="20"/>
              </w:rPr>
              <w:t xml:space="preserve"> co oznaczałoby faktycznie nie 6 a 12 miesięcy dla spółki na zawarcie umowy.</w:t>
            </w:r>
          </w:p>
          <w:p w:rsidR="006A5E6A" w:rsidRPr="00E17F9E" w:rsidRDefault="006A5E6A" w:rsidP="00BB7421">
            <w:pPr>
              <w:jc w:val="both"/>
              <w:rPr>
                <w:rFonts w:ascii="Times New Roman" w:eastAsia="MS Mincho" w:hAnsi="Times New Roman"/>
                <w:iCs/>
                <w:sz w:val="20"/>
                <w:szCs w:val="20"/>
              </w:rPr>
            </w:pPr>
          </w:p>
          <w:p w:rsidR="006B76CA" w:rsidRPr="00E17F9E" w:rsidRDefault="006B76CA"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Zakładając obecnie, że projekt może zostać uchwalony do końca czerwca 2019 r., określone w ustawie terminy ulegną stosownemu przesunięciu.</w:t>
            </w:r>
          </w:p>
          <w:p w:rsidR="00BB7421" w:rsidRPr="00E17F9E" w:rsidRDefault="00BB7421"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Niemniej wskazana sekwencja zdarzeń oznacza dla spółki określone obowiązki i konieczność podjęcia ustalonych działań z odpowiednim wyprzedzeniem </w:t>
            </w:r>
            <w:r w:rsidRPr="00E17F9E">
              <w:rPr>
                <w:rFonts w:ascii="Times New Roman" w:eastAsia="MS Mincho" w:hAnsi="Times New Roman"/>
                <w:iCs/>
                <w:sz w:val="20"/>
                <w:szCs w:val="20"/>
              </w:rPr>
              <w:lastRenderedPageBreak/>
              <w:t xml:space="preserve">czasowym; chodzi przy tym również o czynności przygotowawcze, które pozwolą na wypełnienie rejestru treścią. </w:t>
            </w:r>
          </w:p>
          <w:p w:rsidR="00BB7421" w:rsidRPr="00E17F9E" w:rsidRDefault="00BB7421"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6A5E6A" w:rsidRPr="00E17F9E" w:rsidRDefault="006A5E6A" w:rsidP="00BB7421">
            <w:pPr>
              <w:jc w:val="both"/>
              <w:rPr>
                <w:rFonts w:ascii="Times New Roman" w:eastAsia="MS Mincho" w:hAnsi="Times New Roman"/>
                <w:iCs/>
                <w:sz w:val="20"/>
                <w:szCs w:val="20"/>
              </w:rPr>
            </w:pPr>
          </w:p>
          <w:p w:rsidR="00BB7421" w:rsidRPr="00E17F9E" w:rsidRDefault="00BB7421" w:rsidP="00BB7421">
            <w:pPr>
              <w:jc w:val="both"/>
              <w:rPr>
                <w:rFonts w:ascii="Times New Roman" w:eastAsia="MS Mincho" w:hAnsi="Times New Roman"/>
                <w:iCs/>
                <w:sz w:val="20"/>
                <w:szCs w:val="20"/>
              </w:rPr>
            </w:pPr>
          </w:p>
          <w:p w:rsidR="003400D1" w:rsidRPr="00E17F9E" w:rsidRDefault="00BB7421" w:rsidP="002202DB">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Brak przepisów nie stoi na przeszkodzie temu, aby – w ramach czynności przygotowawczych - w okresie przygotowawczym </w:t>
            </w:r>
            <w:r w:rsidR="002202DB" w:rsidRPr="00E17F9E">
              <w:rPr>
                <w:rFonts w:ascii="Times New Roman" w:eastAsia="MS Mincho" w:hAnsi="Times New Roman"/>
                <w:iCs/>
                <w:sz w:val="20"/>
                <w:szCs w:val="20"/>
              </w:rPr>
              <w:t xml:space="preserve">opracowany </w:t>
            </w:r>
            <w:r w:rsidRPr="00E17F9E">
              <w:rPr>
                <w:rFonts w:ascii="Times New Roman" w:eastAsia="MS Mincho" w:hAnsi="Times New Roman"/>
                <w:iCs/>
                <w:sz w:val="20"/>
                <w:szCs w:val="20"/>
              </w:rPr>
              <w:t>został prowizoryczny rejestr, który nabierze mocy obowiązującej z dniem 1 stycznia 2020 r. Wprawdzie w tym okresie inne będę skutki wpisów w rejestrze, ale umowa będzie wykonywana.</w:t>
            </w:r>
          </w:p>
        </w:tc>
      </w:tr>
      <w:tr w:rsidR="003400D1" w:rsidRPr="00FF289E" w:rsidTr="000E415A">
        <w:trPr>
          <w:trHeight w:val="425"/>
        </w:trPr>
        <w:tc>
          <w:tcPr>
            <w:tcW w:w="572" w:type="dxa"/>
          </w:tcPr>
          <w:p w:rsidR="003400D1" w:rsidRDefault="003400D1" w:rsidP="00761EEB">
            <w:pPr>
              <w:spacing w:line="276" w:lineRule="auto"/>
              <w:rPr>
                <w:rFonts w:ascii="Times New Roman" w:eastAsia="MS Mincho" w:hAnsi="Times New Roman"/>
                <w:sz w:val="20"/>
                <w:szCs w:val="20"/>
              </w:rPr>
            </w:pPr>
            <w:r>
              <w:rPr>
                <w:rFonts w:ascii="Times New Roman" w:eastAsia="MS Mincho" w:hAnsi="Times New Roman"/>
                <w:sz w:val="20"/>
                <w:szCs w:val="20"/>
              </w:rPr>
              <w:lastRenderedPageBreak/>
              <w:t>10.</w:t>
            </w:r>
          </w:p>
        </w:tc>
        <w:tc>
          <w:tcPr>
            <w:tcW w:w="1379" w:type="dxa"/>
          </w:tcPr>
          <w:p w:rsidR="003400D1" w:rsidRDefault="006B76CA" w:rsidP="00790311">
            <w:pPr>
              <w:spacing w:line="276" w:lineRule="auto"/>
              <w:rPr>
                <w:rFonts w:ascii="Times New Roman" w:eastAsia="MS Mincho" w:hAnsi="Times New Roman"/>
                <w:b/>
                <w:sz w:val="20"/>
                <w:szCs w:val="20"/>
              </w:rPr>
            </w:pPr>
            <w:r>
              <w:rPr>
                <w:rFonts w:ascii="Times New Roman" w:eastAsia="MS Mincho" w:hAnsi="Times New Roman"/>
                <w:b/>
                <w:sz w:val="20"/>
                <w:szCs w:val="20"/>
              </w:rPr>
              <w:t>RCL</w:t>
            </w:r>
          </w:p>
        </w:tc>
        <w:tc>
          <w:tcPr>
            <w:tcW w:w="2753" w:type="dxa"/>
          </w:tcPr>
          <w:p w:rsidR="003400D1" w:rsidRDefault="006B76CA"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Postulat doprecyzowania sankcji karnej</w:t>
            </w:r>
          </w:p>
          <w:p w:rsidR="006B76CA" w:rsidRDefault="006B76CA"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 xml:space="preserve"> (art. </w:t>
            </w:r>
            <w:r w:rsidR="0066489D">
              <w:rPr>
                <w:rFonts w:ascii="Times New Roman" w:eastAsia="MS Mincho" w:hAnsi="Times New Roman"/>
                <w:b/>
                <w:sz w:val="20"/>
                <w:szCs w:val="20"/>
              </w:rPr>
              <w:t xml:space="preserve">8 i </w:t>
            </w:r>
            <w:r>
              <w:rPr>
                <w:rFonts w:ascii="Times New Roman" w:eastAsia="MS Mincho" w:hAnsi="Times New Roman"/>
                <w:b/>
                <w:sz w:val="20"/>
                <w:szCs w:val="20"/>
              </w:rPr>
              <w:t xml:space="preserve">10 projektu) </w:t>
            </w:r>
          </w:p>
        </w:tc>
        <w:tc>
          <w:tcPr>
            <w:tcW w:w="5741" w:type="dxa"/>
          </w:tcPr>
          <w:p w:rsidR="0066489D" w:rsidRPr="00E17F9E" w:rsidRDefault="002B0C46" w:rsidP="0079031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Projektowany przepis art. 10 zawierający normę karną jest nieprecyzyjny. Zgodnie z § 75 ust. 1 </w:t>
            </w:r>
            <w:r w:rsidRPr="00E17F9E">
              <w:rPr>
                <w:rFonts w:ascii="Times New Roman" w:eastAsia="MS Mincho" w:hAnsi="Times New Roman"/>
                <w:i/>
                <w:iCs/>
                <w:sz w:val="20"/>
                <w:szCs w:val="20"/>
              </w:rPr>
              <w:t xml:space="preserve">Zasad techniki prawodawczej </w:t>
            </w:r>
            <w:r w:rsidRPr="00E17F9E">
              <w:rPr>
                <w:rFonts w:ascii="Times New Roman" w:eastAsia="MS Mincho" w:hAnsi="Times New Roman"/>
                <w:iCs/>
                <w:sz w:val="20"/>
                <w:szCs w:val="20"/>
              </w:rPr>
              <w:t xml:space="preserve">w przepisie karnym znamiona czynu zabronionego określa się w sposób wyczerpujący. </w:t>
            </w:r>
          </w:p>
          <w:p w:rsidR="0066489D" w:rsidRPr="00E17F9E" w:rsidRDefault="0066489D" w:rsidP="00790311">
            <w:pPr>
              <w:jc w:val="both"/>
              <w:rPr>
                <w:rFonts w:ascii="Times New Roman" w:eastAsia="MS Mincho" w:hAnsi="Times New Roman"/>
                <w:iCs/>
                <w:sz w:val="20"/>
                <w:szCs w:val="20"/>
              </w:rPr>
            </w:pPr>
          </w:p>
          <w:p w:rsidR="0066489D" w:rsidRPr="00E17F9E" w:rsidRDefault="002B0C46" w:rsidP="0079031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Tymczasem przepis art. 10 projektu stanowi, że kto będąc </w:t>
            </w:r>
            <w:r w:rsidRPr="00E17F9E">
              <w:rPr>
                <w:rFonts w:ascii="Times New Roman" w:eastAsia="MS Mincho" w:hAnsi="Times New Roman"/>
                <w:iCs/>
                <w:sz w:val="20"/>
                <w:szCs w:val="20"/>
              </w:rPr>
              <w:lastRenderedPageBreak/>
              <w:t xml:space="preserve">członkiem zarządu spółki dopuszcza do tego, że wbrew obowiązkowi spółka nie dokonuje wezwań akcjonariuszy do złożenia akcji zgodnie z przepisami art. 8 podlega grzywnie do 20.000 zł. </w:t>
            </w:r>
          </w:p>
          <w:p w:rsidR="0066489D" w:rsidRPr="00E17F9E" w:rsidRDefault="0066489D" w:rsidP="00790311">
            <w:pPr>
              <w:jc w:val="both"/>
              <w:rPr>
                <w:rFonts w:ascii="Times New Roman" w:eastAsia="MS Mincho" w:hAnsi="Times New Roman"/>
                <w:iCs/>
                <w:sz w:val="20"/>
                <w:szCs w:val="20"/>
              </w:rPr>
            </w:pPr>
          </w:p>
          <w:p w:rsidR="003400D1" w:rsidRPr="00E17F9E" w:rsidRDefault="002B0C46" w:rsidP="00790311">
            <w:pPr>
              <w:jc w:val="both"/>
              <w:rPr>
                <w:rFonts w:ascii="Times New Roman" w:eastAsia="MS Mincho" w:hAnsi="Times New Roman"/>
                <w:iCs/>
                <w:sz w:val="20"/>
                <w:szCs w:val="20"/>
              </w:rPr>
            </w:pPr>
            <w:r w:rsidRPr="00E17F9E">
              <w:rPr>
                <w:rFonts w:ascii="Times New Roman" w:eastAsia="MS Mincho" w:hAnsi="Times New Roman"/>
                <w:iCs/>
                <w:sz w:val="20"/>
                <w:szCs w:val="20"/>
              </w:rPr>
              <w:t>Z kolei przepis art. 8 obliguje do pięciokrotnego wzywania akcjonariuszy do złożenia dokumentów akcji w spółce, które nie mogą być dokonywane w odstępie czasu dłuższym niż miesiąc, ani krótszym niż dwa tygodnie. Z projektowanego przepisu karnego nie wynika jednak czy sankcji podlegać będzie spółka, która nie dokonała żadnego z pięciu wezwań, czy także spółka, która do dnia 1 stycznia 2020 r. wezwała do złożenia akcji na przykład tylko trzy razy. Nie wiadomo również czy sankcji podlegać będzie spółka, która dokona do dnia 1 stycznia 2020 r. pięciokrotnych wezwań, ale w odstępach np. co sześć tygodni. Przepis ten wymaga zatem doprecyzowania. Pod rozwagę projektodawcy pozostawia się także możliwość rozdzielania dwóch materii ujętych w przepisie art. 10 projektu, czyli dokonywanie wezwań i zawarcie umowy, na dwa odrębne przepisy.</w:t>
            </w:r>
          </w:p>
        </w:tc>
        <w:tc>
          <w:tcPr>
            <w:tcW w:w="5169" w:type="dxa"/>
          </w:tcPr>
          <w:p w:rsidR="002E1034" w:rsidRPr="00E17F9E" w:rsidRDefault="002E1034" w:rsidP="00FF7661">
            <w:pPr>
              <w:jc w:val="both"/>
              <w:rPr>
                <w:rFonts w:ascii="Times New Roman" w:eastAsia="MS Mincho" w:hAnsi="Times New Roman"/>
                <w:b/>
                <w:iCs/>
                <w:sz w:val="20"/>
                <w:szCs w:val="20"/>
              </w:rPr>
            </w:pPr>
            <w:r w:rsidRPr="00E17F9E">
              <w:rPr>
                <w:rFonts w:ascii="Times New Roman" w:eastAsia="MS Mincho" w:hAnsi="Times New Roman"/>
                <w:b/>
                <w:iCs/>
                <w:sz w:val="20"/>
                <w:szCs w:val="20"/>
              </w:rPr>
              <w:lastRenderedPageBreak/>
              <w:t xml:space="preserve">Uwaga została uwzględniona. </w:t>
            </w:r>
          </w:p>
          <w:p w:rsidR="003400D1" w:rsidRPr="00E17F9E" w:rsidRDefault="0066489D" w:rsidP="00FF7661">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Przepis ten </w:t>
            </w:r>
            <w:r w:rsidR="007976A7" w:rsidRPr="00E17F9E">
              <w:rPr>
                <w:rFonts w:ascii="Times New Roman" w:eastAsia="MS Mincho" w:hAnsi="Times New Roman"/>
                <w:iCs/>
                <w:sz w:val="20"/>
                <w:szCs w:val="20"/>
              </w:rPr>
              <w:t xml:space="preserve"> (art. 10) obejmuje swoim zakresem jedynie </w:t>
            </w:r>
            <w:r w:rsidR="002202DB" w:rsidRPr="00E17F9E">
              <w:rPr>
                <w:rFonts w:ascii="Times New Roman" w:eastAsia="MS Mincho" w:hAnsi="Times New Roman"/>
                <w:iCs/>
                <w:sz w:val="20"/>
                <w:szCs w:val="20"/>
              </w:rPr>
              <w:t xml:space="preserve">dwa rodzaje </w:t>
            </w:r>
            <w:proofErr w:type="spellStart"/>
            <w:r w:rsidR="002202DB" w:rsidRPr="00E17F9E">
              <w:rPr>
                <w:rFonts w:ascii="Times New Roman" w:eastAsia="MS Mincho" w:hAnsi="Times New Roman"/>
                <w:iCs/>
                <w:sz w:val="20"/>
                <w:szCs w:val="20"/>
              </w:rPr>
              <w:t>zachowań</w:t>
            </w:r>
            <w:proofErr w:type="spellEnd"/>
            <w:r w:rsidR="00862313" w:rsidRPr="00E17F9E">
              <w:rPr>
                <w:rFonts w:ascii="Times New Roman" w:eastAsia="MS Mincho" w:hAnsi="Times New Roman"/>
                <w:iCs/>
                <w:sz w:val="20"/>
                <w:szCs w:val="20"/>
              </w:rPr>
              <w:t>: objęte dyspozycją art. 8</w:t>
            </w:r>
            <w:r w:rsidR="00C97DC5" w:rsidRPr="00E17F9E">
              <w:rPr>
                <w:rFonts w:ascii="Times New Roman" w:eastAsia="MS Mincho" w:hAnsi="Times New Roman"/>
                <w:iCs/>
                <w:sz w:val="20"/>
                <w:szCs w:val="20"/>
              </w:rPr>
              <w:t xml:space="preserve"> </w:t>
            </w:r>
            <w:r w:rsidR="00862313" w:rsidRPr="00E17F9E">
              <w:rPr>
                <w:rFonts w:ascii="Times New Roman" w:eastAsia="MS Mincho" w:hAnsi="Times New Roman"/>
                <w:iCs/>
                <w:sz w:val="20"/>
                <w:szCs w:val="20"/>
              </w:rPr>
              <w:t xml:space="preserve"> i art. 9 ustawy.</w:t>
            </w:r>
          </w:p>
          <w:p w:rsidR="00C97DC5" w:rsidRPr="00E17F9E" w:rsidRDefault="00862313" w:rsidP="00C97DC5">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Intencją projektu jest – w przypadku art. 8 – sankcjonowanie </w:t>
            </w:r>
            <w:r w:rsidR="00C97DC5" w:rsidRPr="00E17F9E">
              <w:rPr>
                <w:rFonts w:ascii="Times New Roman" w:eastAsia="MS Mincho" w:hAnsi="Times New Roman"/>
                <w:iCs/>
                <w:sz w:val="20"/>
                <w:szCs w:val="20"/>
              </w:rPr>
              <w:t xml:space="preserve">zarówno braku dokonywania wezwań </w:t>
            </w:r>
            <w:r w:rsidR="00C97DC5" w:rsidRPr="00E17F9E">
              <w:rPr>
                <w:rFonts w:ascii="Times New Roman" w:eastAsia="MS Mincho" w:hAnsi="Times New Roman"/>
                <w:iCs/>
                <w:sz w:val="20"/>
                <w:szCs w:val="20"/>
              </w:rPr>
              <w:lastRenderedPageBreak/>
              <w:t>akcjonariuszy w ogóle, jak i działania podejmowanie niezgodnie z przyjętym w tym przepisie modelem.</w:t>
            </w:r>
          </w:p>
          <w:p w:rsidR="00A721F2" w:rsidRPr="00E17F9E" w:rsidRDefault="00A721F2" w:rsidP="00C97DC5">
            <w:pPr>
              <w:jc w:val="both"/>
              <w:rPr>
                <w:rFonts w:ascii="Times New Roman" w:eastAsia="MS Mincho" w:hAnsi="Times New Roman"/>
                <w:iCs/>
                <w:sz w:val="20"/>
                <w:szCs w:val="20"/>
              </w:rPr>
            </w:pPr>
          </w:p>
          <w:p w:rsidR="00862313" w:rsidRPr="00E17F9E" w:rsidRDefault="002E1034" w:rsidP="002E1034">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W ramach uwzględnienia uwagi RCL nastąpi </w:t>
            </w:r>
            <w:r w:rsidR="00A721F2" w:rsidRPr="00E17F9E">
              <w:rPr>
                <w:rFonts w:ascii="Times New Roman" w:eastAsia="MS Mincho" w:hAnsi="Times New Roman"/>
                <w:iCs/>
                <w:sz w:val="20"/>
                <w:szCs w:val="20"/>
              </w:rPr>
              <w:t>rozdzielnie projektowane</w:t>
            </w:r>
            <w:r w:rsidRPr="00E17F9E">
              <w:rPr>
                <w:rFonts w:ascii="Times New Roman" w:eastAsia="MS Mincho" w:hAnsi="Times New Roman"/>
                <w:iCs/>
                <w:sz w:val="20"/>
                <w:szCs w:val="20"/>
              </w:rPr>
              <w:t>go</w:t>
            </w:r>
            <w:r w:rsidR="00A721F2" w:rsidRPr="00E17F9E">
              <w:rPr>
                <w:rFonts w:ascii="Times New Roman" w:eastAsia="MS Mincho" w:hAnsi="Times New Roman"/>
                <w:iCs/>
                <w:sz w:val="20"/>
                <w:szCs w:val="20"/>
              </w:rPr>
              <w:t xml:space="preserve"> art. 10 na dwie</w:t>
            </w:r>
            <w:r w:rsidRPr="00E17F9E">
              <w:rPr>
                <w:rFonts w:ascii="Times New Roman" w:eastAsia="MS Mincho" w:hAnsi="Times New Roman"/>
                <w:iCs/>
                <w:sz w:val="20"/>
                <w:szCs w:val="20"/>
              </w:rPr>
              <w:t xml:space="preserve"> oddzielne jednostki redakcyjne.</w:t>
            </w:r>
          </w:p>
        </w:tc>
      </w:tr>
      <w:tr w:rsidR="003400D1" w:rsidRPr="00FF289E" w:rsidTr="000E415A">
        <w:trPr>
          <w:trHeight w:val="425"/>
        </w:trPr>
        <w:tc>
          <w:tcPr>
            <w:tcW w:w="572" w:type="dxa"/>
          </w:tcPr>
          <w:p w:rsidR="003400D1" w:rsidRDefault="003400D1" w:rsidP="00761EEB">
            <w:pPr>
              <w:spacing w:line="276" w:lineRule="auto"/>
              <w:rPr>
                <w:rFonts w:ascii="Times New Roman" w:eastAsia="MS Mincho" w:hAnsi="Times New Roman"/>
                <w:sz w:val="20"/>
                <w:szCs w:val="20"/>
              </w:rPr>
            </w:pPr>
            <w:r>
              <w:rPr>
                <w:rFonts w:ascii="Times New Roman" w:eastAsia="MS Mincho" w:hAnsi="Times New Roman"/>
                <w:sz w:val="20"/>
                <w:szCs w:val="20"/>
              </w:rPr>
              <w:lastRenderedPageBreak/>
              <w:t>11.</w:t>
            </w:r>
          </w:p>
        </w:tc>
        <w:tc>
          <w:tcPr>
            <w:tcW w:w="1379" w:type="dxa"/>
          </w:tcPr>
          <w:p w:rsidR="003400D1" w:rsidRDefault="00C4155F" w:rsidP="00790311">
            <w:pPr>
              <w:spacing w:line="276" w:lineRule="auto"/>
              <w:rPr>
                <w:rFonts w:ascii="Times New Roman" w:eastAsia="MS Mincho" w:hAnsi="Times New Roman"/>
                <w:b/>
                <w:sz w:val="20"/>
                <w:szCs w:val="20"/>
              </w:rPr>
            </w:pPr>
            <w:r>
              <w:rPr>
                <w:rFonts w:ascii="Times New Roman" w:eastAsia="MS Mincho" w:hAnsi="Times New Roman"/>
                <w:b/>
                <w:sz w:val="20"/>
                <w:szCs w:val="20"/>
              </w:rPr>
              <w:t>RCL</w:t>
            </w:r>
          </w:p>
        </w:tc>
        <w:tc>
          <w:tcPr>
            <w:tcW w:w="2753" w:type="dxa"/>
          </w:tcPr>
          <w:p w:rsidR="003400D1" w:rsidRDefault="00491CC7" w:rsidP="00790311">
            <w:pPr>
              <w:spacing w:line="276" w:lineRule="auto"/>
              <w:jc w:val="center"/>
              <w:rPr>
                <w:rFonts w:ascii="Times New Roman" w:eastAsia="MS Mincho" w:hAnsi="Times New Roman"/>
                <w:b/>
                <w:sz w:val="20"/>
                <w:szCs w:val="20"/>
              </w:rPr>
            </w:pPr>
            <w:r>
              <w:rPr>
                <w:rFonts w:ascii="Times New Roman" w:eastAsia="MS Mincho" w:hAnsi="Times New Roman"/>
                <w:b/>
                <w:sz w:val="20"/>
                <w:szCs w:val="20"/>
              </w:rPr>
              <w:t>Postulat uregulowania przeniesienia (migracji) danych z księgi akcyjnej do rejestru akcjonariuszy/depozytu papierów wartościowych</w:t>
            </w:r>
          </w:p>
        </w:tc>
        <w:tc>
          <w:tcPr>
            <w:tcW w:w="5741" w:type="dxa"/>
          </w:tcPr>
          <w:p w:rsidR="00491CC7" w:rsidRPr="00E17F9E" w:rsidRDefault="00491CC7" w:rsidP="00491CC7">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W związku z likwidacją księgi akcyjnej z dniem 1 stycznia 2020 r. przepisy projektu ustawy należy uzupełnić o </w:t>
            </w:r>
            <w:r w:rsidRPr="00E17F9E">
              <w:rPr>
                <w:rFonts w:ascii="Times New Roman" w:eastAsia="MS Mincho" w:hAnsi="Times New Roman"/>
                <w:iCs/>
                <w:sz w:val="20"/>
                <w:szCs w:val="20"/>
                <w:u w:val="single"/>
              </w:rPr>
              <w:t>normy regulujące przeniesienie danych z księgi akcyjnej do rejestru akcjonariuszy albo do depozytu papierów wartościowych.</w:t>
            </w:r>
            <w:r w:rsidRPr="00E17F9E">
              <w:rPr>
                <w:rFonts w:ascii="Times New Roman" w:eastAsia="MS Mincho" w:hAnsi="Times New Roman"/>
                <w:iCs/>
                <w:sz w:val="20"/>
                <w:szCs w:val="20"/>
              </w:rPr>
              <w:t xml:space="preserve"> </w:t>
            </w:r>
          </w:p>
          <w:p w:rsidR="003400D1" w:rsidRPr="00E17F9E" w:rsidRDefault="00491CC7" w:rsidP="00491CC7">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W tym kontekście należy zauważyć, że projektowany przepis art. 7 ust. 1 zdanie drugie jest niewystarczający. Przepis ten przewiduje bowiem, że z dniem 1 stycznia 2020 r., czyli z dniem wejścia tego przepisu w życie, uzyskują moc prawną wpisy w rejestrze akcjonariuszy, a w przypadku spółki, której walne zgromadzenie podjęło uchwałę o zarejestrowaniu jej akcji w depozycie papierów wartościowych - zapisy na rachunkach papierów wartościowych. Nie wiadomo jednak o jakie wpisy w rejestrze akcjonariuszy czy depozycie papierów wartościowych chodzi, gdyż zarówno prowadzenie rejestru akcjonariuszy, jak również rejestrowanie akcji w depozycie papierów wartościowych przez spółkę niepubliczną będzie </w:t>
            </w:r>
            <w:r w:rsidRPr="00E17F9E">
              <w:rPr>
                <w:rFonts w:ascii="Times New Roman" w:eastAsia="MS Mincho" w:hAnsi="Times New Roman"/>
                <w:iCs/>
                <w:sz w:val="20"/>
                <w:szCs w:val="20"/>
              </w:rPr>
              <w:lastRenderedPageBreak/>
              <w:t xml:space="preserve">możliwe od dnia 1 stycznia 2020 r. </w:t>
            </w:r>
            <w:r w:rsidRPr="00E17F9E">
              <w:rPr>
                <w:rFonts w:ascii="Times New Roman" w:eastAsia="MS Mincho" w:hAnsi="Times New Roman"/>
                <w:iCs/>
                <w:sz w:val="20"/>
                <w:szCs w:val="20"/>
                <w:u w:val="single"/>
              </w:rPr>
              <w:t>Samo zawarcie umowy na prowadzenie rejestru akcjonariuszy czy umowy o rejestrację akcji w depozycie papierów wartościowych nie jest równoznaczne z obowiązkiem dokonywania w nich wpisów przed dniem 1 stycznia 2020 r.</w:t>
            </w:r>
            <w:r w:rsidRPr="00E17F9E">
              <w:rPr>
                <w:rFonts w:ascii="Times New Roman" w:eastAsia="MS Mincho" w:hAnsi="Times New Roman"/>
                <w:iCs/>
                <w:sz w:val="20"/>
                <w:szCs w:val="20"/>
              </w:rPr>
              <w:t xml:space="preserve"> Materia ta wymaga uzupełnienia o stosowne przepisy.</w:t>
            </w:r>
          </w:p>
        </w:tc>
        <w:tc>
          <w:tcPr>
            <w:tcW w:w="5169" w:type="dxa"/>
          </w:tcPr>
          <w:p w:rsidR="002E5597" w:rsidRPr="00E17F9E" w:rsidRDefault="002E5597" w:rsidP="002E5597">
            <w:pPr>
              <w:jc w:val="both"/>
              <w:rPr>
                <w:rFonts w:ascii="Times New Roman" w:eastAsia="MS Mincho" w:hAnsi="Times New Roman"/>
                <w:b/>
                <w:iCs/>
                <w:sz w:val="20"/>
                <w:szCs w:val="20"/>
              </w:rPr>
            </w:pPr>
            <w:r w:rsidRPr="00E17F9E">
              <w:rPr>
                <w:rFonts w:ascii="Times New Roman" w:eastAsia="MS Mincho" w:hAnsi="Times New Roman"/>
                <w:b/>
                <w:iCs/>
                <w:sz w:val="20"/>
                <w:szCs w:val="20"/>
              </w:rPr>
              <w:lastRenderedPageBreak/>
              <w:t>Uwaga została wyjaśniona na konferencji uzgodnieniowej.</w:t>
            </w:r>
          </w:p>
          <w:p w:rsidR="00C90EA4" w:rsidRPr="00E17F9E" w:rsidRDefault="00C90EA4" w:rsidP="00FF7661">
            <w:pPr>
              <w:jc w:val="both"/>
              <w:rPr>
                <w:rFonts w:ascii="Times New Roman" w:eastAsia="MS Mincho" w:hAnsi="Times New Roman"/>
                <w:iCs/>
                <w:sz w:val="20"/>
                <w:szCs w:val="20"/>
              </w:rPr>
            </w:pPr>
            <w:r w:rsidRPr="00E17F9E">
              <w:rPr>
                <w:rFonts w:ascii="Times New Roman" w:eastAsia="MS Mincho" w:hAnsi="Times New Roman"/>
                <w:iCs/>
                <w:sz w:val="20"/>
                <w:szCs w:val="20"/>
              </w:rPr>
              <w:t>W toku prac nad projektem rozważano wprowadzenie tego typu regulacji, jako rozwiązań o charakterze przejściowym.</w:t>
            </w:r>
          </w:p>
          <w:p w:rsidR="003400D1" w:rsidRPr="00E17F9E" w:rsidRDefault="00C90EA4" w:rsidP="00763616">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Wydaje się jednak, że takie rozwiązania nadto skomplikowałyby cały system „przejścia” na akcje rejestrowe; </w:t>
            </w:r>
            <w:r w:rsidR="002202DB" w:rsidRPr="00E17F9E">
              <w:rPr>
                <w:rFonts w:ascii="Times New Roman" w:eastAsia="MS Mincho" w:hAnsi="Times New Roman"/>
                <w:iCs/>
                <w:sz w:val="20"/>
                <w:szCs w:val="20"/>
              </w:rPr>
              <w:t>dodatkowo</w:t>
            </w:r>
            <w:r w:rsidRPr="00E17F9E">
              <w:rPr>
                <w:rFonts w:ascii="Times New Roman" w:eastAsia="MS Mincho" w:hAnsi="Times New Roman"/>
                <w:iCs/>
                <w:sz w:val="20"/>
                <w:szCs w:val="20"/>
              </w:rPr>
              <w:t>, w tym okresie spółka zmuszona byłaby utrzymywać niejako dwa odrębne systemy</w:t>
            </w:r>
            <w:r w:rsidR="00214FA5" w:rsidRPr="00E17F9E">
              <w:rPr>
                <w:rFonts w:ascii="Times New Roman" w:eastAsia="MS Mincho" w:hAnsi="Times New Roman"/>
                <w:iCs/>
                <w:sz w:val="20"/>
                <w:szCs w:val="20"/>
              </w:rPr>
              <w:t xml:space="preserve"> rejestracji akcji, co ma nie tylko wpływ na koszty dla spółki, al</w:t>
            </w:r>
            <w:r w:rsidR="00763616" w:rsidRPr="00E17F9E">
              <w:rPr>
                <w:rFonts w:ascii="Times New Roman" w:eastAsia="MS Mincho" w:hAnsi="Times New Roman"/>
                <w:iCs/>
                <w:sz w:val="20"/>
                <w:szCs w:val="20"/>
              </w:rPr>
              <w:t>e również mogłoby mieć negatywne skutki dla obrotu. Trzeba mieć bowiem na względzie fakt, że intencją projektu jest wprowadzenie narzędzia ewidencyjnego, które be</w:t>
            </w:r>
            <w:r w:rsidR="002202DB" w:rsidRPr="00E17F9E">
              <w:rPr>
                <w:rFonts w:ascii="Times New Roman" w:eastAsia="MS Mincho" w:hAnsi="Times New Roman"/>
                <w:iCs/>
                <w:sz w:val="20"/>
                <w:szCs w:val="20"/>
              </w:rPr>
              <w:t>z</w:t>
            </w:r>
            <w:r w:rsidR="00763616" w:rsidRPr="00E17F9E">
              <w:rPr>
                <w:rFonts w:ascii="Times New Roman" w:eastAsia="MS Mincho" w:hAnsi="Times New Roman"/>
                <w:iCs/>
                <w:sz w:val="20"/>
                <w:szCs w:val="20"/>
              </w:rPr>
              <w:t xml:space="preserve"> żadnych wątpliwości pozwoli na ustalenie osoby uprawnionej z akcji. </w:t>
            </w:r>
          </w:p>
          <w:p w:rsidR="0046200D" w:rsidRPr="00E17F9E" w:rsidRDefault="0046200D" w:rsidP="00763616">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Nie jest pożądana taka sytuacja, w której doszłoby do swoistej „konkurencji wpisów” dokonywanych w </w:t>
            </w:r>
            <w:r w:rsidRPr="00E17F9E">
              <w:rPr>
                <w:rFonts w:ascii="Times New Roman" w:eastAsia="MS Mincho" w:hAnsi="Times New Roman"/>
                <w:iCs/>
                <w:sz w:val="20"/>
                <w:szCs w:val="20"/>
              </w:rPr>
              <w:lastRenderedPageBreak/>
              <w:t>księdze akcyjnej i w rejestrze.</w:t>
            </w:r>
          </w:p>
          <w:p w:rsidR="006D666F" w:rsidRPr="00E17F9E" w:rsidRDefault="006D666F" w:rsidP="00763616">
            <w:pPr>
              <w:jc w:val="both"/>
              <w:rPr>
                <w:rFonts w:ascii="Times New Roman" w:eastAsia="MS Mincho" w:hAnsi="Times New Roman"/>
                <w:iCs/>
                <w:sz w:val="20"/>
                <w:szCs w:val="20"/>
              </w:rPr>
            </w:pPr>
          </w:p>
          <w:p w:rsidR="006D666F" w:rsidRPr="00E17F9E" w:rsidRDefault="002C0549" w:rsidP="00763616">
            <w:pPr>
              <w:jc w:val="both"/>
              <w:rPr>
                <w:rFonts w:ascii="Times New Roman" w:eastAsia="MS Mincho" w:hAnsi="Times New Roman"/>
                <w:iCs/>
                <w:sz w:val="20"/>
                <w:szCs w:val="20"/>
              </w:rPr>
            </w:pPr>
            <w:r w:rsidRPr="00E17F9E">
              <w:rPr>
                <w:rFonts w:ascii="Times New Roman" w:eastAsia="MS Mincho" w:hAnsi="Times New Roman"/>
                <w:iCs/>
                <w:sz w:val="20"/>
                <w:szCs w:val="20"/>
              </w:rPr>
              <w:t>Wpisy ujawnione w księdze akcyjnej do dnia wejścia w życie przepisów projektu, będą stanowiły przede wszystkim źródło informacji dla spółki</w:t>
            </w:r>
            <w:r w:rsidR="00E80912" w:rsidRPr="00E17F9E">
              <w:rPr>
                <w:rFonts w:ascii="Times New Roman" w:eastAsia="MS Mincho" w:hAnsi="Times New Roman"/>
                <w:iCs/>
                <w:sz w:val="20"/>
                <w:szCs w:val="20"/>
              </w:rPr>
              <w:t>, jak i dla podmiotu</w:t>
            </w:r>
            <w:r w:rsidRPr="00E17F9E">
              <w:rPr>
                <w:rFonts w:ascii="Times New Roman" w:eastAsia="MS Mincho" w:hAnsi="Times New Roman"/>
                <w:iCs/>
                <w:sz w:val="20"/>
                <w:szCs w:val="20"/>
              </w:rPr>
              <w:t xml:space="preserve">, z którym spółka podpisze umowę o prowadzenie rejestru. </w:t>
            </w:r>
          </w:p>
          <w:p w:rsidR="00E80912" w:rsidRPr="00E17F9E" w:rsidRDefault="002202DB" w:rsidP="002202DB">
            <w:pPr>
              <w:jc w:val="both"/>
              <w:rPr>
                <w:rFonts w:ascii="Times New Roman" w:eastAsia="MS Mincho" w:hAnsi="Times New Roman"/>
                <w:iCs/>
                <w:sz w:val="20"/>
                <w:szCs w:val="20"/>
              </w:rPr>
            </w:pPr>
            <w:r w:rsidRPr="00E17F9E">
              <w:rPr>
                <w:rFonts w:ascii="Times New Roman" w:eastAsia="MS Mincho" w:hAnsi="Times New Roman"/>
                <w:iCs/>
                <w:sz w:val="20"/>
                <w:szCs w:val="20"/>
              </w:rPr>
              <w:t xml:space="preserve">Kwestie </w:t>
            </w:r>
            <w:r w:rsidR="00E80912" w:rsidRPr="00E17F9E">
              <w:rPr>
                <w:rFonts w:ascii="Times New Roman" w:eastAsia="MS Mincho" w:hAnsi="Times New Roman"/>
                <w:iCs/>
                <w:sz w:val="20"/>
                <w:szCs w:val="20"/>
              </w:rPr>
              <w:t>odpowiedniego „</w:t>
            </w:r>
            <w:proofErr w:type="spellStart"/>
            <w:r w:rsidR="00E80912" w:rsidRPr="00E17F9E">
              <w:rPr>
                <w:rFonts w:ascii="Times New Roman" w:eastAsia="MS Mincho" w:hAnsi="Times New Roman"/>
                <w:iCs/>
                <w:sz w:val="20"/>
                <w:szCs w:val="20"/>
              </w:rPr>
              <w:t>zmigrowania</w:t>
            </w:r>
            <w:proofErr w:type="spellEnd"/>
            <w:r w:rsidR="00E80912" w:rsidRPr="00E17F9E">
              <w:rPr>
                <w:rFonts w:ascii="Times New Roman" w:eastAsia="MS Mincho" w:hAnsi="Times New Roman"/>
                <w:iCs/>
                <w:sz w:val="20"/>
                <w:szCs w:val="20"/>
              </w:rPr>
              <w:t xml:space="preserve">” danych z księgi akcyjnej powinny być uregulowane w umowie. </w:t>
            </w:r>
          </w:p>
        </w:tc>
      </w:tr>
    </w:tbl>
    <w:p w:rsidR="0015337E" w:rsidRPr="00FF289E" w:rsidRDefault="0015337E">
      <w:pPr>
        <w:rPr>
          <w:rFonts w:ascii="Times New Roman" w:hAnsi="Times New Roman"/>
          <w:sz w:val="20"/>
          <w:szCs w:val="20"/>
        </w:rPr>
      </w:pPr>
    </w:p>
    <w:sectPr w:rsidR="0015337E" w:rsidRPr="00FF289E" w:rsidSect="00CE4CA2">
      <w:footerReference w:type="default" r:id="rId7"/>
      <w:pgSz w:w="16838" w:h="11906" w:orient="landscape"/>
      <w:pgMar w:top="1417" w:right="1417" w:bottom="1417" w:left="1417"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2A6" w:rsidRDefault="005302A6">
      <w:r>
        <w:separator/>
      </w:r>
    </w:p>
  </w:endnote>
  <w:endnote w:type="continuationSeparator" w:id="0">
    <w:p w:rsidR="005302A6" w:rsidRDefault="00530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EE"/>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E4E" w:rsidRDefault="000B3DEC">
    <w:pPr>
      <w:pStyle w:val="Stopka"/>
      <w:jc w:val="center"/>
    </w:pPr>
    <w:r>
      <w:fldChar w:fldCharType="begin"/>
    </w:r>
    <w:r>
      <w:instrText>PAGE   \* MERGEFORMAT</w:instrText>
    </w:r>
    <w:r>
      <w:fldChar w:fldCharType="separate"/>
    </w:r>
    <w:r w:rsidR="00E17F9E">
      <w:rPr>
        <w:noProof/>
      </w:rPr>
      <w:t>5</w:t>
    </w:r>
    <w:r>
      <w:rPr>
        <w:noProof/>
      </w:rPr>
      <w:fldChar w:fldCharType="end"/>
    </w:r>
  </w:p>
  <w:p w:rsidR="00C40E4E" w:rsidRDefault="005302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2A6" w:rsidRDefault="005302A6">
      <w:r>
        <w:separator/>
      </w:r>
    </w:p>
  </w:footnote>
  <w:footnote w:type="continuationSeparator" w:id="0">
    <w:p w:rsidR="005302A6" w:rsidRDefault="00530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63"/>
    <w:rsid w:val="00034C53"/>
    <w:rsid w:val="00094F99"/>
    <w:rsid w:val="000957BC"/>
    <w:rsid w:val="000B3DEC"/>
    <w:rsid w:val="000D6726"/>
    <w:rsid w:val="000E415A"/>
    <w:rsid w:val="000F4ADC"/>
    <w:rsid w:val="0015337E"/>
    <w:rsid w:val="001846D0"/>
    <w:rsid w:val="00196369"/>
    <w:rsid w:val="001F4403"/>
    <w:rsid w:val="00212716"/>
    <w:rsid w:val="00213A4B"/>
    <w:rsid w:val="00214FA5"/>
    <w:rsid w:val="002202DB"/>
    <w:rsid w:val="00244107"/>
    <w:rsid w:val="002B0C46"/>
    <w:rsid w:val="002C0549"/>
    <w:rsid w:val="002C5806"/>
    <w:rsid w:val="002E1034"/>
    <w:rsid w:val="002E5597"/>
    <w:rsid w:val="003400D1"/>
    <w:rsid w:val="00362E13"/>
    <w:rsid w:val="003F4A57"/>
    <w:rsid w:val="00421B63"/>
    <w:rsid w:val="0046200D"/>
    <w:rsid w:val="004708CC"/>
    <w:rsid w:val="00491CC7"/>
    <w:rsid w:val="004D719B"/>
    <w:rsid w:val="0050733D"/>
    <w:rsid w:val="005302A6"/>
    <w:rsid w:val="0053696D"/>
    <w:rsid w:val="005427D9"/>
    <w:rsid w:val="00565474"/>
    <w:rsid w:val="00576FF7"/>
    <w:rsid w:val="005B5F7D"/>
    <w:rsid w:val="00642810"/>
    <w:rsid w:val="0066489D"/>
    <w:rsid w:val="006A5E6A"/>
    <w:rsid w:val="006B76CA"/>
    <w:rsid w:val="006C4949"/>
    <w:rsid w:val="006D666F"/>
    <w:rsid w:val="007228EB"/>
    <w:rsid w:val="00761EEB"/>
    <w:rsid w:val="00763616"/>
    <w:rsid w:val="00763EEA"/>
    <w:rsid w:val="00781006"/>
    <w:rsid w:val="00795703"/>
    <w:rsid w:val="007976A7"/>
    <w:rsid w:val="007E2347"/>
    <w:rsid w:val="008066C7"/>
    <w:rsid w:val="00861BF1"/>
    <w:rsid w:val="00862313"/>
    <w:rsid w:val="00886358"/>
    <w:rsid w:val="008D19F2"/>
    <w:rsid w:val="00A3457E"/>
    <w:rsid w:val="00A70558"/>
    <w:rsid w:val="00A721F2"/>
    <w:rsid w:val="00A80F7B"/>
    <w:rsid w:val="00A86A7F"/>
    <w:rsid w:val="00AA4AFF"/>
    <w:rsid w:val="00AF6277"/>
    <w:rsid w:val="00BB7421"/>
    <w:rsid w:val="00BC46B3"/>
    <w:rsid w:val="00BD5804"/>
    <w:rsid w:val="00C15A68"/>
    <w:rsid w:val="00C4155F"/>
    <w:rsid w:val="00C50125"/>
    <w:rsid w:val="00C90EA4"/>
    <w:rsid w:val="00C97DC5"/>
    <w:rsid w:val="00CB6E13"/>
    <w:rsid w:val="00CC307A"/>
    <w:rsid w:val="00CD4676"/>
    <w:rsid w:val="00CE4CA2"/>
    <w:rsid w:val="00D42799"/>
    <w:rsid w:val="00D435C7"/>
    <w:rsid w:val="00D620EB"/>
    <w:rsid w:val="00D84F63"/>
    <w:rsid w:val="00E17F9E"/>
    <w:rsid w:val="00E52DFA"/>
    <w:rsid w:val="00E80912"/>
    <w:rsid w:val="00EA47E1"/>
    <w:rsid w:val="00EC0485"/>
    <w:rsid w:val="00F10BFD"/>
    <w:rsid w:val="00F50D33"/>
    <w:rsid w:val="00F64CE9"/>
    <w:rsid w:val="00FF289E"/>
    <w:rsid w:val="00FF7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1B63"/>
    <w:rPr>
      <w:rFonts w:ascii="Calibri" w:eastAsia="Calibri" w:hAnsi="Calibri" w:cs="Times New Roman"/>
    </w:rPr>
  </w:style>
  <w:style w:type="paragraph" w:styleId="Nagwek1">
    <w:name w:val="heading 1"/>
    <w:basedOn w:val="Normalny"/>
    <w:next w:val="Normalny"/>
    <w:link w:val="Nagwek1Znak"/>
    <w:qFormat/>
    <w:rsid w:val="00421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421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421B63"/>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99"/>
    <w:qFormat/>
    <w:rsid w:val="001F4403"/>
    <w:pPr>
      <w:ind w:left="284" w:hanging="284"/>
      <w:jc w:val="both"/>
    </w:pPr>
    <w:rPr>
      <w:rFonts w:ascii="Times New Roman" w:eastAsia="Times New Roman" w:hAnsi="Times New Roman" w:cs="Arial"/>
      <w:sz w:val="20"/>
      <w:szCs w:val="20"/>
      <w:lang w:eastAsia="pl-PL"/>
    </w:rPr>
  </w:style>
  <w:style w:type="character" w:customStyle="1" w:styleId="Nagwek1Znak">
    <w:name w:val="Nagłówek 1 Znak"/>
    <w:basedOn w:val="Domylnaczcionkaakapitu"/>
    <w:link w:val="Nagwek1"/>
    <w:rsid w:val="00421B6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421B6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rsid w:val="00421B63"/>
    <w:rPr>
      <w:rFonts w:asciiTheme="majorHAnsi" w:eastAsiaTheme="majorEastAsia" w:hAnsiTheme="majorHAnsi" w:cstheme="majorBidi"/>
      <w:b/>
      <w:bCs/>
      <w:color w:val="4F81BD" w:themeColor="accent1"/>
    </w:rPr>
  </w:style>
  <w:style w:type="paragraph" w:styleId="Nagwek">
    <w:name w:val="header"/>
    <w:basedOn w:val="Normalny"/>
    <w:link w:val="NagwekZnak"/>
    <w:uiPriority w:val="99"/>
    <w:rsid w:val="00421B63"/>
    <w:pPr>
      <w:tabs>
        <w:tab w:val="center" w:pos="4536"/>
        <w:tab w:val="right" w:pos="9072"/>
      </w:tabs>
    </w:pPr>
  </w:style>
  <w:style w:type="character" w:customStyle="1" w:styleId="NagwekZnak">
    <w:name w:val="Nagłówek Znak"/>
    <w:basedOn w:val="Domylnaczcionkaakapitu"/>
    <w:link w:val="Nagwek"/>
    <w:uiPriority w:val="99"/>
    <w:rsid w:val="00421B63"/>
    <w:rPr>
      <w:rFonts w:ascii="Calibri" w:eastAsia="Calibri" w:hAnsi="Calibri" w:cs="Times New Roman"/>
    </w:rPr>
  </w:style>
  <w:style w:type="paragraph" w:styleId="Stopka">
    <w:name w:val="footer"/>
    <w:basedOn w:val="Normalny"/>
    <w:link w:val="StopkaZnak"/>
    <w:uiPriority w:val="99"/>
    <w:rsid w:val="00421B63"/>
    <w:pPr>
      <w:tabs>
        <w:tab w:val="center" w:pos="4536"/>
        <w:tab w:val="right" w:pos="9072"/>
      </w:tabs>
    </w:pPr>
  </w:style>
  <w:style w:type="character" w:customStyle="1" w:styleId="StopkaZnak">
    <w:name w:val="Stopka Znak"/>
    <w:basedOn w:val="Domylnaczcionkaakapitu"/>
    <w:link w:val="Stopka"/>
    <w:uiPriority w:val="99"/>
    <w:rsid w:val="00421B63"/>
    <w:rPr>
      <w:rFonts w:ascii="Calibri" w:eastAsia="Calibri" w:hAnsi="Calibri" w:cs="Times New Roman"/>
    </w:rPr>
  </w:style>
  <w:style w:type="paragraph" w:styleId="Tekstdymka">
    <w:name w:val="Balloon Text"/>
    <w:basedOn w:val="Normalny"/>
    <w:link w:val="TekstdymkaZnak"/>
    <w:uiPriority w:val="99"/>
    <w:semiHidden/>
    <w:rsid w:val="00421B63"/>
    <w:rPr>
      <w:rFonts w:ascii="Tahoma" w:hAnsi="Tahoma" w:cs="Tahoma"/>
      <w:sz w:val="16"/>
      <w:szCs w:val="16"/>
    </w:rPr>
  </w:style>
  <w:style w:type="character" w:customStyle="1" w:styleId="TekstdymkaZnak">
    <w:name w:val="Tekst dymka Znak"/>
    <w:basedOn w:val="Domylnaczcionkaakapitu"/>
    <w:link w:val="Tekstdymka"/>
    <w:uiPriority w:val="99"/>
    <w:semiHidden/>
    <w:rsid w:val="00421B63"/>
    <w:rPr>
      <w:rFonts w:ascii="Tahoma" w:eastAsia="Calibri" w:hAnsi="Tahoma" w:cs="Tahoma"/>
      <w:sz w:val="16"/>
      <w:szCs w:val="16"/>
    </w:rPr>
  </w:style>
  <w:style w:type="table" w:styleId="Tabela-Siatka">
    <w:name w:val="Table Grid"/>
    <w:basedOn w:val="Standardowy"/>
    <w:uiPriority w:val="99"/>
    <w:rsid w:val="00421B63"/>
    <w:pPr>
      <w:spacing w:before="200" w:after="200" w:line="276" w:lineRule="auto"/>
    </w:pPr>
    <w:rPr>
      <w:rFonts w:ascii="Calibri" w:eastAsia="MS Mincho"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421B63"/>
    <w:rPr>
      <w:sz w:val="24"/>
      <w:szCs w:val="24"/>
    </w:rPr>
  </w:style>
  <w:style w:type="character" w:customStyle="1" w:styleId="TekstprzypisukocowegoZnak">
    <w:name w:val="Tekst przypisu końcowego Znak"/>
    <w:basedOn w:val="Domylnaczcionkaakapitu"/>
    <w:link w:val="Tekstprzypisukocowego"/>
    <w:uiPriority w:val="99"/>
    <w:rsid w:val="00421B63"/>
    <w:rPr>
      <w:rFonts w:ascii="Calibri" w:eastAsia="Calibri" w:hAnsi="Calibri" w:cs="Times New Roman"/>
      <w:sz w:val="24"/>
      <w:szCs w:val="24"/>
    </w:rPr>
  </w:style>
  <w:style w:type="character" w:styleId="Odwoanieprzypisukocowego">
    <w:name w:val="endnote reference"/>
    <w:basedOn w:val="Domylnaczcionkaakapitu"/>
    <w:uiPriority w:val="99"/>
    <w:rsid w:val="00421B63"/>
    <w:rPr>
      <w:rFonts w:cs="Times New Roman"/>
      <w:vertAlign w:val="superscript"/>
    </w:rPr>
  </w:style>
  <w:style w:type="character" w:customStyle="1" w:styleId="IGindeksgrny">
    <w:name w:val="_IG_ – indeks górny"/>
    <w:basedOn w:val="Domylnaczcionkaakapitu"/>
    <w:uiPriority w:val="99"/>
    <w:rsid w:val="00421B63"/>
    <w:rPr>
      <w:rFonts w:cs="Times New Roman"/>
      <w:spacing w:val="0"/>
      <w:vertAlign w:val="superscript"/>
    </w:rPr>
  </w:style>
  <w:style w:type="paragraph" w:styleId="NormalnyWeb">
    <w:name w:val="Normal (Web)"/>
    <w:basedOn w:val="Normalny"/>
    <w:uiPriority w:val="99"/>
    <w:rsid w:val="00421B63"/>
    <w:pPr>
      <w:spacing w:before="100" w:beforeAutospacing="1" w:after="100" w:afterAutospacing="1"/>
    </w:pPr>
    <w:rPr>
      <w:rFonts w:ascii="Times" w:hAnsi="Times"/>
      <w:sz w:val="20"/>
      <w:szCs w:val="20"/>
      <w:lang w:eastAsia="pl-PL"/>
    </w:rPr>
  </w:style>
  <w:style w:type="character" w:styleId="Hipercze">
    <w:name w:val="Hyperlink"/>
    <w:basedOn w:val="Domylnaczcionkaakapitu"/>
    <w:uiPriority w:val="99"/>
    <w:semiHidden/>
    <w:rsid w:val="00421B63"/>
    <w:rPr>
      <w:rFonts w:cs="Times New Roman"/>
      <w:color w:val="0000FF"/>
      <w:u w:val="single"/>
    </w:rPr>
  </w:style>
  <w:style w:type="paragraph" w:styleId="Podtytu">
    <w:name w:val="Subtitle"/>
    <w:basedOn w:val="Normalny"/>
    <w:next w:val="Normalny"/>
    <w:link w:val="PodtytuZnak"/>
    <w:qFormat/>
    <w:rsid w:val="00421B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421B63"/>
    <w:rPr>
      <w:rFonts w:asciiTheme="majorHAnsi" w:eastAsiaTheme="majorEastAsia" w:hAnsiTheme="majorHAnsi" w:cstheme="majorBidi"/>
      <w:i/>
      <w:iCs/>
      <w:color w:val="4F81BD" w:themeColor="accent1"/>
      <w:spacing w:val="15"/>
      <w:sz w:val="24"/>
      <w:szCs w:val="24"/>
    </w:rPr>
  </w:style>
  <w:style w:type="character" w:styleId="Pogrubienie">
    <w:name w:val="Strong"/>
    <w:basedOn w:val="Domylnaczcionkaakapitu"/>
    <w:qFormat/>
    <w:rsid w:val="00421B6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1B63"/>
    <w:rPr>
      <w:rFonts w:ascii="Calibri" w:eastAsia="Calibri" w:hAnsi="Calibri" w:cs="Times New Roman"/>
    </w:rPr>
  </w:style>
  <w:style w:type="paragraph" w:styleId="Nagwek1">
    <w:name w:val="heading 1"/>
    <w:basedOn w:val="Normalny"/>
    <w:next w:val="Normalny"/>
    <w:link w:val="Nagwek1Znak"/>
    <w:qFormat/>
    <w:rsid w:val="00421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421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421B63"/>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99"/>
    <w:qFormat/>
    <w:rsid w:val="001F4403"/>
    <w:pPr>
      <w:ind w:left="284" w:hanging="284"/>
      <w:jc w:val="both"/>
    </w:pPr>
    <w:rPr>
      <w:rFonts w:ascii="Times New Roman" w:eastAsia="Times New Roman" w:hAnsi="Times New Roman" w:cs="Arial"/>
      <w:sz w:val="20"/>
      <w:szCs w:val="20"/>
      <w:lang w:eastAsia="pl-PL"/>
    </w:rPr>
  </w:style>
  <w:style w:type="character" w:customStyle="1" w:styleId="Nagwek1Znak">
    <w:name w:val="Nagłówek 1 Znak"/>
    <w:basedOn w:val="Domylnaczcionkaakapitu"/>
    <w:link w:val="Nagwek1"/>
    <w:rsid w:val="00421B6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421B6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rsid w:val="00421B63"/>
    <w:rPr>
      <w:rFonts w:asciiTheme="majorHAnsi" w:eastAsiaTheme="majorEastAsia" w:hAnsiTheme="majorHAnsi" w:cstheme="majorBidi"/>
      <w:b/>
      <w:bCs/>
      <w:color w:val="4F81BD" w:themeColor="accent1"/>
    </w:rPr>
  </w:style>
  <w:style w:type="paragraph" w:styleId="Nagwek">
    <w:name w:val="header"/>
    <w:basedOn w:val="Normalny"/>
    <w:link w:val="NagwekZnak"/>
    <w:uiPriority w:val="99"/>
    <w:rsid w:val="00421B63"/>
    <w:pPr>
      <w:tabs>
        <w:tab w:val="center" w:pos="4536"/>
        <w:tab w:val="right" w:pos="9072"/>
      </w:tabs>
    </w:pPr>
  </w:style>
  <w:style w:type="character" w:customStyle="1" w:styleId="NagwekZnak">
    <w:name w:val="Nagłówek Znak"/>
    <w:basedOn w:val="Domylnaczcionkaakapitu"/>
    <w:link w:val="Nagwek"/>
    <w:uiPriority w:val="99"/>
    <w:rsid w:val="00421B63"/>
    <w:rPr>
      <w:rFonts w:ascii="Calibri" w:eastAsia="Calibri" w:hAnsi="Calibri" w:cs="Times New Roman"/>
    </w:rPr>
  </w:style>
  <w:style w:type="paragraph" w:styleId="Stopka">
    <w:name w:val="footer"/>
    <w:basedOn w:val="Normalny"/>
    <w:link w:val="StopkaZnak"/>
    <w:uiPriority w:val="99"/>
    <w:rsid w:val="00421B63"/>
    <w:pPr>
      <w:tabs>
        <w:tab w:val="center" w:pos="4536"/>
        <w:tab w:val="right" w:pos="9072"/>
      </w:tabs>
    </w:pPr>
  </w:style>
  <w:style w:type="character" w:customStyle="1" w:styleId="StopkaZnak">
    <w:name w:val="Stopka Znak"/>
    <w:basedOn w:val="Domylnaczcionkaakapitu"/>
    <w:link w:val="Stopka"/>
    <w:uiPriority w:val="99"/>
    <w:rsid w:val="00421B63"/>
    <w:rPr>
      <w:rFonts w:ascii="Calibri" w:eastAsia="Calibri" w:hAnsi="Calibri" w:cs="Times New Roman"/>
    </w:rPr>
  </w:style>
  <w:style w:type="paragraph" w:styleId="Tekstdymka">
    <w:name w:val="Balloon Text"/>
    <w:basedOn w:val="Normalny"/>
    <w:link w:val="TekstdymkaZnak"/>
    <w:uiPriority w:val="99"/>
    <w:semiHidden/>
    <w:rsid w:val="00421B63"/>
    <w:rPr>
      <w:rFonts w:ascii="Tahoma" w:hAnsi="Tahoma" w:cs="Tahoma"/>
      <w:sz w:val="16"/>
      <w:szCs w:val="16"/>
    </w:rPr>
  </w:style>
  <w:style w:type="character" w:customStyle="1" w:styleId="TekstdymkaZnak">
    <w:name w:val="Tekst dymka Znak"/>
    <w:basedOn w:val="Domylnaczcionkaakapitu"/>
    <w:link w:val="Tekstdymka"/>
    <w:uiPriority w:val="99"/>
    <w:semiHidden/>
    <w:rsid w:val="00421B63"/>
    <w:rPr>
      <w:rFonts w:ascii="Tahoma" w:eastAsia="Calibri" w:hAnsi="Tahoma" w:cs="Tahoma"/>
      <w:sz w:val="16"/>
      <w:szCs w:val="16"/>
    </w:rPr>
  </w:style>
  <w:style w:type="table" w:styleId="Tabela-Siatka">
    <w:name w:val="Table Grid"/>
    <w:basedOn w:val="Standardowy"/>
    <w:uiPriority w:val="99"/>
    <w:rsid w:val="00421B63"/>
    <w:pPr>
      <w:spacing w:before="200" w:after="200" w:line="276" w:lineRule="auto"/>
    </w:pPr>
    <w:rPr>
      <w:rFonts w:ascii="Calibri" w:eastAsia="MS Mincho"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421B63"/>
    <w:rPr>
      <w:sz w:val="24"/>
      <w:szCs w:val="24"/>
    </w:rPr>
  </w:style>
  <w:style w:type="character" w:customStyle="1" w:styleId="TekstprzypisukocowegoZnak">
    <w:name w:val="Tekst przypisu końcowego Znak"/>
    <w:basedOn w:val="Domylnaczcionkaakapitu"/>
    <w:link w:val="Tekstprzypisukocowego"/>
    <w:uiPriority w:val="99"/>
    <w:rsid w:val="00421B63"/>
    <w:rPr>
      <w:rFonts w:ascii="Calibri" w:eastAsia="Calibri" w:hAnsi="Calibri" w:cs="Times New Roman"/>
      <w:sz w:val="24"/>
      <w:szCs w:val="24"/>
    </w:rPr>
  </w:style>
  <w:style w:type="character" w:styleId="Odwoanieprzypisukocowego">
    <w:name w:val="endnote reference"/>
    <w:basedOn w:val="Domylnaczcionkaakapitu"/>
    <w:uiPriority w:val="99"/>
    <w:rsid w:val="00421B63"/>
    <w:rPr>
      <w:rFonts w:cs="Times New Roman"/>
      <w:vertAlign w:val="superscript"/>
    </w:rPr>
  </w:style>
  <w:style w:type="character" w:customStyle="1" w:styleId="IGindeksgrny">
    <w:name w:val="_IG_ – indeks górny"/>
    <w:basedOn w:val="Domylnaczcionkaakapitu"/>
    <w:uiPriority w:val="99"/>
    <w:rsid w:val="00421B63"/>
    <w:rPr>
      <w:rFonts w:cs="Times New Roman"/>
      <w:spacing w:val="0"/>
      <w:vertAlign w:val="superscript"/>
    </w:rPr>
  </w:style>
  <w:style w:type="paragraph" w:styleId="NormalnyWeb">
    <w:name w:val="Normal (Web)"/>
    <w:basedOn w:val="Normalny"/>
    <w:uiPriority w:val="99"/>
    <w:rsid w:val="00421B63"/>
    <w:pPr>
      <w:spacing w:before="100" w:beforeAutospacing="1" w:after="100" w:afterAutospacing="1"/>
    </w:pPr>
    <w:rPr>
      <w:rFonts w:ascii="Times" w:hAnsi="Times"/>
      <w:sz w:val="20"/>
      <w:szCs w:val="20"/>
      <w:lang w:eastAsia="pl-PL"/>
    </w:rPr>
  </w:style>
  <w:style w:type="character" w:styleId="Hipercze">
    <w:name w:val="Hyperlink"/>
    <w:basedOn w:val="Domylnaczcionkaakapitu"/>
    <w:uiPriority w:val="99"/>
    <w:semiHidden/>
    <w:rsid w:val="00421B63"/>
    <w:rPr>
      <w:rFonts w:cs="Times New Roman"/>
      <w:color w:val="0000FF"/>
      <w:u w:val="single"/>
    </w:rPr>
  </w:style>
  <w:style w:type="paragraph" w:styleId="Podtytu">
    <w:name w:val="Subtitle"/>
    <w:basedOn w:val="Normalny"/>
    <w:next w:val="Normalny"/>
    <w:link w:val="PodtytuZnak"/>
    <w:qFormat/>
    <w:rsid w:val="00421B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421B63"/>
    <w:rPr>
      <w:rFonts w:asciiTheme="majorHAnsi" w:eastAsiaTheme="majorEastAsia" w:hAnsiTheme="majorHAnsi" w:cstheme="majorBidi"/>
      <w:i/>
      <w:iCs/>
      <w:color w:val="4F81BD" w:themeColor="accent1"/>
      <w:spacing w:val="15"/>
      <w:sz w:val="24"/>
      <w:szCs w:val="24"/>
    </w:rPr>
  </w:style>
  <w:style w:type="character" w:styleId="Pogrubienie">
    <w:name w:val="Strong"/>
    <w:basedOn w:val="Domylnaczcionkaakapitu"/>
    <w:qFormat/>
    <w:rsid w:val="00421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3214</Words>
  <Characters>19289</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22459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Dąbrowska Magdalena</dc:creator>
  <cp:lastModifiedBy>Perczyński Piotr  (DL)</cp:lastModifiedBy>
  <cp:revision>2</cp:revision>
  <dcterms:created xsi:type="dcterms:W3CDTF">2019-01-28T13:28:00Z</dcterms:created>
  <dcterms:modified xsi:type="dcterms:W3CDTF">2019-01-28T13:28:00Z</dcterms:modified>
</cp:coreProperties>
</file>