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B0CED" w14:textId="18BDDADD" w:rsidR="00846708" w:rsidRPr="004B3D22" w:rsidRDefault="00A90749" w:rsidP="004B3D22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  </w:t>
      </w:r>
      <w:r w:rsidR="00846708" w:rsidRPr="004B3D22">
        <w:rPr>
          <w:b/>
        </w:rPr>
        <w:t>UZASADNIENIE</w:t>
      </w:r>
    </w:p>
    <w:p w14:paraId="7F9BA21B" w14:textId="77777777" w:rsidR="00846708" w:rsidRDefault="00846708" w:rsidP="00846708"/>
    <w:p w14:paraId="7AC557A5" w14:textId="14708A78" w:rsidR="00FA2C04" w:rsidRPr="001F512B" w:rsidRDefault="00FA2C04" w:rsidP="00B421F6">
      <w:pPr>
        <w:ind w:firstLine="510"/>
        <w:jc w:val="both"/>
      </w:pPr>
      <w:r>
        <w:t xml:space="preserve">Zasadniczym celem projektu ustawy o zmianie ustawy o systemie powiadamiania ratunkowego jest </w:t>
      </w:r>
      <w:r w:rsidRPr="00FA2C04">
        <w:t xml:space="preserve">konieczność </w:t>
      </w:r>
      <w:r>
        <w:t xml:space="preserve">i potrzeba </w:t>
      </w:r>
      <w:r w:rsidRPr="00FA2C04">
        <w:t>przeprowadzenia zmian w organizacji i funkcjonowaniu centrów powiadamiania ratunkowego (CPR), reorganizacji zadań związanych z przygotowywaniem i przeprowadzaniem szkoleń pracowników centrów powiadamiania ratunkowego, wprowadzenie nadzoru nad pracą centrów i pracowników CPR zarówno na poziomie lokalnym, jak i centralnym, uregulowanie zagadnień związanych z funkcjonowaniem aplikacji mobilnej Alarm112, służącej do przekazywania zgłoszeń alarmowych w formie krótkich wiadomości tekstowych (sms).</w:t>
      </w:r>
    </w:p>
    <w:p w14:paraId="10A6E6FD" w14:textId="77777777" w:rsidR="00846708" w:rsidRDefault="00846708" w:rsidP="00846708">
      <w:pPr>
        <w:pStyle w:val="ARTartustawynprozporzdzenia"/>
      </w:pPr>
      <w:r w:rsidRPr="003152E2">
        <w:t>System powiadamiania ratunkowego jest systemem krytycznym z punktu widzenia bezpieczeństwa obywateli. Efektem jego wdrożenia jest poprawa dostępności powiadamiania ratunkowego i skrócenie czasu oczekiwania na reakcję słu</w:t>
      </w:r>
      <w:r w:rsidR="00BD6B31">
        <w:t>żb ratunkowych na zgłoszenie, a </w:t>
      </w:r>
      <w:r w:rsidRPr="003152E2">
        <w:t xml:space="preserve">tym samym poprawa bezpieczeństwa obywateli i zwiększenie efektywności współdziałania służb. </w:t>
      </w:r>
    </w:p>
    <w:p w14:paraId="3E95FF05" w14:textId="3B1BA213" w:rsidR="007209FD" w:rsidRDefault="007209FD" w:rsidP="00846708">
      <w:pPr>
        <w:pStyle w:val="ARTartustawynprozporzdzenia"/>
      </w:pPr>
      <w:r>
        <w:t xml:space="preserve">W regulacji zastąpiono dysponenta zespołów ratownictwa medycznego pojęciem dyspozytorni medycznej, która została uregulowana w </w:t>
      </w:r>
      <w:r w:rsidR="00773514">
        <w:t xml:space="preserve">znowelizowanych </w:t>
      </w:r>
      <w:r>
        <w:t>zapisach ustawy o Państwowym Ratownictwie Medycznym</w:t>
      </w:r>
      <w:r w:rsidR="00FE468B">
        <w:t xml:space="preserve"> (Dz. U. z 2019 r. poz. 993 i 1590)</w:t>
      </w:r>
      <w:r>
        <w:t xml:space="preserve">. </w:t>
      </w:r>
      <w:r w:rsidRPr="007209FD">
        <w:t xml:space="preserve"> </w:t>
      </w:r>
      <w:r>
        <w:t xml:space="preserve">Do dnia 31 grudnia 2020 r. dyspozytornia medyczna jest komórką organizacyjną dysponenta zespołów ratownictwa medycznego wskazaną w wojewódzkim planie działania systemu, utworzoną w celu przyjmowania i obsługi zgłoszeń alarmowych przekazywanych z centrów powiadamiania ratunkowego, przyjmowania powiadomień o zdarzeniu oraz wykonywania zadań przez dyspozytorów medycznych. Natomiast od dnia 1 stycznia 2021 r. dyspozytornia medyczna będzie </w:t>
      </w:r>
      <w:r w:rsidRPr="007209FD">
        <w:t>komórk</w:t>
      </w:r>
      <w:r>
        <w:t>ą</w:t>
      </w:r>
      <w:r w:rsidRPr="007209FD">
        <w:t xml:space="preserve"> org</w:t>
      </w:r>
      <w:r>
        <w:t>anizacyjną urzędu wojewódzkiego. Dane zbierane podczas obsługi zgłoszeń alarmowych w centrach powiadamiania ratunkowego są przekazywane za pośrednictwem systemu teleinformatycznego</w:t>
      </w:r>
      <w:r w:rsidR="00BE1BDF">
        <w:t>, bądź w razie braku takiej możliwości</w:t>
      </w:r>
      <w:r>
        <w:t xml:space="preserve"> drog</w:t>
      </w:r>
      <w:r w:rsidR="003738A5">
        <w:t>ą</w:t>
      </w:r>
      <w:r>
        <w:t xml:space="preserve"> </w:t>
      </w:r>
      <w:r w:rsidR="00BE1BDF">
        <w:t xml:space="preserve">połączenia </w:t>
      </w:r>
      <w:r w:rsidR="00FE468B">
        <w:t>telefonicznego</w:t>
      </w:r>
      <w:r w:rsidR="00BE1BDF">
        <w:t>, do stanowisk dyspozytorów medycznych, funkcjonujących w dyspozytorni medycznej.</w:t>
      </w:r>
    </w:p>
    <w:p w14:paraId="4B8715A6" w14:textId="65D0C330" w:rsidR="006A25D0" w:rsidRDefault="00D17843" w:rsidP="006A25D0">
      <w:pPr>
        <w:pStyle w:val="ARTartustawynprozporzdzenia"/>
      </w:pPr>
      <w:r>
        <w:t xml:space="preserve">Na potrzeby rozdziału zasad współpracy przy obsłudze zgłoszeń alarmowych wprowadzono definicję podmiotu ratowniczego oraz innego podmiotu. Poprzez podmiot ratowniczym, z którym współpracuje oraz wymienia dane </w:t>
      </w:r>
      <w:r w:rsidR="00773514">
        <w:t xml:space="preserve">za pośrednictwem systemu teleinformatycznego </w:t>
      </w:r>
      <w:r>
        <w:t>centrum powiadamia ratu</w:t>
      </w:r>
      <w:r w:rsidR="00AF75D8">
        <w:t>n</w:t>
      </w:r>
      <w:r>
        <w:t>kowego należy rozumieć jednostkę Policji, Państwowej Straży Pożarnej, dyspozytornię medycz</w:t>
      </w:r>
      <w:r w:rsidR="006A25D0">
        <w:t>ną oraz</w:t>
      </w:r>
      <w:r w:rsidR="00773514">
        <w:t xml:space="preserve"> podmiot do zadań którego należy </w:t>
      </w:r>
      <w:r w:rsidR="006805D4">
        <w:lastRenderedPageBreak/>
        <w:t>ochrona życia, zdrowia, bezpieczeństwa i porządku publicznego, mienia lub środowiska, którego numer telefoniczny je</w:t>
      </w:r>
      <w:r w:rsidR="006A25D0">
        <w:t xml:space="preserve">st obsługiwany w ramach systemu. Przez inny podmiot należy </w:t>
      </w:r>
      <w:r w:rsidR="006805D4">
        <w:t>rozumieć podmiot, do którego zadań należy ochrona życia, zdrowia, bezpieczeństwa i porządku publicznego, mienia lub środowiska, którego numer telefoniczny nie je</w:t>
      </w:r>
      <w:r w:rsidR="006A25D0">
        <w:t>st obsługiwany w ramach systemu. R</w:t>
      </w:r>
      <w:r w:rsidR="006A25D0" w:rsidRPr="00567EF5">
        <w:rPr>
          <w:rFonts w:cs="Times New Roman"/>
        </w:rPr>
        <w:t>ozszerzono listę podmiotów, do których mogą być przekazywane informacje o zgłoszeniu alarmowych, nie ograniczając ich jedynie do podmiotów, których numery są obsługiwane w ramach systemu powiadamiania r</w:t>
      </w:r>
      <w:r w:rsidR="006A25D0">
        <w:rPr>
          <w:rFonts w:cs="Times New Roman"/>
        </w:rPr>
        <w:t xml:space="preserve">atunkowego. W codziennej pracy </w:t>
      </w:r>
      <w:r w:rsidR="006A25D0" w:rsidRPr="00567EF5">
        <w:rPr>
          <w:rFonts w:cs="Times New Roman"/>
        </w:rPr>
        <w:t>operatorzy numerów alarmowych przekazują informacje o zgłoszeniach alarmowych do wielu podmiotów, innych niż podmioty ratownicze, które są właściwe ze wz</w:t>
      </w:r>
      <w:r w:rsidR="006A25D0">
        <w:rPr>
          <w:rFonts w:cs="Times New Roman"/>
        </w:rPr>
        <w:t>ględu na rodzaj zdarzenia, tj. Straż M</w:t>
      </w:r>
      <w:r w:rsidR="006A25D0" w:rsidRPr="00567EF5">
        <w:rPr>
          <w:rFonts w:cs="Times New Roman"/>
        </w:rPr>
        <w:t>iejska, WOPR, TOPR, GOPR, linie wsparcia w kryzysie emocjonalnym, pogotowie energetyczne, gazowe, ci</w:t>
      </w:r>
      <w:r w:rsidR="006A25D0">
        <w:rPr>
          <w:rFonts w:cs="Times New Roman"/>
        </w:rPr>
        <w:t>epłownicze, wodociągowe, PKP itp</w:t>
      </w:r>
      <w:r w:rsidR="006A25D0" w:rsidRPr="00567EF5">
        <w:rPr>
          <w:rFonts w:cs="Times New Roman"/>
        </w:rPr>
        <w:t>. W wielu przypadkach informacje takie są przekazywane równolegle do</w:t>
      </w:r>
      <w:r w:rsidR="006A25D0">
        <w:t xml:space="preserve"> podmiotów ratowniczych oraz wskazanych powyżej innych podmiotów. </w:t>
      </w:r>
    </w:p>
    <w:p w14:paraId="71591E4E" w14:textId="77777777" w:rsidR="008875C6" w:rsidRDefault="00846708" w:rsidP="00846708">
      <w:pPr>
        <w:pStyle w:val="ARTartustawynprozporzdzenia"/>
      </w:pPr>
      <w:r w:rsidRPr="003152E2">
        <w:t xml:space="preserve">Jedną z kluczowych w projekcie zmian jest otwarcie przed operatorami numerów alarmowych </w:t>
      </w:r>
      <w:r w:rsidR="009B5A6A">
        <w:t xml:space="preserve">(ONA) </w:t>
      </w:r>
      <w:r w:rsidRPr="003152E2">
        <w:t xml:space="preserve">możliwości awansu zawodowego, poprzez gradację stanowisk i dodanie do struktury organizacyjnej CPR stanowisk starszego operatora numerów alarmowych, koordynatora i koordynatora-trenera. Poza zadaniami wykonywanymi na stanowisku </w:t>
      </w:r>
      <w:r w:rsidR="00C042F8">
        <w:t>ONA</w:t>
      </w:r>
      <w:r w:rsidRPr="003152E2">
        <w:t>, poszczególne grupy pracowników będą miały dodatkowe zadania związane m. in. z koordynacją i nadzorem na</w:t>
      </w:r>
      <w:r w:rsidR="001F13AD">
        <w:t>d</w:t>
      </w:r>
      <w:r w:rsidRPr="003152E2">
        <w:t xml:space="preserve"> pracą ONA</w:t>
      </w:r>
      <w:r w:rsidR="00C042F8">
        <w:t>, sporządzaniem kart oceny pracy</w:t>
      </w:r>
      <w:r w:rsidRPr="003152E2">
        <w:t>, przeprowadzaniem szkoleń wewnętrznych, przygotowywaniem do pracy kandydatów na ONA</w:t>
      </w:r>
      <w:r w:rsidR="009B5A6A">
        <w:t xml:space="preserve">, działaniami </w:t>
      </w:r>
      <w:r w:rsidR="00C042F8">
        <w:t>promocyjny</w:t>
      </w:r>
      <w:r w:rsidR="009B5A6A">
        <w:t>mi</w:t>
      </w:r>
      <w:r w:rsidR="00C042F8">
        <w:t xml:space="preserve"> na rzecz upowszechniania wiedzy na temat numeru alarmowego 112 i CPR</w:t>
      </w:r>
      <w:r w:rsidRPr="003152E2">
        <w:t xml:space="preserve">. Dodatkowe stanowiska pracy utworzone zostaną z obecnie przyznanych maksymalnych limitów na stanowisku operatora numerów alarmowych. Podział na poszczególne </w:t>
      </w:r>
      <w:r w:rsidR="00C042F8">
        <w:t>CPR</w:t>
      </w:r>
      <w:r w:rsidRPr="003152E2">
        <w:t xml:space="preserve"> dokonany zostanie przez ministra właściwego do spraw administracji publicznej. </w:t>
      </w:r>
      <w:r w:rsidR="008875C6">
        <w:t>Obecnie funkcjonująca, p</w:t>
      </w:r>
      <w:r w:rsidR="008875C6" w:rsidRPr="003152E2">
        <w:t xml:space="preserve">łaska struktura CPR oraz zatrudnienie </w:t>
      </w:r>
      <w:r w:rsidR="008875C6">
        <w:t xml:space="preserve">ONA </w:t>
      </w:r>
      <w:r w:rsidR="008875C6" w:rsidRPr="003152E2">
        <w:t xml:space="preserve">poza korpusem służby cywilnej powoduje „zamknięcie” ścieżki rozwoju, co jest demotywujące dla pracowników. Efektem proponowanych zmian będzie zatrzymanie w strukturach CPR najbardziej zaangażowanych i doświadczonych pracowników, których wkład do budowy sprawnie funkcjonującego </w:t>
      </w:r>
      <w:r w:rsidR="008875C6">
        <w:t xml:space="preserve"> systemu powiadamiania ratunkowego</w:t>
      </w:r>
      <w:r w:rsidR="008875C6" w:rsidRPr="003152E2">
        <w:t xml:space="preserve"> jest kluczowy.</w:t>
      </w:r>
      <w:r w:rsidR="008875C6">
        <w:t xml:space="preserve"> </w:t>
      </w:r>
    </w:p>
    <w:p w14:paraId="51781D0A" w14:textId="2073ECF8" w:rsidR="00FD6F97" w:rsidRDefault="009B5A6A" w:rsidP="00846708">
      <w:pPr>
        <w:pStyle w:val="ARTartustawynprozporzdzenia"/>
      </w:pPr>
      <w:r>
        <w:t>W regulacji wskazano wymagania dla stanowiska operatora numerów alarmowych, starszego operatora numerów alarmowych, koordynatora i koordynatora-trenera.</w:t>
      </w:r>
      <w:r w:rsidR="00846708" w:rsidRPr="003152E2">
        <w:t xml:space="preserve"> </w:t>
      </w:r>
      <w:r w:rsidR="008875C6">
        <w:t xml:space="preserve">Poza obowiązującymi wymaganiami dotyczącymi wykształcenia, </w:t>
      </w:r>
      <w:r w:rsidR="00FD6F97">
        <w:t xml:space="preserve">znajomości komunikatywnej </w:t>
      </w:r>
      <w:r w:rsidR="00FD6F97">
        <w:lastRenderedPageBreak/>
        <w:t xml:space="preserve">języka obcego, ukończenia szkolenia podstawowego operatorów numerów alarmowych, zakończonego egzaminem i uzyskaniem certyfikatu ONA, kandydat będzie musiał posiadać obywatelstwo polskie, korzystać z pełni praw publicznych oraz nie być skazany prawomocnym wyrokiem za umyślne przestępstwo lub umyślne przestępstwo skarbowe. System powiadamiania ratunkowego jest jednym z kluczowych systemów z punktu widzenia bezpieczeństwa obywateli i </w:t>
      </w:r>
      <w:r w:rsidR="00F04C68">
        <w:t>p</w:t>
      </w:r>
      <w:r w:rsidR="00FD6F97">
        <w:t xml:space="preserve">aństwa. Ponadto wskazano dodatkowe warunki jakie musi spełnić kandydat na stanowisko starszego operatora numerów alarmowych, koordynatora i koordynatora-trenera – odpowiednie doświadczenie w obsłudze zgłoszeń alarmowych, uczestnictwo w dedykowanych szkoleniach doskonalących, wysoki wynik z rocznych ocen sporządzanych przez kierownika centrum lub jego zastępcę oraz psychologa. W </w:t>
      </w:r>
      <w:r w:rsidR="002E617E">
        <w:t xml:space="preserve">przepisach przejściowych uregulowano warunki, jakie będzie musiał spełnić kandydat na starszego operatora numerów alarmowych, koordynatora i koordynatora-trenera w okresie dwóch lat od wejścia w życie </w:t>
      </w:r>
      <w:r w:rsidR="003039D6">
        <w:t>nowelizacji ustawy.</w:t>
      </w:r>
      <w:r w:rsidR="002E617E">
        <w:t xml:space="preserve"> </w:t>
      </w:r>
    </w:p>
    <w:p w14:paraId="0FE55EEF" w14:textId="062DB15E" w:rsidR="00BA31F2" w:rsidRDefault="00FD6F97" w:rsidP="00DC793F">
      <w:pPr>
        <w:pStyle w:val="ARTartustawynprozporzdzenia"/>
      </w:pPr>
      <w:r>
        <w:t xml:space="preserve"> </w:t>
      </w:r>
      <w:r w:rsidR="00DC793F" w:rsidRPr="003152E2">
        <w:t xml:space="preserve">W celu zachowania jednolitych procedur obsługi zgłoszeń alarmowych, które są istotne m. in. przy przyjętym modelu zastępowalności </w:t>
      </w:r>
      <w:r w:rsidR="00DC793F">
        <w:t>s</w:t>
      </w:r>
      <w:r w:rsidR="00DC793F" w:rsidRPr="003152E2">
        <w:t>ystem powiadamiania ratunkowego</w:t>
      </w:r>
      <w:r w:rsidR="00DC793F">
        <w:t xml:space="preserve"> (SPR)</w:t>
      </w:r>
      <w:r w:rsidR="00DC793F" w:rsidRPr="003152E2">
        <w:t>, niezbędne jest</w:t>
      </w:r>
      <w:r w:rsidR="00DC793F">
        <w:t xml:space="preserve"> utworzenie w urzędzie obsługującym ministra właściwego do spraw administracji publicznej, w istniejącej komórce organizacyjnej – Krajowego Centrum Monitorowania Systemu Powiadamiani</w:t>
      </w:r>
      <w:r w:rsidR="00BA31F2">
        <w:t xml:space="preserve">a Ratunkowego (KCM SPR), którego </w:t>
      </w:r>
      <w:r w:rsidR="00DC793F">
        <w:t xml:space="preserve">głównym zadaniem będzie utrzymanie ciągłości działania i rozwój systemu teleinformatycznego, przygotowywanie i prowadzenie szkoleń dla pracowników systemu powiadamiania ratunkowego oraz nadzór nad przestrzeganiem procedur obsługi zgłoszeń alarmowych. </w:t>
      </w:r>
    </w:p>
    <w:p w14:paraId="46277158" w14:textId="30DCC176" w:rsidR="005E7C45" w:rsidRPr="003152E2" w:rsidRDefault="008C78D5" w:rsidP="00335577">
      <w:pPr>
        <w:pStyle w:val="ARTartustawynprozporzdzenia"/>
      </w:pPr>
      <w:r>
        <w:t>KCM SPR będzie</w:t>
      </w:r>
      <w:r w:rsidR="00DC793F" w:rsidRPr="003152E2">
        <w:t xml:space="preserve"> sprawować nadzór nad pracą centrów powiadamiania ratunkowego </w:t>
      </w:r>
      <w:r w:rsidR="00DC793F">
        <w:t xml:space="preserve">(CPR) </w:t>
      </w:r>
      <w:r w:rsidR="00DC793F" w:rsidRPr="003152E2">
        <w:t>oraz bieżącą pracą operatorów numerów alarmowych</w:t>
      </w:r>
      <w:r w:rsidR="00DC793F">
        <w:t xml:space="preserve"> (ONA)</w:t>
      </w:r>
      <w:r w:rsidR="00DC793F" w:rsidRPr="003152E2">
        <w:t>. W celu podniesienia efektywności przeprowadzanych szkoleń konieczne jest stworzenie nowoczesnej bazy dydaktycznej i szkoleniowej. Ponadto</w:t>
      </w:r>
      <w:r>
        <w:t xml:space="preserve"> </w:t>
      </w:r>
      <w:r w:rsidR="00DC793F" w:rsidRPr="003152E2">
        <w:t xml:space="preserve">w dobie informatyzacji niezbędne jest wykorzystywanie różnorodnych form szkoleń </w:t>
      </w:r>
      <w:r w:rsidR="00DC793F">
        <w:t>e</w:t>
      </w:r>
      <w:r w:rsidR="00DC793F" w:rsidRPr="003152E2">
        <w:t>-learningowych i wideokonferencyjnych.</w:t>
      </w:r>
      <w:r w:rsidR="00DC793F">
        <w:t xml:space="preserve"> </w:t>
      </w:r>
      <w:r w:rsidR="00BA31F2">
        <w:t>Funkcjonować będą szkolenia podstawowe dla operatorów numerów alarmowych, zakończone egzaminem i</w:t>
      </w:r>
      <w:r>
        <w:t> </w:t>
      </w:r>
      <w:r w:rsidR="00BA31F2">
        <w:t>uzyskaniem bezterminowego certyfikatu operatora numerów alarmowych oraz szkolenia w</w:t>
      </w:r>
      <w:r>
        <w:t> </w:t>
      </w:r>
      <w:r w:rsidR="00BA31F2">
        <w:t xml:space="preserve">ramach doskonalenia zawodowego dla wszystkich pracowników centrów powiadamiania ratunkowego. </w:t>
      </w:r>
      <w:r w:rsidR="00592BE8">
        <w:t xml:space="preserve">Szkolenia będą prowadzone przez wykładowców i instruktorów, którzy będą musieli spełnić określone w regulacji wymagania. </w:t>
      </w:r>
      <w:r w:rsidR="00BA31F2">
        <w:t xml:space="preserve">W projekcie uregulowano warunki przystąpienia do egzaminu poprawkowego oraz konieczność odbycia szkolenia podstawowego </w:t>
      </w:r>
      <w:r w:rsidR="00BA31F2">
        <w:lastRenderedPageBreak/>
        <w:t>przez osoby, które nie wykonywały zadań związanych z obsługą zgłoszeń alarmowych przez okres 2 lat. System powiadamiania ratunkowego, system teleinformatyczny oraz procedury obsługi zgłoszeń alarmowych są na bieżąco aktualizowane, co powoduje konieczność ciągłego doskonalenia zawodowego oraz uzupełnia wiedzy i umiejętności.</w:t>
      </w:r>
      <w:r w:rsidR="00592BE8">
        <w:t xml:space="preserve"> W ramach nadzoru nad pracą centrów powiadamiania ratunkowego oraz operatorów numerów alarmowych, starszych operatorów numerów alarmowych, koordynatorów i koordynatorów-trenerów obowiązywać będą karty oceny pracy, w których przede wszystkim oceniane będzie stosowanie jednolitych procedur obsługi zgłoszeń alarmowych. </w:t>
      </w:r>
    </w:p>
    <w:p w14:paraId="707B2471" w14:textId="40BF61C9" w:rsidR="00846708" w:rsidRDefault="00846708" w:rsidP="00846708">
      <w:pPr>
        <w:pStyle w:val="ARTartustawynprozporzdzenia"/>
      </w:pPr>
      <w:r w:rsidRPr="003152E2">
        <w:t>Wprowadzone regulacje umożliwią korzysta</w:t>
      </w:r>
      <w:r w:rsidR="004B3D22">
        <w:t>nie wszystkim obywatelom, w tym</w:t>
      </w:r>
      <w:r w:rsidR="00793329">
        <w:br/>
      </w:r>
      <w:r>
        <w:t xml:space="preserve"> </w:t>
      </w:r>
      <w:r w:rsidRPr="003152E2">
        <w:t>w szczególności osobom z niepełnosprawn</w:t>
      </w:r>
      <w:r w:rsidR="00BD6B31">
        <w:t xml:space="preserve">ościami, </w:t>
      </w:r>
      <w:r w:rsidRPr="003152E2">
        <w:t xml:space="preserve">z </w:t>
      </w:r>
      <w:r w:rsidR="00592BE8">
        <w:t xml:space="preserve">udostępnionej przez ministra właściwego do spraw administracji publicznej </w:t>
      </w:r>
      <w:r w:rsidRPr="003152E2">
        <w:t>aplikacji mobi</w:t>
      </w:r>
      <w:r w:rsidR="0020716E">
        <w:t xml:space="preserve">lnej, która dzięki </w:t>
      </w:r>
      <w:r w:rsidRPr="003152E2">
        <w:t>zastosowaniu piktogramów umożliwi dokonanie zgłoszenia na numer alarmowy 112. Warunkiem skorzystania z aplikacji mobilnej będzie jej pobranie,</w:t>
      </w:r>
      <w:r w:rsidR="00793329">
        <w:t xml:space="preserve"> </w:t>
      </w:r>
      <w:r w:rsidRPr="003152E2">
        <w:t xml:space="preserve">m. in ze strony internetowej MSWiA oraz zarejestrowanie się. Rejestracja użytkownika jest niezbędna przede wszystkim w związku z koniecznością zapoznania się z regulaminem korzystania z aplikacji mobilnej oraz udzielenia zgody na włączenie modułu lokalizacji w używanym, przez </w:t>
      </w:r>
      <w:r w:rsidR="002A3938">
        <w:t>osobę rejestrującą się, urządzeniu</w:t>
      </w:r>
      <w:r w:rsidRPr="003152E2">
        <w:t xml:space="preserve"> telefonicznym. Aplikacja mobilna </w:t>
      </w:r>
      <w:r w:rsidR="008C78D5">
        <w:t>jest</w:t>
      </w:r>
      <w:r w:rsidRPr="003152E2">
        <w:t xml:space="preserve"> częścią wykorzystywanego w centrach powiadamiania ratunkowego systemu teleinformatycznego, a jej głównym zadaniem </w:t>
      </w:r>
      <w:r w:rsidR="008C78D5">
        <w:t>jest</w:t>
      </w:r>
      <w:r w:rsidRPr="003152E2">
        <w:t xml:space="preserve"> budowa zgłoszenia alarmowego, które posiad</w:t>
      </w:r>
      <w:r w:rsidR="008C78D5">
        <w:t>a</w:t>
      </w:r>
      <w:r w:rsidRPr="003152E2">
        <w:t xml:space="preserve"> najważniejsze informacje dotyczące miejsca zdarzenia, rodzaju zdarzenia</w:t>
      </w:r>
      <w:r w:rsidR="00793329">
        <w:t xml:space="preserve"> oraz danych osoby zgłaszającej, niezbędne do przekazania podmiotom ratowniczym, w celu udzielania pomocy. </w:t>
      </w:r>
      <w:r w:rsidR="008C78D5">
        <w:t>A</w:t>
      </w:r>
      <w:r w:rsidR="00793329">
        <w:t>plikacj</w:t>
      </w:r>
      <w:r w:rsidR="008C78D5">
        <w:t>ę</w:t>
      </w:r>
      <w:r w:rsidR="00793329">
        <w:t xml:space="preserve"> mobiln</w:t>
      </w:r>
      <w:r w:rsidR="008C78D5">
        <w:t>ą</w:t>
      </w:r>
      <w:r w:rsidR="00793329">
        <w:t xml:space="preserve"> </w:t>
      </w:r>
      <w:r w:rsidR="008C78D5">
        <w:t xml:space="preserve">można pobrać </w:t>
      </w:r>
      <w:r w:rsidR="00793329">
        <w:t>bezpłatn</w:t>
      </w:r>
      <w:r w:rsidR="008C78D5">
        <w:t>i</w:t>
      </w:r>
      <w:r w:rsidR="00793329">
        <w:t>e.</w:t>
      </w:r>
      <w:r w:rsidR="006F7210">
        <w:t xml:space="preserve"> Wszystkie dane wprowadzone do aplikacji mobilnej </w:t>
      </w:r>
      <w:r w:rsidR="008C78D5">
        <w:t>są</w:t>
      </w:r>
      <w:r w:rsidR="006F7210">
        <w:t xml:space="preserve"> przekazywane do systemu teleinformatycznego CPR, gdzie </w:t>
      </w:r>
      <w:r w:rsidR="008C78D5">
        <w:t>są</w:t>
      </w:r>
      <w:r w:rsidR="006F7210">
        <w:t xml:space="preserve"> przechowywane i przetwarzane.</w:t>
      </w:r>
    </w:p>
    <w:p w14:paraId="3B6BD03B" w14:textId="1E17A39B" w:rsidR="00E55584" w:rsidRPr="003152E2" w:rsidRDefault="00E55584" w:rsidP="00846708">
      <w:pPr>
        <w:pStyle w:val="ARTartustawynprozporzdzenia"/>
      </w:pPr>
      <w:r>
        <w:t xml:space="preserve">Jednym z zadań finansowanych z budżetu państwa z części, której dysponentem jest minister właściwy do spraw administracji publicznej jest upowszechnianie wiedzy o numerach alarmowych. Zadanie wykonywane jedynie na szczeblu centralnym jest niewystarczające. Działania na gruncie lokalnym, gdzie jest duża dostępność do centrów powiadamiania ratunkowego i pracy operatorów numerów alarmowych dla grup dzieci i młodzieży w różnym wieku oraz osób starszych, organizacji i podmiotów zainteresowanych szeroko rozumianym bezpieczeństwem, są niezwykle istotne i ważne. W projekcie zmian wskazano, że z budżetu państwa z części, których dysponentami są właściwi wojewodowie, finansowane będzie także upowszechnianie wiedzy o numerach alarmowych. Planuje się, aby w działania te </w:t>
      </w:r>
      <w:r>
        <w:lastRenderedPageBreak/>
        <w:t xml:space="preserve">zaangażowani byli </w:t>
      </w:r>
      <w:r w:rsidR="00C70163">
        <w:t>kierownicy centrów, ich zastępcy, starsi operatorzy numerów alarmowych oraz koordynatorzy.</w:t>
      </w:r>
    </w:p>
    <w:p w14:paraId="7B91537E" w14:textId="57884944" w:rsidR="00846708" w:rsidRPr="00567EF5" w:rsidRDefault="00846708" w:rsidP="0020716E">
      <w:pPr>
        <w:pStyle w:val="ARTartustawynprozporzdzenia"/>
        <w:rPr>
          <w:rFonts w:ascii="Times New Roman" w:hAnsi="Times New Roman" w:cs="Times New Roman"/>
        </w:rPr>
      </w:pPr>
      <w:r w:rsidRPr="003152E2">
        <w:t xml:space="preserve">Operatorzy numerów alarmowych pracują pod dużą presją czasu, muszą podejmować decyzje i działania, od których zależy życie, zdrowie </w:t>
      </w:r>
      <w:r w:rsidR="004B3D22">
        <w:t>i bezpieczeństwo ludzi. Ponadto</w:t>
      </w:r>
      <w:r>
        <w:t xml:space="preserve"> </w:t>
      </w:r>
      <w:r w:rsidRPr="003152E2">
        <w:t xml:space="preserve">na numery alarmowe często dzwonią osoby nadmiernie roszczeniowe – w sprawach nieobjętych zakresem działań CPR, co powoduje dodatkową uciążliwość. Czynniki te powodują wyjątkowe obciążenie dla osób zatrudnionych na stanowisku </w:t>
      </w:r>
      <w:r w:rsidR="0020716E">
        <w:t>ONA</w:t>
      </w:r>
      <w:r w:rsidRPr="003152E2">
        <w:t>, u których istnieje duże ryzyko pojawienia się objawów podobnych do zespołu stresu pourazowego – w związku z powtarzającym się k</w:t>
      </w:r>
      <w:r w:rsidR="004B3D22">
        <w:t>ontaktem o charakterze pomocow</w:t>
      </w:r>
      <w:r w:rsidR="00BD6B31">
        <w:t>y</w:t>
      </w:r>
      <w:r w:rsidR="004B3D22">
        <w:t>m</w:t>
      </w:r>
      <w:r>
        <w:t xml:space="preserve"> </w:t>
      </w:r>
      <w:r w:rsidRPr="003152E2">
        <w:t xml:space="preserve">z osobami doświadczającymi zdarzeń traumatycznych. W celu zapobiegania sytuacjom, w których osoby dokonujące zgłoszeń alarmowych bezkarnie znieważają i grożą operatorom numerów alarmowych podczas obsługi zgłoszeń, projekt rozszerza katalog osób, którym będzie przysługiwała ochrona przewidziana w ustawie z </w:t>
      </w:r>
      <w:r w:rsidRPr="00567EF5">
        <w:rPr>
          <w:rFonts w:ascii="Times New Roman" w:hAnsi="Times New Roman" w:cs="Times New Roman"/>
        </w:rPr>
        <w:t>dnia 6 czerwca 1997 r. – Kodeks karny (Dz. U. z 201</w:t>
      </w:r>
      <w:r w:rsidR="008C78D5">
        <w:rPr>
          <w:rFonts w:ascii="Times New Roman" w:hAnsi="Times New Roman" w:cs="Times New Roman"/>
        </w:rPr>
        <w:t>9</w:t>
      </w:r>
      <w:r w:rsidRPr="00567EF5">
        <w:rPr>
          <w:rFonts w:ascii="Times New Roman" w:hAnsi="Times New Roman" w:cs="Times New Roman"/>
        </w:rPr>
        <w:t xml:space="preserve"> r. poz. </w:t>
      </w:r>
      <w:r w:rsidR="008C78D5">
        <w:rPr>
          <w:rFonts w:ascii="Times New Roman" w:hAnsi="Times New Roman" w:cs="Times New Roman"/>
        </w:rPr>
        <w:t>1950</w:t>
      </w:r>
      <w:r w:rsidR="006E1694">
        <w:rPr>
          <w:rFonts w:ascii="Times New Roman" w:hAnsi="Times New Roman" w:cs="Times New Roman"/>
        </w:rPr>
        <w:t xml:space="preserve"> i 2</w:t>
      </w:r>
      <w:r w:rsidR="008C78D5">
        <w:rPr>
          <w:rFonts w:ascii="Times New Roman" w:hAnsi="Times New Roman" w:cs="Times New Roman"/>
        </w:rPr>
        <w:t>128</w:t>
      </w:r>
      <w:r w:rsidRPr="00567EF5">
        <w:rPr>
          <w:rFonts w:ascii="Times New Roman" w:hAnsi="Times New Roman" w:cs="Times New Roman"/>
        </w:rPr>
        <w:t xml:space="preserve">) dla funkcjonariuszy publicznych o pracowników </w:t>
      </w:r>
      <w:r w:rsidR="0020716E">
        <w:rPr>
          <w:rFonts w:ascii="Times New Roman" w:hAnsi="Times New Roman" w:cs="Times New Roman"/>
        </w:rPr>
        <w:t>wykonujących zadania związane z</w:t>
      </w:r>
      <w:r w:rsidR="008C78D5">
        <w:rPr>
          <w:rFonts w:ascii="Times New Roman" w:hAnsi="Times New Roman" w:cs="Times New Roman"/>
        </w:rPr>
        <w:t> </w:t>
      </w:r>
      <w:r w:rsidRPr="00567EF5">
        <w:rPr>
          <w:rFonts w:ascii="Times New Roman" w:hAnsi="Times New Roman" w:cs="Times New Roman"/>
        </w:rPr>
        <w:t>obsług</w:t>
      </w:r>
      <w:r w:rsidR="0020716E">
        <w:rPr>
          <w:rFonts w:ascii="Times New Roman" w:hAnsi="Times New Roman" w:cs="Times New Roman"/>
        </w:rPr>
        <w:t>ą</w:t>
      </w:r>
      <w:r w:rsidRPr="00567EF5">
        <w:rPr>
          <w:rFonts w:ascii="Times New Roman" w:hAnsi="Times New Roman" w:cs="Times New Roman"/>
        </w:rPr>
        <w:t xml:space="preserve"> zgłosze</w:t>
      </w:r>
      <w:r w:rsidR="0020716E">
        <w:rPr>
          <w:rFonts w:ascii="Times New Roman" w:hAnsi="Times New Roman" w:cs="Times New Roman"/>
        </w:rPr>
        <w:t>ń</w:t>
      </w:r>
      <w:r w:rsidRPr="00567EF5">
        <w:rPr>
          <w:rFonts w:ascii="Times New Roman" w:hAnsi="Times New Roman" w:cs="Times New Roman"/>
        </w:rPr>
        <w:t xml:space="preserve"> alarmow</w:t>
      </w:r>
      <w:r w:rsidR="0020716E">
        <w:rPr>
          <w:rFonts w:ascii="Times New Roman" w:hAnsi="Times New Roman" w:cs="Times New Roman"/>
        </w:rPr>
        <w:t>ych</w:t>
      </w:r>
      <w:r w:rsidRPr="00567EF5">
        <w:rPr>
          <w:rFonts w:ascii="Times New Roman" w:hAnsi="Times New Roman" w:cs="Times New Roman"/>
        </w:rPr>
        <w:t>.</w:t>
      </w:r>
    </w:p>
    <w:p w14:paraId="3349F728" w14:textId="226F8DBF" w:rsidR="006E1694" w:rsidRDefault="00335577" w:rsidP="000356E4">
      <w:pPr>
        <w:spacing w:after="120"/>
        <w:jc w:val="both"/>
      </w:pPr>
      <w:r>
        <w:tab/>
      </w:r>
      <w:r w:rsidR="000356E4">
        <w:t xml:space="preserve">Minister właściwy do spraw administracji publicznej, wojewoda oraz podmiot, któremu powierzono utworzenie CPR są współadministratorami systemu teleinformatycznego. </w:t>
      </w:r>
      <w:r>
        <w:t>Podmiot, któ</w:t>
      </w:r>
      <w:r w:rsidR="004E12F0">
        <w:t xml:space="preserve">rego </w:t>
      </w:r>
      <w:r w:rsidR="004E12F0" w:rsidRPr="004E12F0">
        <w:t>numer telefoniczn</w:t>
      </w:r>
      <w:r w:rsidR="000356E4">
        <w:t>y</w:t>
      </w:r>
      <w:r w:rsidR="004E12F0" w:rsidRPr="004E12F0">
        <w:t xml:space="preserve"> mo</w:t>
      </w:r>
      <w:r w:rsidR="000356E4">
        <w:t>że</w:t>
      </w:r>
      <w:r w:rsidR="004E12F0" w:rsidRPr="004E12F0">
        <w:t xml:space="preserve"> być obsługiwan</w:t>
      </w:r>
      <w:r w:rsidR="000356E4">
        <w:t>y</w:t>
      </w:r>
      <w:r w:rsidR="004E12F0" w:rsidRPr="004E12F0">
        <w:t xml:space="preserve"> w ramach systemu </w:t>
      </w:r>
      <w:r w:rsidR="000356E4">
        <w:t>powiadamiania ratunkowego, po uzgodnieniu</w:t>
      </w:r>
      <w:r w:rsidR="000356E4" w:rsidRPr="000356E4">
        <w:t xml:space="preserve"> z dostawcami publicznie dostępnych usług </w:t>
      </w:r>
      <w:r w:rsidR="000356E4">
        <w:t>telefonicznych warunków technicznych</w:t>
      </w:r>
      <w:r w:rsidR="000356E4" w:rsidRPr="000356E4">
        <w:t xml:space="preserve"> obsługi użytkowanego numeru telefonicznego oraz własnego stanowiska kierowania, które umożliwią współpracę z </w:t>
      </w:r>
      <w:r w:rsidR="000356E4">
        <w:t xml:space="preserve">CPR, będzie składał </w:t>
      </w:r>
      <w:r w:rsidR="000356E4" w:rsidRPr="000356E4">
        <w:t xml:space="preserve"> </w:t>
      </w:r>
      <w:r w:rsidR="000356E4">
        <w:t xml:space="preserve">wniosek </w:t>
      </w:r>
      <w:r w:rsidR="000356E4" w:rsidRPr="000356E4">
        <w:t xml:space="preserve"> o włączenie swojego </w:t>
      </w:r>
      <w:r w:rsidR="000356E4">
        <w:t>numeru telefonicznego do SPR do ministra</w:t>
      </w:r>
      <w:r w:rsidR="000356E4" w:rsidRPr="000356E4">
        <w:t xml:space="preserve"> </w:t>
      </w:r>
      <w:r w:rsidRPr="008C6C43">
        <w:t>właściwego do</w:t>
      </w:r>
      <w:r w:rsidR="000356E4">
        <w:t xml:space="preserve"> spraw administracji publicznej. Zmiana wynika ze znowelizowanych </w:t>
      </w:r>
      <w:r w:rsidR="008E11C3">
        <w:t>przepisów</w:t>
      </w:r>
      <w:r w:rsidR="000356E4">
        <w:t xml:space="preserve"> ustawy dotyczących wpóładministrowania systemem teleinformatycznym. Minister właściwy do spraw administracji publicznej </w:t>
      </w:r>
      <w:r w:rsidR="000356E4" w:rsidRPr="000356E4">
        <w:t>planuje i organizuje system na terenie kraju oraz nadzoruje i koordynuje jego funkcjonowa</w:t>
      </w:r>
      <w:r w:rsidR="000356E4">
        <w:t>nie, dlatego jest jedynym organem, który będzie mógł podjąć decyzję o włączeniu numeru telefonicznego do SPR oraz o jego wyłączeniu z SPR.</w:t>
      </w:r>
    </w:p>
    <w:p w14:paraId="7110E140" w14:textId="2C9D9C46" w:rsidR="006E1694" w:rsidRDefault="00FE468B" w:rsidP="00B421F6">
      <w:pPr>
        <w:spacing w:before="120"/>
        <w:ind w:firstLine="708"/>
        <w:jc w:val="both"/>
      </w:pPr>
      <w:r w:rsidRPr="002E425D">
        <w:rPr>
          <w:rFonts w:cs="Times New Roman"/>
          <w:szCs w:val="24"/>
        </w:rPr>
        <w:t xml:space="preserve">Przewiduje się, że ustawa wejdzie w życie </w:t>
      </w:r>
      <w:r w:rsidRPr="002E6D0A">
        <w:rPr>
          <w:rFonts w:cs="Times New Roman"/>
          <w:szCs w:val="24"/>
        </w:rPr>
        <w:t xml:space="preserve">po upływie </w:t>
      </w:r>
      <w:r>
        <w:rPr>
          <w:rFonts w:cs="Times New Roman"/>
          <w:szCs w:val="24"/>
        </w:rPr>
        <w:t>14</w:t>
      </w:r>
      <w:r w:rsidRPr="002E6D0A">
        <w:rPr>
          <w:rFonts w:cs="Times New Roman"/>
          <w:szCs w:val="24"/>
        </w:rPr>
        <w:t xml:space="preserve"> dni od dnia ogłoszenia, z wyjątkiem </w:t>
      </w:r>
      <w:r w:rsidR="008E286C">
        <w:rPr>
          <w:rFonts w:cs="Times New Roman"/>
          <w:szCs w:val="24"/>
        </w:rPr>
        <w:t xml:space="preserve">nowelizowanego </w:t>
      </w:r>
      <w:r w:rsidRPr="002E6D0A">
        <w:rPr>
          <w:rFonts w:cs="Times New Roman"/>
          <w:szCs w:val="24"/>
        </w:rPr>
        <w:t xml:space="preserve">art. </w:t>
      </w:r>
      <w:r>
        <w:t>18 ust. 2 pkt 3</w:t>
      </w:r>
      <w:r w:rsidR="008E286C">
        <w:t>–</w:t>
      </w:r>
      <w:r>
        <w:t>8</w:t>
      </w:r>
      <w:r w:rsidRPr="002E6D0A">
        <w:rPr>
          <w:rFonts w:cs="Times New Roman"/>
          <w:szCs w:val="24"/>
        </w:rPr>
        <w:t xml:space="preserve">, który </w:t>
      </w:r>
      <w:r>
        <w:rPr>
          <w:rFonts w:cs="Times New Roman"/>
          <w:szCs w:val="24"/>
        </w:rPr>
        <w:t>wejdzie</w:t>
      </w:r>
      <w:r w:rsidRPr="002E6D0A">
        <w:rPr>
          <w:rFonts w:cs="Times New Roman"/>
          <w:szCs w:val="24"/>
        </w:rPr>
        <w:t xml:space="preserve"> w życie </w:t>
      </w:r>
      <w:r>
        <w:t>w terminie 6 miesięcy od dnia wejścia w życie niniejszej ustawy.</w:t>
      </w:r>
    </w:p>
    <w:p w14:paraId="4AEBB01A" w14:textId="77777777" w:rsidR="00B421F6" w:rsidRPr="00F50732" w:rsidRDefault="00B421F6" w:rsidP="00B421F6">
      <w:pPr>
        <w:pStyle w:val="ARTartustawynprozporzdzenia"/>
      </w:pPr>
      <w:r w:rsidRPr="00F50732">
        <w:lastRenderedPageBreak/>
        <w:t xml:space="preserve">Projekt </w:t>
      </w:r>
      <w:r>
        <w:t>ustawy</w:t>
      </w:r>
      <w:r w:rsidRPr="00F50732">
        <w:t xml:space="preserve"> nie dotyczy majątkowych praw i obowiązków przedsiębiorców lub praw i obowiązków przedsiębiorców wobec organów administracji publicznej i nie wpływa na działalność mikro przedsiębiorców oraz małych i średnich przedsiębiorców.</w:t>
      </w:r>
    </w:p>
    <w:p w14:paraId="5C8F9267" w14:textId="77777777" w:rsidR="003E0642" w:rsidRDefault="003E0642" w:rsidP="00B421F6">
      <w:pPr>
        <w:spacing w:before="120"/>
        <w:ind w:firstLine="510"/>
        <w:jc w:val="both"/>
        <w:rPr>
          <w:rFonts w:cs="Times New Roman"/>
          <w:szCs w:val="24"/>
        </w:rPr>
      </w:pPr>
      <w:r w:rsidRPr="002E425D">
        <w:rPr>
          <w:rFonts w:cs="Times New Roman"/>
          <w:szCs w:val="24"/>
        </w:rPr>
        <w:t>Projektowana ustawa nie zawiera przepisów technicznych w rozumieniu rozporządzenia Rady Ministrów z dnia 23 grudnia 2002 r. w sprawie sposobu funkcjonowania krajowego systemu notyfikacji norm i aktów prawnych (Dz. U. poz. 2039, z późn. zm.).</w:t>
      </w:r>
    </w:p>
    <w:p w14:paraId="4396BB8B" w14:textId="77777777" w:rsidR="003E0642" w:rsidRDefault="003E0642" w:rsidP="00B421F6">
      <w:pPr>
        <w:spacing w:before="120"/>
        <w:ind w:firstLine="510"/>
        <w:jc w:val="both"/>
        <w:rPr>
          <w:rFonts w:cs="Times New Roman"/>
          <w:szCs w:val="24"/>
        </w:rPr>
      </w:pPr>
      <w:r w:rsidRPr="002E425D">
        <w:rPr>
          <w:rFonts w:cs="Times New Roman"/>
          <w:szCs w:val="24"/>
        </w:rPr>
        <w:t>Projekt ustawy jest zgodny z przepisami Unii Europejskiej.</w:t>
      </w:r>
    </w:p>
    <w:p w14:paraId="51A09FCC" w14:textId="77777777" w:rsidR="003E0642" w:rsidRPr="002E425D" w:rsidRDefault="003E0642" w:rsidP="00B421F6">
      <w:pPr>
        <w:spacing w:before="120"/>
        <w:ind w:firstLine="510"/>
        <w:jc w:val="both"/>
        <w:rPr>
          <w:rFonts w:eastAsia="Times New Roman" w:cs="Times New Roman"/>
          <w:sz w:val="16"/>
          <w:szCs w:val="16"/>
        </w:rPr>
      </w:pPr>
      <w:r w:rsidRPr="002E425D">
        <w:rPr>
          <w:rFonts w:cs="Times New Roman"/>
          <w:szCs w:val="24"/>
        </w:rPr>
        <w:t>Projekt przedmiotowej regulacji z chwilą przekazania do uzgodnień międzyresortowych zostanie udostępniony w Biuletynie Informacji Publicznej na stronie podmiotowej Rządowego Centrum Legislacji, w serwisie Rządowy Proces Legislacyjny, zgodnie z ustawą z dnia 7 lipca 2005 o działalności lobbingowej w procesie stosowania prawa oraz § 52 uchwały nr 190 Rady Ministrów z dnia 29 października 2013 r. – Regulamin pracy Rady Ministrów.</w:t>
      </w:r>
    </w:p>
    <w:p w14:paraId="0B78B187" w14:textId="77777777" w:rsidR="00FE468B" w:rsidRDefault="00FE468B" w:rsidP="00FE468B">
      <w:pPr>
        <w:spacing w:before="120"/>
        <w:jc w:val="both"/>
      </w:pPr>
    </w:p>
    <w:sectPr w:rsidR="00FE468B" w:rsidSect="00A90749">
      <w:headerReference w:type="default" r:id="rId6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80FA4" w14:textId="77777777" w:rsidR="007C7ABC" w:rsidRDefault="007C7ABC">
      <w:pPr>
        <w:spacing w:line="240" w:lineRule="auto"/>
      </w:pPr>
      <w:r>
        <w:separator/>
      </w:r>
    </w:p>
  </w:endnote>
  <w:endnote w:type="continuationSeparator" w:id="0">
    <w:p w14:paraId="7473FA2B" w14:textId="77777777" w:rsidR="007C7ABC" w:rsidRDefault="007C7A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5BB1F2" w14:textId="77777777" w:rsidR="007C7ABC" w:rsidRDefault="007C7ABC">
      <w:pPr>
        <w:spacing w:line="240" w:lineRule="auto"/>
      </w:pPr>
      <w:r>
        <w:separator/>
      </w:r>
    </w:p>
  </w:footnote>
  <w:footnote w:type="continuationSeparator" w:id="0">
    <w:p w14:paraId="427045FE" w14:textId="77777777" w:rsidR="007C7ABC" w:rsidRDefault="007C7A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C5DEE2" w14:textId="77777777" w:rsidR="00FE468B" w:rsidRPr="00B371CC" w:rsidRDefault="00FE468B" w:rsidP="00A90749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A407E8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708"/>
    <w:rsid w:val="000356E4"/>
    <w:rsid w:val="0004081D"/>
    <w:rsid w:val="000F71DA"/>
    <w:rsid w:val="00141BBD"/>
    <w:rsid w:val="001F13AD"/>
    <w:rsid w:val="0020716E"/>
    <w:rsid w:val="002A3938"/>
    <w:rsid w:val="002D137F"/>
    <w:rsid w:val="002D7DAD"/>
    <w:rsid w:val="002E617E"/>
    <w:rsid w:val="003039D6"/>
    <w:rsid w:val="00335577"/>
    <w:rsid w:val="003738A5"/>
    <w:rsid w:val="003E0642"/>
    <w:rsid w:val="004235CE"/>
    <w:rsid w:val="00467E87"/>
    <w:rsid w:val="004B3D22"/>
    <w:rsid w:val="004C3457"/>
    <w:rsid w:val="004D2AFE"/>
    <w:rsid w:val="004E12F0"/>
    <w:rsid w:val="00555A00"/>
    <w:rsid w:val="00566CC9"/>
    <w:rsid w:val="00567EF5"/>
    <w:rsid w:val="00592BE8"/>
    <w:rsid w:val="005E7C45"/>
    <w:rsid w:val="006805D4"/>
    <w:rsid w:val="006821F9"/>
    <w:rsid w:val="006A25D0"/>
    <w:rsid w:val="006C0D4B"/>
    <w:rsid w:val="006E1694"/>
    <w:rsid w:val="006F7210"/>
    <w:rsid w:val="007209FD"/>
    <w:rsid w:val="00773514"/>
    <w:rsid w:val="00793329"/>
    <w:rsid w:val="007B0C1F"/>
    <w:rsid w:val="007C7ABC"/>
    <w:rsid w:val="007D6F9A"/>
    <w:rsid w:val="00810932"/>
    <w:rsid w:val="00846708"/>
    <w:rsid w:val="008619B4"/>
    <w:rsid w:val="008875C6"/>
    <w:rsid w:val="008A74F4"/>
    <w:rsid w:val="008C78D5"/>
    <w:rsid w:val="008E11C3"/>
    <w:rsid w:val="008E286C"/>
    <w:rsid w:val="008F1A5B"/>
    <w:rsid w:val="009117C6"/>
    <w:rsid w:val="00971E4E"/>
    <w:rsid w:val="009B5A6A"/>
    <w:rsid w:val="009C7025"/>
    <w:rsid w:val="009D196A"/>
    <w:rsid w:val="00A407E8"/>
    <w:rsid w:val="00A90749"/>
    <w:rsid w:val="00AF75D8"/>
    <w:rsid w:val="00B421F6"/>
    <w:rsid w:val="00BA31F2"/>
    <w:rsid w:val="00BC1685"/>
    <w:rsid w:val="00BD6B31"/>
    <w:rsid w:val="00BD7CCB"/>
    <w:rsid w:val="00BE1BDF"/>
    <w:rsid w:val="00C042F8"/>
    <w:rsid w:val="00C54CB0"/>
    <w:rsid w:val="00C70163"/>
    <w:rsid w:val="00CB594A"/>
    <w:rsid w:val="00D17843"/>
    <w:rsid w:val="00D53CF1"/>
    <w:rsid w:val="00D61E46"/>
    <w:rsid w:val="00D66E47"/>
    <w:rsid w:val="00DC793F"/>
    <w:rsid w:val="00DD72D4"/>
    <w:rsid w:val="00DD792D"/>
    <w:rsid w:val="00DF1547"/>
    <w:rsid w:val="00E55584"/>
    <w:rsid w:val="00EA7957"/>
    <w:rsid w:val="00EE682C"/>
    <w:rsid w:val="00F04C68"/>
    <w:rsid w:val="00F1286B"/>
    <w:rsid w:val="00FA2C04"/>
    <w:rsid w:val="00FC797D"/>
    <w:rsid w:val="00FD6F97"/>
    <w:rsid w:val="00FE468B"/>
    <w:rsid w:val="00FF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1F8D0"/>
  <w15:docId w15:val="{E14016B5-CFFF-436E-AAFA-DFD001E22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6708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846708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846708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846708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7C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7CC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7CCB"/>
    <w:rPr>
      <w:rFonts w:ascii="Times New Roman" w:eastAsiaTheme="minorEastAsia" w:hAnsi="Times New Roman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7C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7CCB"/>
    <w:rPr>
      <w:rFonts w:ascii="Times New Roman" w:eastAsiaTheme="minorEastAsia" w:hAnsi="Times New Roman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7C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7CCB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56E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56E4"/>
    <w:rPr>
      <w:rFonts w:ascii="Times New Roman" w:eastAsiaTheme="minorEastAsia" w:hAnsi="Times New Roman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56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9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1940</Words>
  <Characters>11641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Langner Agata</dc:creator>
  <cp:lastModifiedBy>Langner Agata</cp:lastModifiedBy>
  <cp:revision>2</cp:revision>
  <cp:lastPrinted>2019-03-20T12:43:00Z</cp:lastPrinted>
  <dcterms:created xsi:type="dcterms:W3CDTF">2020-01-27T14:57:00Z</dcterms:created>
  <dcterms:modified xsi:type="dcterms:W3CDTF">2020-01-27T14:57:00Z</dcterms:modified>
</cp:coreProperties>
</file>