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B0A43" w14:textId="77777777" w:rsidR="00C45D29" w:rsidRPr="00F80B36" w:rsidRDefault="00C45D29" w:rsidP="00C45D29">
      <w:pPr>
        <w:keepNext/>
        <w:tabs>
          <w:tab w:val="left" w:pos="-180"/>
          <w:tab w:val="left" w:pos="9000"/>
        </w:tabs>
        <w:spacing w:after="0" w:line="240" w:lineRule="auto"/>
        <w:ind w:right="72"/>
        <w:outlineLvl w:val="1"/>
        <w:rPr>
          <w:rFonts w:ascii="Times New Roman" w:eastAsia="Arial Unicode MS" w:hAnsi="Times New Roman" w:cs="Times New Roman"/>
          <w:b/>
          <w:lang w:eastAsia="pl-PL"/>
        </w:rPr>
      </w:pPr>
      <w:r w:rsidRPr="00F80B36">
        <w:rPr>
          <w:rFonts w:ascii="Times New Roman" w:eastAsia="Arial Unicode MS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0A107" wp14:editId="7DFE4110">
                <wp:simplePos x="0" y="0"/>
                <wp:positionH relativeFrom="margin">
                  <wp:posOffset>-128629</wp:posOffset>
                </wp:positionH>
                <wp:positionV relativeFrom="margin">
                  <wp:posOffset>58227</wp:posOffset>
                </wp:positionV>
                <wp:extent cx="2857500" cy="842838"/>
                <wp:effectExtent l="0" t="0" r="0" b="146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2211" w14:textId="77777777" w:rsidR="00C45D29" w:rsidRPr="005C626A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4E2D278" wp14:editId="7CB10401">
                                  <wp:extent cx="523875" cy="542925"/>
                                  <wp:effectExtent l="0" t="0" r="9525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B2CC14" w14:textId="77777777" w:rsidR="00C45D29" w:rsidRPr="00A72E6F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14:paraId="474BF64E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14:paraId="4834DC69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EF88C53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02C2060" w14:textId="77777777" w:rsidR="00C45D2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07E2BCA6" w14:textId="77777777" w:rsidR="00C45D29" w:rsidRPr="008978E9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06BE182" w14:textId="77777777" w:rsidR="00C45D29" w:rsidRPr="007D0B8E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5B6EA5A" w14:textId="77777777" w:rsidR="00C45D29" w:rsidRPr="007D0B8E" w:rsidRDefault="00C45D29" w:rsidP="00C45D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910A107" id="Prostokąt 2" o:spid="_x0000_s1026" style="position:absolute;margin-left:-10.15pt;margin-top:4.6pt;width:22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" filled="f" fillcolor="#bbe0e3" stroked="f">
                <v:textbox inset="0,0,0,0">
                  <w:txbxContent>
                    <w:p w14:paraId="3D072211" w14:textId="77777777" w:rsidR="00C45D29" w:rsidRPr="005C626A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4E2D278" wp14:editId="7CB10401">
                            <wp:extent cx="523875" cy="542925"/>
                            <wp:effectExtent l="0" t="0" r="9525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B2CC14" w14:textId="77777777" w:rsidR="00C45D29" w:rsidRPr="00A72E6F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14:paraId="474BF64E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14:paraId="4834DC69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2EF88C53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102C2060" w14:textId="77777777" w:rsidR="00C45D2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07E2BCA6" w14:textId="77777777" w:rsidR="00C45D29" w:rsidRPr="008978E9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206BE182" w14:textId="77777777" w:rsidR="00C45D29" w:rsidRPr="007D0B8E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65B6EA5A" w14:textId="77777777" w:rsidR="00C45D29" w:rsidRPr="007D0B8E" w:rsidRDefault="00C45D29" w:rsidP="00C45D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EA5A820" w14:textId="72E3DBA8" w:rsidR="00C45D29" w:rsidRPr="00F80B36" w:rsidRDefault="00C45D29" w:rsidP="00ED5C7C">
      <w:pPr>
        <w:spacing w:after="0" w:line="240" w:lineRule="auto"/>
        <w:jc w:val="right"/>
        <w:rPr>
          <w:rFonts w:ascii="Calibri" w:eastAsia="MS Mincho" w:hAnsi="Calibri" w:cs="Times New Roman"/>
          <w:sz w:val="24"/>
          <w:szCs w:val="24"/>
          <w:lang w:eastAsia="pl-PL"/>
        </w:rPr>
      </w:pP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  <w:t xml:space="preserve"> Warszawa, </w:t>
      </w:r>
      <w:r w:rsidR="00D22F19">
        <w:rPr>
          <w:rFonts w:ascii="Calibri" w:eastAsia="MS Mincho" w:hAnsi="Calibri" w:cs="Times New Roman"/>
          <w:sz w:val="24"/>
          <w:szCs w:val="24"/>
          <w:lang w:eastAsia="pl-PL"/>
        </w:rPr>
        <w:t>2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7D195E">
        <w:rPr>
          <w:rFonts w:ascii="Calibri" w:eastAsia="MS Mincho" w:hAnsi="Calibri" w:cs="Times New Roman"/>
          <w:sz w:val="24"/>
          <w:szCs w:val="24"/>
          <w:lang w:eastAsia="pl-PL"/>
        </w:rPr>
        <w:t>kwietnia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 xml:space="preserve"> 2020 r.</w:t>
      </w:r>
    </w:p>
    <w:p w14:paraId="542F89CC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3EC63D76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5630B65A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25D07669" w14:textId="77777777" w:rsidR="00C45D29" w:rsidRPr="00F80B36" w:rsidRDefault="00C45D29" w:rsidP="00C45D29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eastAsia="pl-PL"/>
        </w:rPr>
      </w:pPr>
    </w:p>
    <w:p w14:paraId="495B5A35" w14:textId="77777777" w:rsidR="00C45D29" w:rsidRPr="00F80B36" w:rsidRDefault="00C45D29" w:rsidP="00C45D29">
      <w:pPr>
        <w:spacing w:after="0" w:line="240" w:lineRule="auto"/>
        <w:ind w:left="708"/>
        <w:rPr>
          <w:rFonts w:ascii="Calibri" w:eastAsia="MS Mincho" w:hAnsi="Calibri" w:cs="Times New Roman"/>
          <w:sz w:val="24"/>
          <w:szCs w:val="24"/>
          <w:lang w:eastAsia="pl-PL"/>
        </w:rPr>
      </w:pPr>
      <w:r>
        <w:rPr>
          <w:rFonts w:ascii="Calibri" w:eastAsia="MS Mincho" w:hAnsi="Calibri" w:cs="Times New Roman"/>
          <w:sz w:val="24"/>
          <w:szCs w:val="24"/>
          <w:lang w:eastAsia="pl-PL"/>
        </w:rPr>
        <w:t xml:space="preserve"> </w:t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>WNP-I.</w:t>
      </w:r>
      <w:r w:rsidR="007D195E">
        <w:rPr>
          <w:rFonts w:ascii="Calibri" w:eastAsia="MS Mincho" w:hAnsi="Calibri" w:cs="Times New Roman"/>
          <w:sz w:val="24"/>
          <w:szCs w:val="24"/>
          <w:lang w:eastAsia="pl-PL"/>
        </w:rPr>
        <w:t>4131.36.2020.MS</w:t>
      </w:r>
    </w:p>
    <w:p w14:paraId="50A088B5" w14:textId="77777777" w:rsidR="00C45D29" w:rsidRPr="00F80B36" w:rsidRDefault="00C45D29" w:rsidP="00C45D29">
      <w:pPr>
        <w:widowControl w:val="0"/>
        <w:spacing w:after="0" w:line="338" w:lineRule="exact"/>
        <w:ind w:left="4253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39A95F59" w14:textId="77777777" w:rsidR="007D195E" w:rsidRDefault="007D195E" w:rsidP="007D195E">
      <w:pPr>
        <w:autoSpaceDE w:val="0"/>
        <w:autoSpaceDN w:val="0"/>
        <w:adjustRightInd w:val="0"/>
        <w:spacing w:line="240" w:lineRule="auto"/>
        <w:ind w:left="4248" w:firstLine="708"/>
        <w:rPr>
          <w:rFonts w:ascii="Calibri" w:hAnsi="Calibri"/>
          <w:b/>
          <w:i/>
        </w:rPr>
      </w:pPr>
    </w:p>
    <w:p w14:paraId="31BB99C6" w14:textId="77777777" w:rsidR="00F5555F" w:rsidRPr="00F5555F" w:rsidRDefault="00F5555F" w:rsidP="00F5555F">
      <w:pPr>
        <w:pStyle w:val="Bezodstpw"/>
        <w:ind w:left="4956" w:firstLine="708"/>
        <w:rPr>
          <w:b/>
          <w:i/>
          <w:sz w:val="24"/>
          <w:szCs w:val="24"/>
        </w:rPr>
      </w:pPr>
      <w:r w:rsidRPr="00F5555F">
        <w:rPr>
          <w:b/>
          <w:i/>
          <w:sz w:val="24"/>
          <w:szCs w:val="24"/>
        </w:rPr>
        <w:t>Rada Gminy Sochaczew</w:t>
      </w:r>
    </w:p>
    <w:p w14:paraId="0506FC80" w14:textId="77777777" w:rsidR="00F5555F" w:rsidRPr="00F5555F" w:rsidRDefault="00F5555F" w:rsidP="00F5555F">
      <w:pPr>
        <w:pStyle w:val="Bezodstpw"/>
        <w:ind w:left="4956" w:firstLine="708"/>
        <w:rPr>
          <w:b/>
          <w:i/>
          <w:sz w:val="24"/>
          <w:szCs w:val="24"/>
        </w:rPr>
      </w:pPr>
      <w:r w:rsidRPr="00F5555F">
        <w:rPr>
          <w:b/>
          <w:i/>
          <w:sz w:val="24"/>
          <w:szCs w:val="24"/>
        </w:rPr>
        <w:t>ul. Warszawska 115</w:t>
      </w:r>
    </w:p>
    <w:p w14:paraId="78117D7C" w14:textId="77777777" w:rsidR="00F5555F" w:rsidRPr="00F5555F" w:rsidRDefault="00F5555F" w:rsidP="00F5555F">
      <w:pPr>
        <w:pStyle w:val="Bezodstpw"/>
        <w:ind w:left="5664"/>
        <w:rPr>
          <w:b/>
          <w:i/>
          <w:sz w:val="24"/>
          <w:szCs w:val="24"/>
        </w:rPr>
      </w:pPr>
      <w:r w:rsidRPr="00F5555F">
        <w:rPr>
          <w:b/>
          <w:i/>
          <w:sz w:val="24"/>
          <w:szCs w:val="24"/>
        </w:rPr>
        <w:t>96-500 Sochaczew</w:t>
      </w:r>
    </w:p>
    <w:p w14:paraId="5207E6B9" w14:textId="77777777" w:rsidR="00F5555F" w:rsidRDefault="00F5555F" w:rsidP="00F5555F">
      <w:pPr>
        <w:pStyle w:val="Nagwek1"/>
        <w:ind w:left="2832" w:firstLine="708"/>
        <w:rPr>
          <w:rFonts w:ascii="Calibri" w:hAnsi="Calibri"/>
          <w:sz w:val="25"/>
          <w:szCs w:val="25"/>
        </w:rPr>
      </w:pPr>
    </w:p>
    <w:p w14:paraId="142B179C" w14:textId="77777777" w:rsidR="007D195E" w:rsidRDefault="007D195E" w:rsidP="00F5555F">
      <w:pPr>
        <w:pStyle w:val="Nagwek1"/>
        <w:ind w:left="-426"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14:paraId="54356B53" w14:textId="77777777" w:rsidR="007D195E" w:rsidRPr="00CF610A" w:rsidRDefault="007D195E" w:rsidP="007D195E"/>
    <w:p w14:paraId="20633D13" w14:textId="77777777" w:rsidR="007D195E" w:rsidRPr="002B42F1" w:rsidRDefault="007D195E" w:rsidP="007D195E">
      <w:pPr>
        <w:pStyle w:val="Tekstpodstawowy"/>
        <w:spacing w:line="240" w:lineRule="auto"/>
        <w:ind w:left="-357" w:right="-471" w:firstLine="709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</w:t>
      </w:r>
      <w:r>
        <w:rPr>
          <w:rFonts w:ascii="Calibri" w:hAnsi="Calibri" w:cs="Calibri"/>
          <w:sz w:val="24"/>
        </w:rPr>
        <w:t>,</w:t>
      </w:r>
      <w:r w:rsidRPr="002B42F1">
        <w:rPr>
          <w:rFonts w:ascii="Calibri" w:hAnsi="Calibri" w:cs="Calibri"/>
          <w:sz w:val="24"/>
        </w:rPr>
        <w:t xml:space="preserve">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Pr="002B42F1">
        <w:rPr>
          <w:rFonts w:ascii="Calibri" w:hAnsi="Calibri" w:cs="Calibri"/>
          <w:sz w:val="24"/>
        </w:rPr>
        <w:t xml:space="preserve">o samorządzie </w:t>
      </w:r>
      <w:r>
        <w:rPr>
          <w:rFonts w:ascii="Calibri" w:hAnsi="Calibri" w:cs="Calibri"/>
          <w:sz w:val="24"/>
        </w:rPr>
        <w:t>gminnym (Dz. U. z 2019 r. poz. 506, z późn. zm.</w:t>
      </w:r>
      <w:r w:rsidRPr="002B42F1">
        <w:rPr>
          <w:rFonts w:ascii="Calibri" w:hAnsi="Calibri" w:cs="Calibri"/>
          <w:sz w:val="24"/>
        </w:rPr>
        <w:t>)</w:t>
      </w:r>
    </w:p>
    <w:p w14:paraId="1A2AC74A" w14:textId="77777777" w:rsidR="007D195E" w:rsidRPr="002B42F1" w:rsidRDefault="007D195E" w:rsidP="007D195E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</w:p>
    <w:p w14:paraId="762C1D00" w14:textId="77777777" w:rsidR="007D195E" w:rsidRPr="00F5555F" w:rsidRDefault="007D195E" w:rsidP="00F5555F">
      <w:pPr>
        <w:spacing w:line="360" w:lineRule="auto"/>
        <w:ind w:left="-426" w:right="-468"/>
        <w:jc w:val="center"/>
        <w:rPr>
          <w:rFonts w:ascii="Calibri" w:hAnsi="Calibri" w:cs="Calibri"/>
          <w:b/>
          <w:bCs/>
          <w:sz w:val="24"/>
          <w:szCs w:val="24"/>
        </w:rPr>
      </w:pPr>
      <w:r w:rsidRPr="00F5555F">
        <w:rPr>
          <w:rFonts w:ascii="Calibri" w:hAnsi="Calibri" w:cs="Calibri"/>
          <w:b/>
          <w:bCs/>
          <w:sz w:val="24"/>
          <w:szCs w:val="24"/>
        </w:rPr>
        <w:t>stwierdzam nieważność</w:t>
      </w:r>
    </w:p>
    <w:p w14:paraId="15616EE8" w14:textId="77777777" w:rsidR="007D195E" w:rsidRPr="00800B57" w:rsidRDefault="007D195E" w:rsidP="00F5555F">
      <w:pPr>
        <w:spacing w:line="240" w:lineRule="auto"/>
        <w:ind w:left="-426" w:right="-468"/>
        <w:jc w:val="both"/>
        <w:rPr>
          <w:rFonts w:ascii="Calibri" w:hAnsi="Calibri" w:cs="Calibri"/>
          <w:bCs/>
          <w:sz w:val="24"/>
          <w:szCs w:val="24"/>
        </w:rPr>
      </w:pPr>
      <w:r w:rsidRPr="00800B57">
        <w:rPr>
          <w:rFonts w:ascii="Calibri" w:hAnsi="Calibri" w:cs="Calibri"/>
          <w:bCs/>
          <w:sz w:val="24"/>
          <w:szCs w:val="24"/>
        </w:rPr>
        <w:t xml:space="preserve">uchwały Nr XVII/82/2020 Rady Gminy Sochaczew z dnia 25 lutego 2020 r. w </w:t>
      </w:r>
      <w:r w:rsidRPr="00800B57">
        <w:rPr>
          <w:rFonts w:ascii="Calibri" w:hAnsi="Calibri" w:cs="Calibri"/>
          <w:bCs/>
          <w:i/>
          <w:sz w:val="24"/>
          <w:szCs w:val="24"/>
        </w:rPr>
        <w:t>sprawie  zasad i trybu nadawania Honorowego Obywatelstwa Gminy Sochaczew oraz tytułu „Zasłużony dla Gminy Sochaczew”</w:t>
      </w:r>
      <w:r w:rsidRPr="00800B57">
        <w:rPr>
          <w:rFonts w:ascii="Calibri" w:hAnsi="Calibri" w:cs="Calibri"/>
          <w:bCs/>
          <w:sz w:val="24"/>
          <w:szCs w:val="24"/>
        </w:rPr>
        <w:t>, w zakresie załącznika do uchwały</w:t>
      </w:r>
      <w:r w:rsidR="00E05B21" w:rsidRPr="00800B57">
        <w:rPr>
          <w:rFonts w:ascii="Calibri" w:hAnsi="Calibri" w:cs="Calibri"/>
          <w:bCs/>
          <w:sz w:val="24"/>
          <w:szCs w:val="24"/>
        </w:rPr>
        <w:t xml:space="preserve"> pt. </w:t>
      </w:r>
      <w:r w:rsidR="00E05B21" w:rsidRPr="00800B57">
        <w:rPr>
          <w:rFonts w:ascii="Calibri" w:hAnsi="Calibri" w:cs="Calibri"/>
          <w:bCs/>
          <w:i/>
          <w:sz w:val="24"/>
          <w:szCs w:val="24"/>
        </w:rPr>
        <w:t>Regulamin nadawania Honorowego Obywatelstwa Gminy Sochaczew oraz tytułu „Zasłużony dla Gminy Sochaczew”</w:t>
      </w:r>
      <w:r w:rsidRPr="00800B57">
        <w:rPr>
          <w:rFonts w:ascii="Calibri" w:hAnsi="Calibri" w:cs="Calibri"/>
          <w:bCs/>
          <w:sz w:val="24"/>
          <w:szCs w:val="24"/>
        </w:rPr>
        <w:t>, w części dotyczącej § 3 ust. 5 oraz § 8 ust. 4.</w:t>
      </w:r>
    </w:p>
    <w:p w14:paraId="55E86EF4" w14:textId="77777777" w:rsidR="00C45D29" w:rsidRDefault="00C45D29" w:rsidP="007D195E">
      <w:pPr>
        <w:tabs>
          <w:tab w:val="left" w:pos="5190"/>
        </w:tabs>
        <w:spacing w:after="0" w:line="300" w:lineRule="exact"/>
        <w:jc w:val="both"/>
        <w:rPr>
          <w:rFonts w:eastAsia="MS Mincho" w:cstheme="minorHAnsi"/>
          <w:sz w:val="24"/>
          <w:szCs w:val="24"/>
          <w:lang w:eastAsia="pl-PL"/>
        </w:rPr>
      </w:pPr>
    </w:p>
    <w:p w14:paraId="50F57B14" w14:textId="77777777" w:rsidR="00F5555F" w:rsidRDefault="00F5555F" w:rsidP="00F5555F">
      <w:pPr>
        <w:spacing w:after="0" w:line="300" w:lineRule="exact"/>
        <w:rPr>
          <w:rFonts w:eastAsia="MS Mincho" w:cstheme="minorHAnsi"/>
          <w:sz w:val="24"/>
          <w:szCs w:val="24"/>
          <w:lang w:eastAsia="pl-PL"/>
        </w:rPr>
      </w:pPr>
    </w:p>
    <w:p w14:paraId="747F9271" w14:textId="77777777" w:rsidR="00C45D29" w:rsidRPr="00F5555F" w:rsidRDefault="00F5555F" w:rsidP="00F5555F">
      <w:pPr>
        <w:spacing w:after="0" w:line="300" w:lineRule="exact"/>
        <w:ind w:left="-426" w:right="-569"/>
        <w:jc w:val="center"/>
        <w:rPr>
          <w:rFonts w:eastAsia="MS Mincho" w:cstheme="minorHAnsi"/>
          <w:b/>
          <w:sz w:val="24"/>
          <w:szCs w:val="24"/>
          <w:lang w:eastAsia="pl-PL"/>
        </w:rPr>
      </w:pPr>
      <w:r>
        <w:rPr>
          <w:rFonts w:eastAsia="MS Mincho" w:cstheme="minorHAnsi"/>
          <w:b/>
          <w:sz w:val="24"/>
          <w:szCs w:val="24"/>
          <w:lang w:eastAsia="pl-PL"/>
        </w:rPr>
        <w:t>Uzasadnienie</w:t>
      </w:r>
    </w:p>
    <w:p w14:paraId="5D21F3A2" w14:textId="77777777" w:rsidR="00C45D29" w:rsidRPr="0081749E" w:rsidRDefault="00C45D29" w:rsidP="0081749E">
      <w:pPr>
        <w:spacing w:after="0" w:line="300" w:lineRule="exact"/>
        <w:jc w:val="center"/>
        <w:rPr>
          <w:rFonts w:eastAsia="MS Mincho" w:cstheme="minorHAnsi"/>
          <w:b/>
          <w:sz w:val="24"/>
          <w:szCs w:val="24"/>
          <w:lang w:eastAsia="pl-PL"/>
        </w:rPr>
      </w:pPr>
    </w:p>
    <w:p w14:paraId="7A8C6DFB" w14:textId="77777777" w:rsidR="00C45D29" w:rsidRPr="00303867" w:rsidRDefault="00371C6A" w:rsidP="00F5555F">
      <w:pPr>
        <w:spacing w:after="0" w:line="300" w:lineRule="exact"/>
        <w:ind w:left="-426" w:right="-569" w:firstLine="709"/>
        <w:jc w:val="both"/>
        <w:rPr>
          <w:rFonts w:eastAsia="Calibri" w:cstheme="minorHAnsi"/>
          <w:bCs/>
          <w:i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Na sesji </w:t>
      </w:r>
      <w:r w:rsidR="00175B45">
        <w:rPr>
          <w:rFonts w:eastAsia="Calibri" w:cstheme="minorHAnsi"/>
          <w:bCs/>
          <w:sz w:val="24"/>
          <w:szCs w:val="24"/>
        </w:rPr>
        <w:t>25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175B45">
        <w:rPr>
          <w:rFonts w:eastAsia="Calibri" w:cstheme="minorHAnsi"/>
          <w:bCs/>
          <w:sz w:val="24"/>
          <w:szCs w:val="24"/>
        </w:rPr>
        <w:t>lutego</w:t>
      </w:r>
      <w:r>
        <w:rPr>
          <w:rFonts w:eastAsia="Calibri" w:cstheme="minorHAnsi"/>
          <w:bCs/>
          <w:sz w:val="24"/>
          <w:szCs w:val="24"/>
        </w:rPr>
        <w:t xml:space="preserve"> 20</w:t>
      </w:r>
      <w:r w:rsidR="00175B45">
        <w:rPr>
          <w:rFonts w:eastAsia="Calibri" w:cstheme="minorHAnsi"/>
          <w:bCs/>
          <w:sz w:val="24"/>
          <w:szCs w:val="24"/>
        </w:rPr>
        <w:t>20</w:t>
      </w:r>
      <w:r>
        <w:rPr>
          <w:rFonts w:eastAsia="Calibri" w:cstheme="minorHAnsi"/>
          <w:bCs/>
          <w:sz w:val="24"/>
          <w:szCs w:val="24"/>
        </w:rPr>
        <w:t xml:space="preserve"> r. Rada</w:t>
      </w:r>
      <w:r w:rsidR="00175B45">
        <w:rPr>
          <w:rFonts w:eastAsia="Calibri" w:cstheme="minorHAnsi"/>
          <w:bCs/>
          <w:sz w:val="24"/>
          <w:szCs w:val="24"/>
        </w:rPr>
        <w:t xml:space="preserve"> Gminy Sochaczew</w:t>
      </w:r>
      <w:r>
        <w:rPr>
          <w:rFonts w:eastAsia="Calibri" w:cstheme="minorHAnsi"/>
          <w:bCs/>
          <w:sz w:val="24"/>
          <w:szCs w:val="24"/>
        </w:rPr>
        <w:t xml:space="preserve"> podjęła uchwałę Nr </w:t>
      </w:r>
      <w:r w:rsidR="00303867">
        <w:rPr>
          <w:rFonts w:eastAsia="Calibri" w:cstheme="minorHAnsi"/>
          <w:bCs/>
          <w:sz w:val="24"/>
          <w:szCs w:val="24"/>
        </w:rPr>
        <w:t xml:space="preserve">XVII/82/2020 w sprawie </w:t>
      </w:r>
      <w:r w:rsidR="00303867" w:rsidRPr="00303867">
        <w:rPr>
          <w:rFonts w:eastAsia="Calibri" w:cstheme="minorHAnsi"/>
          <w:bCs/>
          <w:i/>
          <w:sz w:val="24"/>
          <w:szCs w:val="24"/>
        </w:rPr>
        <w:t>zasad i trybu nadawania Honorowego Obywatelstwa Gminy Sochaczew oraz tytułu „Zasłużony dla Gminy Sochaczew”.</w:t>
      </w:r>
    </w:p>
    <w:p w14:paraId="7864381B" w14:textId="77777777" w:rsidR="0083703A" w:rsidRDefault="00C45D29" w:rsidP="00F5555F">
      <w:pPr>
        <w:spacing w:after="0" w:line="300" w:lineRule="exact"/>
        <w:ind w:left="-426" w:right="-569" w:firstLine="709"/>
        <w:jc w:val="both"/>
        <w:rPr>
          <w:rFonts w:cstheme="minorHAnsi"/>
          <w:sz w:val="24"/>
          <w:szCs w:val="24"/>
        </w:rPr>
      </w:pPr>
      <w:r w:rsidRPr="0081749E">
        <w:rPr>
          <w:rFonts w:eastAsia="MS Mincho" w:cstheme="minorHAnsi"/>
          <w:sz w:val="24"/>
          <w:szCs w:val="24"/>
          <w:lang w:eastAsia="pl-PL"/>
        </w:rPr>
        <w:t>W uchwa</w:t>
      </w:r>
      <w:r w:rsidR="004875E7" w:rsidRPr="0081749E">
        <w:rPr>
          <w:rFonts w:eastAsia="MS Mincho" w:cstheme="minorHAnsi"/>
          <w:sz w:val="24"/>
          <w:szCs w:val="24"/>
          <w:lang w:eastAsia="pl-PL"/>
        </w:rPr>
        <w:t>le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wskazano, że podstawę prawną do </w:t>
      </w:r>
      <w:r w:rsidR="004875E7" w:rsidRPr="0081749E">
        <w:rPr>
          <w:rFonts w:eastAsia="MS Mincho" w:cstheme="minorHAnsi"/>
          <w:sz w:val="24"/>
          <w:szCs w:val="24"/>
          <w:lang w:eastAsia="pl-PL"/>
        </w:rPr>
        <w:t>jej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podjęcia stanowi</w:t>
      </w:r>
      <w:r w:rsidR="00303867">
        <w:rPr>
          <w:rFonts w:eastAsia="MS Mincho" w:cstheme="minorHAnsi"/>
          <w:sz w:val="24"/>
          <w:szCs w:val="24"/>
          <w:lang w:eastAsia="pl-PL"/>
        </w:rPr>
        <w:t xml:space="preserve"> m. in.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przepis art. 18</w:t>
      </w:r>
      <w:r w:rsidR="00303867">
        <w:rPr>
          <w:rFonts w:eastAsia="MS Mincho" w:cstheme="minorHAnsi"/>
          <w:sz w:val="24"/>
          <w:szCs w:val="24"/>
          <w:lang w:eastAsia="pl-PL"/>
        </w:rPr>
        <w:t xml:space="preserve">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ust. 2 pkt </w:t>
      </w:r>
      <w:r w:rsidR="00CF4F99" w:rsidRPr="0081749E">
        <w:rPr>
          <w:rFonts w:eastAsia="MS Mincho" w:cstheme="minorHAnsi"/>
          <w:sz w:val="24"/>
          <w:szCs w:val="24"/>
          <w:lang w:eastAsia="pl-PL"/>
        </w:rPr>
        <w:t>14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ustawy o samorządzie gminnym</w:t>
      </w:r>
      <w:r w:rsidR="0083703A">
        <w:rPr>
          <w:rFonts w:eastAsia="MS Mincho" w:cstheme="minorHAnsi"/>
          <w:sz w:val="24"/>
          <w:szCs w:val="24"/>
          <w:lang w:eastAsia="pl-PL"/>
        </w:rPr>
        <w:t>, zgodnie z którym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83703A">
        <w:rPr>
          <w:rStyle w:val="info-list-value-uzasadnienie"/>
          <w:rFonts w:cstheme="minorHAnsi"/>
          <w:i/>
          <w:sz w:val="24"/>
          <w:szCs w:val="24"/>
        </w:rPr>
        <w:t>D</w:t>
      </w:r>
      <w:r w:rsidR="00B80A17" w:rsidRPr="0083703A">
        <w:rPr>
          <w:rFonts w:cstheme="minorHAnsi"/>
          <w:i/>
          <w:sz w:val="24"/>
          <w:szCs w:val="24"/>
        </w:rPr>
        <w:t>o wyłącznej właściwości rady gminy należy nadawanie honorowego obywatelstwa gminy</w:t>
      </w:r>
      <w:r w:rsidR="00B80A17" w:rsidRPr="0081749E">
        <w:rPr>
          <w:rFonts w:cstheme="minorHAnsi"/>
          <w:sz w:val="24"/>
          <w:szCs w:val="24"/>
        </w:rPr>
        <w:t xml:space="preserve">. </w:t>
      </w:r>
    </w:p>
    <w:p w14:paraId="37C962D0" w14:textId="77777777" w:rsidR="00303867" w:rsidRPr="00842B85" w:rsidRDefault="00B12CEB" w:rsidP="00F5555F">
      <w:pPr>
        <w:spacing w:after="0" w:line="300" w:lineRule="exact"/>
        <w:ind w:left="-426" w:right="-569" w:firstLine="709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81749E">
        <w:rPr>
          <w:rFonts w:eastAsia="Times New Roman" w:cstheme="minorHAnsi"/>
          <w:sz w:val="24"/>
          <w:szCs w:val="24"/>
          <w:lang w:eastAsia="pl-PL"/>
        </w:rPr>
        <w:t>Z</w:t>
      </w:r>
      <w:r w:rsidRPr="00CF4F99">
        <w:rPr>
          <w:rFonts w:eastAsia="Times New Roman" w:cstheme="minorHAnsi"/>
          <w:sz w:val="24"/>
          <w:szCs w:val="24"/>
          <w:lang w:eastAsia="pl-PL"/>
        </w:rPr>
        <w:t>asady i tryb nadawania</w:t>
      </w:r>
      <w:r w:rsidRPr="0081749E">
        <w:rPr>
          <w:rFonts w:eastAsia="Times New Roman" w:cstheme="minorHAnsi"/>
          <w:sz w:val="24"/>
          <w:szCs w:val="24"/>
          <w:lang w:eastAsia="pl-PL"/>
        </w:rPr>
        <w:t xml:space="preserve"> tytułu Honorowego </w:t>
      </w:r>
      <w:r w:rsidR="00303867">
        <w:rPr>
          <w:rFonts w:eastAsia="Times New Roman" w:cstheme="minorHAnsi"/>
          <w:sz w:val="24"/>
          <w:szCs w:val="24"/>
          <w:lang w:eastAsia="pl-PL"/>
        </w:rPr>
        <w:t xml:space="preserve">Obywatelstwa Gminy Sochaczew oraz tytułu „Zasłużony dla Gminy Sochaczew” zostały przyjęte przez Radę Gminy Sochaczew 25 lutego 2020 r. uchwałą Nr XVII/82/2020. W § 3 ust. 5 </w:t>
      </w:r>
      <w:r w:rsidR="00303867" w:rsidRPr="00303867">
        <w:rPr>
          <w:rFonts w:eastAsia="Times New Roman" w:cstheme="minorHAnsi"/>
          <w:i/>
          <w:sz w:val="24"/>
          <w:szCs w:val="24"/>
          <w:lang w:eastAsia="pl-PL"/>
        </w:rPr>
        <w:t>Regulaminu nadawania Honorowego obywatelstwa Gminy Sochaczew oraz tytułu „Zasłużony dla Gminy Sochaczew”</w:t>
      </w:r>
      <w:r w:rsidR="00303867">
        <w:rPr>
          <w:rFonts w:eastAsia="Times New Roman" w:cstheme="minorHAnsi"/>
          <w:sz w:val="24"/>
          <w:szCs w:val="24"/>
          <w:lang w:eastAsia="pl-PL"/>
        </w:rPr>
        <w:t>,</w:t>
      </w:r>
      <w:r w:rsidR="00B757DB">
        <w:rPr>
          <w:rFonts w:eastAsia="Times New Roman" w:cstheme="minorHAnsi"/>
          <w:sz w:val="24"/>
          <w:szCs w:val="24"/>
          <w:lang w:eastAsia="pl-PL"/>
        </w:rPr>
        <w:t xml:space="preserve"> stanowiącego załącznik do przedmiotowej uchwały,</w:t>
      </w:r>
      <w:r w:rsidR="00303867">
        <w:rPr>
          <w:rFonts w:eastAsia="Times New Roman" w:cstheme="minorHAnsi"/>
          <w:sz w:val="24"/>
          <w:szCs w:val="24"/>
          <w:lang w:eastAsia="pl-PL"/>
        </w:rPr>
        <w:t xml:space="preserve"> zwanego dalej </w:t>
      </w:r>
      <w:r w:rsidR="00303867" w:rsidRPr="00303867">
        <w:rPr>
          <w:rFonts w:eastAsia="Times New Roman" w:cstheme="minorHAnsi"/>
          <w:i/>
          <w:sz w:val="24"/>
          <w:szCs w:val="24"/>
          <w:lang w:eastAsia="pl-PL"/>
        </w:rPr>
        <w:t>Regulaminem</w:t>
      </w:r>
      <w:r w:rsidR="003038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42B85">
        <w:rPr>
          <w:rFonts w:eastAsia="Times New Roman" w:cstheme="minorHAnsi"/>
          <w:sz w:val="24"/>
          <w:szCs w:val="24"/>
          <w:lang w:eastAsia="pl-PL"/>
        </w:rPr>
        <w:t xml:space="preserve">ustalono, że </w:t>
      </w:r>
      <w:r w:rsidR="00842B85">
        <w:rPr>
          <w:rFonts w:eastAsia="Times New Roman" w:cstheme="minorHAnsi"/>
          <w:i/>
          <w:sz w:val="24"/>
          <w:szCs w:val="24"/>
          <w:lang w:eastAsia="pl-PL"/>
        </w:rPr>
        <w:t>Kapituła bada,</w:t>
      </w:r>
      <w:r w:rsidR="00B757DB">
        <w:rPr>
          <w:rFonts w:eastAsia="Times New Roman" w:cstheme="minorHAnsi"/>
          <w:i/>
          <w:sz w:val="24"/>
          <w:szCs w:val="24"/>
          <w:lang w:eastAsia="pl-PL"/>
        </w:rPr>
        <w:t xml:space="preserve"> czy</w:t>
      </w:r>
      <w:r w:rsidR="00842B85">
        <w:rPr>
          <w:rFonts w:eastAsia="Times New Roman" w:cstheme="minorHAnsi"/>
          <w:i/>
          <w:sz w:val="24"/>
          <w:szCs w:val="24"/>
          <w:lang w:eastAsia="pl-PL"/>
        </w:rPr>
        <w:t xml:space="preserve"> wniosek odpowiada wymogom formalnym. W przypadku braków formalnych Przewodniczący Kapituły wzywa wnioskodawcę o ich usunięcie w terminie 7 dni od daty otrzymania wskazanych braków, w przypadku nie usunięcia braków we wskazanym terminie wniosek pozostaje bez rozpoznania. </w:t>
      </w:r>
      <w:r w:rsidR="00842B85">
        <w:rPr>
          <w:rFonts w:eastAsia="Times New Roman" w:cstheme="minorHAnsi"/>
          <w:sz w:val="24"/>
          <w:szCs w:val="24"/>
          <w:lang w:eastAsia="pl-PL"/>
        </w:rPr>
        <w:t xml:space="preserve">Ponadto w § 8 ust. 4 </w:t>
      </w:r>
      <w:r w:rsidR="00842B85" w:rsidRPr="00842B85">
        <w:rPr>
          <w:rFonts w:eastAsia="Times New Roman" w:cstheme="minorHAnsi"/>
          <w:i/>
          <w:sz w:val="24"/>
          <w:szCs w:val="24"/>
          <w:lang w:eastAsia="pl-PL"/>
        </w:rPr>
        <w:t>Regulaminu</w:t>
      </w:r>
      <w:r w:rsidR="00842B85">
        <w:rPr>
          <w:rFonts w:eastAsia="Times New Roman" w:cstheme="minorHAnsi"/>
          <w:sz w:val="24"/>
          <w:szCs w:val="24"/>
          <w:lang w:eastAsia="pl-PL"/>
        </w:rPr>
        <w:t xml:space="preserve"> Rada Gminy Sochaczew postanowiła, iż </w:t>
      </w:r>
      <w:r w:rsidR="00842B85">
        <w:rPr>
          <w:rFonts w:eastAsia="Times New Roman" w:cstheme="minorHAnsi"/>
          <w:i/>
          <w:sz w:val="24"/>
          <w:szCs w:val="24"/>
          <w:lang w:eastAsia="pl-PL"/>
        </w:rPr>
        <w:t xml:space="preserve">Księgi prowadzi pracownik właściwy ds. obsługi Rady Gminy. </w:t>
      </w:r>
    </w:p>
    <w:p w14:paraId="43E09AE8" w14:textId="77777777" w:rsidR="00303867" w:rsidRDefault="00303867" w:rsidP="00F5555F">
      <w:pPr>
        <w:spacing w:after="0" w:line="300" w:lineRule="exact"/>
        <w:ind w:left="-426" w:right="-569" w:firstLine="709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F38EE4F" w14:textId="77777777" w:rsidR="00B80A17" w:rsidRPr="0081749E" w:rsidRDefault="00B80A17" w:rsidP="00F5555F">
      <w:pPr>
        <w:spacing w:after="0" w:line="300" w:lineRule="exact"/>
        <w:ind w:left="-426" w:right="-569" w:firstLine="709"/>
        <w:jc w:val="both"/>
        <w:rPr>
          <w:sz w:val="24"/>
          <w:szCs w:val="24"/>
        </w:rPr>
      </w:pPr>
      <w:r w:rsidRPr="0081749E">
        <w:rPr>
          <w:sz w:val="24"/>
          <w:szCs w:val="24"/>
        </w:rPr>
        <w:t>N</w:t>
      </w:r>
      <w:r w:rsidR="00023B95" w:rsidRPr="0081749E">
        <w:rPr>
          <w:sz w:val="24"/>
          <w:szCs w:val="24"/>
        </w:rPr>
        <w:t>adawanie</w:t>
      </w:r>
      <w:r w:rsidR="003B7FA1" w:rsidRPr="0081749E">
        <w:rPr>
          <w:sz w:val="24"/>
          <w:szCs w:val="24"/>
        </w:rPr>
        <w:t xml:space="preserve"> honorowego</w:t>
      </w:r>
      <w:r w:rsidR="00023B95" w:rsidRPr="0081749E">
        <w:rPr>
          <w:sz w:val="24"/>
          <w:szCs w:val="24"/>
        </w:rPr>
        <w:t xml:space="preserve"> obywatelstwa gminy należy bezspornie do zadań własnych gminy. </w:t>
      </w:r>
      <w:r w:rsidR="00842B85">
        <w:rPr>
          <w:sz w:val="24"/>
          <w:szCs w:val="24"/>
        </w:rPr>
        <w:t xml:space="preserve">           </w:t>
      </w:r>
      <w:r w:rsidRPr="0081749E">
        <w:rPr>
          <w:sz w:val="24"/>
          <w:szCs w:val="24"/>
        </w:rPr>
        <w:t>W judykaturze przyjmuje się, że w</w:t>
      </w:r>
      <w:r w:rsidRPr="0081749E">
        <w:rPr>
          <w:rStyle w:val="info-list-value-uzasadnienie"/>
          <w:sz w:val="24"/>
          <w:szCs w:val="24"/>
        </w:rPr>
        <w:t xml:space="preserve"> zakresie spraw o charakterze korporacyjnym samodzielność gminy musi być większa. Interpretacja przepisów ustawowych określających kompetencje w tym zakresie powinna uwzględniać istotę samorządu, cele dla których samorząd został powołany i pozostawać </w:t>
      </w:r>
      <w:r w:rsidR="00842B85">
        <w:rPr>
          <w:rStyle w:val="info-list-value-uzasadnienie"/>
          <w:sz w:val="24"/>
          <w:szCs w:val="24"/>
        </w:rPr>
        <w:t xml:space="preserve">               </w:t>
      </w:r>
      <w:r w:rsidRPr="0081749E">
        <w:rPr>
          <w:rStyle w:val="info-list-value-uzasadnienie"/>
          <w:sz w:val="24"/>
          <w:szCs w:val="24"/>
        </w:rPr>
        <w:t>w zgodzie z wartościami, które ma realizować</w:t>
      </w:r>
      <w:r w:rsidR="00717680" w:rsidRPr="0081749E">
        <w:rPr>
          <w:rStyle w:val="info-list-value-uzasadnienie"/>
          <w:sz w:val="24"/>
          <w:szCs w:val="24"/>
        </w:rPr>
        <w:t>,</w:t>
      </w:r>
      <w:r w:rsidRPr="0081749E">
        <w:rPr>
          <w:rStyle w:val="info-list-value-uzasadnienie"/>
          <w:sz w:val="24"/>
          <w:szCs w:val="24"/>
        </w:rPr>
        <w:t xml:space="preserve"> a także z zasadą subsydiarności. Taka interpretacja pozwala na przyjęcie, że rada gminy jest uprawniona nie tylko do samego nadawania honorowego obywatelstwa gminy, ale także do określenia</w:t>
      </w:r>
      <w:r w:rsidR="00B12CEB" w:rsidRPr="0081749E">
        <w:rPr>
          <w:rStyle w:val="info-list-value-uzasadnienie"/>
          <w:sz w:val="24"/>
          <w:szCs w:val="24"/>
        </w:rPr>
        <w:t>, w formie uchwały stanowiącej akt prawa miejscowego,</w:t>
      </w:r>
      <w:r w:rsidRPr="0081749E">
        <w:rPr>
          <w:sz w:val="24"/>
          <w:szCs w:val="24"/>
        </w:rPr>
        <w:t xml:space="preserve"> sposobu i trybu zgłaszania kandydatur, powołani</w:t>
      </w:r>
      <w:r w:rsidR="00B12CEB" w:rsidRPr="0081749E">
        <w:rPr>
          <w:sz w:val="24"/>
          <w:szCs w:val="24"/>
        </w:rPr>
        <w:t>a</w:t>
      </w:r>
      <w:r w:rsidRPr="0081749E">
        <w:rPr>
          <w:sz w:val="24"/>
          <w:szCs w:val="24"/>
        </w:rPr>
        <w:t xml:space="preserve"> </w:t>
      </w:r>
      <w:r w:rsidRPr="0081749E">
        <w:rPr>
          <w:rStyle w:val="highlight"/>
          <w:rFonts w:eastAsia="MS Mincho"/>
          <w:sz w:val="24"/>
          <w:szCs w:val="24"/>
        </w:rPr>
        <w:t>Kapituły</w:t>
      </w:r>
      <w:r w:rsidRPr="0081749E">
        <w:rPr>
          <w:sz w:val="24"/>
          <w:szCs w:val="24"/>
        </w:rPr>
        <w:t xml:space="preserve"> i </w:t>
      </w:r>
      <w:r w:rsidR="00B12CEB" w:rsidRPr="0081749E">
        <w:rPr>
          <w:sz w:val="24"/>
          <w:szCs w:val="24"/>
        </w:rPr>
        <w:t xml:space="preserve">uregulowania </w:t>
      </w:r>
      <w:r w:rsidRPr="0081749E">
        <w:rPr>
          <w:sz w:val="24"/>
          <w:szCs w:val="24"/>
        </w:rPr>
        <w:t>zakres</w:t>
      </w:r>
      <w:r w:rsidR="00B12CEB" w:rsidRPr="0081749E">
        <w:rPr>
          <w:sz w:val="24"/>
          <w:szCs w:val="24"/>
        </w:rPr>
        <w:t>u</w:t>
      </w:r>
      <w:r w:rsidRPr="0081749E">
        <w:rPr>
          <w:sz w:val="24"/>
          <w:szCs w:val="24"/>
        </w:rPr>
        <w:t xml:space="preserve"> jej działania</w:t>
      </w:r>
      <w:r w:rsidR="00B12CEB" w:rsidRPr="0081749E">
        <w:rPr>
          <w:sz w:val="24"/>
          <w:szCs w:val="24"/>
        </w:rPr>
        <w:t>.</w:t>
      </w:r>
      <w:r w:rsidRPr="0081749E">
        <w:rPr>
          <w:sz w:val="24"/>
          <w:szCs w:val="24"/>
        </w:rPr>
        <w:t xml:space="preserve"> </w:t>
      </w:r>
      <w:r w:rsidRPr="0081749E">
        <w:rPr>
          <w:rStyle w:val="highlight"/>
          <w:rFonts w:eastAsia="MS Mincho"/>
          <w:sz w:val="24"/>
          <w:szCs w:val="24"/>
        </w:rPr>
        <w:t>Kapituła</w:t>
      </w:r>
      <w:r w:rsidRPr="0081749E">
        <w:rPr>
          <w:sz w:val="24"/>
          <w:szCs w:val="24"/>
        </w:rPr>
        <w:t xml:space="preserve"> nie posiada </w:t>
      </w:r>
      <w:r w:rsidR="00B12CEB" w:rsidRPr="0081749E">
        <w:rPr>
          <w:sz w:val="24"/>
          <w:szCs w:val="24"/>
        </w:rPr>
        <w:t xml:space="preserve">jednak </w:t>
      </w:r>
      <w:r w:rsidRPr="0081749E">
        <w:rPr>
          <w:sz w:val="24"/>
          <w:szCs w:val="24"/>
        </w:rPr>
        <w:t>cech organu gminy, a jedynie jest organem doradczym</w:t>
      </w:r>
      <w:r w:rsidR="00B12CEB" w:rsidRPr="0081749E">
        <w:rPr>
          <w:sz w:val="24"/>
          <w:szCs w:val="24"/>
        </w:rPr>
        <w:t xml:space="preserve">, który </w:t>
      </w:r>
      <w:r w:rsidRPr="0081749E">
        <w:rPr>
          <w:sz w:val="24"/>
          <w:szCs w:val="24"/>
        </w:rPr>
        <w:t>nie</w:t>
      </w:r>
      <w:r w:rsidR="00B12CEB" w:rsidRPr="0081749E">
        <w:rPr>
          <w:sz w:val="24"/>
          <w:szCs w:val="24"/>
        </w:rPr>
        <w:t xml:space="preserve"> może </w:t>
      </w:r>
      <w:r w:rsidRPr="0081749E">
        <w:rPr>
          <w:sz w:val="24"/>
          <w:szCs w:val="24"/>
        </w:rPr>
        <w:t>narusza</w:t>
      </w:r>
      <w:r w:rsidR="00B12CEB" w:rsidRPr="0081749E">
        <w:rPr>
          <w:sz w:val="24"/>
          <w:szCs w:val="24"/>
        </w:rPr>
        <w:t>ć</w:t>
      </w:r>
      <w:r w:rsidRPr="0081749E">
        <w:rPr>
          <w:sz w:val="24"/>
          <w:szCs w:val="24"/>
        </w:rPr>
        <w:t xml:space="preserve"> ustawowych kompetencji organów samorządu terytorialnego.</w:t>
      </w:r>
      <w:r w:rsidR="00B12CEB" w:rsidRPr="0081749E">
        <w:rPr>
          <w:sz w:val="24"/>
          <w:szCs w:val="24"/>
        </w:rPr>
        <w:t xml:space="preserve"> </w:t>
      </w:r>
    </w:p>
    <w:p w14:paraId="161B0473" w14:textId="77777777" w:rsidR="003B7FA1" w:rsidRPr="0081749E" w:rsidRDefault="00B12CEB" w:rsidP="00F5555F">
      <w:pPr>
        <w:spacing w:after="0" w:line="300" w:lineRule="exact"/>
        <w:ind w:left="-426" w:right="-569" w:firstLine="709"/>
        <w:jc w:val="both"/>
        <w:rPr>
          <w:rStyle w:val="info-list-value-uzasadnienie"/>
          <w:rFonts w:cstheme="minorHAnsi"/>
          <w:sz w:val="24"/>
          <w:szCs w:val="24"/>
        </w:rPr>
      </w:pPr>
      <w:r w:rsidRPr="0081749E">
        <w:rPr>
          <w:rStyle w:val="info-list-value-uzasadnienie"/>
          <w:sz w:val="24"/>
          <w:szCs w:val="24"/>
        </w:rPr>
        <w:t xml:space="preserve">Kapitule nie mogą tym samym przypisane zostać </w:t>
      </w:r>
      <w:r w:rsidR="00023B95" w:rsidRPr="0081749E">
        <w:rPr>
          <w:rStyle w:val="info-list-value-uzasadnienie"/>
          <w:sz w:val="24"/>
          <w:szCs w:val="24"/>
        </w:rPr>
        <w:t>kompetencj</w:t>
      </w:r>
      <w:r w:rsidRPr="0081749E">
        <w:rPr>
          <w:rStyle w:val="info-list-value-uzasadnienie"/>
          <w:sz w:val="24"/>
          <w:szCs w:val="24"/>
        </w:rPr>
        <w:t>e</w:t>
      </w:r>
      <w:r w:rsidR="00023B95" w:rsidRPr="0081749E">
        <w:rPr>
          <w:rStyle w:val="info-list-value-uzasadnienie"/>
          <w:sz w:val="24"/>
          <w:szCs w:val="24"/>
        </w:rPr>
        <w:t xml:space="preserve"> rozstrzygając</w:t>
      </w:r>
      <w:r w:rsidR="003B7FA1" w:rsidRPr="0081749E">
        <w:rPr>
          <w:rStyle w:val="info-list-value-uzasadnienie"/>
          <w:sz w:val="24"/>
          <w:szCs w:val="24"/>
        </w:rPr>
        <w:t xml:space="preserve">e. Tymczasem w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842B85">
        <w:rPr>
          <w:rFonts w:eastAsia="Times New Roman" w:cstheme="minorHAnsi"/>
          <w:sz w:val="24"/>
          <w:szCs w:val="24"/>
          <w:lang w:eastAsia="pl-PL"/>
        </w:rPr>
        <w:t>3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9E63D6">
        <w:rPr>
          <w:rFonts w:eastAsia="Times New Roman" w:cstheme="minorHAnsi"/>
          <w:sz w:val="24"/>
          <w:szCs w:val="24"/>
          <w:lang w:eastAsia="pl-PL"/>
        </w:rPr>
        <w:t>5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B7FA1" w:rsidRPr="0081749E">
        <w:rPr>
          <w:rFonts w:eastAsia="Times New Roman" w:cstheme="minorHAnsi"/>
          <w:i/>
          <w:sz w:val="24"/>
          <w:szCs w:val="24"/>
          <w:lang w:eastAsia="pl-PL"/>
        </w:rPr>
        <w:t xml:space="preserve">Regulaminu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ustalono, że </w:t>
      </w:r>
      <w:r w:rsidR="00842B85">
        <w:rPr>
          <w:rFonts w:eastAsia="Times New Roman" w:cstheme="minorHAnsi"/>
          <w:sz w:val="24"/>
          <w:szCs w:val="24"/>
          <w:lang w:eastAsia="pl-PL"/>
        </w:rPr>
        <w:t>wnioski pozostawia się bez rozpoznania</w:t>
      </w:r>
      <w:r w:rsidR="00B539B1">
        <w:rPr>
          <w:rFonts w:eastAsia="Times New Roman" w:cstheme="minorHAnsi"/>
          <w:sz w:val="24"/>
          <w:szCs w:val="24"/>
          <w:lang w:eastAsia="pl-PL"/>
        </w:rPr>
        <w:t xml:space="preserve"> z powodu braków formalnych, do usunięcia których wzywa Przewodniczący Kapituły. Taka regulacja oznacza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>, że Kapituła</w:t>
      </w:r>
      <w:r w:rsidR="00B539B1">
        <w:rPr>
          <w:rFonts w:eastAsia="Times New Roman" w:cstheme="minorHAnsi"/>
          <w:sz w:val="24"/>
          <w:szCs w:val="24"/>
          <w:lang w:eastAsia="pl-PL"/>
        </w:rPr>
        <w:t>, będąc ciałem doradczym,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stała się podmiotem rozstrzygającym. W przypadku </w:t>
      </w:r>
      <w:r w:rsidR="00B539B1">
        <w:rPr>
          <w:rFonts w:eastAsia="Times New Roman" w:cstheme="minorHAnsi"/>
          <w:sz w:val="24"/>
          <w:szCs w:val="24"/>
          <w:lang w:eastAsia="pl-PL"/>
        </w:rPr>
        <w:t>pozostawienia przez Kapitułę wniosku bez rozpoznania,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Rada </w:t>
      </w:r>
      <w:r w:rsidR="00B539B1">
        <w:rPr>
          <w:rFonts w:eastAsia="Times New Roman" w:cstheme="minorHAnsi"/>
          <w:sz w:val="24"/>
          <w:szCs w:val="24"/>
          <w:lang w:eastAsia="pl-PL"/>
        </w:rPr>
        <w:t>Gminy Sochaczew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jest pozbawiona możliwości dalszego procedowania i tym samym nadania </w:t>
      </w:r>
      <w:r w:rsidR="003B7FA1" w:rsidRPr="0081749E">
        <w:rPr>
          <w:sz w:val="24"/>
          <w:szCs w:val="24"/>
        </w:rPr>
        <w:t>honorowego obywatelstwa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>. Takie ukształtowanie uprawnień Kapituły pozbawia ją charakteru opiniodawczo</w:t>
      </w:r>
      <w:r w:rsidR="003052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>- doradczego i czyni pozaustrojowym organem</w:t>
      </w:r>
      <w:r w:rsidR="00717680" w:rsidRPr="0081749E">
        <w:rPr>
          <w:rFonts w:eastAsia="Times New Roman" w:cstheme="minorHAnsi"/>
          <w:sz w:val="24"/>
          <w:szCs w:val="24"/>
          <w:lang w:eastAsia="pl-PL"/>
        </w:rPr>
        <w:t>,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 władnym do rozstrzygania spraw zastrzeżonych literalnie </w:t>
      </w:r>
      <w:r w:rsidR="0081749E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7FA1" w:rsidRPr="0081749E">
        <w:rPr>
          <w:rFonts w:eastAsia="Times New Roman" w:cstheme="minorHAnsi"/>
          <w:sz w:val="24"/>
          <w:szCs w:val="24"/>
          <w:lang w:eastAsia="pl-PL"/>
        </w:rPr>
        <w:t xml:space="preserve">na mocy </w:t>
      </w:r>
      <w:r w:rsidR="003B7FA1" w:rsidRPr="0081749E">
        <w:rPr>
          <w:rFonts w:eastAsia="Times New Roman" w:cstheme="minorHAnsi"/>
          <w:bCs/>
          <w:sz w:val="24"/>
          <w:szCs w:val="24"/>
          <w:lang w:eastAsia="pl-PL"/>
        </w:rPr>
        <w:t xml:space="preserve">art. </w:t>
      </w:r>
      <w:r w:rsidR="003B7FA1" w:rsidRPr="0081749E">
        <w:rPr>
          <w:rStyle w:val="info-list-value-uzasadnienie"/>
          <w:rFonts w:cstheme="minorHAnsi"/>
          <w:sz w:val="24"/>
          <w:szCs w:val="24"/>
        </w:rPr>
        <w:t>18 ust. 2 pkt 14 u</w:t>
      </w:r>
      <w:r w:rsidR="0083703A">
        <w:rPr>
          <w:rStyle w:val="info-list-value-uzasadnienie"/>
          <w:rFonts w:cstheme="minorHAnsi"/>
          <w:sz w:val="24"/>
          <w:szCs w:val="24"/>
        </w:rPr>
        <w:t>stawy o samorządzie gminnym</w:t>
      </w:r>
      <w:r w:rsidR="0081749E">
        <w:rPr>
          <w:rStyle w:val="info-list-value-uzasadnienie"/>
          <w:rFonts w:cstheme="minorHAnsi"/>
          <w:sz w:val="24"/>
          <w:szCs w:val="24"/>
        </w:rPr>
        <w:t xml:space="preserve"> -</w:t>
      </w:r>
      <w:r w:rsidR="003B7FA1" w:rsidRPr="0081749E">
        <w:rPr>
          <w:rStyle w:val="info-list-value-uzasadnienie"/>
          <w:rFonts w:cstheme="minorHAnsi"/>
          <w:sz w:val="24"/>
          <w:szCs w:val="24"/>
        </w:rPr>
        <w:t xml:space="preserve"> do kompetencji Rady. </w:t>
      </w:r>
    </w:p>
    <w:p w14:paraId="258668A6" w14:textId="77777777" w:rsidR="003B7FA1" w:rsidRDefault="003B7FA1" w:rsidP="00F5555F">
      <w:pPr>
        <w:spacing w:after="0" w:line="300" w:lineRule="exact"/>
        <w:ind w:left="-426" w:right="-569" w:firstLine="709"/>
        <w:jc w:val="both"/>
        <w:rPr>
          <w:rStyle w:val="info-list-value-uzasadnienie"/>
          <w:rFonts w:cstheme="minorHAnsi"/>
          <w:sz w:val="24"/>
          <w:szCs w:val="24"/>
        </w:rPr>
      </w:pPr>
      <w:r w:rsidRPr="0081749E">
        <w:rPr>
          <w:rStyle w:val="info-list-value-uzasadnienie"/>
          <w:rFonts w:cstheme="minorHAnsi"/>
          <w:sz w:val="24"/>
          <w:szCs w:val="24"/>
        </w:rPr>
        <w:t>W judykaturze za dopuszczalne uznane zostało powołanie Kapituły składającej się nawet z osób spoza Rady, ale tylko w przypadku zachowania jej pomocniczego charakteru</w:t>
      </w:r>
      <w:r w:rsidR="001B5641" w:rsidRPr="0081749E">
        <w:rPr>
          <w:rStyle w:val="info-list-value-uzasadnienie"/>
          <w:rFonts w:cstheme="minorHAnsi"/>
          <w:sz w:val="24"/>
          <w:szCs w:val="24"/>
        </w:rPr>
        <w:t>,</w:t>
      </w:r>
      <w:r w:rsidRPr="0081749E">
        <w:rPr>
          <w:rStyle w:val="info-list-value-uzasadnienie"/>
          <w:rFonts w:cstheme="minorHAnsi"/>
          <w:sz w:val="24"/>
          <w:szCs w:val="24"/>
        </w:rPr>
        <w:t xml:space="preserve"> </w:t>
      </w:r>
      <w:r w:rsidR="001B5641" w:rsidRPr="0081749E">
        <w:rPr>
          <w:sz w:val="24"/>
          <w:szCs w:val="24"/>
        </w:rPr>
        <w:t>nienaruszającego ustawowych kompetencji organów samorządu terytorialnego</w:t>
      </w:r>
      <w:r w:rsidR="001B5641" w:rsidRPr="0081749E">
        <w:rPr>
          <w:rStyle w:val="info-list-value-uzasadnienie"/>
          <w:rFonts w:cstheme="minorHAnsi"/>
          <w:sz w:val="24"/>
          <w:szCs w:val="24"/>
        </w:rPr>
        <w:t xml:space="preserve"> (wyrok NSA z 27 czerwca 2017 r. sygn. akt II OSK 1862/16, wyrok NSA z 20 marca 2009 r. sygn. akt II OSK 1527/08). </w:t>
      </w:r>
    </w:p>
    <w:p w14:paraId="30697CFA" w14:textId="77777777" w:rsidR="00B539B1" w:rsidRPr="007205A5" w:rsidRDefault="002030ED" w:rsidP="00F5555F">
      <w:pPr>
        <w:spacing w:after="0" w:line="300" w:lineRule="exact"/>
        <w:ind w:left="-426" w:right="-569" w:firstLine="709"/>
        <w:jc w:val="both"/>
        <w:rPr>
          <w:rStyle w:val="info-list-value-uzasadnienie"/>
          <w:rFonts w:cstheme="minorHAnsi"/>
          <w:sz w:val="24"/>
          <w:szCs w:val="24"/>
        </w:rPr>
      </w:pPr>
      <w:r>
        <w:rPr>
          <w:rStyle w:val="info-list-value-uzasadnienie"/>
          <w:rFonts w:cstheme="minorHAnsi"/>
          <w:sz w:val="24"/>
          <w:szCs w:val="24"/>
        </w:rPr>
        <w:t>Normą prawną uchwaloną</w:t>
      </w:r>
      <w:r w:rsidR="00472D29">
        <w:rPr>
          <w:rStyle w:val="info-list-value-uzasadnienie"/>
          <w:rFonts w:cstheme="minorHAnsi"/>
          <w:sz w:val="24"/>
          <w:szCs w:val="24"/>
        </w:rPr>
        <w:t xml:space="preserve"> w </w:t>
      </w:r>
      <w:r w:rsidR="00472D29" w:rsidRPr="00472D29">
        <w:rPr>
          <w:rStyle w:val="info-list-value-uzasadnienie"/>
          <w:rFonts w:cstheme="minorHAnsi"/>
          <w:i/>
          <w:sz w:val="24"/>
          <w:szCs w:val="24"/>
        </w:rPr>
        <w:t>Regulaminie</w:t>
      </w:r>
      <w:r w:rsidR="00472D29">
        <w:rPr>
          <w:rStyle w:val="info-list-value-uzasadnienie"/>
          <w:rFonts w:cstheme="minorHAnsi"/>
          <w:sz w:val="24"/>
          <w:szCs w:val="24"/>
        </w:rPr>
        <w:t xml:space="preserve">, stanowiącą przekroczenie delegacji wynikającej </w:t>
      </w:r>
      <w:r w:rsidR="00817F89">
        <w:rPr>
          <w:rStyle w:val="info-list-value-uzasadnienie"/>
          <w:rFonts w:cstheme="minorHAnsi"/>
          <w:sz w:val="24"/>
          <w:szCs w:val="24"/>
        </w:rPr>
        <w:t xml:space="preserve">               </w:t>
      </w:r>
      <w:r w:rsidR="00472D29">
        <w:rPr>
          <w:rStyle w:val="info-list-value-uzasadnienie"/>
          <w:rFonts w:cstheme="minorHAnsi"/>
          <w:sz w:val="24"/>
          <w:szCs w:val="24"/>
        </w:rPr>
        <w:t>z art. 18 ust.2 pkt 14 ustawy o samorządzie gminnym jest także</w:t>
      </w:r>
      <w:r w:rsidR="00671A1C">
        <w:rPr>
          <w:rStyle w:val="info-list-value-uzasadnienie"/>
          <w:rFonts w:cstheme="minorHAnsi"/>
          <w:sz w:val="24"/>
          <w:szCs w:val="24"/>
        </w:rPr>
        <w:t>, w ocenie organu nadzoru,</w:t>
      </w:r>
      <w:r w:rsidR="00472D29">
        <w:rPr>
          <w:rStyle w:val="info-list-value-uzasadnienie"/>
          <w:rFonts w:cstheme="minorHAnsi"/>
          <w:sz w:val="24"/>
          <w:szCs w:val="24"/>
        </w:rPr>
        <w:t xml:space="preserve"> § 8 ust. 4, zgodnie z którym </w:t>
      </w:r>
      <w:r w:rsidR="00472D29">
        <w:rPr>
          <w:rStyle w:val="info-list-value-uzasadnienie"/>
          <w:rFonts w:cstheme="minorHAnsi"/>
          <w:i/>
          <w:sz w:val="24"/>
          <w:szCs w:val="24"/>
        </w:rPr>
        <w:t>Księgi prowadzi pracownik właściwy ds. obsługi Rady Gminy.</w:t>
      </w:r>
      <w:r w:rsidR="007205A5">
        <w:rPr>
          <w:rStyle w:val="info-list-value-uzasadnienie"/>
          <w:rFonts w:cstheme="minorHAnsi"/>
          <w:i/>
          <w:sz w:val="24"/>
          <w:szCs w:val="24"/>
        </w:rPr>
        <w:t xml:space="preserve"> </w:t>
      </w:r>
      <w:r w:rsidR="007205A5">
        <w:rPr>
          <w:rStyle w:val="info-list-value-uzasadnienie"/>
          <w:rFonts w:cstheme="minorHAnsi"/>
          <w:sz w:val="24"/>
          <w:szCs w:val="24"/>
        </w:rPr>
        <w:t xml:space="preserve">Taki zapis w </w:t>
      </w:r>
      <w:r w:rsidR="007205A5" w:rsidRPr="007205A5">
        <w:rPr>
          <w:rStyle w:val="info-list-value-uzasadnienie"/>
          <w:rFonts w:cstheme="minorHAnsi"/>
          <w:i/>
          <w:sz w:val="24"/>
          <w:szCs w:val="24"/>
        </w:rPr>
        <w:t>Regulaminie</w:t>
      </w:r>
      <w:r w:rsidR="007205A5">
        <w:rPr>
          <w:rStyle w:val="info-list-value-uzasadnienie"/>
          <w:rFonts w:cstheme="minorHAnsi"/>
          <w:i/>
          <w:sz w:val="24"/>
          <w:szCs w:val="24"/>
        </w:rPr>
        <w:t xml:space="preserve"> </w:t>
      </w:r>
      <w:r w:rsidR="007205A5">
        <w:rPr>
          <w:rStyle w:val="info-list-value-uzasadnienie"/>
          <w:rFonts w:cstheme="minorHAnsi"/>
          <w:sz w:val="24"/>
          <w:szCs w:val="24"/>
        </w:rPr>
        <w:t xml:space="preserve">z całą pewnością nie mieści się w zakresie zasad i trybu nadawania honorowego obywatelstwa gminy, </w:t>
      </w:r>
      <w:r w:rsidR="00E50A13">
        <w:rPr>
          <w:rStyle w:val="info-list-value-uzasadnienie"/>
          <w:rFonts w:cstheme="minorHAnsi"/>
          <w:sz w:val="24"/>
          <w:szCs w:val="24"/>
        </w:rPr>
        <w:br/>
      </w:r>
      <w:r w:rsidR="007205A5">
        <w:rPr>
          <w:rStyle w:val="info-list-value-uzasadnienie"/>
          <w:rFonts w:cstheme="minorHAnsi"/>
          <w:sz w:val="24"/>
          <w:szCs w:val="24"/>
        </w:rPr>
        <w:t>a stanowi jedynie regulację o charakterze wewnętrznym i technicznym.</w:t>
      </w:r>
    </w:p>
    <w:p w14:paraId="59EC4009" w14:textId="77777777" w:rsidR="0081749E" w:rsidRDefault="00C45D29" w:rsidP="00F5555F">
      <w:pPr>
        <w:spacing w:after="0" w:line="300" w:lineRule="exact"/>
        <w:ind w:left="-426" w:right="-569" w:firstLine="708"/>
        <w:jc w:val="both"/>
        <w:rPr>
          <w:rStyle w:val="info-list-value-uzasadnienie"/>
          <w:rFonts w:cstheme="minorHAnsi"/>
          <w:sz w:val="24"/>
          <w:szCs w:val="24"/>
        </w:rPr>
      </w:pPr>
      <w:r w:rsidRPr="0081749E">
        <w:rPr>
          <w:rFonts w:eastAsia="MS Mincho" w:cstheme="minorHAnsi"/>
          <w:sz w:val="24"/>
          <w:szCs w:val="24"/>
          <w:lang w:eastAsia="pl-PL"/>
        </w:rPr>
        <w:t>Mając na uwadze treść uchwał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>y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717680" w:rsidRPr="0081749E">
        <w:rPr>
          <w:rFonts w:eastAsia="Calibri" w:cstheme="minorHAnsi"/>
          <w:bCs/>
          <w:sz w:val="24"/>
          <w:szCs w:val="24"/>
        </w:rPr>
        <w:t xml:space="preserve">z </w:t>
      </w:r>
      <w:r w:rsidR="007205A5">
        <w:rPr>
          <w:rFonts w:eastAsia="Calibri" w:cstheme="minorHAnsi"/>
          <w:bCs/>
          <w:sz w:val="24"/>
          <w:szCs w:val="24"/>
        </w:rPr>
        <w:t>25 lutego 2020</w:t>
      </w:r>
      <w:r w:rsidR="00717680" w:rsidRPr="0081749E">
        <w:rPr>
          <w:rFonts w:eastAsia="Calibri" w:cstheme="minorHAnsi"/>
          <w:bCs/>
          <w:sz w:val="24"/>
          <w:szCs w:val="24"/>
        </w:rPr>
        <w:t> r. Nr </w:t>
      </w:r>
      <w:r w:rsidR="007205A5">
        <w:rPr>
          <w:rFonts w:eastAsia="Calibri" w:cstheme="minorHAnsi"/>
          <w:bCs/>
          <w:sz w:val="24"/>
          <w:szCs w:val="24"/>
        </w:rPr>
        <w:t>XVII/82/2020</w:t>
      </w:r>
      <w:r w:rsidR="009222CC">
        <w:rPr>
          <w:rFonts w:eastAsia="Calibri" w:cstheme="minorHAnsi"/>
          <w:bCs/>
          <w:sz w:val="24"/>
          <w:szCs w:val="24"/>
        </w:rPr>
        <w:t xml:space="preserve"> w sprawie</w:t>
      </w:r>
      <w:r w:rsidR="00717680" w:rsidRPr="0081749E">
        <w:rPr>
          <w:rFonts w:eastAsia="Calibri" w:cstheme="minorHAnsi"/>
          <w:bCs/>
          <w:sz w:val="24"/>
          <w:szCs w:val="24"/>
        </w:rPr>
        <w:t xml:space="preserve"> </w:t>
      </w:r>
      <w:r w:rsidR="007205A5">
        <w:rPr>
          <w:rFonts w:eastAsia="Calibri" w:cstheme="minorHAnsi"/>
          <w:bCs/>
          <w:i/>
          <w:sz w:val="24"/>
          <w:szCs w:val="24"/>
        </w:rPr>
        <w:t>zasad i trybu nadawania Honorowego Obywatelstwa Gminy Sochaczew oraz tytułu „Zasłużony dla Gminy Sochaczew”</w:t>
      </w:r>
      <w:r w:rsidRPr="0081749E">
        <w:rPr>
          <w:rFonts w:eastAsia="Calibri" w:cstheme="minorHAnsi"/>
          <w:bCs/>
          <w:i/>
          <w:sz w:val="24"/>
          <w:szCs w:val="24"/>
        </w:rPr>
        <w:t xml:space="preserve">,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stwierdzić należy, że </w:t>
      </w:r>
      <w:r w:rsidR="007205A5">
        <w:rPr>
          <w:rFonts w:eastAsia="MS Mincho" w:cstheme="minorHAnsi"/>
          <w:sz w:val="24"/>
          <w:szCs w:val="24"/>
          <w:lang w:eastAsia="pl-PL"/>
        </w:rPr>
        <w:t>Rada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, co prawda, 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>skorzystała z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ustawow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>ego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 xml:space="preserve">uprawnienia do ukształtowania zasad i trybu </w:t>
      </w:r>
      <w:r w:rsidR="00717680" w:rsidRPr="0081749E">
        <w:rPr>
          <w:rStyle w:val="info-list-value-uzasadnienie"/>
          <w:sz w:val="24"/>
          <w:szCs w:val="24"/>
        </w:rPr>
        <w:t xml:space="preserve">wyróżnienia za zasługi dla </w:t>
      </w:r>
      <w:r w:rsidR="007205A5">
        <w:rPr>
          <w:rStyle w:val="info-list-value-uzasadnienie"/>
          <w:sz w:val="24"/>
          <w:szCs w:val="24"/>
        </w:rPr>
        <w:t>Gminy Sochaczew</w:t>
      </w:r>
      <w:r w:rsidR="00717680" w:rsidRPr="0081749E">
        <w:rPr>
          <w:rStyle w:val="info-list-value-uzasadnienie"/>
          <w:sz w:val="24"/>
          <w:szCs w:val="24"/>
        </w:rPr>
        <w:t xml:space="preserve">, 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jednakże </w:t>
      </w:r>
      <w:r w:rsidR="00717680" w:rsidRPr="0081749E">
        <w:rPr>
          <w:rFonts w:eastAsia="MS Mincho" w:cstheme="minorHAnsi"/>
          <w:sz w:val="24"/>
          <w:szCs w:val="24"/>
          <w:lang w:eastAsia="pl-PL"/>
        </w:rPr>
        <w:t xml:space="preserve">czyniąc z Kapituły organ rozstrzygający </w:t>
      </w:r>
      <w:r w:rsidRPr="0081749E">
        <w:rPr>
          <w:rFonts w:eastAsia="MS Mincho" w:cstheme="minorHAnsi"/>
          <w:sz w:val="24"/>
          <w:szCs w:val="24"/>
          <w:lang w:eastAsia="pl-PL"/>
        </w:rPr>
        <w:t>istotn</w:t>
      </w:r>
      <w:r w:rsidR="0081749E" w:rsidRPr="0081749E">
        <w:rPr>
          <w:rFonts w:eastAsia="MS Mincho" w:cstheme="minorHAnsi"/>
          <w:sz w:val="24"/>
          <w:szCs w:val="24"/>
          <w:lang w:eastAsia="pl-PL"/>
        </w:rPr>
        <w:t>i</w:t>
      </w:r>
      <w:r w:rsidRPr="0081749E">
        <w:rPr>
          <w:rFonts w:eastAsia="MS Mincho" w:cstheme="minorHAnsi"/>
          <w:sz w:val="24"/>
          <w:szCs w:val="24"/>
          <w:lang w:eastAsia="pl-PL"/>
        </w:rPr>
        <w:t>e narusz</w:t>
      </w:r>
      <w:r w:rsidR="0081749E" w:rsidRPr="0081749E">
        <w:rPr>
          <w:rFonts w:eastAsia="MS Mincho" w:cstheme="minorHAnsi"/>
          <w:sz w:val="24"/>
          <w:szCs w:val="24"/>
          <w:lang w:eastAsia="pl-PL"/>
        </w:rPr>
        <w:t>yła</w:t>
      </w:r>
      <w:r w:rsidRPr="0081749E">
        <w:rPr>
          <w:rFonts w:eastAsia="MS Mincho" w:cstheme="minorHAnsi"/>
          <w:sz w:val="24"/>
          <w:szCs w:val="24"/>
          <w:lang w:eastAsia="pl-PL"/>
        </w:rPr>
        <w:t xml:space="preserve"> </w:t>
      </w:r>
      <w:r w:rsidR="0081749E" w:rsidRPr="0081749E">
        <w:rPr>
          <w:rFonts w:eastAsia="MS Mincho" w:cstheme="minorHAnsi"/>
          <w:sz w:val="24"/>
          <w:szCs w:val="24"/>
          <w:lang w:eastAsia="pl-PL"/>
        </w:rPr>
        <w:t>przepis</w:t>
      </w:r>
      <w:r w:rsidR="0081749E" w:rsidRPr="0081749E">
        <w:rPr>
          <w:rFonts w:eastAsia="Times New Roman" w:cstheme="minorHAnsi"/>
          <w:bCs/>
          <w:sz w:val="24"/>
          <w:szCs w:val="24"/>
          <w:lang w:eastAsia="pl-PL"/>
        </w:rPr>
        <w:t xml:space="preserve"> art. </w:t>
      </w:r>
      <w:r w:rsidR="0081749E" w:rsidRPr="0081749E">
        <w:rPr>
          <w:rStyle w:val="info-list-value-uzasadnienie"/>
          <w:rFonts w:cstheme="minorHAnsi"/>
          <w:sz w:val="24"/>
          <w:szCs w:val="24"/>
        </w:rPr>
        <w:t xml:space="preserve">18 ust. 2 pkt 14 </w:t>
      </w:r>
      <w:r w:rsidR="0083703A">
        <w:rPr>
          <w:rStyle w:val="info-list-value-uzasadnienie"/>
          <w:rFonts w:cstheme="minorHAnsi"/>
          <w:sz w:val="24"/>
          <w:szCs w:val="24"/>
        </w:rPr>
        <w:t>ustawy o samorządzie gminnym.</w:t>
      </w:r>
    </w:p>
    <w:p w14:paraId="57618278" w14:textId="5908A9C6" w:rsidR="007205A5" w:rsidRDefault="007205A5" w:rsidP="00F5555F">
      <w:pPr>
        <w:spacing w:after="0" w:line="300" w:lineRule="exact"/>
        <w:ind w:left="-426" w:right="-569" w:firstLine="708"/>
        <w:jc w:val="both"/>
        <w:rPr>
          <w:rStyle w:val="info-list-value-uzasadnienie"/>
          <w:rFonts w:cstheme="minorHAnsi"/>
          <w:sz w:val="24"/>
          <w:szCs w:val="24"/>
        </w:rPr>
      </w:pPr>
      <w:r>
        <w:rPr>
          <w:rStyle w:val="info-list-value-uzasadnienie"/>
          <w:rFonts w:cstheme="minorHAnsi"/>
          <w:sz w:val="24"/>
          <w:szCs w:val="24"/>
        </w:rPr>
        <w:t xml:space="preserve">Ponadto organ nadzoru </w:t>
      </w:r>
      <w:r w:rsidR="00E50A13">
        <w:rPr>
          <w:rStyle w:val="info-list-value-uzasadnienie"/>
          <w:rFonts w:cstheme="minorHAnsi"/>
          <w:sz w:val="24"/>
          <w:szCs w:val="24"/>
        </w:rPr>
        <w:t>wskazuje</w:t>
      </w:r>
      <w:r>
        <w:rPr>
          <w:rStyle w:val="info-list-value-uzasadnienie"/>
          <w:rFonts w:cstheme="minorHAnsi"/>
          <w:sz w:val="24"/>
          <w:szCs w:val="24"/>
        </w:rPr>
        <w:t xml:space="preserve">, iż z treści </w:t>
      </w:r>
      <w:r w:rsidRPr="007205A5">
        <w:rPr>
          <w:rStyle w:val="info-list-value-uzasadnienie"/>
          <w:rFonts w:cstheme="minorHAnsi"/>
          <w:i/>
          <w:sz w:val="24"/>
          <w:szCs w:val="24"/>
        </w:rPr>
        <w:t>Regulamin</w:t>
      </w:r>
      <w:r>
        <w:rPr>
          <w:rStyle w:val="info-list-value-uzasadnienie"/>
          <w:rFonts w:cstheme="minorHAnsi"/>
          <w:i/>
          <w:sz w:val="24"/>
          <w:szCs w:val="24"/>
        </w:rPr>
        <w:t xml:space="preserve"> </w:t>
      </w:r>
      <w:r>
        <w:rPr>
          <w:rStyle w:val="info-list-value-uzasadnienie"/>
          <w:rFonts w:cstheme="minorHAnsi"/>
          <w:sz w:val="24"/>
          <w:szCs w:val="24"/>
        </w:rPr>
        <w:t xml:space="preserve">wynika, </w:t>
      </w:r>
      <w:r w:rsidR="00CC44E9">
        <w:rPr>
          <w:rStyle w:val="info-list-value-uzasadnienie"/>
          <w:rFonts w:cstheme="minorHAnsi"/>
          <w:sz w:val="24"/>
          <w:szCs w:val="24"/>
        </w:rPr>
        <w:t xml:space="preserve">że Honorowe Obywatelstwo Gminy Sochaczew może być nadane osobie również pośmiertnie (§ 2 ust. 4). Z treści natomiast załącznika Nr 1 do </w:t>
      </w:r>
      <w:r w:rsidR="00817F89" w:rsidRPr="00817F89">
        <w:rPr>
          <w:rStyle w:val="info-list-value-uzasadnienie"/>
          <w:rFonts w:cstheme="minorHAnsi"/>
          <w:i/>
          <w:sz w:val="24"/>
          <w:szCs w:val="24"/>
        </w:rPr>
        <w:t>Regulaminu</w:t>
      </w:r>
      <w:r w:rsidR="00CC44E9">
        <w:rPr>
          <w:rStyle w:val="info-list-value-uzasadnienie"/>
          <w:rFonts w:cstheme="minorHAnsi"/>
          <w:sz w:val="24"/>
          <w:szCs w:val="24"/>
        </w:rPr>
        <w:t xml:space="preserve"> pt. </w:t>
      </w:r>
      <w:r w:rsidR="00CC44E9" w:rsidRPr="00CC44E9">
        <w:rPr>
          <w:rStyle w:val="info-list-value-uzasadnienie"/>
          <w:rFonts w:cstheme="minorHAnsi"/>
          <w:i/>
          <w:sz w:val="24"/>
          <w:szCs w:val="24"/>
        </w:rPr>
        <w:t>Wniosek o nadanie tytułu „Honorowy Obywatel Gminy Sochaczew”</w:t>
      </w:r>
      <w:r w:rsidR="00976B13">
        <w:rPr>
          <w:rStyle w:val="info-list-value-uzasadnienie"/>
          <w:rFonts w:cstheme="minorHAnsi"/>
          <w:i/>
          <w:sz w:val="24"/>
          <w:szCs w:val="24"/>
        </w:rPr>
        <w:t xml:space="preserve"> </w:t>
      </w:r>
      <w:r w:rsidR="00CC44E9">
        <w:rPr>
          <w:rStyle w:val="info-list-value-uzasadnienie"/>
          <w:rFonts w:cstheme="minorHAnsi"/>
          <w:sz w:val="24"/>
          <w:szCs w:val="24"/>
        </w:rPr>
        <w:t xml:space="preserve">wynika, </w:t>
      </w:r>
      <w:r w:rsidR="00E27891">
        <w:rPr>
          <w:rStyle w:val="info-list-value-uzasadnienie"/>
          <w:rFonts w:cstheme="minorHAnsi"/>
          <w:sz w:val="24"/>
          <w:szCs w:val="24"/>
        </w:rPr>
        <w:t xml:space="preserve">iż </w:t>
      </w:r>
      <w:r w:rsidR="007A31F2">
        <w:rPr>
          <w:rStyle w:val="info-list-value-uzasadnienie"/>
          <w:rFonts w:cstheme="minorHAnsi"/>
          <w:sz w:val="24"/>
          <w:szCs w:val="24"/>
        </w:rPr>
        <w:t xml:space="preserve">     </w:t>
      </w:r>
      <w:r w:rsidR="00E27891">
        <w:rPr>
          <w:rStyle w:val="info-list-value-uzasadnienie"/>
          <w:rFonts w:cstheme="minorHAnsi"/>
          <w:sz w:val="24"/>
          <w:szCs w:val="24"/>
        </w:rPr>
        <w:t xml:space="preserve">w zakresie danych osobowych kandydata wymaga się podania danych kontaktowych, tj. adresu zamieszkania. Oznacza to, iż zarówno w stosunku do osób żyjących, jak </w:t>
      </w:r>
      <w:r w:rsidR="00817F89">
        <w:rPr>
          <w:rStyle w:val="info-list-value-uzasadnienie"/>
          <w:rFonts w:cstheme="minorHAnsi"/>
          <w:sz w:val="24"/>
          <w:szCs w:val="24"/>
        </w:rPr>
        <w:t xml:space="preserve"> </w:t>
      </w:r>
      <w:r w:rsidR="00E27891">
        <w:rPr>
          <w:rStyle w:val="info-list-value-uzasadnienie"/>
          <w:rFonts w:cstheme="minorHAnsi"/>
          <w:sz w:val="24"/>
          <w:szCs w:val="24"/>
        </w:rPr>
        <w:t xml:space="preserve">i zmarłych wymagania w zakresie danych niezbędnych są tożsame. Trudno bowiem wymagać, w stosunku do kandydata zmarłego </w:t>
      </w:r>
      <w:r w:rsidR="00981D71">
        <w:rPr>
          <w:rStyle w:val="info-list-value-uzasadnienie"/>
          <w:rFonts w:cstheme="minorHAnsi"/>
          <w:sz w:val="24"/>
          <w:szCs w:val="24"/>
        </w:rPr>
        <w:t>danej w postaci</w:t>
      </w:r>
      <w:r w:rsidR="00E27891">
        <w:rPr>
          <w:rStyle w:val="info-list-value-uzasadnienie"/>
          <w:rFonts w:cstheme="minorHAnsi"/>
          <w:sz w:val="24"/>
          <w:szCs w:val="24"/>
        </w:rPr>
        <w:t xml:space="preserve"> adresu zamieszkania</w:t>
      </w:r>
      <w:r w:rsidR="00981D71">
        <w:rPr>
          <w:rStyle w:val="info-list-value-uzasadnienie"/>
          <w:rFonts w:cstheme="minorHAnsi"/>
          <w:sz w:val="24"/>
          <w:szCs w:val="24"/>
        </w:rPr>
        <w:t xml:space="preserve"> (także w § 5 ust. 1 pkt 2 </w:t>
      </w:r>
      <w:r w:rsidR="00981D71" w:rsidRPr="00981D71">
        <w:rPr>
          <w:rStyle w:val="info-list-value-uzasadnienie"/>
          <w:rFonts w:cstheme="minorHAnsi"/>
          <w:i/>
          <w:sz w:val="24"/>
          <w:szCs w:val="24"/>
        </w:rPr>
        <w:t>Regulaminu</w:t>
      </w:r>
      <w:r w:rsidR="00981D71">
        <w:rPr>
          <w:rStyle w:val="info-list-value-uzasadnienie"/>
          <w:rFonts w:cstheme="minorHAnsi"/>
          <w:sz w:val="24"/>
          <w:szCs w:val="24"/>
        </w:rPr>
        <w:t>).</w:t>
      </w:r>
    </w:p>
    <w:p w14:paraId="52D71055" w14:textId="77777777" w:rsidR="00981D71" w:rsidRDefault="00981D71" w:rsidP="00F5555F">
      <w:pPr>
        <w:spacing w:after="0" w:line="300" w:lineRule="exact"/>
        <w:ind w:left="-426" w:right="-569" w:firstLine="708"/>
        <w:jc w:val="both"/>
        <w:rPr>
          <w:rStyle w:val="info-list-value-uzasadnienie"/>
          <w:rFonts w:cstheme="minorHAnsi"/>
          <w:sz w:val="24"/>
          <w:szCs w:val="24"/>
        </w:rPr>
      </w:pPr>
      <w:r>
        <w:rPr>
          <w:rStyle w:val="info-list-value-uzasadnienie"/>
          <w:rFonts w:cstheme="minorHAnsi"/>
          <w:sz w:val="24"/>
          <w:szCs w:val="24"/>
        </w:rPr>
        <w:t xml:space="preserve">Ponadto w § 6 ust. 2 </w:t>
      </w:r>
      <w:r w:rsidRPr="00981D71">
        <w:rPr>
          <w:rStyle w:val="info-list-value-uzasadnienie"/>
          <w:rFonts w:cstheme="minorHAnsi"/>
          <w:i/>
          <w:sz w:val="24"/>
          <w:szCs w:val="24"/>
        </w:rPr>
        <w:t>Regulaminu</w:t>
      </w:r>
      <w:r>
        <w:rPr>
          <w:rStyle w:val="info-list-value-uzasadnienie"/>
          <w:rFonts w:cstheme="minorHAnsi"/>
          <w:sz w:val="24"/>
          <w:szCs w:val="24"/>
        </w:rPr>
        <w:t xml:space="preserve"> postanowiono, iż </w:t>
      </w:r>
      <w:r>
        <w:rPr>
          <w:rStyle w:val="info-list-value-uzasadnienie"/>
          <w:rFonts w:cstheme="minorHAnsi"/>
          <w:i/>
          <w:sz w:val="24"/>
          <w:szCs w:val="24"/>
        </w:rPr>
        <w:t>Wręczenie Aktu Nadania oraz statuetki „</w:t>
      </w:r>
      <w:r w:rsidR="0029490D">
        <w:rPr>
          <w:rStyle w:val="info-list-value-uzasadnienie"/>
          <w:rFonts w:cstheme="minorHAnsi"/>
          <w:i/>
          <w:sz w:val="24"/>
          <w:szCs w:val="24"/>
        </w:rPr>
        <w:t xml:space="preserve">Honorowy Obywatel Gminy Sochaczew” w imieniu Rady Gminy dokonuje Przewodniczący lub Wiceprzewodniczący Rady wraz z Wójtem Gminy. </w:t>
      </w:r>
      <w:r w:rsidR="0029490D">
        <w:rPr>
          <w:rStyle w:val="info-list-value-uzasadnienie"/>
          <w:rFonts w:cstheme="minorHAnsi"/>
          <w:sz w:val="24"/>
          <w:szCs w:val="24"/>
        </w:rPr>
        <w:t>Z takiego postanowienia trudno wywieźć analogiczną czynność w stosunku do osób zmarłych. Niemniej jednak regulacja w powyższym brzmieniu ma tożsame zastosowanie</w:t>
      </w:r>
      <w:r w:rsidR="00817F89">
        <w:rPr>
          <w:rStyle w:val="info-list-value-uzasadnienie"/>
          <w:rFonts w:cstheme="minorHAnsi"/>
          <w:sz w:val="24"/>
          <w:szCs w:val="24"/>
        </w:rPr>
        <w:t>,</w:t>
      </w:r>
      <w:r w:rsidR="0029490D">
        <w:rPr>
          <w:rStyle w:val="info-list-value-uzasadnienie"/>
          <w:rFonts w:cstheme="minorHAnsi"/>
          <w:sz w:val="24"/>
          <w:szCs w:val="24"/>
        </w:rPr>
        <w:t xml:space="preserve"> zarówno w stosunku do osób żyjących , jak i zmarłych.</w:t>
      </w:r>
    </w:p>
    <w:p w14:paraId="1F9A6572" w14:textId="77777777" w:rsidR="0029490D" w:rsidRDefault="0029490D" w:rsidP="00F5555F">
      <w:pPr>
        <w:spacing w:after="0" w:line="300" w:lineRule="exact"/>
        <w:ind w:left="-426" w:right="-569" w:firstLine="708"/>
        <w:jc w:val="both"/>
        <w:rPr>
          <w:rStyle w:val="info-list-value-uzasadnienie"/>
          <w:rFonts w:cstheme="minorHAnsi"/>
          <w:sz w:val="24"/>
          <w:szCs w:val="24"/>
        </w:rPr>
      </w:pPr>
      <w:r>
        <w:rPr>
          <w:rStyle w:val="info-list-value-uzasadnienie"/>
          <w:rFonts w:cstheme="minorHAnsi"/>
          <w:sz w:val="24"/>
          <w:szCs w:val="24"/>
        </w:rPr>
        <w:lastRenderedPageBreak/>
        <w:t xml:space="preserve">Na marginesie organ nadzoru chciałby również wskazać, iż Rada Gminy Sochaczew w § 5 ust. 1 pkt 4 </w:t>
      </w:r>
      <w:r w:rsidRPr="0029490D">
        <w:rPr>
          <w:rStyle w:val="info-list-value-uzasadnienie"/>
          <w:rFonts w:cstheme="minorHAnsi"/>
          <w:i/>
          <w:sz w:val="24"/>
          <w:szCs w:val="24"/>
        </w:rPr>
        <w:t>Regulaminu</w:t>
      </w:r>
      <w:r>
        <w:rPr>
          <w:rStyle w:val="info-list-value-uzasadnienie"/>
          <w:rFonts w:cstheme="minorHAnsi"/>
          <w:i/>
          <w:sz w:val="24"/>
          <w:szCs w:val="24"/>
        </w:rPr>
        <w:t xml:space="preserve"> </w:t>
      </w:r>
      <w:r w:rsidR="00B21013">
        <w:rPr>
          <w:rStyle w:val="info-list-value-uzasadnienie"/>
          <w:rFonts w:cstheme="minorHAnsi"/>
          <w:sz w:val="24"/>
          <w:szCs w:val="24"/>
        </w:rPr>
        <w:t xml:space="preserve">błędnie odniosła się do jednostki redakcyjnej ust. 1 pkt 4, gdyż jest to </w:t>
      </w:r>
      <w:r w:rsidR="00B21013" w:rsidRPr="00B21013">
        <w:rPr>
          <w:rStyle w:val="info-list-value-uzasadnienie"/>
          <w:rFonts w:cstheme="minorHAnsi"/>
          <w:i/>
          <w:sz w:val="24"/>
          <w:szCs w:val="24"/>
        </w:rPr>
        <w:t>de facto</w:t>
      </w:r>
      <w:r w:rsidR="00B21013">
        <w:rPr>
          <w:rStyle w:val="info-list-value-uzasadnienie"/>
          <w:rFonts w:cstheme="minorHAnsi"/>
          <w:i/>
          <w:sz w:val="24"/>
          <w:szCs w:val="24"/>
        </w:rPr>
        <w:t xml:space="preserve"> </w:t>
      </w:r>
      <w:r w:rsidR="00B21013" w:rsidRPr="00B21013">
        <w:rPr>
          <w:rStyle w:val="info-list-value-uzasadnienie"/>
          <w:rFonts w:cstheme="minorHAnsi"/>
          <w:sz w:val="24"/>
          <w:szCs w:val="24"/>
        </w:rPr>
        <w:t>jednostka redakcyjna tej</w:t>
      </w:r>
      <w:r w:rsidR="00B21013">
        <w:rPr>
          <w:rStyle w:val="info-list-value-uzasadnienie"/>
          <w:rFonts w:cstheme="minorHAnsi"/>
          <w:sz w:val="24"/>
          <w:szCs w:val="24"/>
        </w:rPr>
        <w:t xml:space="preserve"> samej normy, w której dokonano odwołania.</w:t>
      </w:r>
    </w:p>
    <w:p w14:paraId="013294B8" w14:textId="4EC33897" w:rsidR="00B63613" w:rsidRPr="00800B57" w:rsidRDefault="00B63613" w:rsidP="00800B57">
      <w:pPr>
        <w:spacing w:line="240" w:lineRule="auto"/>
        <w:ind w:left="-426" w:right="-569" w:firstLine="710"/>
        <w:jc w:val="both"/>
        <w:rPr>
          <w:rFonts w:ascii="Calibri" w:hAnsi="Calibri" w:cs="Calibri"/>
          <w:sz w:val="24"/>
          <w:szCs w:val="24"/>
        </w:rPr>
      </w:pPr>
      <w:r w:rsidRPr="00800B57">
        <w:rPr>
          <w:rFonts w:ascii="Calibri" w:hAnsi="Calibri" w:cs="Calibri"/>
          <w:sz w:val="24"/>
          <w:szCs w:val="24"/>
        </w:rPr>
        <w:t xml:space="preserve">Konkludując niniejszy wywód należy uznać, iż zarzuty podniesione przez organ nadzoru  </w:t>
      </w:r>
      <w:r w:rsidR="00800B57">
        <w:rPr>
          <w:rFonts w:ascii="Calibri" w:hAnsi="Calibri" w:cs="Calibri"/>
          <w:sz w:val="24"/>
          <w:szCs w:val="24"/>
        </w:rPr>
        <w:t xml:space="preserve">                     </w:t>
      </w:r>
      <w:r w:rsidRPr="00800B57">
        <w:rPr>
          <w:rFonts w:ascii="Calibri" w:hAnsi="Calibri" w:cs="Calibri"/>
          <w:sz w:val="24"/>
          <w:szCs w:val="24"/>
        </w:rPr>
        <w:t xml:space="preserve">w stosunku do kwestionowanego aktu, bezsprzecznie stanowią podstawę do stwierdzenia nieważności uchwały </w:t>
      </w:r>
      <w:r w:rsidR="00E14305" w:rsidRPr="00800B57">
        <w:rPr>
          <w:rFonts w:ascii="Calibri" w:hAnsi="Calibri" w:cs="Calibri"/>
          <w:sz w:val="24"/>
          <w:szCs w:val="24"/>
        </w:rPr>
        <w:t>Nr XVII/82/2020</w:t>
      </w:r>
      <w:r w:rsidRPr="00800B57">
        <w:rPr>
          <w:rFonts w:ascii="Calibri" w:hAnsi="Calibri" w:cs="Calibri"/>
          <w:sz w:val="24"/>
          <w:szCs w:val="24"/>
        </w:rPr>
        <w:t xml:space="preserve">, w zakresie wskazanym w </w:t>
      </w:r>
      <w:r w:rsidRPr="00800B57">
        <w:rPr>
          <w:rFonts w:ascii="Calibri" w:hAnsi="Calibri" w:cs="Calibri"/>
          <w:i/>
          <w:sz w:val="24"/>
          <w:szCs w:val="24"/>
        </w:rPr>
        <w:t>petitum</w:t>
      </w:r>
      <w:r w:rsidRPr="00800B57">
        <w:rPr>
          <w:rFonts w:ascii="Calibri" w:hAnsi="Calibri" w:cs="Calibri"/>
          <w:sz w:val="24"/>
          <w:szCs w:val="24"/>
        </w:rPr>
        <w:t xml:space="preserve"> rozstrzygnięcia.</w:t>
      </w:r>
    </w:p>
    <w:p w14:paraId="0C800334" w14:textId="07FB70F0" w:rsidR="00E14305" w:rsidRPr="00800B57" w:rsidRDefault="00E14305" w:rsidP="00800B57">
      <w:pPr>
        <w:spacing w:line="240" w:lineRule="auto"/>
        <w:ind w:left="-426" w:right="-569" w:firstLine="568"/>
        <w:jc w:val="both"/>
        <w:rPr>
          <w:rFonts w:cstheme="minorHAnsi"/>
          <w:i/>
          <w:sz w:val="24"/>
          <w:szCs w:val="24"/>
        </w:rPr>
      </w:pPr>
      <w:r w:rsidRPr="00800B57">
        <w:rPr>
          <w:rFonts w:cstheme="minorHAnsi"/>
          <w:sz w:val="24"/>
          <w:szCs w:val="24"/>
        </w:rPr>
        <w:t xml:space="preserve">Organ nadzoru wskazuje również na obowiązek przestrzegania przez Radę Gminy Sochaczew zasad prawidłowej legislacji, przewidzianych w rozporządzeniu Prezesa Rady Ministrów z dnia 20 czerwca </w:t>
      </w:r>
      <w:r w:rsidR="00800B57">
        <w:rPr>
          <w:rFonts w:cstheme="minorHAnsi"/>
          <w:sz w:val="24"/>
          <w:szCs w:val="24"/>
        </w:rPr>
        <w:t xml:space="preserve">    </w:t>
      </w:r>
      <w:r w:rsidRPr="00800B57">
        <w:rPr>
          <w:rFonts w:cstheme="minorHAnsi"/>
          <w:sz w:val="24"/>
          <w:szCs w:val="24"/>
        </w:rPr>
        <w:t>2002 r.</w:t>
      </w:r>
      <w:r w:rsidR="00800B57">
        <w:rPr>
          <w:rFonts w:cstheme="minorHAnsi"/>
          <w:sz w:val="24"/>
          <w:szCs w:val="24"/>
        </w:rPr>
        <w:t xml:space="preserve"> </w:t>
      </w:r>
      <w:r w:rsidRPr="00800B57">
        <w:rPr>
          <w:rFonts w:cstheme="minorHAnsi"/>
          <w:sz w:val="24"/>
          <w:szCs w:val="24"/>
        </w:rPr>
        <w:t xml:space="preserve">w sprawie „Zasad techniki prawodawczej” (Dz. U. z 2016 r. poz. 283). W przypadku treści niniejszego  </w:t>
      </w:r>
      <w:r w:rsidRPr="00800B57">
        <w:rPr>
          <w:rFonts w:cstheme="minorHAnsi"/>
          <w:i/>
          <w:sz w:val="24"/>
          <w:szCs w:val="24"/>
        </w:rPr>
        <w:t>Regulaminu</w:t>
      </w:r>
      <w:r w:rsidRPr="00800B57">
        <w:rPr>
          <w:rFonts w:cstheme="minorHAnsi"/>
          <w:sz w:val="24"/>
          <w:szCs w:val="24"/>
        </w:rPr>
        <w:t xml:space="preserve"> mamy do czynienia z błędnym oznaczeniem ustępów, wskazanym w  § 6 ust. 8 ( Pkt  1-5)</w:t>
      </w:r>
      <w:r w:rsidR="00817F89" w:rsidRPr="00800B57">
        <w:rPr>
          <w:rFonts w:cstheme="minorHAnsi"/>
          <w:sz w:val="24"/>
          <w:szCs w:val="24"/>
        </w:rPr>
        <w:t xml:space="preserve"> w brzmieniu </w:t>
      </w:r>
      <w:r w:rsidR="00817F89" w:rsidRPr="00800B57">
        <w:rPr>
          <w:rFonts w:cstheme="minorHAnsi"/>
          <w:i/>
          <w:sz w:val="24"/>
          <w:szCs w:val="24"/>
        </w:rPr>
        <w:t>Pkt. 1 – 5 stosuje się odpowiednio do nadania tytułu „Zasłużony dla Gminy Sochaczew”.</w:t>
      </w:r>
    </w:p>
    <w:p w14:paraId="2607A9C0" w14:textId="77777777" w:rsidR="003121A5" w:rsidRPr="00800B57" w:rsidRDefault="003121A5" w:rsidP="00800B57">
      <w:pPr>
        <w:spacing w:line="240" w:lineRule="auto"/>
        <w:ind w:left="-426" w:right="-569" w:firstLine="568"/>
        <w:jc w:val="both"/>
        <w:rPr>
          <w:sz w:val="24"/>
          <w:szCs w:val="24"/>
        </w:rPr>
      </w:pPr>
      <w:r w:rsidRPr="00800B57">
        <w:rPr>
          <w:rFonts w:cstheme="minorHAnsi"/>
          <w:sz w:val="24"/>
          <w:szCs w:val="24"/>
        </w:rPr>
        <w:t>Nal</w:t>
      </w:r>
      <w:r w:rsidR="00A51FA0" w:rsidRPr="00800B57">
        <w:rPr>
          <w:rFonts w:cstheme="minorHAnsi"/>
          <w:sz w:val="24"/>
          <w:szCs w:val="24"/>
        </w:rPr>
        <w:t>e</w:t>
      </w:r>
      <w:r w:rsidRPr="00800B57">
        <w:rPr>
          <w:rFonts w:cstheme="minorHAnsi"/>
          <w:sz w:val="24"/>
          <w:szCs w:val="24"/>
        </w:rPr>
        <w:t xml:space="preserve">ży wskazać, iż zgodnie z ww. rozporządzeniem </w:t>
      </w:r>
      <w:r w:rsidRPr="00800B57">
        <w:rPr>
          <w:i/>
          <w:sz w:val="24"/>
          <w:szCs w:val="24"/>
        </w:rPr>
        <w:t xml:space="preserve">Ustęp oznacza się cyframi arabskimi z kropką bez nawiasu, z zachowaniem ciągłości numeracji w obrębie danego artykułu, a przy powoływaniu - skrótem "ust." bez względu na liczbę i przypadek oraz cyframi arabskimi bez kropki. </w:t>
      </w:r>
      <w:r w:rsidRPr="00800B57">
        <w:rPr>
          <w:sz w:val="24"/>
          <w:szCs w:val="24"/>
        </w:rPr>
        <w:t>(57 ust. 2).</w:t>
      </w:r>
    </w:p>
    <w:p w14:paraId="0F07F126" w14:textId="77777777" w:rsidR="00B757DB" w:rsidRPr="00800B57" w:rsidRDefault="00B757DB" w:rsidP="00800B57">
      <w:pPr>
        <w:spacing w:line="240" w:lineRule="auto"/>
        <w:ind w:left="-426" w:right="-569" w:firstLine="568"/>
        <w:jc w:val="both"/>
        <w:rPr>
          <w:rFonts w:cstheme="minorHAnsi"/>
          <w:sz w:val="24"/>
          <w:szCs w:val="24"/>
        </w:rPr>
      </w:pPr>
      <w:r w:rsidRPr="00800B57">
        <w:rPr>
          <w:rFonts w:cstheme="minorHAnsi"/>
          <w:sz w:val="24"/>
          <w:szCs w:val="24"/>
        </w:rPr>
        <w:t xml:space="preserve">Wadliwie </w:t>
      </w:r>
      <w:r w:rsidR="00817F89" w:rsidRPr="00800B57">
        <w:rPr>
          <w:rFonts w:cstheme="minorHAnsi"/>
          <w:sz w:val="24"/>
          <w:szCs w:val="24"/>
        </w:rPr>
        <w:t>przytoczona</w:t>
      </w:r>
      <w:r w:rsidRPr="00800B57">
        <w:rPr>
          <w:rFonts w:cstheme="minorHAnsi"/>
          <w:sz w:val="24"/>
          <w:szCs w:val="24"/>
        </w:rPr>
        <w:t xml:space="preserve"> norma prawna we wskazanym zakresie budzi wątpliwości organu nadzoru o tyle, iż w pozostałych jednostkach redakcyjnych przedmiotowego </w:t>
      </w:r>
      <w:r w:rsidRPr="00800B57">
        <w:rPr>
          <w:rFonts w:cstheme="minorHAnsi"/>
          <w:i/>
          <w:sz w:val="24"/>
          <w:szCs w:val="24"/>
        </w:rPr>
        <w:t>Regulaminu</w:t>
      </w:r>
      <w:r w:rsidRPr="00800B57">
        <w:rPr>
          <w:rFonts w:cstheme="minorHAnsi"/>
          <w:sz w:val="24"/>
          <w:szCs w:val="24"/>
        </w:rPr>
        <w:t xml:space="preserve"> dokonano prawidłowe</w:t>
      </w:r>
      <w:r w:rsidR="00817F89" w:rsidRPr="00800B57">
        <w:rPr>
          <w:rFonts w:cstheme="minorHAnsi"/>
          <w:sz w:val="24"/>
          <w:szCs w:val="24"/>
        </w:rPr>
        <w:t>go oznaczenia</w:t>
      </w:r>
      <w:r w:rsidRPr="00800B57">
        <w:rPr>
          <w:rFonts w:cstheme="minorHAnsi"/>
          <w:sz w:val="24"/>
          <w:szCs w:val="24"/>
        </w:rPr>
        <w:t>.</w:t>
      </w:r>
      <w:r w:rsidRPr="00800B57">
        <w:rPr>
          <w:rFonts w:cstheme="minorHAnsi"/>
          <w:sz w:val="24"/>
          <w:szCs w:val="24"/>
        </w:rPr>
        <w:tab/>
      </w:r>
    </w:p>
    <w:p w14:paraId="3EBAF816" w14:textId="77777777" w:rsidR="00B757DB" w:rsidRPr="00800B57" w:rsidRDefault="00B757DB" w:rsidP="00800B57">
      <w:pPr>
        <w:spacing w:line="240" w:lineRule="auto"/>
        <w:ind w:left="-426" w:right="-569" w:firstLine="56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00B57">
        <w:rPr>
          <w:rFonts w:cstheme="minorHAnsi"/>
          <w:sz w:val="24"/>
          <w:szCs w:val="24"/>
        </w:rPr>
        <w:t>Na niniejsze rozstrzygnięcie nadzorcze Gminie przysługuje skarga do Wojewódzkiego Sądu Administracyjnego w Warszawie w terminie 30 dni od daty doręczenia, wnoszona za pośrednictwem organu, który skarżone orzeczenie wydał.</w:t>
      </w:r>
    </w:p>
    <w:p w14:paraId="25CC4BCF" w14:textId="77777777" w:rsidR="00B757DB" w:rsidRPr="00800B57" w:rsidRDefault="00B757DB" w:rsidP="00800B57">
      <w:pPr>
        <w:spacing w:line="240" w:lineRule="auto"/>
        <w:ind w:left="-426" w:right="-569" w:firstLine="56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00B57">
        <w:rPr>
          <w:rFonts w:cstheme="minorHAnsi"/>
          <w:sz w:val="24"/>
          <w:szCs w:val="24"/>
        </w:rPr>
        <w:t>Informuję, że rozstrzygnięcie nadzorcze wstrzymuje wykonanie uchwały z mocy prawa, w części objętej rozstrzygnięciem</w:t>
      </w:r>
      <w:r w:rsidRPr="00800B57">
        <w:rPr>
          <w:rFonts w:cstheme="minorHAnsi"/>
          <w:bCs/>
          <w:sz w:val="24"/>
          <w:szCs w:val="24"/>
        </w:rPr>
        <w:t>,</w:t>
      </w:r>
      <w:r w:rsidRPr="00800B57">
        <w:rPr>
          <w:rFonts w:cstheme="minorHAnsi"/>
          <w:b/>
          <w:bCs/>
          <w:sz w:val="24"/>
          <w:szCs w:val="24"/>
        </w:rPr>
        <w:t xml:space="preserve"> </w:t>
      </w:r>
      <w:r w:rsidRPr="00800B57">
        <w:rPr>
          <w:rFonts w:cstheme="minorHAnsi"/>
          <w:bCs/>
          <w:sz w:val="24"/>
          <w:szCs w:val="24"/>
        </w:rPr>
        <w:t>z dniem jego doręczenia.</w:t>
      </w:r>
    </w:p>
    <w:p w14:paraId="5D949B24" w14:textId="77777777" w:rsidR="00C45D29" w:rsidRPr="0083703A" w:rsidRDefault="00C45D29" w:rsidP="00800B57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sectPr w:rsidR="00C45D29" w:rsidRPr="0083703A" w:rsidSect="00B24711">
      <w:footerReference w:type="defaul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C2003" w14:textId="77777777" w:rsidR="00AA69B5" w:rsidRDefault="00AA69B5">
      <w:pPr>
        <w:spacing w:after="0" w:line="240" w:lineRule="auto"/>
      </w:pPr>
      <w:r>
        <w:separator/>
      </w:r>
    </w:p>
  </w:endnote>
  <w:endnote w:type="continuationSeparator" w:id="0">
    <w:p w14:paraId="2257C1F7" w14:textId="77777777" w:rsidR="00AA69B5" w:rsidRDefault="00AA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3FCCB" w14:textId="1F0E3D92" w:rsidR="00B24711" w:rsidRDefault="00C45D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22F19">
      <w:rPr>
        <w:noProof/>
      </w:rPr>
      <w:t>2</w:t>
    </w:r>
    <w:r>
      <w:fldChar w:fldCharType="end"/>
    </w:r>
  </w:p>
  <w:p w14:paraId="1FB5F960" w14:textId="77777777" w:rsidR="00B24711" w:rsidRDefault="00AA6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01371" w14:textId="77777777" w:rsidR="00AA69B5" w:rsidRDefault="00AA69B5">
      <w:pPr>
        <w:spacing w:after="0" w:line="240" w:lineRule="auto"/>
      </w:pPr>
      <w:r>
        <w:separator/>
      </w:r>
    </w:p>
  </w:footnote>
  <w:footnote w:type="continuationSeparator" w:id="0">
    <w:p w14:paraId="768BE990" w14:textId="77777777" w:rsidR="00AA69B5" w:rsidRDefault="00AA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138C"/>
    <w:multiLevelType w:val="hybridMultilevel"/>
    <w:tmpl w:val="1C6C9E4E"/>
    <w:lvl w:ilvl="0" w:tplc="7E5CF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486A"/>
    <w:multiLevelType w:val="hybridMultilevel"/>
    <w:tmpl w:val="AA38D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29"/>
    <w:rsid w:val="00023B95"/>
    <w:rsid w:val="00036568"/>
    <w:rsid w:val="00092365"/>
    <w:rsid w:val="000B7C96"/>
    <w:rsid w:val="000D700A"/>
    <w:rsid w:val="00175B45"/>
    <w:rsid w:val="001B5641"/>
    <w:rsid w:val="001F7102"/>
    <w:rsid w:val="002030ED"/>
    <w:rsid w:val="0021352A"/>
    <w:rsid w:val="0029490D"/>
    <w:rsid w:val="002A1407"/>
    <w:rsid w:val="002A5A62"/>
    <w:rsid w:val="00303867"/>
    <w:rsid w:val="003052EC"/>
    <w:rsid w:val="003121A5"/>
    <w:rsid w:val="00371C6A"/>
    <w:rsid w:val="003A777D"/>
    <w:rsid w:val="003B7FA1"/>
    <w:rsid w:val="00472D29"/>
    <w:rsid w:val="00476336"/>
    <w:rsid w:val="004875E7"/>
    <w:rsid w:val="004A3BD8"/>
    <w:rsid w:val="0052348C"/>
    <w:rsid w:val="0058746F"/>
    <w:rsid w:val="005B5F09"/>
    <w:rsid w:val="005C5D9F"/>
    <w:rsid w:val="00671A1C"/>
    <w:rsid w:val="00717680"/>
    <w:rsid w:val="00717CEA"/>
    <w:rsid w:val="007205A5"/>
    <w:rsid w:val="007A31F2"/>
    <w:rsid w:val="007D195E"/>
    <w:rsid w:val="00800B57"/>
    <w:rsid w:val="008052E1"/>
    <w:rsid w:val="0081749E"/>
    <w:rsid w:val="00817F89"/>
    <w:rsid w:val="0083703A"/>
    <w:rsid w:val="00842B85"/>
    <w:rsid w:val="0085017B"/>
    <w:rsid w:val="008B25CC"/>
    <w:rsid w:val="009222CC"/>
    <w:rsid w:val="00943017"/>
    <w:rsid w:val="009555DA"/>
    <w:rsid w:val="00976B13"/>
    <w:rsid w:val="00981D71"/>
    <w:rsid w:val="009C54F7"/>
    <w:rsid w:val="009E63D6"/>
    <w:rsid w:val="009E7F5D"/>
    <w:rsid w:val="00A51FA0"/>
    <w:rsid w:val="00A76026"/>
    <w:rsid w:val="00AA69B5"/>
    <w:rsid w:val="00B12CEB"/>
    <w:rsid w:val="00B21013"/>
    <w:rsid w:val="00B539B1"/>
    <w:rsid w:val="00B63613"/>
    <w:rsid w:val="00B64C29"/>
    <w:rsid w:val="00B757DB"/>
    <w:rsid w:val="00B80A17"/>
    <w:rsid w:val="00B92D22"/>
    <w:rsid w:val="00C45D29"/>
    <w:rsid w:val="00CC44E9"/>
    <w:rsid w:val="00CF4F99"/>
    <w:rsid w:val="00D22F19"/>
    <w:rsid w:val="00D25A04"/>
    <w:rsid w:val="00D962FC"/>
    <w:rsid w:val="00E05B21"/>
    <w:rsid w:val="00E109C1"/>
    <w:rsid w:val="00E14305"/>
    <w:rsid w:val="00E27891"/>
    <w:rsid w:val="00E33CA6"/>
    <w:rsid w:val="00E50A13"/>
    <w:rsid w:val="00ED5C7C"/>
    <w:rsid w:val="00F5555F"/>
    <w:rsid w:val="00F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CA0A"/>
  <w15:chartTrackingRefBased/>
  <w15:docId w15:val="{5EB5B3A9-500D-4C4F-9938-56FABCC1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D29"/>
  </w:style>
  <w:style w:type="paragraph" w:styleId="Nagwek1">
    <w:name w:val="heading 1"/>
    <w:basedOn w:val="Normalny"/>
    <w:next w:val="Normalny"/>
    <w:link w:val="Nagwek1Znak"/>
    <w:uiPriority w:val="9"/>
    <w:qFormat/>
    <w:rsid w:val="007D19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45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5D29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5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5D29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D29"/>
    <w:pPr>
      <w:ind w:left="720"/>
      <w:contextualSpacing/>
    </w:pPr>
  </w:style>
  <w:style w:type="character" w:customStyle="1" w:styleId="info-list-value-uzasadnienie">
    <w:name w:val="info-list-value-uzasadnienie"/>
    <w:basedOn w:val="Domylnaczcionkaakapitu"/>
    <w:rsid w:val="00C45D29"/>
  </w:style>
  <w:style w:type="paragraph" w:customStyle="1" w:styleId="Standard">
    <w:name w:val="Standard"/>
    <w:rsid w:val="00C45D29"/>
    <w:pPr>
      <w:suppressAutoHyphens/>
      <w:autoSpaceDN w:val="0"/>
      <w:spacing w:line="249" w:lineRule="auto"/>
      <w:textAlignment w:val="baseline"/>
    </w:pPr>
    <w:rPr>
      <w:rFonts w:ascii="Calibri" w:eastAsia="Arial Unicode MS" w:hAnsi="Calibri" w:cs="Calibri"/>
      <w:kern w:val="3"/>
    </w:rPr>
  </w:style>
  <w:style w:type="character" w:customStyle="1" w:styleId="highlight">
    <w:name w:val="highlight"/>
    <w:basedOn w:val="Domylnaczcionkaakapitu"/>
    <w:rsid w:val="00C45D29"/>
  </w:style>
  <w:style w:type="paragraph" w:styleId="NormalnyWeb">
    <w:name w:val="Normal (Web)"/>
    <w:basedOn w:val="Normalny"/>
    <w:uiPriority w:val="99"/>
    <w:semiHidden/>
    <w:unhideWhenUsed/>
    <w:rsid w:val="00C4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25A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D1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7D195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195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F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F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518E-7842-4D3A-BB1E-20B114CB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Jadczyk-Sternicka</dc:creator>
  <cp:keywords/>
  <dc:description/>
  <cp:lastModifiedBy>Paulina Kolaszyńska</cp:lastModifiedBy>
  <cp:revision>3</cp:revision>
  <cp:lastPrinted>2020-02-27T11:17:00Z</cp:lastPrinted>
  <dcterms:created xsi:type="dcterms:W3CDTF">2020-04-02T09:28:00Z</dcterms:created>
  <dcterms:modified xsi:type="dcterms:W3CDTF">2020-04-02T09:29:00Z</dcterms:modified>
</cp:coreProperties>
</file>