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D5" w:rsidRPr="00351CC4" w:rsidRDefault="00356CD5" w:rsidP="00356CD5">
      <w:pPr>
        <w:pStyle w:val="OZNPROJEKTUwskazaniedatylubwersjiprojektu"/>
        <w:rPr>
          <w:rFonts w:cs="Times New Roman"/>
          <w:szCs w:val="24"/>
        </w:rPr>
      </w:pPr>
      <w:r w:rsidRPr="00351CC4">
        <w:rPr>
          <w:rFonts w:cs="Times New Roman"/>
          <w:szCs w:val="24"/>
        </w:rPr>
        <w:t xml:space="preserve">Tekst </w:t>
      </w:r>
      <w:r w:rsidR="0004495E" w:rsidRPr="00351CC4">
        <w:rPr>
          <w:rFonts w:cs="Times New Roman"/>
          <w:szCs w:val="24"/>
        </w:rPr>
        <w:t>ujednolicony</w:t>
      </w:r>
      <w:r w:rsidR="006170F1" w:rsidRPr="00351CC4">
        <w:rPr>
          <w:rStyle w:val="Odwoanieprzypisudolnego"/>
          <w:rFonts w:cs="Times New Roman"/>
          <w:szCs w:val="24"/>
        </w:rPr>
        <w:footnoteReference w:customMarkFollows="1" w:id="1"/>
        <w:sym w:font="Symbol" w:char="F02A"/>
      </w:r>
    </w:p>
    <w:p w:rsidR="00351CC4" w:rsidRPr="00351CC4" w:rsidRDefault="00351CC4" w:rsidP="00351CC4">
      <w:pPr>
        <w:pStyle w:val="OZNRODZAKTUtznustawalubrozporzdzenieiorganwydajcy"/>
        <w:rPr>
          <w:rFonts w:ascii="Times New Roman" w:hAnsi="Times New Roman"/>
        </w:rPr>
      </w:pPr>
      <w:r w:rsidRPr="00351CC4">
        <w:rPr>
          <w:rFonts w:ascii="Times New Roman" w:hAnsi="Times New Roman"/>
        </w:rPr>
        <w:t>ZARZĄDZENIE Nr 73</w:t>
      </w:r>
    </w:p>
    <w:p w:rsidR="00351CC4" w:rsidRPr="00351CC4" w:rsidRDefault="00351CC4" w:rsidP="00351CC4">
      <w:pPr>
        <w:pStyle w:val="OZNRODZAKTUtznustawalubrozporzdzenieiorganwydajcy"/>
        <w:rPr>
          <w:rFonts w:ascii="Times New Roman" w:hAnsi="Times New Roman"/>
        </w:rPr>
      </w:pPr>
      <w:r w:rsidRPr="00351CC4">
        <w:rPr>
          <w:rFonts w:ascii="Times New Roman" w:hAnsi="Times New Roman"/>
        </w:rPr>
        <w:t>PREZESA RADY MINISTRÓW</w:t>
      </w:r>
    </w:p>
    <w:p w:rsidR="00351CC4" w:rsidRPr="00351CC4" w:rsidRDefault="00351CC4" w:rsidP="00351CC4">
      <w:pPr>
        <w:pStyle w:val="DATAAKTUdatauchwalenialubwydaniaaktu"/>
        <w:rPr>
          <w:rFonts w:ascii="Times New Roman" w:hAnsi="Times New Roman" w:cs="Times New Roman"/>
        </w:rPr>
      </w:pPr>
      <w:r w:rsidRPr="00351CC4">
        <w:rPr>
          <w:rFonts w:ascii="Times New Roman" w:hAnsi="Times New Roman" w:cs="Times New Roman"/>
        </w:rPr>
        <w:t>z dnia 19 lipca 2007 r.</w:t>
      </w:r>
    </w:p>
    <w:p w:rsidR="00351CC4" w:rsidRPr="00351CC4" w:rsidRDefault="00351CC4" w:rsidP="00351CC4">
      <w:pPr>
        <w:pStyle w:val="TYTUAKTUprzedmiotregulacjiustawylubrozporzdzenia"/>
        <w:rPr>
          <w:rFonts w:ascii="Times New Roman" w:hAnsi="Times New Roman" w:cs="Times New Roman"/>
        </w:rPr>
      </w:pPr>
      <w:r w:rsidRPr="00351CC4">
        <w:rPr>
          <w:rFonts w:ascii="Times New Roman" w:hAnsi="Times New Roman" w:cs="Times New Roman"/>
        </w:rPr>
        <w:t>w sprawie utworzenia Zespołu do spraw Europejskiego Trybunału Praw Człowieka</w:t>
      </w:r>
    </w:p>
    <w:p w:rsidR="00351CC4" w:rsidRPr="00351CC4" w:rsidRDefault="00351CC4" w:rsidP="00351CC4">
      <w:pPr>
        <w:pStyle w:val="NIEARTTEKSTtekstnieartykuowanynppodstprawnarozplubpreambua"/>
        <w:rPr>
          <w:rFonts w:ascii="Times New Roman" w:hAnsi="Times New Roman" w:cs="Times New Roman"/>
          <w:szCs w:val="24"/>
        </w:rPr>
      </w:pPr>
      <w:r w:rsidRPr="00351CC4">
        <w:rPr>
          <w:rFonts w:ascii="Times New Roman" w:hAnsi="Times New Roman" w:cs="Times New Roman"/>
          <w:szCs w:val="24"/>
        </w:rPr>
        <w:t>Na podstawie art. 12 ust. 1 pkt 3 i ust. 2 ustawy z dnia 8 sierpnia 1996 r. o Radzie Ministrów (Dz. U. z 2019 r. poz. 1177) zarządza się, co następuje:</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t>§ 1.</w:t>
      </w:r>
      <w:r w:rsidRPr="00351CC4">
        <w:rPr>
          <w:rFonts w:ascii="Times New Roman" w:hAnsi="Times New Roman" w:cs="Times New Roman"/>
          <w:szCs w:val="24"/>
        </w:rPr>
        <w:t> 1. Tworzy się międzyresortowy Zespół do spraw Europejskiego Trybunału Praw Człowieka, zwany dalej „Zespołem”.</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2. Zespół jest organem opiniodawczo-doradczym Prezesa Rady Ministrów.</w:t>
      </w:r>
    </w:p>
    <w:p w:rsidR="00351CC4" w:rsidRPr="00351CC4" w:rsidRDefault="00351CC4" w:rsidP="00351CC4">
      <w:pPr>
        <w:pStyle w:val="ARTartustawynprozporzdzenia"/>
        <w:keepNext/>
        <w:rPr>
          <w:rFonts w:ascii="Times New Roman" w:hAnsi="Times New Roman" w:cs="Times New Roman"/>
          <w:szCs w:val="24"/>
        </w:rPr>
      </w:pPr>
      <w:r w:rsidRPr="00351CC4">
        <w:rPr>
          <w:rStyle w:val="Ppogrubienie"/>
          <w:rFonts w:ascii="Times New Roman" w:hAnsi="Times New Roman" w:cs="Times New Roman"/>
          <w:szCs w:val="24"/>
        </w:rPr>
        <w:t>§ 2.</w:t>
      </w:r>
      <w:r w:rsidRPr="00351CC4">
        <w:rPr>
          <w:rFonts w:ascii="Times New Roman" w:hAnsi="Times New Roman" w:cs="Times New Roman"/>
          <w:szCs w:val="24"/>
        </w:rPr>
        <w:t> 1. Do zadań Zespołu należy:</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1)</w:t>
      </w:r>
      <w:r w:rsidRPr="00351CC4">
        <w:rPr>
          <w:rFonts w:ascii="Times New Roman" w:hAnsi="Times New Roman" w:cs="Times New Roman"/>
          <w:szCs w:val="24"/>
        </w:rPr>
        <w:tab/>
        <w:t>wypracowywanie, na wniosek ministra właściwego do spraw zagranicznych lub przewodniczącego Zespołu, propozycji stanowisk dotyczących naj</w:t>
      </w:r>
      <w:bookmarkStart w:id="0" w:name="_GoBack"/>
      <w:bookmarkEnd w:id="0"/>
      <w:r w:rsidRPr="00351CC4">
        <w:rPr>
          <w:rFonts w:ascii="Times New Roman" w:hAnsi="Times New Roman" w:cs="Times New Roman"/>
          <w:szCs w:val="24"/>
        </w:rPr>
        <w:t>ważniejszych problemów wynikających ze skarg komunikowanych przez Europejski Trybunał Praw Człowieka, zwany dalej „Trybunałem”, oraz wydanych przez niego orzeczeń w sprawach przeciwko Polsce;</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2)</w:t>
      </w:r>
      <w:r w:rsidRPr="00351CC4">
        <w:rPr>
          <w:rFonts w:ascii="Times New Roman" w:hAnsi="Times New Roman" w:cs="Times New Roman"/>
          <w:szCs w:val="24"/>
        </w:rPr>
        <w:tab/>
        <w:t>wypracowywanie oraz przedstawianie Radzie Ministrów, na wniosek ministra właściwego do spraw zagranicznych lub przewodniczącego Zespołu, propozycji działań mających na celu zapobieganie naruszaniu przez Polskę Konwencji o ochronie praw człowieka i podstawowych wolności;</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3)</w:t>
      </w:r>
      <w:r w:rsidRPr="00351CC4">
        <w:rPr>
          <w:rFonts w:ascii="Times New Roman" w:hAnsi="Times New Roman" w:cs="Times New Roman"/>
          <w:szCs w:val="24"/>
        </w:rPr>
        <w:tab/>
        <w:t>monitorowanie wykonywania wyroków i decyzji Trybunału wobec Polski, w oparciu o dokumenty i informacje dotyczące wykonywania wyroków i decyzji przedstawiane przez właściwych ministrów z własnej inicjatywy lub na wniosek ministra właściwego do spraw zagranicznych, oraz analizowanie ewentualnych problemów związanych z ich wykonywaniem;</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lastRenderedPageBreak/>
        <w:t>4)</w:t>
      </w:r>
      <w:r w:rsidRPr="00351CC4">
        <w:rPr>
          <w:rFonts w:ascii="Times New Roman" w:hAnsi="Times New Roman" w:cs="Times New Roman"/>
          <w:szCs w:val="24"/>
        </w:rPr>
        <w:tab/>
        <w:t>przygotowywanie rocznych informacji na temat stanu wykonywania wyroków Trybunału, przedkładanych w terminie do dnia 31 marca roku następującego po roku stanowiącym okres sprawozdawczy, za pośrednictwem ministra właściwego do spraw zagranicznych, do przyjęcia Radzie Ministrów;</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5)</w:t>
      </w:r>
      <w:r w:rsidRPr="00351CC4">
        <w:rPr>
          <w:rFonts w:ascii="Times New Roman" w:hAnsi="Times New Roman" w:cs="Times New Roman"/>
          <w:szCs w:val="24"/>
        </w:rPr>
        <w:tab/>
        <w:t>opiniowanie, na wniosek ministra właściwego do spraw zagranicznych, innego właściwego ministra lub przewodniczącego Zespołu, projektów aktów prawnych budzących szczególne wątpliwości co do ich zgodności z Konwencją o ochronie praw człowieka i podstawowych wolności oraz z orzecznictwem Trybunału;</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6)</w:t>
      </w:r>
      <w:r w:rsidRPr="00351CC4">
        <w:rPr>
          <w:rFonts w:ascii="Times New Roman" w:hAnsi="Times New Roman" w:cs="Times New Roman"/>
          <w:szCs w:val="24"/>
        </w:rPr>
        <w:tab/>
        <w:t>omawianie najważniejszych problemów dotyczących orzecznictwa Trybunału wobec innych państw, a także ogólnych problemów dotyczących funkcjonowania Trybunału i ich implikacji dla Polski;</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7)</w:t>
      </w:r>
      <w:r w:rsidRPr="00351CC4">
        <w:rPr>
          <w:rFonts w:ascii="Times New Roman" w:hAnsi="Times New Roman" w:cs="Times New Roman"/>
          <w:szCs w:val="24"/>
        </w:rPr>
        <w:tab/>
        <w:t>analizowanie, na wniosek członków Zespołu, innych problemów związanych z problematyką ochrony praw człowieka.</w:t>
      </w:r>
    </w:p>
    <w:p w:rsidR="00351CC4" w:rsidRPr="00351CC4" w:rsidRDefault="00351CC4" w:rsidP="00351CC4">
      <w:pPr>
        <w:pStyle w:val="USTustnpkodeksu"/>
        <w:keepNext/>
        <w:rPr>
          <w:rFonts w:ascii="Times New Roman" w:hAnsi="Times New Roman" w:cs="Times New Roman"/>
          <w:szCs w:val="24"/>
        </w:rPr>
      </w:pPr>
      <w:r w:rsidRPr="00351CC4">
        <w:rPr>
          <w:rFonts w:ascii="Times New Roman" w:hAnsi="Times New Roman" w:cs="Times New Roman"/>
          <w:szCs w:val="24"/>
        </w:rPr>
        <w:t>2. Zespół może dołączać do informacji, o których mowa w ust. 1 w pkt 4:</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1)</w:t>
      </w:r>
      <w:r w:rsidRPr="00351CC4">
        <w:rPr>
          <w:rFonts w:ascii="Times New Roman" w:hAnsi="Times New Roman" w:cs="Times New Roman"/>
          <w:szCs w:val="24"/>
        </w:rPr>
        <w:tab/>
        <w:t>propozycje zmian w ustawodawstwie mające na celu prawidłowe wykonywanie przez Polskę zobowiązań w zakresie ochrony praw człowieka;</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2)</w:t>
      </w:r>
      <w:r w:rsidRPr="00351CC4">
        <w:rPr>
          <w:rFonts w:ascii="Times New Roman" w:hAnsi="Times New Roman" w:cs="Times New Roman"/>
          <w:szCs w:val="24"/>
        </w:rPr>
        <w:tab/>
        <w:t>wnioski odnośnie do działań organów administracji publicznej wynikające z orzecznictwa Trybunału.</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3. Przepisy ust. 1 i 2 stosuje się odpowiednio do innych międzynarodowych organów ochrony praw człowieka, działających na mocy umowy międzynarodowej ratyfikowanej przez Polskę.</w:t>
      </w:r>
    </w:p>
    <w:p w:rsidR="00351CC4" w:rsidRPr="00351CC4" w:rsidRDefault="00351CC4" w:rsidP="00351CC4">
      <w:pPr>
        <w:pStyle w:val="ARTartustawynprozporzdzenia"/>
        <w:keepNext/>
        <w:rPr>
          <w:rFonts w:ascii="Times New Roman" w:hAnsi="Times New Roman" w:cs="Times New Roman"/>
          <w:szCs w:val="24"/>
        </w:rPr>
      </w:pPr>
      <w:r w:rsidRPr="00351CC4">
        <w:rPr>
          <w:rStyle w:val="Ppogrubienie"/>
          <w:rFonts w:ascii="Times New Roman" w:hAnsi="Times New Roman" w:cs="Times New Roman"/>
          <w:szCs w:val="24"/>
        </w:rPr>
        <w:t>§ 3.</w:t>
      </w:r>
      <w:r w:rsidRPr="00351CC4">
        <w:rPr>
          <w:rFonts w:ascii="Times New Roman" w:hAnsi="Times New Roman" w:cs="Times New Roman"/>
          <w:szCs w:val="24"/>
        </w:rPr>
        <w:t> 1. W skład Zespołu wchodzą:</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1)</w:t>
      </w:r>
      <w:r w:rsidRPr="00351CC4">
        <w:rPr>
          <w:rFonts w:ascii="Times New Roman" w:hAnsi="Times New Roman" w:cs="Times New Roman"/>
          <w:szCs w:val="24"/>
        </w:rPr>
        <w:tab/>
        <w:t>przewodniczący - Pełnomocnik Ministra Spraw Zagranicznych do spraw postępowań przed Europejskim Trybunałem Praw Człowieka;</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2)</w:t>
      </w:r>
      <w:r w:rsidRPr="00351CC4">
        <w:rPr>
          <w:rFonts w:ascii="Times New Roman" w:hAnsi="Times New Roman" w:cs="Times New Roman"/>
          <w:szCs w:val="24"/>
        </w:rPr>
        <w:tab/>
        <w:t>członkowie – eksperci wyznaczeni przez ministrów kierujących działami administracji rządowej, zgodnie z ustawą z dnia 4 września 1997 r. o działach administracji rządowej (Dz. U. z 2019 r. poz. 945, 1248 i 1696), Prezesa Prokuratorii Generalnej Skarbu Państwa, Szefa Kancelarii Prezesa Rady Ministrów oraz Pełnomocnika Rządu do spraw Równego Traktowania;</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3)</w:t>
      </w:r>
      <w:r w:rsidRPr="00351CC4">
        <w:rPr>
          <w:rFonts w:ascii="Times New Roman" w:hAnsi="Times New Roman" w:cs="Times New Roman"/>
          <w:szCs w:val="24"/>
        </w:rPr>
        <w:tab/>
        <w:t>sekretarz – osoba wyznaczona przez przewodniczącego Zespołu spośród pracowników komórki organizacyjnej Ministerstwa Spraw Zagranicznych odpowiedzialnej za reprezentację Polski przed międzynarodowymi organami ochrony praw człowieka.</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lastRenderedPageBreak/>
        <w:t>2. Przewodniczący Zespołu z własnej inicjatywy lub na wniosek członka Zespołu może zapraszać do udziału w pracach Zespołu, z głosem doradczym, osoby niebędące członkami Zespołu, w szczególności przedstawicieli Sejmu i Senatu Rzeczypospolitej Polskiej, Kancelarii Prezydenta Rzeczypospolitej Polskiej, Najwyższej Izby Kontroli, Rzecznika Praw Obywatelskich, Rzecznika Praw Dziecka, Rzecznika Praw Pacjenta, Trybunału Konstytucyjnego, Sądu Najwyższego, Naczelnego Sądu Administracyjnego, Krajowej Rady Sądownictwa, przedstawicieli sądów powszechnych i administracyjnych, Prokuratora Generalnego, Komendanta Głównego Policji, Dyrektora Generalnego Służby Więziennej, Rady Legislacyjnej, Rządowego Centrum Legislacji, przedstawicieli innych właściwych organów administracji rządowej i samorządowej oraz przedstawicieli innych instytucji i urzędów państwowych, przedstawicieli zawodów prawniczych, a także przedstawicieli organizacji pozarządowych zajmujących się problematyką ochrony praw człowieka.</w:t>
      </w:r>
    </w:p>
    <w:p w:rsidR="00351CC4" w:rsidRPr="00351CC4" w:rsidRDefault="00351CC4" w:rsidP="00351CC4">
      <w:pPr>
        <w:pStyle w:val="ARTartustawynprozporzdzenia"/>
        <w:keepNext/>
        <w:rPr>
          <w:rFonts w:ascii="Times New Roman" w:hAnsi="Times New Roman" w:cs="Times New Roman"/>
          <w:szCs w:val="24"/>
        </w:rPr>
      </w:pPr>
      <w:r w:rsidRPr="00351CC4">
        <w:rPr>
          <w:rStyle w:val="Ppogrubienie"/>
          <w:rFonts w:ascii="Times New Roman" w:hAnsi="Times New Roman" w:cs="Times New Roman"/>
          <w:szCs w:val="24"/>
        </w:rPr>
        <w:t>§ 3a.</w:t>
      </w:r>
      <w:r w:rsidRPr="00351CC4">
        <w:rPr>
          <w:rFonts w:ascii="Times New Roman" w:hAnsi="Times New Roman" w:cs="Times New Roman"/>
          <w:szCs w:val="24"/>
        </w:rPr>
        <w:t> Członkowie Zespołu:</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1)</w:t>
      </w:r>
      <w:r w:rsidRPr="00351CC4">
        <w:rPr>
          <w:rFonts w:ascii="Times New Roman" w:hAnsi="Times New Roman" w:cs="Times New Roman"/>
          <w:szCs w:val="24"/>
        </w:rPr>
        <w:tab/>
        <w:t>uczestniczą we wszystkich posiedzeniach Zespołu, a w uzasadnionych przypadkach zapewniają reprezentację podmiotu przez inne upoważnione osoby;</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2)</w:t>
      </w:r>
      <w:r w:rsidRPr="00351CC4">
        <w:rPr>
          <w:rFonts w:ascii="Times New Roman" w:hAnsi="Times New Roman" w:cs="Times New Roman"/>
          <w:szCs w:val="24"/>
        </w:rPr>
        <w:tab/>
        <w:t>odpowiadają za wypracowanie i prezentowanie stanowiska w ramach właściwości reprezentowanego podmiotu w odniesieniu do wszystkich spraw będących przedmiotem prac Zespołu;</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3)</w:t>
      </w:r>
      <w:r w:rsidRPr="00351CC4">
        <w:rPr>
          <w:rFonts w:ascii="Times New Roman" w:hAnsi="Times New Roman" w:cs="Times New Roman"/>
          <w:szCs w:val="24"/>
        </w:rPr>
        <w:tab/>
        <w:t>odpowiadają za przekazanie przewodniczącemu Zespołu wskazanych w § 4a</w:t>
      </w:r>
      <w:r w:rsidRPr="00351CC4">
        <w:rPr>
          <w:rFonts w:ascii="Times New Roman" w:hAnsi="Times New Roman" w:cs="Times New Roman"/>
          <w:szCs w:val="24"/>
        </w:rPr>
        <w:sym w:font="Symbol" w:char="F02D"/>
      </w:r>
      <w:r w:rsidRPr="00351CC4">
        <w:rPr>
          <w:rFonts w:ascii="Times New Roman" w:hAnsi="Times New Roman" w:cs="Times New Roman"/>
          <w:szCs w:val="24"/>
        </w:rPr>
        <w:t>4c informacji, dokumentów i stanowisk.</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t>§ 4.</w:t>
      </w:r>
      <w:r w:rsidRPr="00351CC4">
        <w:rPr>
          <w:rFonts w:ascii="Times New Roman" w:hAnsi="Times New Roman" w:cs="Times New Roman"/>
          <w:szCs w:val="24"/>
        </w:rPr>
        <w:t> 1. Do rozpatrywania spraw niewymagających udziału wszystkich członków Zespołu przewodniczący Zespołu może powoływać grupy robocze i zespoły doradcze, w szczególności celem powierzenia im realizacji niektórych zadań Zespołu. Przepis § 5 ust. 1 i 2 stosuje się odpowiednio.</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2. Przewodniczący Zespołu może zlecać sporządzanie ekspertyz i opinii niezbędnych do realizacji zadań Zespołu.</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2a. Podmioty, o których mowa w § 3 ust. 2, mogą przekazywać przewodniczącemu Zespołu z własnej inicjatywy ekspertyzy i opinie.</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3. Organy administracji rządowej oraz podległe im państwowe jednostki organizacyjne, na wniosek przewodniczącego lub upoważnionego przez niego członka Zespołu udzielają Zespołowi wszechstronnej pomocy przy wykonywaniu jego zadań, w szczególności przedstawiają niezbędne informacje oraz dokumenty.</w:t>
      </w:r>
    </w:p>
    <w:p w:rsidR="00351CC4" w:rsidRPr="00351CC4" w:rsidRDefault="00351CC4" w:rsidP="00351CC4">
      <w:pPr>
        <w:pStyle w:val="ARTartustawynprozporzdzenia"/>
        <w:keepNext/>
        <w:rPr>
          <w:rFonts w:ascii="Times New Roman" w:hAnsi="Times New Roman" w:cs="Times New Roman"/>
          <w:szCs w:val="24"/>
        </w:rPr>
      </w:pPr>
      <w:r w:rsidRPr="00351CC4">
        <w:rPr>
          <w:rStyle w:val="Ppogrubienie"/>
          <w:rFonts w:ascii="Times New Roman" w:hAnsi="Times New Roman" w:cs="Times New Roman"/>
          <w:szCs w:val="24"/>
        </w:rPr>
        <w:lastRenderedPageBreak/>
        <w:t>§ 4a.</w:t>
      </w:r>
      <w:r w:rsidRPr="00351CC4">
        <w:rPr>
          <w:rFonts w:ascii="Times New Roman" w:hAnsi="Times New Roman" w:cs="Times New Roman"/>
          <w:szCs w:val="24"/>
        </w:rPr>
        <w:t> 1. Zadanie, o którym mowa w § 2 ust. 1 pkt 3, w zakresie dotyczącym monitorowania wykonywania wyroków Trybunału, Zespół realizuje w szczególności w oparciu o przedstawiane przez ministra właściwego z uwagi na treść naruszenia stwierdzonego w wyroku Trybunału dokumenty i informacje:</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1)</w:t>
      </w:r>
      <w:r w:rsidRPr="00351CC4">
        <w:rPr>
          <w:rFonts w:ascii="Times New Roman" w:hAnsi="Times New Roman" w:cs="Times New Roman"/>
          <w:szCs w:val="24"/>
        </w:rPr>
        <w:tab/>
        <w:t>tłumaczenie wyroku na język polski;</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2)</w:t>
      </w:r>
      <w:r w:rsidRPr="00351CC4">
        <w:rPr>
          <w:rFonts w:ascii="Times New Roman" w:hAnsi="Times New Roman" w:cs="Times New Roman"/>
          <w:szCs w:val="24"/>
        </w:rPr>
        <w:tab/>
        <w:t>informację na temat działań mających na celu upowszechnienie wyroku wśród podmiotów, których działania lub zaniechania dotyczy lub może dotyczyć stwierdzone przez Trybunał naruszenie Konwencji o ochronie praw człowieka i podstawowych wolności;</w:t>
      </w:r>
    </w:p>
    <w:p w:rsidR="00351CC4" w:rsidRPr="00351CC4" w:rsidRDefault="00351CC4" w:rsidP="00351CC4">
      <w:pPr>
        <w:pStyle w:val="PKTpunkt"/>
        <w:keepNext/>
        <w:rPr>
          <w:rFonts w:ascii="Times New Roman" w:hAnsi="Times New Roman" w:cs="Times New Roman"/>
          <w:szCs w:val="24"/>
        </w:rPr>
      </w:pPr>
      <w:r w:rsidRPr="00351CC4">
        <w:rPr>
          <w:rFonts w:ascii="Times New Roman" w:hAnsi="Times New Roman" w:cs="Times New Roman"/>
          <w:szCs w:val="24"/>
        </w:rPr>
        <w:t>3)</w:t>
      </w:r>
      <w:r w:rsidRPr="00351CC4">
        <w:rPr>
          <w:rFonts w:ascii="Times New Roman" w:hAnsi="Times New Roman" w:cs="Times New Roman"/>
          <w:szCs w:val="24"/>
        </w:rPr>
        <w:tab/>
        <w:t>plan działań w sprawie wykonania ostatecznego wyroku Trybunału, zwany dalej „planem działań”, zawierający informacje na temat wymaganych i planowanych:</w:t>
      </w:r>
    </w:p>
    <w:p w:rsidR="00351CC4" w:rsidRPr="00351CC4" w:rsidRDefault="00351CC4" w:rsidP="00351CC4">
      <w:pPr>
        <w:pStyle w:val="LITlitera"/>
        <w:rPr>
          <w:rFonts w:ascii="Times New Roman" w:hAnsi="Times New Roman" w:cs="Times New Roman"/>
          <w:szCs w:val="24"/>
        </w:rPr>
      </w:pPr>
      <w:r w:rsidRPr="00351CC4">
        <w:rPr>
          <w:rFonts w:ascii="Times New Roman" w:hAnsi="Times New Roman" w:cs="Times New Roman"/>
          <w:szCs w:val="24"/>
        </w:rPr>
        <w:t>a)</w:t>
      </w:r>
      <w:r w:rsidRPr="00351CC4">
        <w:rPr>
          <w:rFonts w:ascii="Times New Roman" w:hAnsi="Times New Roman" w:cs="Times New Roman"/>
          <w:szCs w:val="24"/>
        </w:rPr>
        <w:tab/>
        <w:t>środków indywidualnych, czyli środków mających na celu zapewnienie, by stwierdzony przez Trybunał stan naruszenia Konwencji o ochronie praw człowieka i podstawowych wolności wobec skarżącego ustał, a także, by skarżący został postawiony, na ile to możliwe, w tej samej sytuacji, z której korzystał przed naruszeniem Konwencji, zwanych dalej „środkami indywidualnymi”,</w:t>
      </w:r>
    </w:p>
    <w:p w:rsidR="00351CC4" w:rsidRPr="00351CC4" w:rsidRDefault="00351CC4" w:rsidP="00351CC4">
      <w:pPr>
        <w:pStyle w:val="LITlitera"/>
        <w:rPr>
          <w:rFonts w:ascii="Times New Roman" w:hAnsi="Times New Roman" w:cs="Times New Roman"/>
          <w:szCs w:val="24"/>
        </w:rPr>
      </w:pPr>
      <w:r w:rsidRPr="00351CC4">
        <w:rPr>
          <w:rFonts w:ascii="Times New Roman" w:hAnsi="Times New Roman" w:cs="Times New Roman"/>
          <w:szCs w:val="24"/>
        </w:rPr>
        <w:t>b)</w:t>
      </w:r>
      <w:r w:rsidRPr="00351CC4">
        <w:rPr>
          <w:rFonts w:ascii="Times New Roman" w:hAnsi="Times New Roman" w:cs="Times New Roman"/>
          <w:szCs w:val="24"/>
        </w:rPr>
        <w:tab/>
        <w:t>środków generalnych, czyli środków dotyczących obowiązującego prawa lub praktyki jego stosowania, mających na celu zakończenie stanu naruszenia Konwencji o ochronie praw człowieka i podstawowych wolności i zapobieżenie nowym, podobnym naruszeniom Konwencji na przyszłość, zwanych dalej „środkami generalnymi”</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 wraz z terminami ich wdrożenia;</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4)</w:t>
      </w:r>
      <w:r w:rsidRPr="00351CC4">
        <w:rPr>
          <w:rFonts w:ascii="Times New Roman" w:hAnsi="Times New Roman" w:cs="Times New Roman"/>
          <w:szCs w:val="24"/>
        </w:rPr>
        <w:tab/>
        <w:t>zaktualizowane informacje na temat stanu wdrażania planu działań;</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5)</w:t>
      </w:r>
      <w:r w:rsidRPr="00351CC4">
        <w:rPr>
          <w:rFonts w:ascii="Times New Roman" w:hAnsi="Times New Roman" w:cs="Times New Roman"/>
          <w:szCs w:val="24"/>
        </w:rPr>
        <w:tab/>
        <w:t>raport z działań podjętych w celu wykonania ostatecznego wyroku Trybunału, zwany dalej „raportem z wykonania”, zawierający informacje na temat zrealizowanych środków indywidualnych i generalnych niezbędnych dla pełnego wykonania wyroku.</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2. Zadanie, o którym mowa w § 2 ust. 1 pkt 3, w zakresie dotyczącym monitorowania wykonywania decyzji Trybunału, Zespół realizuje w szczególności w oparciu o informację ministra właściwego z uwagi na przedmiot decyzji o rozpowszechnieniu wśród organów, których działanie lub zaniechanie było przedmiotem skargi do Trybunału, informacji na temat treści ugody lub deklaracji jednostronnej wraz z informacją na temat mającego zastosowanie standardu Konwencji o ochronie praw człowieka i podstawowych wolności określonego w orzecznictwie Trybunału.</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lastRenderedPageBreak/>
        <w:t>3. Obowiązku przedstawienia tłumaczenia wyroku, o którym mowa w ust. 1 pkt 1,  nie stosuje się, jeżeli w świetle klasyfikacji spraw stosowanej przez Trybunał wyrok dotyczy spraw powtarzalnych i minister właściwy w porozumieniu z przewodniczącym Zespołu uznają za wystarczające przetłumaczenie wyroków Trybunału wydanych w innych podobnych sprawach.</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4. W przypadku, gdy wyrok lub decyzja Trybunału dotyczy właściwości dwóch lub więcej ministrów, Zespół realizuje zadanie, o którym mowa w § 2 ust. 1 pkt 3, w oparciu o dokumenty i informacje przedstawiane przez każdego z ministrów w zakresie swojej właściwości.</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5. W przypadku, gdy wykonanie wyroku lub decyzji wymaga podjęcia działań przez inny organ władzy publicznej podległy lub nadzorowany przez ministra właściwego z uwagi na stwierdzone naruszenie, przedstawiane przez ministra właściwego dokumenty, o których mowa w ust. 1, uwzględniają również działania planowane lub podjęte przez ten organ.</w:t>
      </w:r>
    </w:p>
    <w:p w:rsidR="00351CC4" w:rsidRPr="00351CC4" w:rsidRDefault="00351CC4" w:rsidP="00351CC4">
      <w:pPr>
        <w:pStyle w:val="USTustnpkodeksu"/>
        <w:keepNext/>
        <w:rPr>
          <w:rFonts w:ascii="Times New Roman" w:hAnsi="Times New Roman" w:cs="Times New Roman"/>
          <w:szCs w:val="24"/>
        </w:rPr>
      </w:pPr>
      <w:r w:rsidRPr="00351CC4">
        <w:rPr>
          <w:rFonts w:ascii="Times New Roman" w:hAnsi="Times New Roman" w:cs="Times New Roman"/>
          <w:szCs w:val="24"/>
        </w:rPr>
        <w:t>6. Przewodniczący Zespołu wspiera i koordynuje realizację zadania Zespołu, o którym mowa w § 2 ust. 1 pkt 3, w tym w szczególności:</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1)</w:t>
      </w:r>
      <w:r w:rsidRPr="00351CC4">
        <w:rPr>
          <w:rFonts w:ascii="Times New Roman" w:hAnsi="Times New Roman" w:cs="Times New Roman"/>
          <w:szCs w:val="24"/>
        </w:rPr>
        <w:tab/>
        <w:t>informuje bez zbędnej zwłoki członków Zespołu o wydaniu wyroku lub decyzji Trybunału oraz w uzasadnionych przypadkach udziela wyjaśnień na temat ich treści lub prawomocności;</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2)</w:t>
      </w:r>
      <w:r w:rsidRPr="00351CC4">
        <w:rPr>
          <w:rFonts w:ascii="Times New Roman" w:hAnsi="Times New Roman" w:cs="Times New Roman"/>
          <w:szCs w:val="24"/>
        </w:rPr>
        <w:tab/>
        <w:t>może przedstawiać propozycje lub uwagi w sprawie sposobu wykonania wyroków i decyzji Trybunału przez właściwych ministrów lub inne podmioty;</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3)</w:t>
      </w:r>
      <w:r w:rsidRPr="00351CC4">
        <w:rPr>
          <w:rFonts w:ascii="Times New Roman" w:hAnsi="Times New Roman" w:cs="Times New Roman"/>
          <w:szCs w:val="24"/>
        </w:rPr>
        <w:tab/>
        <w:t>zapewnia koordynację prac członków Zespołu, w szczególności w przypadkach, o których mowa w ust. 4;</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4)</w:t>
      </w:r>
      <w:r w:rsidRPr="00351CC4">
        <w:rPr>
          <w:rFonts w:ascii="Times New Roman" w:hAnsi="Times New Roman" w:cs="Times New Roman"/>
          <w:szCs w:val="24"/>
        </w:rPr>
        <w:tab/>
        <w:t>informuje członków Zespołu o stanowiskach Komitetu Ministrów Rady Europy w odniesieniu do wykonywania wyroków i decyzji Trybunału przez Polskę;</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5)</w:t>
      </w:r>
      <w:r w:rsidRPr="00351CC4">
        <w:rPr>
          <w:rFonts w:ascii="Times New Roman" w:hAnsi="Times New Roman" w:cs="Times New Roman"/>
          <w:szCs w:val="24"/>
        </w:rPr>
        <w:tab/>
        <w:t>informuje Zespół o stanie wykonywania wyroków i decyzji Trybunału przez Polskę oraz ewentualnych problemach związanych z ich wykonywaniem.</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t>§ 4b.</w:t>
      </w:r>
      <w:r w:rsidRPr="00351CC4">
        <w:rPr>
          <w:rFonts w:ascii="Times New Roman" w:hAnsi="Times New Roman" w:cs="Times New Roman"/>
          <w:szCs w:val="24"/>
        </w:rPr>
        <w:t> 1. Tłumaczenie, o którym mowa w § 4a ust. 1 pkt 1, przedstawia się najpóźniej w terminie 2 miesięcy od daty wydania wyroku. Do tłumaczenia może zostać załączony umotywowany wniosek właściwego ministra o przekazanie sprawy do Wielkiej Izby Trybunału.</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2. Informację, o której mowa w § 4a ust. 1 pkt 2, przedstawia się najpóźniej w terminie 2 miesięcy od daty, w której wyrok stał się ostateczny.</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lastRenderedPageBreak/>
        <w:t>3. Projekt planu działań przedstawia się najpóźniej w terminie 2 miesięcy od daty, w której wyrok stał się ostateczny. Zdania 1 nie stosuje się, jeżeli w tym terminie przedstawiony zostaje projekt raportu z wykonania.</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4. Informacje, o których mowa w § 4a ust. 1 pkt 4, przedstawia się co 6 miesięcy od daty przedstawienia uzgodnionego planu działań oraz każdorazowo na prośbę Komitetu Ministrów Rady Europy.</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5. Projekt raportu z wykonania przedstawia się niezwłocznie po zrealizowaniu wszystkich działań określonych w planie działań lub jeśli wszystkie wymagane środki indywidualne lub generalne zostały już wdrożone na innej podstawie.</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6. Informacje, o których mowa w § 4a ust. 2, przedstawia się w terminie 3 miesięcy od daty opublikowania przedmiotowej decyzji Trybunału w bazie wyroków i decyzji prowadzonej przez Europejski Trybunał Praw Człowieka (HUDOC).</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7. Uwagi do projektów dokumentów, o których mowa w § 4a ust. 1 pkt 2</w:t>
      </w:r>
      <w:r w:rsidRPr="00351CC4">
        <w:rPr>
          <w:rFonts w:ascii="Times New Roman" w:hAnsi="Times New Roman" w:cs="Times New Roman"/>
          <w:szCs w:val="24"/>
        </w:rPr>
        <w:sym w:font="Symbol" w:char="F02D"/>
      </w:r>
      <w:r w:rsidRPr="00351CC4">
        <w:rPr>
          <w:rFonts w:ascii="Times New Roman" w:hAnsi="Times New Roman" w:cs="Times New Roman"/>
          <w:szCs w:val="24"/>
        </w:rPr>
        <w:t>5, oraz informacje na temat stanowisk ministrów właściwych w odniesieniu do uwag zgłasza się najpóźniej w terminie 1 miesiąca od daty ich otrzymania.</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8. Uzgodniony plan działań przedstawia się najpóźniej w terminie 4 miesięcy od daty, w której wyrok stał się ostateczny. Zdania 1 nie stosuje się, jeżeli w tym terminie przedstawiony zostaje uzgodniony raport z wykonania.</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9. Informacje na temat stanowisk ministrów właściwych w odniesieniu do uwag, decyzji i rezolucji Komitetu Ministrów Rady Europy przedstawia się najpóźniej w terminie 1 miesiąca od daty ich otrzymania.</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10. W uzasadnionych przypadkach, w szczególności z uwagi na szczególnie skomplikowany charakter sprawy, przewodniczący Zespołu może wyrazić zgodę na przedłużenie terminów przedstawienia dokumentów i informacji, o których mowa w ust. 1</w:t>
      </w:r>
      <w:r w:rsidRPr="00351CC4">
        <w:rPr>
          <w:rFonts w:ascii="Times New Roman" w:hAnsi="Times New Roman" w:cs="Times New Roman"/>
          <w:szCs w:val="24"/>
        </w:rPr>
        <w:sym w:font="Symbol" w:char="F02D"/>
      </w:r>
      <w:r w:rsidRPr="00351CC4">
        <w:rPr>
          <w:rFonts w:ascii="Times New Roman" w:hAnsi="Times New Roman" w:cs="Times New Roman"/>
          <w:szCs w:val="24"/>
        </w:rPr>
        <w:t>9.</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t>§ 4c.</w:t>
      </w:r>
      <w:r w:rsidRPr="00351CC4">
        <w:rPr>
          <w:rFonts w:ascii="Times New Roman" w:hAnsi="Times New Roman" w:cs="Times New Roman"/>
          <w:szCs w:val="24"/>
        </w:rPr>
        <w:t> W celu realizacji zadania Zespołu, o którym mowa w § 2 ust. 1 pkt 4, członkowie Zespołu zgodnie ze swoją właściwością przekazują przewodniczącemu Zespołu w terminie do dnia 31 stycznia roku następującego po roku stanowiącym okres sprawozdawczy, zbiorcze informacje na temat działań podjętych przez reprezentowany podmiot w celu wykonania wyroków Trybunału pozostających w ich właściwości, informacje na temat aktualnego stanu wykonania wyroków oraz na temat ewentualnych przeszkód napotykanych w procesie wykonywania wyroków.</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lastRenderedPageBreak/>
        <w:t>§ 4d.</w:t>
      </w:r>
      <w:r w:rsidRPr="00351CC4">
        <w:rPr>
          <w:rFonts w:ascii="Times New Roman" w:hAnsi="Times New Roman" w:cs="Times New Roman"/>
          <w:szCs w:val="24"/>
        </w:rPr>
        <w:t xml:space="preserve"> 1. Przewodniczący Zespołu przedstawia Prezesowi Rady Ministrów półroczne sprawozdanie z realizacji zadań, w terminie do dnia 31 lipca za pierwsze półrocze oraz do dnia 31 stycznia roku następnego za drugie półrocze.</w:t>
      </w:r>
    </w:p>
    <w:p w:rsidR="00351CC4" w:rsidRPr="00351CC4" w:rsidRDefault="00351CC4" w:rsidP="00351CC4">
      <w:pPr>
        <w:pStyle w:val="USTustnpkodeksu"/>
        <w:keepNext/>
        <w:rPr>
          <w:rFonts w:ascii="Times New Roman" w:hAnsi="Times New Roman" w:cs="Times New Roman"/>
          <w:szCs w:val="24"/>
        </w:rPr>
      </w:pPr>
      <w:r w:rsidRPr="00351CC4">
        <w:rPr>
          <w:rFonts w:ascii="Times New Roman" w:hAnsi="Times New Roman" w:cs="Times New Roman"/>
          <w:szCs w:val="24"/>
        </w:rPr>
        <w:t>2. Sprawozdania, o których mowa w ust. 1, zawierają informacje o:</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1)</w:t>
      </w:r>
      <w:r w:rsidRPr="00351CC4">
        <w:rPr>
          <w:rFonts w:ascii="Times New Roman" w:hAnsi="Times New Roman" w:cs="Times New Roman"/>
          <w:szCs w:val="24"/>
        </w:rPr>
        <w:tab/>
        <w:t>liczbie posiedzeń, a w przypadku braku posiedzeń o przyczynach takiego stanu;</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2)</w:t>
      </w:r>
      <w:r w:rsidRPr="00351CC4">
        <w:rPr>
          <w:rFonts w:ascii="Times New Roman" w:hAnsi="Times New Roman" w:cs="Times New Roman"/>
          <w:szCs w:val="24"/>
        </w:rPr>
        <w:tab/>
        <w:t>zadaniach zrealizowanych przez Zespół w okresie sprawozdawczym;</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3)</w:t>
      </w:r>
      <w:r w:rsidRPr="00351CC4">
        <w:rPr>
          <w:rFonts w:ascii="Times New Roman" w:hAnsi="Times New Roman" w:cs="Times New Roman"/>
          <w:szCs w:val="24"/>
        </w:rPr>
        <w:tab/>
        <w:t>problemach lub zagrożeniach, które wystąpiły podczas realizacji zadań Zespołu;</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4)</w:t>
      </w:r>
      <w:r w:rsidRPr="00351CC4">
        <w:rPr>
          <w:rFonts w:ascii="Times New Roman" w:hAnsi="Times New Roman" w:cs="Times New Roman"/>
          <w:szCs w:val="24"/>
        </w:rPr>
        <w:tab/>
        <w:t>zadaniach przewidzianych na kolejny okres sprawozdawczy ze wskazaniem wstępnego harmonogramu ich realizacji;</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5)</w:t>
      </w:r>
      <w:r w:rsidRPr="00351CC4">
        <w:rPr>
          <w:rFonts w:ascii="Times New Roman" w:hAnsi="Times New Roman" w:cs="Times New Roman"/>
          <w:szCs w:val="24"/>
        </w:rPr>
        <w:tab/>
        <w:t>dodatkowych wnioskach, rekomendacjach, spostrzeżeniach i potencjalnych zagrożeniach istotnych z punktu widzenia obszaru działalności Zespołu;</w:t>
      </w:r>
    </w:p>
    <w:p w:rsidR="00351CC4" w:rsidRPr="00351CC4" w:rsidRDefault="00351CC4" w:rsidP="00351CC4">
      <w:pPr>
        <w:pStyle w:val="PKTpunkt"/>
        <w:rPr>
          <w:rFonts w:ascii="Times New Roman" w:hAnsi="Times New Roman" w:cs="Times New Roman"/>
          <w:szCs w:val="24"/>
        </w:rPr>
      </w:pPr>
      <w:r w:rsidRPr="00351CC4">
        <w:rPr>
          <w:rFonts w:ascii="Times New Roman" w:hAnsi="Times New Roman" w:cs="Times New Roman"/>
          <w:szCs w:val="24"/>
        </w:rPr>
        <w:t>6)</w:t>
      </w:r>
      <w:r w:rsidRPr="00351CC4">
        <w:rPr>
          <w:rFonts w:ascii="Times New Roman" w:hAnsi="Times New Roman" w:cs="Times New Roman"/>
          <w:szCs w:val="24"/>
        </w:rPr>
        <w:tab/>
        <w:t>zasadności dalszego funkcjonowania Zespołu.</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t>§ 5.</w:t>
      </w:r>
      <w:r w:rsidRPr="00351CC4">
        <w:rPr>
          <w:rFonts w:ascii="Times New Roman" w:hAnsi="Times New Roman" w:cs="Times New Roman"/>
          <w:szCs w:val="24"/>
        </w:rPr>
        <w:t> 1. Posiedzenia Zespołu zwołuje, co najmniej raz na kwartał, przewodniczący Zespołu z własnej inicjatywy, na wniosek sekretarza lub na wniosek co najmniej połowy członków Zespołu. Przewodniczący Zespołu przewodniczy posiedzeniom i kieruje pracami Zespołu.</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2. W razie nieobecności przewodniczącego Zespołu posiedzenia Zespołu zwołuje sekretarz lub osoba wskazana przez przewodniczącego Zespołu spośród pracowników komórki organizacyjnej Ministerstwa Spraw Zagranicznych odpowiedzialnej za reprezentację Polski przed międzynarodowymi organami ochrony praw człowieka. Przepis ust. 1 stosuje się odpowiednio.</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3. Z każdego posiedzenia Zespołu lub grupy roboczej sporządzane jest sprawozdanie.</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t>§ 5a.</w:t>
      </w:r>
      <w:r w:rsidRPr="00351CC4">
        <w:rPr>
          <w:rFonts w:ascii="Times New Roman" w:hAnsi="Times New Roman" w:cs="Times New Roman"/>
          <w:szCs w:val="24"/>
        </w:rPr>
        <w:t> 1. W sprawach określonych w § 2 Zespół może podejmować uchwały.</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2. Uchwały podejmowane są przez członków Zespołu na posiedzeniach albo w drodze korespondencyjnego uzgodnienia stanowisk (tryb obiegowy).</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t>§ 6.</w:t>
      </w:r>
      <w:r w:rsidRPr="00351CC4">
        <w:rPr>
          <w:rFonts w:ascii="Times New Roman" w:hAnsi="Times New Roman" w:cs="Times New Roman"/>
          <w:szCs w:val="24"/>
        </w:rPr>
        <w:t> 1. Obsługę prac Zespołu zapewnia urząd obsługujący ministra właściwego do spraw zagranicznych, w szczególności poprzez udzielanie w uzasadnionych przypadkach pomocy w redagowaniu zgodnie z wymogami Rady Europy uzgodnionych planów działań oraz raportów z wykonania, zapewnianie ich tłumaczenia na język urzędowy Rady Europy oraz przekazywanie ich do Komitetu Ministrów Rady Europy.</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t>2. Wydatki związane z obsługą działalności Zespołu są pokrywane z budżetu państwa z części, której dysponentem jest minister właściwy do spraw zagranicznych.</w:t>
      </w:r>
    </w:p>
    <w:p w:rsidR="00351CC4" w:rsidRPr="00351CC4" w:rsidRDefault="00351CC4" w:rsidP="00351CC4">
      <w:pPr>
        <w:pStyle w:val="USTustnpkodeksu"/>
        <w:rPr>
          <w:rFonts w:ascii="Times New Roman" w:hAnsi="Times New Roman" w:cs="Times New Roman"/>
          <w:szCs w:val="24"/>
        </w:rPr>
      </w:pPr>
      <w:r w:rsidRPr="00351CC4">
        <w:rPr>
          <w:rFonts w:ascii="Times New Roman" w:hAnsi="Times New Roman" w:cs="Times New Roman"/>
          <w:szCs w:val="24"/>
        </w:rPr>
        <w:lastRenderedPageBreak/>
        <w:t>3. Udział w pracach Zespołu jest nieodpłatny.</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t>§ 7.</w:t>
      </w:r>
      <w:r w:rsidRPr="00351CC4">
        <w:rPr>
          <w:rFonts w:ascii="Times New Roman" w:hAnsi="Times New Roman" w:cs="Times New Roman"/>
          <w:szCs w:val="24"/>
        </w:rPr>
        <w:t> W ciągu dwóch tygodni od daty wejścia zarządzenia w życie, organy wskazane w § 3 ust. 1 pkt 3, wyznaczą jednego lub więcej ekspertów do uczestniczenia w pracach Zespołu.</w:t>
      </w:r>
    </w:p>
    <w:p w:rsidR="00351CC4" w:rsidRPr="00351CC4" w:rsidRDefault="00351CC4" w:rsidP="00351CC4">
      <w:pPr>
        <w:pStyle w:val="ARTartustawynprozporzdzenia"/>
        <w:rPr>
          <w:rFonts w:ascii="Times New Roman" w:hAnsi="Times New Roman" w:cs="Times New Roman"/>
          <w:szCs w:val="24"/>
        </w:rPr>
      </w:pPr>
      <w:r w:rsidRPr="00351CC4">
        <w:rPr>
          <w:rStyle w:val="Ppogrubienie"/>
          <w:rFonts w:ascii="Times New Roman" w:hAnsi="Times New Roman" w:cs="Times New Roman"/>
          <w:szCs w:val="24"/>
        </w:rPr>
        <w:t>§ 8.</w:t>
      </w:r>
      <w:r w:rsidRPr="00351CC4">
        <w:rPr>
          <w:rFonts w:ascii="Times New Roman" w:hAnsi="Times New Roman" w:cs="Times New Roman"/>
          <w:szCs w:val="24"/>
        </w:rPr>
        <w:t> Zarządzenie wchodzi w życie z dniem podpisania.</w:t>
      </w:r>
    </w:p>
    <w:p w:rsidR="00351CC4" w:rsidRPr="00351CC4" w:rsidRDefault="00351CC4" w:rsidP="00351CC4">
      <w:pPr>
        <w:pStyle w:val="ARTartustawynprozporzdzenia"/>
        <w:rPr>
          <w:rFonts w:ascii="Times New Roman" w:hAnsi="Times New Roman" w:cs="Times New Roman"/>
          <w:szCs w:val="24"/>
        </w:rPr>
      </w:pPr>
    </w:p>
    <w:p w:rsidR="00351CC4" w:rsidRDefault="00351CC4" w:rsidP="00351CC4">
      <w:pPr>
        <w:pStyle w:val="NAZORGWYDnazwaorganuwydajcegoprojektowanyakt"/>
        <w:rPr>
          <w:rFonts w:ascii="Times New Roman" w:hAnsi="Times New Roman"/>
        </w:rPr>
      </w:pPr>
    </w:p>
    <w:p w:rsidR="00351CC4" w:rsidRPr="00351CC4" w:rsidRDefault="00351CC4" w:rsidP="00351CC4">
      <w:pPr>
        <w:pStyle w:val="NAZORGWYDnazwaorganuwydajcegoprojektowanyakt"/>
        <w:rPr>
          <w:rFonts w:ascii="Times New Roman" w:hAnsi="Times New Roman"/>
        </w:rPr>
      </w:pPr>
      <w:r w:rsidRPr="00351CC4">
        <w:rPr>
          <w:rFonts w:ascii="Times New Roman" w:hAnsi="Times New Roman"/>
        </w:rPr>
        <w:t>PREZES RADY MINISTRÓW</w:t>
      </w:r>
    </w:p>
    <w:p w:rsidR="00351CC4" w:rsidRPr="00351CC4" w:rsidRDefault="00351CC4" w:rsidP="00351CC4">
      <w:pPr>
        <w:rPr>
          <w:rFonts w:cs="Times New Roman"/>
          <w:szCs w:val="24"/>
        </w:rPr>
      </w:pPr>
    </w:p>
    <w:p w:rsidR="00C10F79" w:rsidRPr="00351CC4" w:rsidRDefault="00C10F79" w:rsidP="00351CC4">
      <w:pPr>
        <w:pStyle w:val="OZNRODZAKTUtznustawalubrozporzdzenieiorganwydajcy"/>
        <w:rPr>
          <w:rFonts w:ascii="Times New Roman" w:hAnsi="Times New Roman"/>
        </w:rPr>
      </w:pPr>
    </w:p>
    <w:sectPr w:rsidR="00C10F79" w:rsidRPr="00351CC4" w:rsidSect="00994F28">
      <w:headerReference w:type="default" r:id="rId8"/>
      <w:pgSz w:w="11906" w:h="16838"/>
      <w:pgMar w:top="1418"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0A" w:rsidRDefault="000F530A" w:rsidP="0037433B">
      <w:pPr>
        <w:spacing w:line="240" w:lineRule="auto"/>
      </w:pPr>
      <w:r>
        <w:separator/>
      </w:r>
    </w:p>
  </w:endnote>
  <w:endnote w:type="continuationSeparator" w:id="0">
    <w:p w:rsidR="000F530A" w:rsidRDefault="000F530A" w:rsidP="00374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0A" w:rsidRDefault="000F530A" w:rsidP="0037433B">
      <w:pPr>
        <w:spacing w:line="240" w:lineRule="auto"/>
      </w:pPr>
      <w:r>
        <w:separator/>
      </w:r>
    </w:p>
  </w:footnote>
  <w:footnote w:type="continuationSeparator" w:id="0">
    <w:p w:rsidR="000F530A" w:rsidRDefault="000F530A" w:rsidP="0037433B">
      <w:pPr>
        <w:spacing w:line="240" w:lineRule="auto"/>
      </w:pPr>
      <w:r>
        <w:continuationSeparator/>
      </w:r>
    </w:p>
  </w:footnote>
  <w:footnote w:id="1">
    <w:p w:rsidR="006170F1" w:rsidRDefault="006170F1" w:rsidP="00DF4F29">
      <w:pPr>
        <w:pStyle w:val="Tekstprzypisudolnego"/>
        <w:spacing w:after="60"/>
      </w:pPr>
      <w:r w:rsidRPr="00351CC4">
        <w:rPr>
          <w:rStyle w:val="Odwoanieprzypisudolnego"/>
        </w:rPr>
        <w:sym w:font="Symbol" w:char="F02A"/>
      </w:r>
      <w:r w:rsidRPr="00351CC4">
        <w:t xml:space="preserve"> Tekst ujednolicony opracowano na podstawie zarządzenia nr 73 Prezesa Rady Ministrów z dnia 19 lipca 2007 r. w sprawie utworzenia Zespołu do spraw Europejskiego Trybunału Praw Człowieka, zarządzenia nr 3 Prezesa Rady Ministrów z dnia 8 stycznia 2008 r. zmieniającego zarządzenie w sprawie utworzenia Zespołu do spraw Europejskiego Trybunału Praw Człowieka, zarządzenia nr 20 Prezesa Rady Ministrów z dnia 8 marca 2013 r. zmieniającego zarządzenie w sprawie utworzenia Zespołu do spraw Europejskiego Trybunału Praw Człowieka, zarządzenia nr 6 Prezesa Rady Ministrów z dnia 23 stycznia 2015 r. zmieniającego zarządzenie w sprawie utworzenia Zespołu do spraw Europej</w:t>
      </w:r>
      <w:r w:rsidR="00AD54C1" w:rsidRPr="00351CC4">
        <w:t>skiego Trybunału Praw Człowieka, oraz zarządzenia nr 152 Prezesa Rady Ministrów z dnia 20 września 2019 r. zmieniające</w:t>
      </w:r>
      <w:r w:rsidR="00FA5578" w:rsidRPr="00351CC4">
        <w:t>go</w:t>
      </w:r>
      <w:r w:rsidR="00AD54C1" w:rsidRPr="00351CC4">
        <w:t xml:space="preserve"> niektóre zarządzenia Prezesa Rady Ministrów w sprawie organów pomocniczych Rady Ministrów i Prezesa Rady Ministrów w zakresie obowiązków sprawozdawczych tych organów.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65" w:rsidRPr="00B371CC" w:rsidRDefault="00123B21" w:rsidP="00B371CC">
    <w:pPr>
      <w:pStyle w:val="Nagwek"/>
      <w:jc w:val="center"/>
    </w:pPr>
    <w:r>
      <w:t xml:space="preserve">– </w:t>
    </w:r>
    <w:r>
      <w:fldChar w:fldCharType="begin"/>
    </w:r>
    <w:r>
      <w:instrText xml:space="preserve"> PAGE  \* MERGEFORMAT </w:instrText>
    </w:r>
    <w:r>
      <w:fldChar w:fldCharType="separate"/>
    </w:r>
    <w:r w:rsidR="0013698D">
      <w:rPr>
        <w:noProof/>
      </w:rPr>
      <w:t>8</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07"/>
    <w:rsid w:val="0004495E"/>
    <w:rsid w:val="000F530A"/>
    <w:rsid w:val="00107875"/>
    <w:rsid w:val="00121D34"/>
    <w:rsid w:val="00123B21"/>
    <w:rsid w:val="0013698D"/>
    <w:rsid w:val="0020664C"/>
    <w:rsid w:val="00211FC9"/>
    <w:rsid w:val="0022035A"/>
    <w:rsid w:val="002C17FD"/>
    <w:rsid w:val="00312DD2"/>
    <w:rsid w:val="00351CC4"/>
    <w:rsid w:val="00356CD5"/>
    <w:rsid w:val="0037433B"/>
    <w:rsid w:val="003E75A1"/>
    <w:rsid w:val="004003AA"/>
    <w:rsid w:val="00575EC0"/>
    <w:rsid w:val="006170F1"/>
    <w:rsid w:val="00625068"/>
    <w:rsid w:val="00661969"/>
    <w:rsid w:val="0069759F"/>
    <w:rsid w:val="006F3696"/>
    <w:rsid w:val="007167F8"/>
    <w:rsid w:val="00851D78"/>
    <w:rsid w:val="00870943"/>
    <w:rsid w:val="008A3C69"/>
    <w:rsid w:val="008A7E13"/>
    <w:rsid w:val="00947A55"/>
    <w:rsid w:val="009515B0"/>
    <w:rsid w:val="00990F43"/>
    <w:rsid w:val="00994F28"/>
    <w:rsid w:val="009E5A07"/>
    <w:rsid w:val="00A11E47"/>
    <w:rsid w:val="00A1587E"/>
    <w:rsid w:val="00A356E4"/>
    <w:rsid w:val="00AD54C1"/>
    <w:rsid w:val="00C10F79"/>
    <w:rsid w:val="00C324E4"/>
    <w:rsid w:val="00DE7839"/>
    <w:rsid w:val="00DF4F29"/>
    <w:rsid w:val="00EC5CC2"/>
    <w:rsid w:val="00F13AB7"/>
    <w:rsid w:val="00F71839"/>
    <w:rsid w:val="00FA55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CD5"/>
    <w:pPr>
      <w:widowControl w:val="0"/>
      <w:autoSpaceDE w:val="0"/>
      <w:autoSpaceDN w:val="0"/>
      <w:adjustRightInd w:val="0"/>
      <w:spacing w:after="0" w:line="360" w:lineRule="auto"/>
      <w:jc w:val="both"/>
    </w:pPr>
    <w:rPr>
      <w:rFonts w:ascii="Times New Roman" w:eastAsiaTheme="minorEastAsia" w:hAnsi="Times New Roman" w:cs="Arial"/>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356CD5"/>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356CD5"/>
    <w:rPr>
      <w:rFonts w:ascii="Times" w:eastAsia="Times New Roman" w:hAnsi="Times" w:cs="Times New Roman"/>
      <w:kern w:val="1"/>
      <w:sz w:val="24"/>
      <w:szCs w:val="24"/>
      <w:lang w:val="pl-PL" w:eastAsia="ar-SA"/>
    </w:rPr>
  </w:style>
  <w:style w:type="paragraph" w:customStyle="1" w:styleId="ARTartustawynprozporzdzenia">
    <w:name w:val="ART(§) – art. ustawy (§ np. rozporządzenia)"/>
    <w:link w:val="ARTartustawynprozporzdzeniaZnak"/>
    <w:uiPriority w:val="14"/>
    <w:qFormat/>
    <w:rsid w:val="00356CD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val="pl-PL" w:eastAsia="pl-PL"/>
    </w:rPr>
  </w:style>
  <w:style w:type="character" w:customStyle="1" w:styleId="ARTartustawynprozporzdzeniaZnak">
    <w:name w:val="ART(§) – art. ustawy (§ np. rozporządzenia) Znak"/>
    <w:basedOn w:val="Domylnaczcionkaakapitu"/>
    <w:link w:val="ARTartustawynprozporzdzenia"/>
    <w:uiPriority w:val="14"/>
    <w:locked/>
    <w:rsid w:val="00356CD5"/>
    <w:rPr>
      <w:rFonts w:ascii="Times" w:eastAsiaTheme="minorEastAsia" w:hAnsi="Times" w:cs="Arial"/>
      <w:sz w:val="24"/>
      <w:szCs w:val="20"/>
      <w:lang w:val="pl-PL" w:eastAsia="pl-PL"/>
    </w:r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356CD5"/>
    <w:pPr>
      <w:keepNext/>
      <w:suppressAutoHyphens/>
      <w:spacing w:before="120" w:after="120" w:line="360" w:lineRule="auto"/>
      <w:jc w:val="center"/>
    </w:pPr>
    <w:rPr>
      <w:rFonts w:ascii="Times" w:eastAsiaTheme="minorEastAsia" w:hAnsi="Times" w:cs="Arial"/>
      <w:bCs/>
      <w:sz w:val="24"/>
      <w:szCs w:val="24"/>
      <w:lang w:val="pl-PL" w:eastAsia="pl-PL"/>
    </w:rPr>
  </w:style>
  <w:style w:type="character" w:customStyle="1" w:styleId="DATAAKTUdatauchwalenialubwydaniaaktuZnak">
    <w:name w:val="DATA_AKTU – data uchwalenia lub wydania aktu Znak"/>
    <w:basedOn w:val="Domylnaczcionkaakapitu"/>
    <w:link w:val="DATAAKTUdatauchwalenialubwydaniaaktu"/>
    <w:uiPriority w:val="2"/>
    <w:rsid w:val="00356CD5"/>
    <w:rPr>
      <w:rFonts w:ascii="Times" w:eastAsiaTheme="minorEastAsia" w:hAnsi="Times" w:cs="Arial"/>
      <w:bCs/>
      <w:sz w:val="24"/>
      <w:szCs w:val="24"/>
      <w:lang w:val="pl-PL" w:eastAsia="pl-PL"/>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356CD5"/>
    <w:pPr>
      <w:keepNext/>
      <w:suppressAutoHyphens/>
      <w:spacing w:before="120" w:after="360" w:line="360" w:lineRule="auto"/>
      <w:jc w:val="center"/>
    </w:pPr>
    <w:rPr>
      <w:rFonts w:ascii="Times" w:eastAsiaTheme="minorEastAsia" w:hAnsi="Times" w:cs="Arial"/>
      <w:b/>
      <w:bCs/>
      <w:sz w:val="24"/>
      <w:szCs w:val="24"/>
      <w:lang w:val="pl-PL" w:eastAsia="pl-PL"/>
    </w:rPr>
  </w:style>
  <w:style w:type="character" w:customStyle="1" w:styleId="TYTUAKTUprzedmiotregulacjiustawylubrozporzdzeniaZnak">
    <w:name w:val="TYTUŁ_AKTU – przedmiot regulacji ustawy lub rozporządzenia Znak"/>
    <w:basedOn w:val="Domylnaczcionkaakapitu"/>
    <w:link w:val="TYTUAKTUprzedmiotregulacjiustawylubrozporzdzenia"/>
    <w:uiPriority w:val="3"/>
    <w:rsid w:val="00356CD5"/>
    <w:rPr>
      <w:rFonts w:ascii="Times" w:eastAsiaTheme="minorEastAsia" w:hAnsi="Times" w:cs="Arial"/>
      <w:b/>
      <w:bCs/>
      <w:sz w:val="24"/>
      <w:szCs w:val="24"/>
      <w:lang w:val="pl-PL" w:eastAsia="pl-PL"/>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356CD5"/>
    <w:rPr>
      <w:bCs/>
    </w:rPr>
  </w:style>
  <w:style w:type="character" w:customStyle="1" w:styleId="NIEARTTEKSTtekstnieartykuowanynppreambuaZnak">
    <w:name w:val="NIEART_TEKST – tekst nieartykułowany (np. preambuła) Znak"/>
    <w:basedOn w:val="ARTartustawynprozporzdzeniaZnak"/>
    <w:link w:val="NIEARTTEKSTtekstnieartykuowanynppreambua"/>
    <w:uiPriority w:val="4"/>
    <w:rsid w:val="00356CD5"/>
    <w:rPr>
      <w:rFonts w:ascii="Times" w:eastAsiaTheme="minorEastAsia" w:hAnsi="Times" w:cs="Arial"/>
      <w:bCs/>
      <w:sz w:val="24"/>
      <w:szCs w:val="20"/>
      <w:lang w:val="pl-PL" w:eastAsia="pl-PL"/>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356CD5"/>
    <w:pPr>
      <w:keepNext/>
      <w:suppressAutoHyphens/>
      <w:spacing w:after="120" w:line="360" w:lineRule="auto"/>
      <w:jc w:val="center"/>
    </w:pPr>
    <w:rPr>
      <w:rFonts w:ascii="Times" w:eastAsia="Times New Roman" w:hAnsi="Times" w:cs="Times New Roman"/>
      <w:b/>
      <w:bCs/>
      <w:caps/>
      <w:spacing w:val="54"/>
      <w:kern w:val="24"/>
      <w:sz w:val="24"/>
      <w:szCs w:val="24"/>
      <w:lang w:val="pl-PL" w:eastAsia="pl-PL"/>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356CD5"/>
    <w:rPr>
      <w:rFonts w:ascii="Times" w:eastAsia="Times New Roman" w:hAnsi="Times" w:cs="Times New Roman"/>
      <w:b/>
      <w:bCs/>
      <w:caps/>
      <w:spacing w:val="54"/>
      <w:kern w:val="24"/>
      <w:sz w:val="24"/>
      <w:szCs w:val="24"/>
      <w:lang w:val="pl-PL" w:eastAsia="pl-PL"/>
    </w:rPr>
  </w:style>
  <w:style w:type="paragraph" w:customStyle="1" w:styleId="USTustnpkodeksu">
    <w:name w:val="UST(§) – ust. (§ np. kodeksu)"/>
    <w:basedOn w:val="ARTartustawynprozporzdzenia"/>
    <w:link w:val="USTustnpkodeksuZnak"/>
    <w:uiPriority w:val="15"/>
    <w:qFormat/>
    <w:rsid w:val="00356CD5"/>
    <w:pPr>
      <w:spacing w:before="0"/>
    </w:pPr>
    <w:rPr>
      <w:bCs/>
    </w:rPr>
  </w:style>
  <w:style w:type="character" w:customStyle="1" w:styleId="USTustnpkodeksuZnak">
    <w:name w:val="UST(§) – ust. (§ np. kodeksu) Znak"/>
    <w:basedOn w:val="ARTartustawynprozporzdzeniaZnak"/>
    <w:link w:val="USTustnpkodeksu"/>
    <w:uiPriority w:val="15"/>
    <w:rsid w:val="00356CD5"/>
    <w:rPr>
      <w:rFonts w:ascii="Times" w:eastAsiaTheme="minorEastAsia" w:hAnsi="Times" w:cs="Arial"/>
      <w:bCs/>
      <w:sz w:val="24"/>
      <w:szCs w:val="20"/>
      <w:lang w:val="pl-PL" w:eastAsia="pl-PL"/>
    </w:rPr>
  </w:style>
  <w:style w:type="paragraph" w:customStyle="1" w:styleId="PKTpunkt">
    <w:name w:val="PKT – punkt"/>
    <w:link w:val="PKTpunktZnak"/>
    <w:uiPriority w:val="16"/>
    <w:qFormat/>
    <w:rsid w:val="00356CD5"/>
    <w:pPr>
      <w:spacing w:after="0" w:line="360" w:lineRule="auto"/>
      <w:ind w:left="510" w:hanging="510"/>
      <w:jc w:val="both"/>
    </w:pPr>
    <w:rPr>
      <w:rFonts w:ascii="Times" w:eastAsiaTheme="minorEastAsia" w:hAnsi="Times" w:cs="Arial"/>
      <w:bCs/>
      <w:sz w:val="24"/>
      <w:szCs w:val="20"/>
      <w:lang w:val="pl-PL" w:eastAsia="pl-PL"/>
    </w:rPr>
  </w:style>
  <w:style w:type="character" w:customStyle="1" w:styleId="PKTpunktZnak">
    <w:name w:val="PKT – punkt Znak"/>
    <w:basedOn w:val="Domylnaczcionkaakapitu"/>
    <w:link w:val="PKTpunkt"/>
    <w:uiPriority w:val="16"/>
    <w:locked/>
    <w:rsid w:val="00356CD5"/>
    <w:rPr>
      <w:rFonts w:ascii="Times" w:eastAsiaTheme="minorEastAsia" w:hAnsi="Times" w:cs="Arial"/>
      <w:bCs/>
      <w:sz w:val="24"/>
      <w:szCs w:val="20"/>
      <w:lang w:val="pl-PL" w:eastAsia="pl-PL"/>
    </w:rPr>
  </w:style>
  <w:style w:type="paragraph" w:customStyle="1" w:styleId="LITlitera">
    <w:name w:val="LIT – litera"/>
    <w:basedOn w:val="PKTpunkt"/>
    <w:link w:val="LITliteraZnak"/>
    <w:uiPriority w:val="17"/>
    <w:qFormat/>
    <w:rsid w:val="00356CD5"/>
    <w:pPr>
      <w:ind w:left="986" w:hanging="476"/>
    </w:pPr>
  </w:style>
  <w:style w:type="character" w:customStyle="1" w:styleId="LITliteraZnak">
    <w:name w:val="LIT – litera Znak"/>
    <w:basedOn w:val="PKTpunktZnak"/>
    <w:link w:val="LITlitera"/>
    <w:uiPriority w:val="17"/>
    <w:rsid w:val="00356CD5"/>
    <w:rPr>
      <w:rFonts w:ascii="Times" w:eastAsiaTheme="minorEastAsia" w:hAnsi="Times" w:cs="Arial"/>
      <w:bCs/>
      <w:sz w:val="24"/>
      <w:szCs w:val="20"/>
      <w:lang w:val="pl-PL" w:eastAsia="pl-PL"/>
    </w:rPr>
  </w:style>
  <w:style w:type="paragraph" w:customStyle="1" w:styleId="OZNPROJEKTUwskazaniedatylubwersjiprojektu">
    <w:name w:val="OZN_PROJEKTU – wskazanie daty lub wersji projektu"/>
    <w:next w:val="OZNRODZAKTUtznustawalubrozporzdzenieiorganwydajcy"/>
    <w:qFormat/>
    <w:rsid w:val="00356CD5"/>
    <w:pPr>
      <w:spacing w:after="0" w:line="360" w:lineRule="auto"/>
      <w:jc w:val="right"/>
    </w:pPr>
    <w:rPr>
      <w:rFonts w:ascii="Times New Roman" w:eastAsiaTheme="minorEastAsia" w:hAnsi="Times New Roman" w:cs="Arial"/>
      <w:sz w:val="24"/>
      <w:szCs w:val="20"/>
      <w:u w:val="single"/>
      <w:lang w:val="pl-PL" w:eastAsia="pl-PL"/>
    </w:rPr>
  </w:style>
  <w:style w:type="paragraph" w:styleId="Tekstprzypisudolnego">
    <w:name w:val="footnote text"/>
    <w:basedOn w:val="Normalny"/>
    <w:link w:val="TekstprzypisudolnegoZnak"/>
    <w:uiPriority w:val="99"/>
    <w:semiHidden/>
    <w:unhideWhenUsed/>
    <w:rsid w:val="0037433B"/>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37433B"/>
    <w:rPr>
      <w:rFonts w:ascii="Times New Roman" w:eastAsiaTheme="minorEastAsia" w:hAnsi="Times New Roman" w:cs="Arial"/>
      <w:sz w:val="20"/>
      <w:szCs w:val="20"/>
      <w:lang w:val="pl-PL" w:eastAsia="pl-PL"/>
    </w:rPr>
  </w:style>
  <w:style w:type="character" w:styleId="Odwoanieprzypisudolnego">
    <w:name w:val="footnote reference"/>
    <w:basedOn w:val="Domylnaczcionkaakapitu"/>
    <w:uiPriority w:val="99"/>
    <w:semiHidden/>
    <w:unhideWhenUsed/>
    <w:rsid w:val="0037433B"/>
    <w:rPr>
      <w:vertAlign w:val="superscript"/>
    </w:rPr>
  </w:style>
  <w:style w:type="paragraph" w:styleId="Tekstdymka">
    <w:name w:val="Balloon Text"/>
    <w:basedOn w:val="Normalny"/>
    <w:link w:val="TekstdymkaZnak"/>
    <w:uiPriority w:val="99"/>
    <w:semiHidden/>
    <w:unhideWhenUsed/>
    <w:rsid w:val="002C17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17FD"/>
    <w:rPr>
      <w:rFonts w:ascii="Tahoma" w:eastAsiaTheme="minorEastAsia" w:hAnsi="Tahoma" w:cs="Tahoma"/>
      <w:sz w:val="16"/>
      <w:szCs w:val="16"/>
      <w:lang w:val="pl-PL" w:eastAsia="pl-PL"/>
    </w:rPr>
  </w:style>
  <w:style w:type="paragraph" w:styleId="Tekstprzypisukocowego">
    <w:name w:val="endnote text"/>
    <w:basedOn w:val="Normalny"/>
    <w:link w:val="TekstprzypisukocowegoZnak"/>
    <w:uiPriority w:val="99"/>
    <w:semiHidden/>
    <w:unhideWhenUsed/>
    <w:rsid w:val="002C17F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2C17FD"/>
    <w:rPr>
      <w:rFonts w:ascii="Times New Roman" w:eastAsiaTheme="minorEastAsia" w:hAnsi="Times New Roman" w:cs="Arial"/>
      <w:sz w:val="20"/>
      <w:szCs w:val="20"/>
      <w:lang w:val="pl-PL" w:eastAsia="pl-PL"/>
    </w:rPr>
  </w:style>
  <w:style w:type="character" w:styleId="Odwoanieprzypisukocowego">
    <w:name w:val="endnote reference"/>
    <w:basedOn w:val="Domylnaczcionkaakapitu"/>
    <w:uiPriority w:val="99"/>
    <w:semiHidden/>
    <w:unhideWhenUsed/>
    <w:rsid w:val="002C17FD"/>
    <w:rPr>
      <w:vertAlign w:val="superscript"/>
    </w:rPr>
  </w:style>
  <w:style w:type="paragraph" w:styleId="Stopka">
    <w:name w:val="footer"/>
    <w:basedOn w:val="Normalny"/>
    <w:link w:val="StopkaZnak"/>
    <w:uiPriority w:val="99"/>
    <w:unhideWhenUsed/>
    <w:rsid w:val="00DE7839"/>
    <w:pPr>
      <w:tabs>
        <w:tab w:val="center" w:pos="4536"/>
        <w:tab w:val="right" w:pos="9072"/>
      </w:tabs>
      <w:spacing w:line="240" w:lineRule="auto"/>
    </w:pPr>
  </w:style>
  <w:style w:type="character" w:customStyle="1" w:styleId="StopkaZnak">
    <w:name w:val="Stopka Znak"/>
    <w:basedOn w:val="Domylnaczcionkaakapitu"/>
    <w:link w:val="Stopka"/>
    <w:uiPriority w:val="99"/>
    <w:rsid w:val="00DE7839"/>
    <w:rPr>
      <w:rFonts w:ascii="Times New Roman" w:eastAsiaTheme="minorEastAsia" w:hAnsi="Times New Roman" w:cs="Arial"/>
      <w:sz w:val="24"/>
      <w:szCs w:val="20"/>
      <w:lang w:val="pl-PL"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351CC4"/>
    <w:rPr>
      <w:bCs/>
    </w:rPr>
  </w:style>
  <w:style w:type="paragraph" w:customStyle="1" w:styleId="NAZORGWYDnazwaorganuwydajcegoprojektowanyakt">
    <w:name w:val="NAZ_ORG_WYD – nazwa organu wydającego projektowany akt"/>
    <w:basedOn w:val="OZNRODZAKTUtznustawalubrozporzdzenieiorganwydajcy"/>
    <w:uiPriority w:val="27"/>
    <w:qFormat/>
    <w:rsid w:val="00351CC4"/>
    <w:pPr>
      <w:ind w:left="4820"/>
    </w:pPr>
    <w:rPr>
      <w:spacing w:val="0"/>
    </w:rPr>
  </w:style>
  <w:style w:type="character" w:customStyle="1" w:styleId="Ppogrubienie">
    <w:name w:val="_P_ – pogrubienie"/>
    <w:basedOn w:val="Domylnaczcionkaakapitu"/>
    <w:uiPriority w:val="1"/>
    <w:qFormat/>
    <w:rsid w:val="00351CC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CD5"/>
    <w:pPr>
      <w:widowControl w:val="0"/>
      <w:autoSpaceDE w:val="0"/>
      <w:autoSpaceDN w:val="0"/>
      <w:adjustRightInd w:val="0"/>
      <w:spacing w:after="0" w:line="360" w:lineRule="auto"/>
      <w:jc w:val="both"/>
    </w:pPr>
    <w:rPr>
      <w:rFonts w:ascii="Times New Roman" w:eastAsiaTheme="minorEastAsia" w:hAnsi="Times New Roman" w:cs="Arial"/>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356CD5"/>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356CD5"/>
    <w:rPr>
      <w:rFonts w:ascii="Times" w:eastAsia="Times New Roman" w:hAnsi="Times" w:cs="Times New Roman"/>
      <w:kern w:val="1"/>
      <w:sz w:val="24"/>
      <w:szCs w:val="24"/>
      <w:lang w:val="pl-PL" w:eastAsia="ar-SA"/>
    </w:rPr>
  </w:style>
  <w:style w:type="paragraph" w:customStyle="1" w:styleId="ARTartustawynprozporzdzenia">
    <w:name w:val="ART(§) – art. ustawy (§ np. rozporządzenia)"/>
    <w:link w:val="ARTartustawynprozporzdzeniaZnak"/>
    <w:uiPriority w:val="14"/>
    <w:qFormat/>
    <w:rsid w:val="00356CD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val="pl-PL" w:eastAsia="pl-PL"/>
    </w:rPr>
  </w:style>
  <w:style w:type="character" w:customStyle="1" w:styleId="ARTartustawynprozporzdzeniaZnak">
    <w:name w:val="ART(§) – art. ustawy (§ np. rozporządzenia) Znak"/>
    <w:basedOn w:val="Domylnaczcionkaakapitu"/>
    <w:link w:val="ARTartustawynprozporzdzenia"/>
    <w:uiPriority w:val="14"/>
    <w:locked/>
    <w:rsid w:val="00356CD5"/>
    <w:rPr>
      <w:rFonts w:ascii="Times" w:eastAsiaTheme="minorEastAsia" w:hAnsi="Times" w:cs="Arial"/>
      <w:sz w:val="24"/>
      <w:szCs w:val="20"/>
      <w:lang w:val="pl-PL" w:eastAsia="pl-PL"/>
    </w:r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356CD5"/>
    <w:pPr>
      <w:keepNext/>
      <w:suppressAutoHyphens/>
      <w:spacing w:before="120" w:after="120" w:line="360" w:lineRule="auto"/>
      <w:jc w:val="center"/>
    </w:pPr>
    <w:rPr>
      <w:rFonts w:ascii="Times" w:eastAsiaTheme="minorEastAsia" w:hAnsi="Times" w:cs="Arial"/>
      <w:bCs/>
      <w:sz w:val="24"/>
      <w:szCs w:val="24"/>
      <w:lang w:val="pl-PL" w:eastAsia="pl-PL"/>
    </w:rPr>
  </w:style>
  <w:style w:type="character" w:customStyle="1" w:styleId="DATAAKTUdatauchwalenialubwydaniaaktuZnak">
    <w:name w:val="DATA_AKTU – data uchwalenia lub wydania aktu Znak"/>
    <w:basedOn w:val="Domylnaczcionkaakapitu"/>
    <w:link w:val="DATAAKTUdatauchwalenialubwydaniaaktu"/>
    <w:uiPriority w:val="2"/>
    <w:rsid w:val="00356CD5"/>
    <w:rPr>
      <w:rFonts w:ascii="Times" w:eastAsiaTheme="minorEastAsia" w:hAnsi="Times" w:cs="Arial"/>
      <w:bCs/>
      <w:sz w:val="24"/>
      <w:szCs w:val="24"/>
      <w:lang w:val="pl-PL" w:eastAsia="pl-PL"/>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356CD5"/>
    <w:pPr>
      <w:keepNext/>
      <w:suppressAutoHyphens/>
      <w:spacing w:before="120" w:after="360" w:line="360" w:lineRule="auto"/>
      <w:jc w:val="center"/>
    </w:pPr>
    <w:rPr>
      <w:rFonts w:ascii="Times" w:eastAsiaTheme="minorEastAsia" w:hAnsi="Times" w:cs="Arial"/>
      <w:b/>
      <w:bCs/>
      <w:sz w:val="24"/>
      <w:szCs w:val="24"/>
      <w:lang w:val="pl-PL" w:eastAsia="pl-PL"/>
    </w:rPr>
  </w:style>
  <w:style w:type="character" w:customStyle="1" w:styleId="TYTUAKTUprzedmiotregulacjiustawylubrozporzdzeniaZnak">
    <w:name w:val="TYTUŁ_AKTU – przedmiot regulacji ustawy lub rozporządzenia Znak"/>
    <w:basedOn w:val="Domylnaczcionkaakapitu"/>
    <w:link w:val="TYTUAKTUprzedmiotregulacjiustawylubrozporzdzenia"/>
    <w:uiPriority w:val="3"/>
    <w:rsid w:val="00356CD5"/>
    <w:rPr>
      <w:rFonts w:ascii="Times" w:eastAsiaTheme="minorEastAsia" w:hAnsi="Times" w:cs="Arial"/>
      <w:b/>
      <w:bCs/>
      <w:sz w:val="24"/>
      <w:szCs w:val="24"/>
      <w:lang w:val="pl-PL" w:eastAsia="pl-PL"/>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356CD5"/>
    <w:rPr>
      <w:bCs/>
    </w:rPr>
  </w:style>
  <w:style w:type="character" w:customStyle="1" w:styleId="NIEARTTEKSTtekstnieartykuowanynppreambuaZnak">
    <w:name w:val="NIEART_TEKST – tekst nieartykułowany (np. preambuła) Znak"/>
    <w:basedOn w:val="ARTartustawynprozporzdzeniaZnak"/>
    <w:link w:val="NIEARTTEKSTtekstnieartykuowanynppreambua"/>
    <w:uiPriority w:val="4"/>
    <w:rsid w:val="00356CD5"/>
    <w:rPr>
      <w:rFonts w:ascii="Times" w:eastAsiaTheme="minorEastAsia" w:hAnsi="Times" w:cs="Arial"/>
      <w:bCs/>
      <w:sz w:val="24"/>
      <w:szCs w:val="20"/>
      <w:lang w:val="pl-PL" w:eastAsia="pl-PL"/>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356CD5"/>
    <w:pPr>
      <w:keepNext/>
      <w:suppressAutoHyphens/>
      <w:spacing w:after="120" w:line="360" w:lineRule="auto"/>
      <w:jc w:val="center"/>
    </w:pPr>
    <w:rPr>
      <w:rFonts w:ascii="Times" w:eastAsia="Times New Roman" w:hAnsi="Times" w:cs="Times New Roman"/>
      <w:b/>
      <w:bCs/>
      <w:caps/>
      <w:spacing w:val="54"/>
      <w:kern w:val="24"/>
      <w:sz w:val="24"/>
      <w:szCs w:val="24"/>
      <w:lang w:val="pl-PL" w:eastAsia="pl-PL"/>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356CD5"/>
    <w:rPr>
      <w:rFonts w:ascii="Times" w:eastAsia="Times New Roman" w:hAnsi="Times" w:cs="Times New Roman"/>
      <w:b/>
      <w:bCs/>
      <w:caps/>
      <w:spacing w:val="54"/>
      <w:kern w:val="24"/>
      <w:sz w:val="24"/>
      <w:szCs w:val="24"/>
      <w:lang w:val="pl-PL" w:eastAsia="pl-PL"/>
    </w:rPr>
  </w:style>
  <w:style w:type="paragraph" w:customStyle="1" w:styleId="USTustnpkodeksu">
    <w:name w:val="UST(§) – ust. (§ np. kodeksu)"/>
    <w:basedOn w:val="ARTartustawynprozporzdzenia"/>
    <w:link w:val="USTustnpkodeksuZnak"/>
    <w:uiPriority w:val="15"/>
    <w:qFormat/>
    <w:rsid w:val="00356CD5"/>
    <w:pPr>
      <w:spacing w:before="0"/>
    </w:pPr>
    <w:rPr>
      <w:bCs/>
    </w:rPr>
  </w:style>
  <w:style w:type="character" w:customStyle="1" w:styleId="USTustnpkodeksuZnak">
    <w:name w:val="UST(§) – ust. (§ np. kodeksu) Znak"/>
    <w:basedOn w:val="ARTartustawynprozporzdzeniaZnak"/>
    <w:link w:val="USTustnpkodeksu"/>
    <w:uiPriority w:val="15"/>
    <w:rsid w:val="00356CD5"/>
    <w:rPr>
      <w:rFonts w:ascii="Times" w:eastAsiaTheme="minorEastAsia" w:hAnsi="Times" w:cs="Arial"/>
      <w:bCs/>
      <w:sz w:val="24"/>
      <w:szCs w:val="20"/>
      <w:lang w:val="pl-PL" w:eastAsia="pl-PL"/>
    </w:rPr>
  </w:style>
  <w:style w:type="paragraph" w:customStyle="1" w:styleId="PKTpunkt">
    <w:name w:val="PKT – punkt"/>
    <w:link w:val="PKTpunktZnak"/>
    <w:uiPriority w:val="16"/>
    <w:qFormat/>
    <w:rsid w:val="00356CD5"/>
    <w:pPr>
      <w:spacing w:after="0" w:line="360" w:lineRule="auto"/>
      <w:ind w:left="510" w:hanging="510"/>
      <w:jc w:val="both"/>
    </w:pPr>
    <w:rPr>
      <w:rFonts w:ascii="Times" w:eastAsiaTheme="minorEastAsia" w:hAnsi="Times" w:cs="Arial"/>
      <w:bCs/>
      <w:sz w:val="24"/>
      <w:szCs w:val="20"/>
      <w:lang w:val="pl-PL" w:eastAsia="pl-PL"/>
    </w:rPr>
  </w:style>
  <w:style w:type="character" w:customStyle="1" w:styleId="PKTpunktZnak">
    <w:name w:val="PKT – punkt Znak"/>
    <w:basedOn w:val="Domylnaczcionkaakapitu"/>
    <w:link w:val="PKTpunkt"/>
    <w:uiPriority w:val="16"/>
    <w:locked/>
    <w:rsid w:val="00356CD5"/>
    <w:rPr>
      <w:rFonts w:ascii="Times" w:eastAsiaTheme="minorEastAsia" w:hAnsi="Times" w:cs="Arial"/>
      <w:bCs/>
      <w:sz w:val="24"/>
      <w:szCs w:val="20"/>
      <w:lang w:val="pl-PL" w:eastAsia="pl-PL"/>
    </w:rPr>
  </w:style>
  <w:style w:type="paragraph" w:customStyle="1" w:styleId="LITlitera">
    <w:name w:val="LIT – litera"/>
    <w:basedOn w:val="PKTpunkt"/>
    <w:link w:val="LITliteraZnak"/>
    <w:uiPriority w:val="17"/>
    <w:qFormat/>
    <w:rsid w:val="00356CD5"/>
    <w:pPr>
      <w:ind w:left="986" w:hanging="476"/>
    </w:pPr>
  </w:style>
  <w:style w:type="character" w:customStyle="1" w:styleId="LITliteraZnak">
    <w:name w:val="LIT – litera Znak"/>
    <w:basedOn w:val="PKTpunktZnak"/>
    <w:link w:val="LITlitera"/>
    <w:uiPriority w:val="17"/>
    <w:rsid w:val="00356CD5"/>
    <w:rPr>
      <w:rFonts w:ascii="Times" w:eastAsiaTheme="minorEastAsia" w:hAnsi="Times" w:cs="Arial"/>
      <w:bCs/>
      <w:sz w:val="24"/>
      <w:szCs w:val="20"/>
      <w:lang w:val="pl-PL" w:eastAsia="pl-PL"/>
    </w:rPr>
  </w:style>
  <w:style w:type="paragraph" w:customStyle="1" w:styleId="OZNPROJEKTUwskazaniedatylubwersjiprojektu">
    <w:name w:val="OZN_PROJEKTU – wskazanie daty lub wersji projektu"/>
    <w:next w:val="OZNRODZAKTUtznustawalubrozporzdzenieiorganwydajcy"/>
    <w:qFormat/>
    <w:rsid w:val="00356CD5"/>
    <w:pPr>
      <w:spacing w:after="0" w:line="360" w:lineRule="auto"/>
      <w:jc w:val="right"/>
    </w:pPr>
    <w:rPr>
      <w:rFonts w:ascii="Times New Roman" w:eastAsiaTheme="minorEastAsia" w:hAnsi="Times New Roman" w:cs="Arial"/>
      <w:sz w:val="24"/>
      <w:szCs w:val="20"/>
      <w:u w:val="single"/>
      <w:lang w:val="pl-PL" w:eastAsia="pl-PL"/>
    </w:rPr>
  </w:style>
  <w:style w:type="paragraph" w:styleId="Tekstprzypisudolnego">
    <w:name w:val="footnote text"/>
    <w:basedOn w:val="Normalny"/>
    <w:link w:val="TekstprzypisudolnegoZnak"/>
    <w:uiPriority w:val="99"/>
    <w:semiHidden/>
    <w:unhideWhenUsed/>
    <w:rsid w:val="0037433B"/>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37433B"/>
    <w:rPr>
      <w:rFonts w:ascii="Times New Roman" w:eastAsiaTheme="minorEastAsia" w:hAnsi="Times New Roman" w:cs="Arial"/>
      <w:sz w:val="20"/>
      <w:szCs w:val="20"/>
      <w:lang w:val="pl-PL" w:eastAsia="pl-PL"/>
    </w:rPr>
  </w:style>
  <w:style w:type="character" w:styleId="Odwoanieprzypisudolnego">
    <w:name w:val="footnote reference"/>
    <w:basedOn w:val="Domylnaczcionkaakapitu"/>
    <w:uiPriority w:val="99"/>
    <w:semiHidden/>
    <w:unhideWhenUsed/>
    <w:rsid w:val="0037433B"/>
    <w:rPr>
      <w:vertAlign w:val="superscript"/>
    </w:rPr>
  </w:style>
  <w:style w:type="paragraph" w:styleId="Tekstdymka">
    <w:name w:val="Balloon Text"/>
    <w:basedOn w:val="Normalny"/>
    <w:link w:val="TekstdymkaZnak"/>
    <w:uiPriority w:val="99"/>
    <w:semiHidden/>
    <w:unhideWhenUsed/>
    <w:rsid w:val="002C17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17FD"/>
    <w:rPr>
      <w:rFonts w:ascii="Tahoma" w:eastAsiaTheme="minorEastAsia" w:hAnsi="Tahoma" w:cs="Tahoma"/>
      <w:sz w:val="16"/>
      <w:szCs w:val="16"/>
      <w:lang w:val="pl-PL" w:eastAsia="pl-PL"/>
    </w:rPr>
  </w:style>
  <w:style w:type="paragraph" w:styleId="Tekstprzypisukocowego">
    <w:name w:val="endnote text"/>
    <w:basedOn w:val="Normalny"/>
    <w:link w:val="TekstprzypisukocowegoZnak"/>
    <w:uiPriority w:val="99"/>
    <w:semiHidden/>
    <w:unhideWhenUsed/>
    <w:rsid w:val="002C17F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2C17FD"/>
    <w:rPr>
      <w:rFonts w:ascii="Times New Roman" w:eastAsiaTheme="minorEastAsia" w:hAnsi="Times New Roman" w:cs="Arial"/>
      <w:sz w:val="20"/>
      <w:szCs w:val="20"/>
      <w:lang w:val="pl-PL" w:eastAsia="pl-PL"/>
    </w:rPr>
  </w:style>
  <w:style w:type="character" w:styleId="Odwoanieprzypisukocowego">
    <w:name w:val="endnote reference"/>
    <w:basedOn w:val="Domylnaczcionkaakapitu"/>
    <w:uiPriority w:val="99"/>
    <w:semiHidden/>
    <w:unhideWhenUsed/>
    <w:rsid w:val="002C17FD"/>
    <w:rPr>
      <w:vertAlign w:val="superscript"/>
    </w:rPr>
  </w:style>
  <w:style w:type="paragraph" w:styleId="Stopka">
    <w:name w:val="footer"/>
    <w:basedOn w:val="Normalny"/>
    <w:link w:val="StopkaZnak"/>
    <w:uiPriority w:val="99"/>
    <w:unhideWhenUsed/>
    <w:rsid w:val="00DE7839"/>
    <w:pPr>
      <w:tabs>
        <w:tab w:val="center" w:pos="4536"/>
        <w:tab w:val="right" w:pos="9072"/>
      </w:tabs>
      <w:spacing w:line="240" w:lineRule="auto"/>
    </w:pPr>
  </w:style>
  <w:style w:type="character" w:customStyle="1" w:styleId="StopkaZnak">
    <w:name w:val="Stopka Znak"/>
    <w:basedOn w:val="Domylnaczcionkaakapitu"/>
    <w:link w:val="Stopka"/>
    <w:uiPriority w:val="99"/>
    <w:rsid w:val="00DE7839"/>
    <w:rPr>
      <w:rFonts w:ascii="Times New Roman" w:eastAsiaTheme="minorEastAsia" w:hAnsi="Times New Roman" w:cs="Arial"/>
      <w:sz w:val="24"/>
      <w:szCs w:val="20"/>
      <w:lang w:val="pl-PL"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351CC4"/>
    <w:rPr>
      <w:bCs/>
    </w:rPr>
  </w:style>
  <w:style w:type="paragraph" w:customStyle="1" w:styleId="NAZORGWYDnazwaorganuwydajcegoprojektowanyakt">
    <w:name w:val="NAZ_ORG_WYD – nazwa organu wydającego projektowany akt"/>
    <w:basedOn w:val="OZNRODZAKTUtznustawalubrozporzdzenieiorganwydajcy"/>
    <w:uiPriority w:val="27"/>
    <w:qFormat/>
    <w:rsid w:val="00351CC4"/>
    <w:pPr>
      <w:ind w:left="4820"/>
    </w:pPr>
    <w:rPr>
      <w:spacing w:val="0"/>
    </w:rPr>
  </w:style>
  <w:style w:type="character" w:customStyle="1" w:styleId="Ppogrubienie">
    <w:name w:val="_P_ – pogrubienie"/>
    <w:basedOn w:val="Domylnaczcionkaakapitu"/>
    <w:uiPriority w:val="1"/>
    <w:qFormat/>
    <w:rsid w:val="00351CC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9BBC-49AD-4198-AB64-70F4CBCE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2171</Words>
  <Characters>13026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2019-10-24T06:39:00Z</dcterms:created>
  <dcterms:modified xsi:type="dcterms:W3CDTF">2019-10-24T07:31:00Z</dcterms:modified>
</cp:coreProperties>
</file>