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D1710" w14:textId="77777777" w:rsidR="009F3E90" w:rsidRPr="0027241D" w:rsidRDefault="009F3E90" w:rsidP="009F3E90">
      <w:pPr>
        <w:pStyle w:val="ECHRDecisionBody"/>
        <w:jc w:val="center"/>
        <w:rPr>
          <w:rFonts w:ascii="Arial" w:hAnsi="Arial" w:cs="Arial"/>
          <w:sz w:val="20"/>
          <w:szCs w:val="20"/>
          <w:lang w:val="pl-PL"/>
        </w:rPr>
      </w:pPr>
      <w:r w:rsidRPr="0027241D">
        <w:rPr>
          <w:rFonts w:ascii="Arial" w:hAnsi="Arial" w:cs="Arial"/>
          <w:sz w:val="20"/>
          <w:szCs w:val="20"/>
          <w:lang w:val="pl-PL"/>
        </w:rPr>
        <w:t>© Prokurator Generalny – Minister Sprawiedliwości</w:t>
      </w:r>
    </w:p>
    <w:p w14:paraId="696A994D" w14:textId="77777777" w:rsidR="009F3E90" w:rsidRPr="0027241D" w:rsidRDefault="009F3E90" w:rsidP="009F3E90">
      <w:pPr>
        <w:pStyle w:val="ECHRDecisionBody"/>
        <w:tabs>
          <w:tab w:val="clear" w:pos="567"/>
          <w:tab w:val="clear" w:pos="1134"/>
        </w:tabs>
        <w:ind w:left="-284" w:right="-297"/>
        <w:jc w:val="center"/>
        <w:rPr>
          <w:rFonts w:ascii="Arial" w:hAnsi="Arial" w:cs="Arial"/>
          <w:sz w:val="20"/>
          <w:szCs w:val="20"/>
          <w:lang w:val="pl-PL"/>
        </w:rPr>
      </w:pPr>
      <w:r w:rsidRPr="0027241D">
        <w:rPr>
          <w:rFonts w:ascii="Arial" w:hAnsi="Arial" w:cs="Arial"/>
          <w:sz w:val="20"/>
          <w:szCs w:val="20"/>
          <w:lang w:val="pl-PL"/>
        </w:rPr>
        <w:t xml:space="preserve">© Copyright for the </w:t>
      </w:r>
      <w:proofErr w:type="spellStart"/>
      <w:r w:rsidRPr="0027241D">
        <w:rPr>
          <w:rFonts w:ascii="Arial" w:hAnsi="Arial" w:cs="Arial"/>
          <w:sz w:val="20"/>
          <w:szCs w:val="20"/>
          <w:lang w:val="pl-PL"/>
        </w:rPr>
        <w:t>Polish</w:t>
      </w:r>
      <w:proofErr w:type="spellEnd"/>
      <w:r w:rsidRPr="0027241D">
        <w:rPr>
          <w:rFonts w:ascii="Arial" w:hAnsi="Arial" w:cs="Arial"/>
          <w:sz w:val="20"/>
          <w:szCs w:val="20"/>
          <w:lang w:val="pl-PL"/>
        </w:rPr>
        <w:t xml:space="preserve"> </w:t>
      </w:r>
      <w:proofErr w:type="spellStart"/>
      <w:r w:rsidRPr="0027241D">
        <w:rPr>
          <w:rFonts w:ascii="Arial" w:hAnsi="Arial" w:cs="Arial"/>
          <w:sz w:val="20"/>
          <w:szCs w:val="20"/>
          <w:lang w:val="pl-PL"/>
        </w:rPr>
        <w:t>translation</w:t>
      </w:r>
      <w:proofErr w:type="spellEnd"/>
      <w:r w:rsidRPr="0027241D">
        <w:rPr>
          <w:rFonts w:ascii="Arial" w:hAnsi="Arial" w:cs="Arial"/>
          <w:sz w:val="20"/>
          <w:szCs w:val="20"/>
          <w:lang w:val="pl-PL"/>
        </w:rPr>
        <w:t xml:space="preserve"> by Prokurator Generalny – Minister Sprawiedliwości</w:t>
      </w:r>
    </w:p>
    <w:p w14:paraId="39880CAB" w14:textId="77777777" w:rsidR="009F3E90" w:rsidRDefault="009F3E90" w:rsidP="009F3E90">
      <w:pPr>
        <w:pStyle w:val="ECHRDecisionBody"/>
        <w:jc w:val="center"/>
        <w:rPr>
          <w:rFonts w:ascii="Arial" w:hAnsi="Arial" w:cs="Arial"/>
          <w:sz w:val="20"/>
          <w:szCs w:val="20"/>
          <w:lang w:val="pl-PL"/>
        </w:rPr>
      </w:pPr>
      <w:r w:rsidRPr="0027241D">
        <w:rPr>
          <w:rFonts w:ascii="Arial" w:hAnsi="Arial" w:cs="Arial"/>
          <w:sz w:val="20"/>
          <w:szCs w:val="20"/>
          <w:lang w:val="pl-PL"/>
        </w:rPr>
        <w:t>Warszawa 201</w:t>
      </w:r>
      <w:r>
        <w:rPr>
          <w:rFonts w:ascii="Arial" w:hAnsi="Arial" w:cs="Arial"/>
          <w:sz w:val="20"/>
          <w:szCs w:val="20"/>
          <w:lang w:val="pl-PL"/>
        </w:rPr>
        <w:t>7</w:t>
      </w:r>
    </w:p>
    <w:p w14:paraId="43549BCA" w14:textId="7EDFA20E" w:rsidR="00BB1BCF" w:rsidRPr="00A56847" w:rsidRDefault="00BB1BCF" w:rsidP="00C32C2D">
      <w:pPr>
        <w:pStyle w:val="Tekstpodstawowy"/>
        <w:spacing w:line="240" w:lineRule="auto"/>
        <w:ind w:firstLine="284"/>
        <w:jc w:val="center"/>
        <w:rPr>
          <w:rFonts w:ascii="Times New Roman" w:hAnsi="Times New Roman" w:cs="Times New Roman"/>
          <w:sz w:val="24"/>
          <w:szCs w:val="24"/>
        </w:rPr>
      </w:pPr>
    </w:p>
    <w:p w14:paraId="57EEA11F" w14:textId="77777777" w:rsidR="009B196D" w:rsidRPr="0081299B" w:rsidRDefault="0051297F" w:rsidP="000F7360">
      <w:pPr>
        <w:pStyle w:val="Tekstpodstawowy"/>
        <w:spacing w:line="240" w:lineRule="auto"/>
        <w:jc w:val="center"/>
        <w:rPr>
          <w:rFonts w:ascii="Times New Roman" w:hAnsi="Times New Roman" w:cs="Times New Roman"/>
          <w:sz w:val="24"/>
          <w:szCs w:val="24"/>
        </w:rPr>
      </w:pPr>
      <w:r w:rsidRPr="0081299B">
        <w:rPr>
          <w:rFonts w:ascii="Times New Roman" w:hAnsi="Times New Roman" w:cs="Times New Roman"/>
          <w:sz w:val="24"/>
          <w:szCs w:val="24"/>
        </w:rPr>
        <w:t xml:space="preserve">EUROPEJSKI TRYBUNAŁ PRAW </w:t>
      </w:r>
      <w:r w:rsidR="0024253C" w:rsidRPr="0081299B">
        <w:rPr>
          <w:rFonts w:ascii="Times New Roman" w:hAnsi="Times New Roman" w:cs="Times New Roman"/>
          <w:sz w:val="24"/>
          <w:szCs w:val="24"/>
        </w:rPr>
        <w:t>CZŁOWIEKA</w:t>
      </w:r>
    </w:p>
    <w:p w14:paraId="78A80517" w14:textId="77777777" w:rsidR="0051297F" w:rsidRPr="0081299B" w:rsidRDefault="00BB1BCF" w:rsidP="000F7360">
      <w:pPr>
        <w:pStyle w:val="Tekstpodstawowy"/>
        <w:spacing w:line="240" w:lineRule="auto"/>
        <w:jc w:val="center"/>
        <w:rPr>
          <w:rFonts w:ascii="Times New Roman" w:hAnsi="Times New Roman"/>
          <w:sz w:val="24"/>
        </w:rPr>
      </w:pPr>
      <w:r w:rsidRPr="0081299B">
        <w:rPr>
          <w:rFonts w:ascii="Times New Roman" w:hAnsi="Times New Roman"/>
          <w:sz w:val="24"/>
        </w:rPr>
        <w:t xml:space="preserve">SEKCJA </w:t>
      </w:r>
      <w:r w:rsidR="0024253C" w:rsidRPr="0081299B">
        <w:rPr>
          <w:rFonts w:ascii="Times New Roman" w:hAnsi="Times New Roman"/>
          <w:sz w:val="24"/>
        </w:rPr>
        <w:t>PIERWSZ</w:t>
      </w:r>
      <w:r w:rsidR="00DA7CED" w:rsidRPr="0081299B">
        <w:rPr>
          <w:rFonts w:ascii="Times New Roman" w:hAnsi="Times New Roman"/>
          <w:sz w:val="24"/>
        </w:rPr>
        <w:t>A</w:t>
      </w:r>
      <w:r w:rsidR="001D348E" w:rsidRPr="0081299B">
        <w:rPr>
          <w:rFonts w:ascii="Times New Roman" w:hAnsi="Times New Roman"/>
          <w:sz w:val="24"/>
        </w:rPr>
        <w:t xml:space="preserve"> </w:t>
      </w:r>
    </w:p>
    <w:p w14:paraId="60D83399" w14:textId="77777777" w:rsidR="0024253C" w:rsidRPr="0081299B" w:rsidRDefault="0024253C" w:rsidP="000F7360">
      <w:pPr>
        <w:spacing w:line="240" w:lineRule="auto"/>
        <w:jc w:val="both"/>
        <w:rPr>
          <w:rFonts w:ascii="Times New Roman" w:hAnsi="Times New Roman" w:cs="Times New Roman"/>
          <w:sz w:val="24"/>
          <w:szCs w:val="24"/>
        </w:rPr>
      </w:pPr>
    </w:p>
    <w:p w14:paraId="61405251" w14:textId="77777777" w:rsidR="00457C50" w:rsidRPr="0081299B" w:rsidRDefault="00457C50" w:rsidP="000F7360">
      <w:pPr>
        <w:spacing w:line="240" w:lineRule="auto"/>
        <w:jc w:val="center"/>
        <w:rPr>
          <w:rFonts w:ascii="Times New Roman" w:hAnsi="Times New Roman" w:cs="Times New Roman"/>
          <w:sz w:val="24"/>
          <w:szCs w:val="24"/>
        </w:rPr>
      </w:pPr>
    </w:p>
    <w:p w14:paraId="7BA2D02E" w14:textId="77777777" w:rsidR="00630A23" w:rsidRPr="0081299B" w:rsidRDefault="00630A23" w:rsidP="000F7360">
      <w:pPr>
        <w:spacing w:line="240" w:lineRule="auto"/>
        <w:jc w:val="center"/>
        <w:rPr>
          <w:rFonts w:ascii="Times New Roman" w:hAnsi="Times New Roman" w:cs="Times New Roman"/>
          <w:sz w:val="24"/>
          <w:szCs w:val="24"/>
        </w:rPr>
      </w:pPr>
    </w:p>
    <w:p w14:paraId="30195DFD" w14:textId="77777777" w:rsidR="00457C50" w:rsidRPr="0081299B" w:rsidRDefault="00457C50" w:rsidP="000F7360">
      <w:pPr>
        <w:spacing w:line="240" w:lineRule="auto"/>
        <w:jc w:val="center"/>
        <w:rPr>
          <w:rFonts w:ascii="Times New Roman" w:hAnsi="Times New Roman" w:cs="Times New Roman"/>
          <w:sz w:val="24"/>
          <w:szCs w:val="24"/>
        </w:rPr>
      </w:pPr>
    </w:p>
    <w:p w14:paraId="58376E54" w14:textId="77777777" w:rsidR="0024253C" w:rsidRPr="0081299B" w:rsidRDefault="0024253C" w:rsidP="000F7360">
      <w:pPr>
        <w:spacing w:line="240" w:lineRule="auto"/>
        <w:jc w:val="center"/>
        <w:rPr>
          <w:rFonts w:ascii="Times New Roman" w:hAnsi="Times New Roman" w:cs="Times New Roman"/>
          <w:b/>
          <w:sz w:val="24"/>
          <w:szCs w:val="24"/>
        </w:rPr>
      </w:pPr>
      <w:r w:rsidRPr="0081299B">
        <w:rPr>
          <w:rFonts w:ascii="Times New Roman" w:hAnsi="Times New Roman" w:cs="Times New Roman"/>
          <w:b/>
          <w:sz w:val="24"/>
          <w:szCs w:val="24"/>
        </w:rPr>
        <w:t>SPRAWA L.E. przeciwko GRECJI</w:t>
      </w:r>
    </w:p>
    <w:p w14:paraId="619067ED" w14:textId="77777777" w:rsidR="0024253C" w:rsidRPr="0081299B" w:rsidRDefault="0024253C" w:rsidP="000F7360">
      <w:pPr>
        <w:spacing w:line="240" w:lineRule="auto"/>
        <w:jc w:val="center"/>
        <w:rPr>
          <w:rFonts w:ascii="Times New Roman" w:hAnsi="Times New Roman" w:cs="Times New Roman"/>
          <w:i/>
          <w:sz w:val="24"/>
          <w:szCs w:val="24"/>
        </w:rPr>
      </w:pPr>
      <w:r w:rsidRPr="0081299B">
        <w:rPr>
          <w:rFonts w:ascii="Times New Roman" w:hAnsi="Times New Roman" w:cs="Times New Roman"/>
          <w:i/>
          <w:sz w:val="24"/>
          <w:szCs w:val="24"/>
        </w:rPr>
        <w:t>(Skarga nr 71545/12)</w:t>
      </w:r>
    </w:p>
    <w:p w14:paraId="7BEFE003" w14:textId="77777777" w:rsidR="0024253C" w:rsidRPr="0081299B" w:rsidRDefault="0024253C" w:rsidP="000F7360">
      <w:pPr>
        <w:spacing w:line="240" w:lineRule="auto"/>
        <w:jc w:val="center"/>
        <w:rPr>
          <w:rFonts w:ascii="Times New Roman" w:hAnsi="Times New Roman" w:cs="Times New Roman"/>
          <w:i/>
          <w:sz w:val="24"/>
          <w:szCs w:val="24"/>
        </w:rPr>
      </w:pPr>
    </w:p>
    <w:p w14:paraId="3C71C907" w14:textId="77777777" w:rsidR="001956DE" w:rsidRPr="0081299B" w:rsidRDefault="001956DE" w:rsidP="000F7360">
      <w:pPr>
        <w:spacing w:line="240" w:lineRule="auto"/>
        <w:jc w:val="center"/>
        <w:rPr>
          <w:rFonts w:ascii="Times New Roman" w:hAnsi="Times New Roman" w:cs="Times New Roman"/>
          <w:i/>
          <w:sz w:val="24"/>
          <w:szCs w:val="24"/>
        </w:rPr>
      </w:pPr>
    </w:p>
    <w:p w14:paraId="7439E7C8" w14:textId="77777777" w:rsidR="00630A23" w:rsidRPr="0081299B" w:rsidRDefault="00630A23" w:rsidP="000F7360">
      <w:pPr>
        <w:spacing w:line="240" w:lineRule="auto"/>
        <w:jc w:val="center"/>
        <w:rPr>
          <w:rFonts w:ascii="Times New Roman" w:hAnsi="Times New Roman" w:cs="Times New Roman"/>
          <w:i/>
          <w:sz w:val="24"/>
          <w:szCs w:val="24"/>
        </w:rPr>
      </w:pPr>
    </w:p>
    <w:p w14:paraId="6C7DE67B" w14:textId="77777777" w:rsidR="00630A23" w:rsidRPr="0081299B" w:rsidRDefault="00630A23" w:rsidP="000F7360">
      <w:pPr>
        <w:spacing w:line="240" w:lineRule="auto"/>
        <w:jc w:val="center"/>
        <w:rPr>
          <w:rFonts w:ascii="Times New Roman" w:hAnsi="Times New Roman" w:cs="Times New Roman"/>
          <w:i/>
          <w:sz w:val="24"/>
          <w:szCs w:val="24"/>
        </w:rPr>
      </w:pPr>
    </w:p>
    <w:p w14:paraId="34FFDC38" w14:textId="77777777" w:rsidR="0024253C" w:rsidRPr="0081299B" w:rsidRDefault="0024253C" w:rsidP="000F7360">
      <w:pPr>
        <w:pStyle w:val="Tekstpodstawowy"/>
        <w:spacing w:line="240" w:lineRule="auto"/>
        <w:jc w:val="center"/>
        <w:rPr>
          <w:rFonts w:ascii="Times New Roman" w:hAnsi="Times New Roman"/>
          <w:sz w:val="24"/>
        </w:rPr>
      </w:pPr>
      <w:r w:rsidRPr="0081299B">
        <w:rPr>
          <w:rFonts w:ascii="Times New Roman" w:hAnsi="Times New Roman"/>
          <w:sz w:val="24"/>
        </w:rPr>
        <w:t>WYROK</w:t>
      </w:r>
    </w:p>
    <w:p w14:paraId="56B01A99" w14:textId="77777777" w:rsidR="00DA7CED" w:rsidRPr="0081299B" w:rsidRDefault="00DA7CED" w:rsidP="000F7360">
      <w:pPr>
        <w:pStyle w:val="Nagwek1"/>
        <w:spacing w:line="240" w:lineRule="auto"/>
        <w:jc w:val="center"/>
        <w:rPr>
          <w:rFonts w:ascii="Times New Roman" w:hAnsi="Times New Roman" w:cs="Times New Roman"/>
          <w:color w:val="auto"/>
          <w:sz w:val="24"/>
          <w:szCs w:val="24"/>
        </w:rPr>
      </w:pPr>
    </w:p>
    <w:p w14:paraId="3CF939A5" w14:textId="77777777" w:rsidR="0024253C" w:rsidRPr="0081299B" w:rsidRDefault="0024253C" w:rsidP="000F7360">
      <w:pPr>
        <w:pStyle w:val="Tekstpodstawowy"/>
        <w:spacing w:line="240" w:lineRule="auto"/>
        <w:jc w:val="center"/>
        <w:rPr>
          <w:rFonts w:ascii="Times New Roman" w:hAnsi="Times New Roman"/>
          <w:sz w:val="24"/>
        </w:rPr>
      </w:pPr>
      <w:r w:rsidRPr="0081299B">
        <w:rPr>
          <w:rFonts w:ascii="Times New Roman" w:hAnsi="Times New Roman"/>
          <w:sz w:val="24"/>
        </w:rPr>
        <w:t>STRASBURG</w:t>
      </w:r>
    </w:p>
    <w:p w14:paraId="40255585" w14:textId="77777777" w:rsidR="00DA7CED" w:rsidRPr="0081299B" w:rsidRDefault="00DA7CED" w:rsidP="000F7360">
      <w:pPr>
        <w:pStyle w:val="Data"/>
        <w:spacing w:line="240" w:lineRule="auto"/>
        <w:jc w:val="center"/>
        <w:rPr>
          <w:rFonts w:ascii="Times New Roman" w:hAnsi="Times New Roman" w:cs="Times New Roman"/>
          <w:sz w:val="24"/>
          <w:szCs w:val="24"/>
        </w:rPr>
      </w:pPr>
    </w:p>
    <w:p w14:paraId="29D0AB52" w14:textId="77777777" w:rsidR="00630A23" w:rsidRPr="0081299B" w:rsidRDefault="00630A23" w:rsidP="000F7360"/>
    <w:p w14:paraId="45492A0D" w14:textId="40B42F80" w:rsidR="0024253C" w:rsidRPr="0081299B" w:rsidRDefault="0024253C" w:rsidP="000F7360">
      <w:pPr>
        <w:pStyle w:val="Data"/>
        <w:spacing w:line="240" w:lineRule="auto"/>
        <w:jc w:val="center"/>
        <w:rPr>
          <w:rFonts w:ascii="Times New Roman" w:hAnsi="Times New Roman" w:cs="Times New Roman"/>
          <w:sz w:val="24"/>
          <w:szCs w:val="24"/>
        </w:rPr>
      </w:pPr>
      <w:r w:rsidRPr="0081299B">
        <w:rPr>
          <w:rFonts w:ascii="Times New Roman" w:hAnsi="Times New Roman" w:cs="Times New Roman"/>
          <w:sz w:val="24"/>
          <w:szCs w:val="24"/>
        </w:rPr>
        <w:t>21 stycz</w:t>
      </w:r>
      <w:r w:rsidR="00B20C76" w:rsidRPr="0081299B">
        <w:rPr>
          <w:rFonts w:ascii="Times New Roman" w:hAnsi="Times New Roman" w:cs="Times New Roman"/>
          <w:sz w:val="24"/>
          <w:szCs w:val="24"/>
        </w:rPr>
        <w:t>nia</w:t>
      </w:r>
      <w:r w:rsidRPr="0081299B">
        <w:rPr>
          <w:rFonts w:ascii="Times New Roman" w:hAnsi="Times New Roman" w:cs="Times New Roman"/>
          <w:sz w:val="24"/>
          <w:szCs w:val="24"/>
        </w:rPr>
        <w:t xml:space="preserve"> 2016</w:t>
      </w:r>
    </w:p>
    <w:p w14:paraId="22DF1695" w14:textId="77777777" w:rsidR="0024253C" w:rsidRPr="0081299B" w:rsidRDefault="0024253C" w:rsidP="000F7360">
      <w:pPr>
        <w:pStyle w:val="Tekstpodstawowy"/>
        <w:spacing w:line="240" w:lineRule="auto"/>
        <w:jc w:val="center"/>
        <w:rPr>
          <w:rFonts w:ascii="Times New Roman" w:hAnsi="Times New Roman"/>
          <w:b/>
          <w:color w:val="FF0000"/>
          <w:sz w:val="24"/>
          <w:u w:val="single"/>
        </w:rPr>
      </w:pPr>
      <w:r w:rsidRPr="0081299B">
        <w:rPr>
          <w:rFonts w:ascii="Times New Roman" w:hAnsi="Times New Roman"/>
          <w:b/>
          <w:color w:val="FF0000"/>
          <w:sz w:val="24"/>
          <w:u w:val="single"/>
        </w:rPr>
        <w:t>OSTATECZNY</w:t>
      </w:r>
    </w:p>
    <w:p w14:paraId="63720E25" w14:textId="77777777" w:rsidR="0024253C" w:rsidRPr="0081299B" w:rsidRDefault="0024253C" w:rsidP="000F7360">
      <w:pPr>
        <w:pStyle w:val="Data"/>
        <w:spacing w:line="240" w:lineRule="auto"/>
        <w:jc w:val="center"/>
        <w:rPr>
          <w:rFonts w:ascii="Times New Roman" w:hAnsi="Times New Roman" w:cs="Times New Roman"/>
          <w:color w:val="FF0000"/>
          <w:sz w:val="24"/>
          <w:szCs w:val="24"/>
        </w:rPr>
      </w:pPr>
      <w:r w:rsidRPr="0081299B">
        <w:rPr>
          <w:rFonts w:ascii="Times New Roman" w:hAnsi="Times New Roman" w:cs="Times New Roman"/>
          <w:color w:val="FF0000"/>
          <w:sz w:val="24"/>
          <w:szCs w:val="24"/>
        </w:rPr>
        <w:t>21/04/2016</w:t>
      </w:r>
    </w:p>
    <w:p w14:paraId="29958E3D" w14:textId="6200FA9F" w:rsidR="00EA27A8" w:rsidRPr="0081299B" w:rsidRDefault="00034DDD" w:rsidP="000F7360">
      <w:pPr>
        <w:pStyle w:val="Tekstpodstawowy"/>
        <w:spacing w:line="240" w:lineRule="auto"/>
        <w:jc w:val="center"/>
        <w:rPr>
          <w:rFonts w:ascii="Times New Roman" w:hAnsi="Times New Roman"/>
          <w:i/>
        </w:rPr>
      </w:pPr>
      <w:r w:rsidRPr="0081299B">
        <w:rPr>
          <w:rFonts w:ascii="Times New Roman" w:hAnsi="Times New Roman"/>
          <w:i/>
        </w:rPr>
        <w:t>N</w:t>
      </w:r>
      <w:r w:rsidR="0024253C" w:rsidRPr="0081299B">
        <w:rPr>
          <w:rFonts w:ascii="Times New Roman" w:hAnsi="Times New Roman"/>
          <w:i/>
        </w:rPr>
        <w:t xml:space="preserve">iniejszy </w:t>
      </w:r>
      <w:r w:rsidR="001956DE" w:rsidRPr="0081299B">
        <w:rPr>
          <w:rFonts w:ascii="Times New Roman" w:hAnsi="Times New Roman"/>
          <w:i/>
        </w:rPr>
        <w:t xml:space="preserve">wyrok stał się ostateczny zgodnie z </w:t>
      </w:r>
      <w:r w:rsidR="001956DE" w:rsidRPr="0081299B">
        <w:rPr>
          <w:rFonts w:ascii="Times New Roman" w:hAnsi="Times New Roman" w:cs="Times New Roman"/>
          <w:i/>
          <w:szCs w:val="24"/>
        </w:rPr>
        <w:t>a</w:t>
      </w:r>
      <w:r w:rsidR="0024253C" w:rsidRPr="0081299B">
        <w:rPr>
          <w:rFonts w:ascii="Times New Roman" w:hAnsi="Times New Roman" w:cs="Times New Roman"/>
          <w:i/>
          <w:szCs w:val="24"/>
        </w:rPr>
        <w:t>rt</w:t>
      </w:r>
      <w:r w:rsidR="004F1F77" w:rsidRPr="0081299B">
        <w:rPr>
          <w:rFonts w:ascii="Times New Roman" w:hAnsi="Times New Roman" w:cs="Times New Roman"/>
          <w:i/>
          <w:szCs w:val="24"/>
        </w:rPr>
        <w:t>.</w:t>
      </w:r>
      <w:r w:rsidR="00971558" w:rsidRPr="0081299B">
        <w:rPr>
          <w:rFonts w:ascii="Times New Roman" w:hAnsi="Times New Roman"/>
          <w:i/>
        </w:rPr>
        <w:t xml:space="preserve"> 44 ust.</w:t>
      </w:r>
      <w:r w:rsidR="00B43224" w:rsidRPr="0081299B">
        <w:rPr>
          <w:rFonts w:ascii="Times New Roman" w:hAnsi="Times New Roman"/>
          <w:i/>
        </w:rPr>
        <w:t xml:space="preserve"> </w:t>
      </w:r>
      <w:r w:rsidR="0024253C" w:rsidRPr="0081299B">
        <w:rPr>
          <w:rFonts w:ascii="Times New Roman" w:hAnsi="Times New Roman"/>
          <w:i/>
        </w:rPr>
        <w:t>2 Konwencji.</w:t>
      </w:r>
      <w:r w:rsidR="0024253C" w:rsidRPr="0081299B">
        <w:rPr>
          <w:rFonts w:ascii="Times New Roman" w:hAnsi="Times New Roman"/>
          <w:i/>
        </w:rPr>
        <w:br/>
        <w:t>Wyrok może</w:t>
      </w:r>
      <w:r w:rsidR="00EA27A8" w:rsidRPr="0081299B">
        <w:rPr>
          <w:rFonts w:ascii="Times New Roman" w:hAnsi="Times New Roman"/>
          <w:i/>
        </w:rPr>
        <w:t xml:space="preserve"> podlegać korekcie wydawniczej.</w:t>
      </w:r>
    </w:p>
    <w:p w14:paraId="697E8A1B" w14:textId="77777777" w:rsidR="00DA7CED" w:rsidRPr="0081299B" w:rsidRDefault="00DA7CED" w:rsidP="00C32C2D">
      <w:pPr>
        <w:pStyle w:val="Nagwek1"/>
        <w:spacing w:line="240" w:lineRule="auto"/>
        <w:ind w:firstLine="284"/>
        <w:jc w:val="center"/>
        <w:rPr>
          <w:rFonts w:ascii="Times New Roman" w:hAnsi="Times New Roman"/>
          <w:color w:val="auto"/>
          <w:sz w:val="20"/>
        </w:rPr>
      </w:pPr>
    </w:p>
    <w:p w14:paraId="368526BE" w14:textId="5A9B8465" w:rsidR="00311E3A" w:rsidRPr="0081299B" w:rsidRDefault="00311E3A" w:rsidP="00C32C2D">
      <w:pPr>
        <w:pStyle w:val="Tekstpodstawowyzwciciem"/>
        <w:spacing w:after="0" w:line="240" w:lineRule="auto"/>
        <w:ind w:firstLine="284"/>
        <w:jc w:val="both"/>
        <w:rPr>
          <w:rFonts w:ascii="Times New Roman" w:hAnsi="Times New Roman"/>
          <w:b/>
          <w:sz w:val="24"/>
        </w:rPr>
      </w:pPr>
      <w:r w:rsidRPr="0081299B">
        <w:rPr>
          <w:rFonts w:ascii="Times New Roman" w:hAnsi="Times New Roman"/>
          <w:b/>
          <w:sz w:val="24"/>
        </w:rPr>
        <w:t>W sprawie L.E. p. Grecji,</w:t>
      </w:r>
    </w:p>
    <w:p w14:paraId="2D2C274F" w14:textId="1B330058" w:rsidR="00311E3A" w:rsidRPr="0081299B" w:rsidRDefault="00311E3A" w:rsidP="00C32C2D">
      <w:pPr>
        <w:pStyle w:val="Tekstpodstawowyzwciciem"/>
        <w:spacing w:after="0" w:line="240" w:lineRule="auto"/>
        <w:ind w:firstLine="284"/>
        <w:jc w:val="both"/>
        <w:rPr>
          <w:rFonts w:ascii="Times New Roman" w:hAnsi="Times New Roman"/>
          <w:sz w:val="24"/>
        </w:rPr>
      </w:pPr>
      <w:r w:rsidRPr="0081299B">
        <w:rPr>
          <w:rFonts w:ascii="Times New Roman" w:hAnsi="Times New Roman"/>
          <w:sz w:val="24"/>
        </w:rPr>
        <w:t xml:space="preserve"> Europejski Trybunał Praw Człowie</w:t>
      </w:r>
      <w:bookmarkStart w:id="0" w:name="_GoBack"/>
      <w:r w:rsidRPr="0081299B">
        <w:rPr>
          <w:rFonts w:ascii="Times New Roman" w:hAnsi="Times New Roman"/>
          <w:sz w:val="24"/>
        </w:rPr>
        <w:t>k</w:t>
      </w:r>
      <w:bookmarkEnd w:id="0"/>
      <w:r w:rsidRPr="0081299B">
        <w:rPr>
          <w:rFonts w:ascii="Times New Roman" w:hAnsi="Times New Roman"/>
          <w:sz w:val="24"/>
        </w:rPr>
        <w:t xml:space="preserve">a (Pierwsza Sekcja), zasiadając jako </w:t>
      </w:r>
      <w:r w:rsidRPr="0081299B">
        <w:rPr>
          <w:rFonts w:ascii="Times New Roman" w:eastAsia="Batang" w:hAnsi="Times New Roman" w:cs="Times New Roman"/>
          <w:sz w:val="24"/>
          <w:szCs w:val="24"/>
          <w:lang w:eastAsia="ko-KR"/>
        </w:rPr>
        <w:t>I</w:t>
      </w:r>
      <w:r w:rsidRPr="0081299B">
        <w:rPr>
          <w:rFonts w:ascii="Times New Roman" w:hAnsi="Times New Roman"/>
          <w:sz w:val="24"/>
        </w:rPr>
        <w:t>zba w składzie:</w:t>
      </w:r>
    </w:p>
    <w:p w14:paraId="11ECC4D7" w14:textId="77777777" w:rsidR="00311E3A" w:rsidRPr="0081299B" w:rsidRDefault="00311E3A" w:rsidP="00C32C2D">
      <w:pPr>
        <w:pStyle w:val="Lista2"/>
        <w:spacing w:line="240" w:lineRule="auto"/>
        <w:ind w:firstLine="284"/>
        <w:jc w:val="both"/>
        <w:rPr>
          <w:rFonts w:ascii="Times New Roman" w:hAnsi="Times New Roman" w:cs="Times New Roman"/>
          <w:i/>
          <w:sz w:val="24"/>
          <w:szCs w:val="24"/>
          <w:lang w:eastAsia="ko-KR"/>
        </w:rPr>
      </w:pPr>
      <w:r w:rsidRPr="0081299B">
        <w:rPr>
          <w:rFonts w:ascii="Times New Roman" w:hAnsi="Times New Roman"/>
        </w:rPr>
        <w:t xml:space="preserve"> </w:t>
      </w:r>
      <w:proofErr w:type="spellStart"/>
      <w:r w:rsidRPr="0081299B">
        <w:rPr>
          <w:rFonts w:ascii="Times New Roman" w:hAnsi="Times New Roman" w:cs="Times New Roman"/>
          <w:sz w:val="24"/>
          <w:szCs w:val="24"/>
          <w:lang w:eastAsia="ko-KR"/>
        </w:rPr>
        <w:t>Mirjana</w:t>
      </w:r>
      <w:proofErr w:type="spellEnd"/>
      <w:r w:rsidRPr="0081299B">
        <w:rPr>
          <w:rFonts w:ascii="Times New Roman" w:hAnsi="Times New Roman" w:cs="Times New Roman"/>
          <w:sz w:val="24"/>
          <w:szCs w:val="24"/>
          <w:lang w:eastAsia="ko-KR"/>
        </w:rPr>
        <w:t xml:space="preserve"> </w:t>
      </w:r>
      <w:proofErr w:type="spellStart"/>
      <w:r w:rsidRPr="0081299B">
        <w:rPr>
          <w:rFonts w:ascii="Times New Roman" w:hAnsi="Times New Roman" w:cs="Times New Roman"/>
          <w:sz w:val="24"/>
          <w:szCs w:val="24"/>
          <w:lang w:eastAsia="ko-KR"/>
        </w:rPr>
        <w:t>Lazarova</w:t>
      </w:r>
      <w:proofErr w:type="spellEnd"/>
      <w:r w:rsidRPr="0081299B">
        <w:rPr>
          <w:rFonts w:ascii="Times New Roman" w:hAnsi="Times New Roman" w:cs="Times New Roman"/>
          <w:sz w:val="24"/>
          <w:szCs w:val="24"/>
          <w:lang w:eastAsia="ko-KR"/>
        </w:rPr>
        <w:t xml:space="preserve"> </w:t>
      </w:r>
      <w:proofErr w:type="spellStart"/>
      <w:r w:rsidRPr="0081299B">
        <w:rPr>
          <w:rFonts w:ascii="Times New Roman" w:hAnsi="Times New Roman" w:cs="Times New Roman"/>
          <w:sz w:val="24"/>
          <w:szCs w:val="24"/>
          <w:lang w:eastAsia="ko-KR"/>
        </w:rPr>
        <w:t>Trajkovska</w:t>
      </w:r>
      <w:proofErr w:type="spellEnd"/>
      <w:r w:rsidRPr="0081299B">
        <w:rPr>
          <w:rFonts w:ascii="Times New Roman" w:hAnsi="Times New Roman" w:cs="Times New Roman"/>
          <w:sz w:val="24"/>
          <w:szCs w:val="24"/>
          <w:lang w:eastAsia="ko-KR"/>
        </w:rPr>
        <w:t xml:space="preserve">, </w:t>
      </w:r>
      <w:r w:rsidRPr="0081299B">
        <w:rPr>
          <w:rFonts w:ascii="Times New Roman" w:hAnsi="Times New Roman" w:cs="Times New Roman"/>
          <w:i/>
          <w:sz w:val="24"/>
          <w:szCs w:val="24"/>
          <w:lang w:eastAsia="ko-KR"/>
        </w:rPr>
        <w:t>Przewodnicząca,</w:t>
      </w:r>
    </w:p>
    <w:p w14:paraId="434815FE" w14:textId="77777777" w:rsidR="00311E3A" w:rsidRPr="0081299B" w:rsidRDefault="00311E3A" w:rsidP="00311E3A">
      <w:pPr>
        <w:pStyle w:val="Lista2"/>
        <w:spacing w:line="240" w:lineRule="auto"/>
        <w:ind w:firstLine="284"/>
        <w:jc w:val="both"/>
        <w:rPr>
          <w:rFonts w:ascii="Times New Roman" w:hAnsi="Times New Roman"/>
          <w:sz w:val="24"/>
        </w:rPr>
      </w:pPr>
      <w:r w:rsidRPr="0081299B">
        <w:rPr>
          <w:rFonts w:ascii="Times New Roman" w:hAnsi="Times New Roman" w:cs="Times New Roman"/>
          <w:sz w:val="24"/>
          <w:szCs w:val="24"/>
          <w:lang w:eastAsia="ko-KR"/>
        </w:rPr>
        <w:t xml:space="preserve"> </w:t>
      </w:r>
      <w:proofErr w:type="spellStart"/>
      <w:r w:rsidRPr="0081299B">
        <w:rPr>
          <w:rFonts w:ascii="Times New Roman" w:hAnsi="Times New Roman"/>
          <w:sz w:val="24"/>
        </w:rPr>
        <w:t>Päivi</w:t>
      </w:r>
      <w:proofErr w:type="spellEnd"/>
      <w:r w:rsidRPr="0081299B">
        <w:rPr>
          <w:rFonts w:ascii="Times New Roman" w:hAnsi="Times New Roman"/>
          <w:sz w:val="24"/>
        </w:rPr>
        <w:t xml:space="preserve"> </w:t>
      </w:r>
      <w:proofErr w:type="spellStart"/>
      <w:r w:rsidRPr="0081299B">
        <w:rPr>
          <w:rFonts w:ascii="Times New Roman" w:hAnsi="Times New Roman"/>
          <w:sz w:val="24"/>
        </w:rPr>
        <w:t>Hirvelä</w:t>
      </w:r>
      <w:proofErr w:type="spellEnd"/>
      <w:r w:rsidRPr="0081299B">
        <w:rPr>
          <w:rFonts w:ascii="Times New Roman" w:hAnsi="Times New Roman"/>
          <w:sz w:val="24"/>
        </w:rPr>
        <w:t>,</w:t>
      </w:r>
    </w:p>
    <w:p w14:paraId="3F80795B" w14:textId="77777777" w:rsidR="00311E3A" w:rsidRPr="0081299B" w:rsidRDefault="00311E3A" w:rsidP="00311E3A">
      <w:pPr>
        <w:pStyle w:val="Lista2"/>
        <w:spacing w:line="240" w:lineRule="auto"/>
        <w:ind w:firstLine="284"/>
        <w:jc w:val="both"/>
        <w:rPr>
          <w:rFonts w:ascii="Times New Roman" w:hAnsi="Times New Roman" w:cs="Times New Roman"/>
          <w:sz w:val="24"/>
          <w:szCs w:val="24"/>
          <w:lang w:val="fr-FR" w:eastAsia="ko-KR"/>
        </w:rPr>
      </w:pPr>
      <w:r w:rsidRPr="0081299B">
        <w:rPr>
          <w:rFonts w:ascii="Times New Roman" w:hAnsi="Times New Roman"/>
          <w:sz w:val="24"/>
        </w:rPr>
        <w:t xml:space="preserve"> </w:t>
      </w:r>
      <w:r w:rsidRPr="0081299B">
        <w:rPr>
          <w:rFonts w:ascii="Times New Roman" w:hAnsi="Times New Roman" w:cs="Times New Roman"/>
          <w:sz w:val="24"/>
          <w:szCs w:val="24"/>
          <w:lang w:val="fr-FR" w:eastAsia="ko-KR"/>
        </w:rPr>
        <w:t xml:space="preserve">Kristina </w:t>
      </w:r>
      <w:proofErr w:type="spellStart"/>
      <w:r w:rsidRPr="0081299B">
        <w:rPr>
          <w:rFonts w:ascii="Times New Roman" w:hAnsi="Times New Roman" w:cs="Times New Roman"/>
          <w:sz w:val="24"/>
          <w:szCs w:val="24"/>
          <w:lang w:val="fr-FR" w:eastAsia="ko-KR"/>
        </w:rPr>
        <w:t>Pardalos</w:t>
      </w:r>
      <w:proofErr w:type="spellEnd"/>
      <w:r w:rsidRPr="0081299B">
        <w:rPr>
          <w:rFonts w:ascii="Times New Roman" w:hAnsi="Times New Roman" w:cs="Times New Roman"/>
          <w:sz w:val="24"/>
          <w:szCs w:val="24"/>
          <w:lang w:val="fr-FR" w:eastAsia="ko-KR"/>
        </w:rPr>
        <w:t>,</w:t>
      </w:r>
    </w:p>
    <w:p w14:paraId="3EBC67DC" w14:textId="77777777" w:rsidR="00311E3A" w:rsidRPr="0081299B" w:rsidRDefault="00311E3A" w:rsidP="00311E3A">
      <w:pPr>
        <w:pStyle w:val="Lista2"/>
        <w:spacing w:line="240" w:lineRule="auto"/>
        <w:ind w:firstLine="284"/>
        <w:jc w:val="both"/>
        <w:rPr>
          <w:rFonts w:ascii="Times New Roman" w:hAnsi="Times New Roman" w:cs="Times New Roman"/>
          <w:sz w:val="24"/>
          <w:szCs w:val="24"/>
          <w:lang w:val="fr-FR" w:eastAsia="ko-KR"/>
        </w:rPr>
      </w:pPr>
      <w:r w:rsidRPr="0081299B">
        <w:rPr>
          <w:rFonts w:ascii="Times New Roman" w:hAnsi="Times New Roman" w:cs="Times New Roman"/>
          <w:sz w:val="24"/>
          <w:szCs w:val="24"/>
          <w:lang w:val="fr-FR" w:eastAsia="ko-KR"/>
        </w:rPr>
        <w:t xml:space="preserve"> Linos-Alexandre </w:t>
      </w:r>
      <w:proofErr w:type="spellStart"/>
      <w:r w:rsidRPr="0081299B">
        <w:rPr>
          <w:rFonts w:ascii="Times New Roman" w:hAnsi="Times New Roman" w:cs="Times New Roman"/>
          <w:sz w:val="24"/>
          <w:szCs w:val="24"/>
          <w:lang w:val="fr-FR" w:eastAsia="ko-KR"/>
        </w:rPr>
        <w:t>Sicilianos</w:t>
      </w:r>
      <w:proofErr w:type="spellEnd"/>
      <w:r w:rsidRPr="0081299B">
        <w:rPr>
          <w:rFonts w:ascii="Times New Roman" w:hAnsi="Times New Roman" w:cs="Times New Roman"/>
          <w:sz w:val="24"/>
          <w:szCs w:val="24"/>
          <w:lang w:val="fr-FR" w:eastAsia="ko-KR"/>
        </w:rPr>
        <w:t>,</w:t>
      </w:r>
    </w:p>
    <w:p w14:paraId="5CE9278E" w14:textId="77777777" w:rsidR="00311E3A" w:rsidRPr="0081299B" w:rsidRDefault="00311E3A" w:rsidP="00311E3A">
      <w:pPr>
        <w:pStyle w:val="Lista2"/>
        <w:spacing w:line="240" w:lineRule="auto"/>
        <w:ind w:firstLine="284"/>
        <w:jc w:val="both"/>
        <w:rPr>
          <w:rFonts w:ascii="Times New Roman" w:hAnsi="Times New Roman"/>
          <w:sz w:val="24"/>
          <w:lang w:val="en-US"/>
        </w:rPr>
      </w:pPr>
      <w:r w:rsidRPr="0081299B">
        <w:rPr>
          <w:rFonts w:ascii="Times New Roman" w:hAnsi="Times New Roman" w:cs="Times New Roman"/>
          <w:sz w:val="24"/>
          <w:szCs w:val="24"/>
          <w:lang w:val="fr-FR" w:eastAsia="ko-KR"/>
        </w:rPr>
        <w:t xml:space="preserve"> </w:t>
      </w:r>
      <w:r w:rsidRPr="0081299B">
        <w:rPr>
          <w:rFonts w:ascii="Times New Roman" w:hAnsi="Times New Roman"/>
          <w:sz w:val="24"/>
          <w:lang w:val="en-US"/>
        </w:rPr>
        <w:t>Paul Mahoney,</w:t>
      </w:r>
    </w:p>
    <w:p w14:paraId="779F5B1C" w14:textId="77777777" w:rsidR="00311E3A" w:rsidRPr="0081299B" w:rsidRDefault="00311E3A" w:rsidP="00311E3A">
      <w:pPr>
        <w:pStyle w:val="Lista2"/>
        <w:spacing w:line="240" w:lineRule="auto"/>
        <w:ind w:firstLine="284"/>
        <w:jc w:val="both"/>
        <w:rPr>
          <w:rFonts w:ascii="Times New Roman" w:hAnsi="Times New Roman"/>
          <w:sz w:val="24"/>
          <w:lang w:val="en-US"/>
        </w:rPr>
      </w:pPr>
      <w:r w:rsidRPr="0081299B">
        <w:rPr>
          <w:rFonts w:ascii="Times New Roman" w:hAnsi="Times New Roman"/>
          <w:sz w:val="24"/>
          <w:lang w:val="en-US"/>
        </w:rPr>
        <w:t xml:space="preserve"> </w:t>
      </w:r>
      <w:proofErr w:type="spellStart"/>
      <w:r w:rsidRPr="0081299B">
        <w:rPr>
          <w:rFonts w:ascii="Times New Roman" w:hAnsi="Times New Roman"/>
          <w:sz w:val="24"/>
          <w:lang w:val="en-US"/>
        </w:rPr>
        <w:t>Aleš</w:t>
      </w:r>
      <w:proofErr w:type="spellEnd"/>
      <w:r w:rsidRPr="0081299B">
        <w:rPr>
          <w:rFonts w:ascii="Times New Roman" w:hAnsi="Times New Roman"/>
          <w:sz w:val="24"/>
          <w:lang w:val="en-US"/>
        </w:rPr>
        <w:t xml:space="preserve"> </w:t>
      </w:r>
      <w:proofErr w:type="spellStart"/>
      <w:r w:rsidRPr="0081299B">
        <w:rPr>
          <w:rFonts w:ascii="Times New Roman" w:hAnsi="Times New Roman"/>
          <w:sz w:val="24"/>
          <w:lang w:val="en-US"/>
        </w:rPr>
        <w:t>Pejchal</w:t>
      </w:r>
      <w:proofErr w:type="spellEnd"/>
      <w:r w:rsidRPr="0081299B">
        <w:rPr>
          <w:rFonts w:ascii="Times New Roman" w:hAnsi="Times New Roman"/>
          <w:sz w:val="24"/>
          <w:lang w:val="en-US"/>
        </w:rPr>
        <w:t>,</w:t>
      </w:r>
    </w:p>
    <w:p w14:paraId="377729EC" w14:textId="77777777" w:rsidR="00311E3A" w:rsidRPr="0081299B" w:rsidRDefault="00311E3A" w:rsidP="00311E3A">
      <w:pPr>
        <w:pStyle w:val="Lista2"/>
        <w:spacing w:after="0" w:line="240" w:lineRule="auto"/>
        <w:ind w:firstLine="284"/>
        <w:jc w:val="both"/>
        <w:rPr>
          <w:rFonts w:ascii="Times New Roman" w:hAnsi="Times New Roman"/>
          <w:sz w:val="24"/>
          <w:lang w:val="en-US"/>
        </w:rPr>
      </w:pPr>
      <w:r w:rsidRPr="0081299B">
        <w:rPr>
          <w:rFonts w:ascii="Times New Roman" w:hAnsi="Times New Roman"/>
          <w:sz w:val="24"/>
          <w:lang w:val="en-US"/>
        </w:rPr>
        <w:t xml:space="preserve"> Robert </w:t>
      </w:r>
      <w:proofErr w:type="spellStart"/>
      <w:r w:rsidRPr="0081299B">
        <w:rPr>
          <w:rFonts w:ascii="Times New Roman" w:hAnsi="Times New Roman"/>
          <w:sz w:val="24"/>
          <w:lang w:val="en-US"/>
        </w:rPr>
        <w:t>Spano</w:t>
      </w:r>
      <w:proofErr w:type="spellEnd"/>
      <w:r w:rsidRPr="0081299B">
        <w:rPr>
          <w:rFonts w:ascii="Times New Roman" w:hAnsi="Times New Roman"/>
          <w:sz w:val="24"/>
          <w:lang w:val="en-US"/>
        </w:rPr>
        <w:t xml:space="preserve">, </w:t>
      </w:r>
      <w:proofErr w:type="spellStart"/>
      <w:r w:rsidRPr="0081299B">
        <w:rPr>
          <w:rFonts w:ascii="Times New Roman" w:hAnsi="Times New Roman"/>
          <w:sz w:val="24"/>
          <w:lang w:val="en-US"/>
        </w:rPr>
        <w:t>S</w:t>
      </w:r>
      <w:r w:rsidRPr="0081299B">
        <w:rPr>
          <w:rFonts w:ascii="Times New Roman" w:hAnsi="Times New Roman"/>
          <w:i/>
          <w:sz w:val="24"/>
          <w:lang w:val="en-US"/>
        </w:rPr>
        <w:t>ędziowie</w:t>
      </w:r>
      <w:proofErr w:type="spellEnd"/>
      <w:r w:rsidRPr="0081299B">
        <w:rPr>
          <w:rFonts w:ascii="Times New Roman" w:hAnsi="Times New Roman"/>
          <w:sz w:val="24"/>
          <w:lang w:val="en-US"/>
        </w:rPr>
        <w:t>,</w:t>
      </w:r>
    </w:p>
    <w:p w14:paraId="71901A2C" w14:textId="77777777" w:rsidR="00311E3A" w:rsidRPr="0081299B" w:rsidRDefault="00311E3A" w:rsidP="00311E3A">
      <w:pPr>
        <w:pStyle w:val="Tekstpodstawowyzwciciem"/>
        <w:spacing w:after="0" w:line="240" w:lineRule="auto"/>
        <w:ind w:firstLine="284"/>
        <w:jc w:val="both"/>
        <w:rPr>
          <w:rFonts w:ascii="Times New Roman" w:hAnsi="Times New Roman" w:cs="Times New Roman"/>
          <w:sz w:val="24"/>
          <w:szCs w:val="24"/>
          <w:lang w:eastAsia="ko-KR"/>
        </w:rPr>
      </w:pPr>
      <w:r w:rsidRPr="0081299B">
        <w:rPr>
          <w:rFonts w:ascii="Times New Roman" w:hAnsi="Times New Roman"/>
          <w:sz w:val="24"/>
          <w:lang w:val="en-US"/>
        </w:rPr>
        <w:t xml:space="preserve"> </w:t>
      </w:r>
      <w:r w:rsidRPr="0081299B">
        <w:rPr>
          <w:rFonts w:ascii="Times New Roman" w:hAnsi="Times New Roman" w:cs="Times New Roman"/>
          <w:sz w:val="24"/>
          <w:szCs w:val="24"/>
          <w:lang w:eastAsia="ko-KR"/>
        </w:rPr>
        <w:t xml:space="preserve">oraz </w:t>
      </w:r>
      <w:proofErr w:type="spellStart"/>
      <w:r w:rsidRPr="0081299B">
        <w:rPr>
          <w:rFonts w:ascii="Times New Roman" w:hAnsi="Times New Roman" w:cs="Times New Roman"/>
          <w:sz w:val="24"/>
          <w:szCs w:val="24"/>
          <w:lang w:eastAsia="ko-KR"/>
        </w:rPr>
        <w:t>André</w:t>
      </w:r>
      <w:proofErr w:type="spellEnd"/>
      <w:r w:rsidRPr="0081299B">
        <w:rPr>
          <w:rFonts w:ascii="Times New Roman" w:hAnsi="Times New Roman" w:cs="Times New Roman"/>
          <w:sz w:val="24"/>
          <w:szCs w:val="24"/>
          <w:lang w:eastAsia="ko-KR"/>
        </w:rPr>
        <w:t xml:space="preserve"> Wampach, </w:t>
      </w:r>
      <w:r w:rsidRPr="0081299B">
        <w:rPr>
          <w:rFonts w:ascii="Times New Roman" w:hAnsi="Times New Roman" w:cs="Times New Roman"/>
          <w:i/>
          <w:sz w:val="24"/>
          <w:szCs w:val="24"/>
          <w:lang w:eastAsia="ko-KR"/>
        </w:rPr>
        <w:t>Zastępca Kanclerza Sekcji</w:t>
      </w:r>
      <w:r w:rsidRPr="0081299B">
        <w:rPr>
          <w:rFonts w:ascii="Times New Roman" w:hAnsi="Times New Roman" w:cs="Times New Roman"/>
          <w:sz w:val="24"/>
          <w:szCs w:val="24"/>
          <w:lang w:eastAsia="ko-KR"/>
        </w:rPr>
        <w:t>,</w:t>
      </w:r>
    </w:p>
    <w:p w14:paraId="40490937" w14:textId="77777777" w:rsidR="00311E3A" w:rsidRPr="0081299B" w:rsidRDefault="00311E3A" w:rsidP="00311E3A">
      <w:pPr>
        <w:pStyle w:val="Tekstpodstawowywcity"/>
        <w:spacing w:after="0" w:line="240" w:lineRule="auto"/>
        <w:ind w:firstLine="284"/>
        <w:jc w:val="both"/>
        <w:rPr>
          <w:rFonts w:ascii="Times New Roman" w:hAnsi="Times New Roman" w:cs="Times New Roman"/>
          <w:sz w:val="24"/>
          <w:szCs w:val="24"/>
          <w:lang w:eastAsia="ko-KR"/>
        </w:rPr>
      </w:pPr>
      <w:r w:rsidRPr="0081299B">
        <w:rPr>
          <w:rFonts w:ascii="Times New Roman" w:hAnsi="Times New Roman" w:cs="Times New Roman"/>
          <w:sz w:val="24"/>
          <w:szCs w:val="24"/>
          <w:lang w:eastAsia="ko-KR"/>
        </w:rPr>
        <w:t xml:space="preserve"> obradując na posiedzeniu niejawnym w dniu 15 grudnia 2015 r., </w:t>
      </w:r>
    </w:p>
    <w:p w14:paraId="4CF346F1" w14:textId="77777777" w:rsidR="00311E3A" w:rsidRPr="0081299B" w:rsidRDefault="00311E3A" w:rsidP="00311E3A">
      <w:pPr>
        <w:pStyle w:val="Tekstpodstawowywcity"/>
        <w:spacing w:line="240" w:lineRule="auto"/>
        <w:ind w:firstLine="284"/>
        <w:jc w:val="both"/>
        <w:rPr>
          <w:rFonts w:ascii="Times New Roman" w:hAnsi="Times New Roman" w:cs="Times New Roman"/>
          <w:sz w:val="24"/>
          <w:szCs w:val="24"/>
          <w:lang w:eastAsia="ko-KR"/>
        </w:rPr>
      </w:pPr>
      <w:r w:rsidRPr="0081299B">
        <w:rPr>
          <w:rFonts w:ascii="Times New Roman" w:hAnsi="Times New Roman" w:cs="Times New Roman"/>
          <w:sz w:val="24"/>
          <w:szCs w:val="24"/>
          <w:lang w:eastAsia="ko-KR"/>
        </w:rPr>
        <w:t xml:space="preserve"> wydaje następujący wyrok, przyjęty z tą datą:</w:t>
      </w:r>
    </w:p>
    <w:p w14:paraId="2BF55BBA" w14:textId="0EA0E7CB" w:rsidR="00311E3A" w:rsidRPr="0081299B" w:rsidRDefault="00311E3A" w:rsidP="00C32C2D">
      <w:pPr>
        <w:pStyle w:val="Nagwek4"/>
        <w:spacing w:before="720" w:after="240" w:line="240" w:lineRule="auto"/>
        <w:jc w:val="both"/>
        <w:rPr>
          <w:rFonts w:ascii="Times New Roman" w:eastAsia="Batang" w:hAnsi="Times New Roman" w:cs="Times New Roman"/>
          <w:i w:val="0"/>
          <w:color w:val="auto"/>
          <w:sz w:val="28"/>
          <w:szCs w:val="28"/>
          <w:lang w:eastAsia="ko-KR"/>
        </w:rPr>
      </w:pPr>
      <w:r w:rsidRPr="0081299B">
        <w:rPr>
          <w:rFonts w:ascii="Times New Roman" w:eastAsia="Batang" w:hAnsi="Times New Roman" w:cs="Times New Roman"/>
          <w:i w:val="0"/>
          <w:color w:val="auto"/>
          <w:sz w:val="28"/>
          <w:szCs w:val="28"/>
          <w:lang w:eastAsia="ko-KR"/>
        </w:rPr>
        <w:t>POSTĘPOWANIE</w:t>
      </w:r>
    </w:p>
    <w:p w14:paraId="7ECCAFAE" w14:textId="24E1A82D"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Podstawą rozpatrzenia sprawy była skarga (nr 71545/12) skierowana przeciwko Republice Grec</w:t>
      </w:r>
      <w:r w:rsidRPr="0081299B">
        <w:rPr>
          <w:rFonts w:ascii="Times New Roman" w:eastAsia="Batang" w:hAnsi="Times New Roman" w:cs="Times New Roman"/>
          <w:szCs w:val="24"/>
          <w:lang w:val="pl-PL" w:eastAsia="ko-KR"/>
        </w:rPr>
        <w:t>k</w:t>
      </w:r>
      <w:r w:rsidRPr="0081299B">
        <w:rPr>
          <w:rFonts w:ascii="Times New Roman" w:hAnsi="Times New Roman"/>
          <w:lang w:val="pl-PL"/>
        </w:rPr>
        <w:t>i</w:t>
      </w:r>
      <w:r w:rsidRPr="0081299B">
        <w:rPr>
          <w:rFonts w:ascii="Times New Roman" w:eastAsia="Batang" w:hAnsi="Times New Roman" w:cs="Times New Roman"/>
          <w:szCs w:val="24"/>
          <w:lang w:val="pl-PL" w:eastAsia="ko-KR"/>
        </w:rPr>
        <w:t>ej</w:t>
      </w:r>
      <w:r w:rsidRPr="0081299B">
        <w:rPr>
          <w:rFonts w:ascii="Times New Roman" w:hAnsi="Times New Roman"/>
          <w:lang w:val="pl-PL"/>
        </w:rPr>
        <w:t xml:space="preserve"> i wniesiona do Trybunału w dniu 20 października 2012 r., przez obywatelkę Nigerii, L.E. („skarżąca”), na podstawie art. 34 Konwencji o ochronie praw człowieka i podstawowych wolności („Konwencja”). Przewodnicząca Sekcji </w:t>
      </w:r>
      <w:r w:rsidRPr="0081299B">
        <w:rPr>
          <w:rFonts w:ascii="Times New Roman" w:eastAsia="Batang" w:hAnsi="Times New Roman" w:cs="Times New Roman"/>
          <w:szCs w:val="24"/>
          <w:lang w:val="pl-PL" w:eastAsia="ko-KR"/>
        </w:rPr>
        <w:t>uwzględniła</w:t>
      </w:r>
      <w:r w:rsidRPr="0081299B">
        <w:rPr>
          <w:rFonts w:ascii="Times New Roman" w:hAnsi="Times New Roman"/>
          <w:lang w:val="pl-PL"/>
        </w:rPr>
        <w:t>, w dniu 6 maja 2014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skierowany przez skarżącą wniosek o niepublikowanie jej danych osobowych (Reguła 47 § 4 Regulaminu</w:t>
      </w:r>
      <w:r w:rsidRPr="0081299B">
        <w:rPr>
          <w:rFonts w:ascii="Times New Roman" w:eastAsia="Batang" w:hAnsi="Times New Roman" w:cs="Times New Roman"/>
          <w:szCs w:val="24"/>
          <w:lang w:val="pl-PL" w:eastAsia="ko-KR"/>
        </w:rPr>
        <w:t xml:space="preserve"> Trybunału</w:t>
      </w:r>
      <w:r w:rsidRPr="0081299B">
        <w:rPr>
          <w:rFonts w:ascii="Times New Roman" w:hAnsi="Times New Roman"/>
          <w:lang w:val="pl-PL"/>
        </w:rPr>
        <w:t>).</w:t>
      </w:r>
    </w:p>
    <w:p w14:paraId="0D7CA07F" w14:textId="7FFD7D1E"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Skarżąca była reprezentowana przed Trybunałem przez grecki Monitor Helsiński, organizację pozarządową mającą swoją siedzibę w </w:t>
      </w:r>
      <w:proofErr w:type="spellStart"/>
      <w:r w:rsidRPr="0081299B">
        <w:rPr>
          <w:rFonts w:ascii="Times New Roman" w:hAnsi="Times New Roman"/>
          <w:lang w:val="pl-PL"/>
        </w:rPr>
        <w:t>Glyka</w:t>
      </w:r>
      <w:proofErr w:type="spellEnd"/>
      <w:r w:rsidRPr="0081299B">
        <w:rPr>
          <w:rFonts w:ascii="Times New Roman" w:hAnsi="Times New Roman"/>
          <w:lang w:val="pl-PL"/>
        </w:rPr>
        <w:t xml:space="preserve"> Nera (Ateny). Rząd grecki („Rząd”) reprezentowany był przez </w:t>
      </w:r>
      <w:r w:rsidRPr="0081299B">
        <w:rPr>
          <w:rFonts w:ascii="Times New Roman" w:eastAsia="Batang" w:hAnsi="Times New Roman" w:cs="Times New Roman"/>
          <w:szCs w:val="24"/>
          <w:lang w:val="pl-PL" w:eastAsia="ko-KR"/>
        </w:rPr>
        <w:t>zastępcę</w:t>
      </w:r>
      <w:r w:rsidRPr="0081299B">
        <w:rPr>
          <w:rFonts w:ascii="Times New Roman" w:hAnsi="Times New Roman"/>
          <w:lang w:val="pl-PL"/>
        </w:rPr>
        <w:t xml:space="preserve"> swojego Pełnomocnika, Panią M. </w:t>
      </w:r>
      <w:proofErr w:type="spellStart"/>
      <w:r w:rsidRPr="0081299B">
        <w:rPr>
          <w:rFonts w:ascii="Times New Roman" w:hAnsi="Times New Roman"/>
          <w:lang w:val="pl-PL"/>
        </w:rPr>
        <w:t>Germani</w:t>
      </w:r>
      <w:proofErr w:type="spellEnd"/>
      <w:r w:rsidRPr="0081299B">
        <w:rPr>
          <w:rFonts w:ascii="Times New Roman" w:hAnsi="Times New Roman"/>
          <w:lang w:val="pl-PL"/>
        </w:rPr>
        <w:t>, audytorkę przy sądowej Radzie Stanu.</w:t>
      </w:r>
    </w:p>
    <w:p w14:paraId="0125EC67" w14:textId="77777777"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Skarżąca zarzuca w szczególności naruszenie art. 4 Konwencji.</w:t>
      </w:r>
    </w:p>
    <w:p w14:paraId="26EACABD" w14:textId="3B59FD63"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Dnia 6 maja 2014 r</w:t>
      </w:r>
      <w:r w:rsidRPr="0081299B">
        <w:rPr>
          <w:rFonts w:ascii="Times New Roman" w:eastAsia="Batang" w:hAnsi="Times New Roman" w:cs="Times New Roman"/>
          <w:szCs w:val="24"/>
          <w:lang w:val="pl-PL" w:eastAsia="ko-KR"/>
        </w:rPr>
        <w:t>. zostały zakomunikowane Rządowi</w:t>
      </w:r>
      <w:r w:rsidRPr="0081299B">
        <w:rPr>
          <w:rFonts w:ascii="Times New Roman" w:hAnsi="Times New Roman"/>
          <w:lang w:val="pl-PL"/>
        </w:rPr>
        <w:t xml:space="preserve"> zarzuty dotyczące art. 4, art. 6 ust. 1 i art. 13 Konwencji, a w pozostałym zakresie skarga została odrzucona zgodnie z Regułą 54 § 3 Regulaminu Trybunału.</w:t>
      </w:r>
    </w:p>
    <w:p w14:paraId="18708BA8" w14:textId="77777777" w:rsidR="00311E3A" w:rsidRPr="0081299B" w:rsidRDefault="00311E3A" w:rsidP="00311E3A">
      <w:pPr>
        <w:pStyle w:val="Nagwek4"/>
        <w:spacing w:before="720" w:after="240" w:line="240" w:lineRule="auto"/>
        <w:jc w:val="both"/>
        <w:rPr>
          <w:rFonts w:ascii="Times New Roman" w:eastAsia="Batang" w:hAnsi="Times New Roman" w:cs="Times New Roman"/>
          <w:i w:val="0"/>
          <w:color w:val="auto"/>
          <w:sz w:val="28"/>
          <w:szCs w:val="28"/>
          <w:lang w:eastAsia="ko-KR"/>
        </w:rPr>
      </w:pPr>
      <w:r w:rsidRPr="0081299B">
        <w:rPr>
          <w:rFonts w:ascii="Times New Roman" w:eastAsia="Batang" w:hAnsi="Times New Roman" w:cs="Times New Roman"/>
          <w:i w:val="0"/>
          <w:color w:val="auto"/>
          <w:sz w:val="28"/>
          <w:szCs w:val="28"/>
          <w:lang w:eastAsia="ko-KR"/>
        </w:rPr>
        <w:t>FAKTY</w:t>
      </w:r>
    </w:p>
    <w:p w14:paraId="30AA6697" w14:textId="77777777" w:rsidR="00311E3A" w:rsidRPr="0081299B" w:rsidRDefault="00311E3A" w:rsidP="00C32C2D">
      <w:pPr>
        <w:pStyle w:val="ECHRHeading1"/>
        <w:rPr>
          <w:rFonts w:ascii="Times New Roman" w:hAnsi="Times New Roman"/>
          <w:i/>
          <w:lang w:val="pl-PL"/>
        </w:rPr>
      </w:pPr>
      <w:r w:rsidRPr="0081299B">
        <w:rPr>
          <w:rFonts w:ascii="Times New Roman" w:hAnsi="Times New Roman"/>
          <w:lang w:val="pl-PL"/>
        </w:rPr>
        <w:t xml:space="preserve"> I. OKOLICZNOŚCI SPRAWY</w:t>
      </w:r>
    </w:p>
    <w:p w14:paraId="142E73AE" w14:textId="59189160"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Skarżąca urodziła się w 1982 r. i zamieszkuje w </w:t>
      </w:r>
      <w:proofErr w:type="spellStart"/>
      <w:r w:rsidRPr="0081299B">
        <w:rPr>
          <w:rFonts w:ascii="Times New Roman" w:hAnsi="Times New Roman"/>
          <w:lang w:val="pl-PL"/>
        </w:rPr>
        <w:t>Glyka</w:t>
      </w:r>
      <w:proofErr w:type="spellEnd"/>
      <w:r w:rsidRPr="0081299B">
        <w:rPr>
          <w:rFonts w:ascii="Times New Roman" w:hAnsi="Times New Roman"/>
          <w:lang w:val="pl-PL"/>
        </w:rPr>
        <w:t xml:space="preserve"> Nera (Ateny).</w:t>
      </w:r>
    </w:p>
    <w:p w14:paraId="55189A9C" w14:textId="44EA278D"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lastRenderedPageBreak/>
        <w:t>W dniu 9 czerwca 2004 r. skarżąca przybyła na terytorium Grecji z K.A. Ten ostatni miał ją spotkać na terytorium Nigerii i miał jej obiecać, że może ją zawieźć do Grecji do pracy w barach i lokalach nocnych. Przed opuszczeniem Grecji, K.A. miał wymusić na skarżącej obietnicę, że będzie mu winna kwotę 40 000 euro i że nie powiadomi policji greckiej o jego działalności. Skarżąca twierdzi, że K.A. zaprowadził ją do „kapłana voodoo”, aby przysięgła przed nim, że jest winna K.A. kwotę 40 000 euro.</w:t>
      </w:r>
    </w:p>
    <w:p w14:paraId="2BF0444D" w14:textId="133C1D49" w:rsidR="00311E3A" w:rsidRPr="0081299B" w:rsidRDefault="00311E3A" w:rsidP="00C32C2D">
      <w:pPr>
        <w:pStyle w:val="ECHRPara"/>
        <w:numPr>
          <w:ilvl w:val="0"/>
          <w:numId w:val="19"/>
        </w:numPr>
        <w:ind w:left="0" w:firstLine="284"/>
        <w:rPr>
          <w:rFonts w:ascii="Times New Roman" w:hAnsi="Times New Roman"/>
          <w:i/>
          <w:lang w:val="pl-PL"/>
        </w:rPr>
      </w:pPr>
      <w:r w:rsidRPr="0081299B">
        <w:rPr>
          <w:rFonts w:ascii="Times New Roman" w:hAnsi="Times New Roman"/>
          <w:lang w:val="pl-PL"/>
        </w:rPr>
        <w:t>Skarżąca twierdzi, że po przybyciu do Grecji, K.A. skonfiskował jej paszport i zmusił ją do prostytuowania się. Zapewnia, że nie mogła uciec w obawie, że nigdy nie będzie mogła uwolnić się od złego uroku, jaki rzucił na nią „kapłan voodoo”. Ponadto, nie posiadała paszportu i obawiała się, że w razie ucieczki może zostać zatrzymana i odesłana do Nigerii, lub że jej najbliżsi znaleźliby się w niebezpieczeństwie. Sądziła, że jedynym wyborem</w:t>
      </w:r>
      <w:r w:rsidRPr="0081299B">
        <w:rPr>
          <w:rFonts w:ascii="Times New Roman" w:hAnsi="Times New Roman" w:cs="Times New Roman"/>
          <w:szCs w:val="24"/>
          <w:lang w:val="pl-PL"/>
        </w:rPr>
        <w:t>,</w:t>
      </w:r>
      <w:r w:rsidRPr="0081299B">
        <w:rPr>
          <w:rFonts w:ascii="Times New Roman" w:hAnsi="Times New Roman"/>
          <w:lang w:val="pl-PL"/>
        </w:rPr>
        <w:t xml:space="preserve"> jaki miała</w:t>
      </w:r>
      <w:r w:rsidRPr="0081299B">
        <w:rPr>
          <w:rFonts w:ascii="Times New Roman" w:hAnsi="Times New Roman" w:cs="Times New Roman"/>
          <w:szCs w:val="24"/>
          <w:lang w:val="pl-PL"/>
        </w:rPr>
        <w:t>,</w:t>
      </w:r>
      <w:r w:rsidRPr="0081299B">
        <w:rPr>
          <w:rFonts w:ascii="Times New Roman" w:hAnsi="Times New Roman"/>
          <w:lang w:val="pl-PL"/>
        </w:rPr>
        <w:t xml:space="preserve"> było zwrócenie K.A. tych 40 000 euro w celu uwolnienia się od uroku voodoo. Musiała prostytuować się przez około dwa lata. W tym czasie skarżąca pozostawała w kontakcie z organizacją pozarządową „</w:t>
      </w:r>
      <w:proofErr w:type="spellStart"/>
      <w:r w:rsidRPr="0081299B">
        <w:rPr>
          <w:rFonts w:ascii="Times New Roman" w:hAnsi="Times New Roman"/>
          <w:i/>
          <w:lang w:val="pl-PL"/>
        </w:rPr>
        <w:t>Nea</w:t>
      </w:r>
      <w:proofErr w:type="spellEnd"/>
      <w:r w:rsidRPr="0081299B">
        <w:rPr>
          <w:rFonts w:ascii="Times New Roman" w:hAnsi="Times New Roman"/>
          <w:i/>
          <w:lang w:val="pl-PL"/>
        </w:rPr>
        <w:t xml:space="preserve"> </w:t>
      </w:r>
      <w:proofErr w:type="spellStart"/>
      <w:r w:rsidRPr="0081299B">
        <w:rPr>
          <w:rFonts w:ascii="Times New Roman" w:hAnsi="Times New Roman"/>
          <w:i/>
          <w:lang w:val="pl-PL"/>
        </w:rPr>
        <w:t>Zoi</w:t>
      </w:r>
      <w:proofErr w:type="spellEnd"/>
      <w:r w:rsidRPr="0081299B">
        <w:rPr>
          <w:rFonts w:ascii="Times New Roman" w:hAnsi="Times New Roman"/>
          <w:lang w:val="pl-PL"/>
        </w:rPr>
        <w:t xml:space="preserve">” (Nowe życie </w:t>
      </w:r>
      <w:r w:rsidRPr="0081299B">
        <w:rPr>
          <w:rFonts w:ascii="Times New Roman" w:hAnsi="Times New Roman"/>
          <w:i/>
          <w:lang w:val="pl-PL"/>
        </w:rPr>
        <w:t xml:space="preserve">– </w:t>
      </w:r>
      <w:proofErr w:type="spellStart"/>
      <w:r w:rsidRPr="0081299B">
        <w:rPr>
          <w:rFonts w:ascii="Times New Roman" w:hAnsi="Times New Roman"/>
          <w:i/>
          <w:lang w:val="pl-PL"/>
        </w:rPr>
        <w:t>Νέ</w:t>
      </w:r>
      <w:proofErr w:type="spellEnd"/>
      <w:r w:rsidRPr="0081299B">
        <w:rPr>
          <w:rFonts w:ascii="Times New Roman" w:hAnsi="Times New Roman"/>
          <w:i/>
          <w:lang w:val="pl-PL"/>
        </w:rPr>
        <w:t xml:space="preserve">α </w:t>
      </w:r>
      <w:proofErr w:type="spellStart"/>
      <w:r w:rsidRPr="0081299B">
        <w:rPr>
          <w:rFonts w:ascii="Times New Roman" w:hAnsi="Times New Roman"/>
          <w:i/>
          <w:lang w:val="pl-PL"/>
        </w:rPr>
        <w:t>Ζωή</w:t>
      </w:r>
      <w:proofErr w:type="spellEnd"/>
      <w:r w:rsidRPr="0081299B">
        <w:rPr>
          <w:rFonts w:ascii="Times New Roman" w:hAnsi="Times New Roman"/>
          <w:lang w:val="pl-PL"/>
        </w:rPr>
        <w:t>), której celem jest wsparcie materialne i psychologiczne kobiet zmuszanych do prostytucji.</w:t>
      </w:r>
    </w:p>
    <w:p w14:paraId="3B79163D" w14:textId="122CD49B"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Dnia 12 lipca 2004 r., skarżąca osobiście złożyła wniosek o azyl w Wydziale ds. obcokrajowców w Atenach. Dnia 8 czerwca 2005 r., ponownie stawiła się w tym Wydziale, gdzie została poinformowana, że znalezione zostało dla niej miejsce w Ośrodku Czerwonego Krzyża dla osób występujących o azyl w regionie </w:t>
      </w:r>
      <w:proofErr w:type="spellStart"/>
      <w:r w:rsidRPr="0081299B">
        <w:rPr>
          <w:rFonts w:ascii="Times New Roman" w:hAnsi="Times New Roman"/>
          <w:lang w:val="pl-PL"/>
        </w:rPr>
        <w:t>Fthiotida</w:t>
      </w:r>
      <w:proofErr w:type="spellEnd"/>
      <w:r w:rsidRPr="0081299B">
        <w:rPr>
          <w:rFonts w:ascii="Times New Roman" w:hAnsi="Times New Roman"/>
          <w:lang w:val="pl-PL"/>
        </w:rPr>
        <w:t>. Z akt wynika, że skarżąca się tam nie zgłosiła.</w:t>
      </w:r>
    </w:p>
    <w:p w14:paraId="2F56FAF4" w14:textId="591EDB08"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Dnia 9 czerwca 2005 r. osoba trzecia złożyła, w odpowiednim organie administracyjnym, wniosek o azyl w imieniu skarżącej. Został on odrzucony z tego powodu, że nie został złożony osobiście przez skarżącą.</w:t>
      </w:r>
    </w:p>
    <w:p w14:paraId="36E61F7C" w14:textId="298B7304"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Dnia 29 sierpnia 2005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skarżąca została zatrzymana za naruszenie przepisów ustaw nr 2734/1999 i nr 2910/2001, odpowiednio dotyczących prostytucji oraz przekroczenia granicy i pobytu obcokrajowców na terytorium Grecji. Na mocy wyroku nr 115116/2005 Sądu Karnego w Atenach została uniewinniona od stawianych jej zarzutów.</w:t>
      </w:r>
    </w:p>
    <w:p w14:paraId="35529E68" w14:textId="49B6D16F"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Dnia 30 marca 2006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skarżąca została ponownie zatrzymana za prostytucję. Skazana w pierwszej instancji na mocy wyroku nr 31922/2006 Sądu Karnego w Atenach, została następnie uniewinniona wyrokiem nr 30134/2007 Sądu Apelacyjnego w Atenach.</w:t>
      </w:r>
    </w:p>
    <w:p w14:paraId="3D93C4C3" w14:textId="1312D32B"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Dnia 2 kwietnia 2006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szef podkomendy policji ds. obcokrajowców w Attyce wydał nakaz wydalenia skarżącej (nr 318113/2006). Dnia 30 czerwca 2006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jej wydalenie zostało zawieszone na mocy decyzji nr 4000/7/2331/2006 wyżej wymienionego organu administracyjnego, z powodu niewykonalności.</w:t>
      </w:r>
    </w:p>
    <w:p w14:paraId="68F04388" w14:textId="383EF9DF"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Dnia 18 listopada 2006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skarżąca znowu została zatrzymana w związku z prostytucją. Dnia 22 listopada 2006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została u</w:t>
      </w:r>
      <w:r w:rsidRPr="0081299B">
        <w:rPr>
          <w:rFonts w:ascii="Times New Roman" w:eastAsia="Batang" w:hAnsi="Times New Roman" w:cs="Times New Roman"/>
          <w:szCs w:val="24"/>
          <w:lang w:val="pl-PL" w:eastAsia="ko-KR"/>
        </w:rPr>
        <w:t>nie</w:t>
      </w:r>
      <w:r w:rsidRPr="0081299B">
        <w:rPr>
          <w:rFonts w:ascii="Times New Roman" w:hAnsi="Times New Roman"/>
          <w:lang w:val="pl-PL"/>
        </w:rPr>
        <w:t>w</w:t>
      </w:r>
      <w:r w:rsidRPr="0081299B">
        <w:rPr>
          <w:rFonts w:ascii="Times New Roman" w:eastAsia="Batang" w:hAnsi="Times New Roman" w:cs="Times New Roman"/>
          <w:szCs w:val="24"/>
          <w:lang w:val="pl-PL" w:eastAsia="ko-KR"/>
        </w:rPr>
        <w:t>i</w:t>
      </w:r>
      <w:r w:rsidRPr="0081299B">
        <w:rPr>
          <w:rFonts w:ascii="Times New Roman" w:hAnsi="Times New Roman"/>
          <w:lang w:val="pl-PL"/>
        </w:rPr>
        <w:t>n</w:t>
      </w:r>
      <w:r w:rsidRPr="0081299B">
        <w:rPr>
          <w:rFonts w:ascii="Times New Roman" w:eastAsia="Batang" w:hAnsi="Times New Roman" w:cs="Times New Roman"/>
          <w:szCs w:val="24"/>
          <w:lang w:val="pl-PL" w:eastAsia="ko-KR"/>
        </w:rPr>
        <w:t>n</w:t>
      </w:r>
      <w:r w:rsidRPr="0081299B">
        <w:rPr>
          <w:rFonts w:ascii="Times New Roman" w:hAnsi="Times New Roman"/>
          <w:lang w:val="pl-PL"/>
        </w:rPr>
        <w:t xml:space="preserve">iona od wyżej wymienionego zarzutu. Następnie, została zatrzymana na okres </w:t>
      </w:r>
      <w:r w:rsidRPr="0081299B">
        <w:rPr>
          <w:rFonts w:ascii="Times New Roman" w:hAnsi="Times New Roman"/>
          <w:lang w:val="pl-PL"/>
        </w:rPr>
        <w:lastRenderedPageBreak/>
        <w:t>trzech miesięcy, w celu wydalenia w trybie administracyjnym w związku z nieposiadaniem pozwolenia na pobyt w Grecji.</w:t>
      </w:r>
    </w:p>
    <w:p w14:paraId="645B9850" w14:textId="0730969B"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Dnia 29 listopada 2006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podczas kiedy przebywała w areszcie w oczekiwaniu na wydalenie z kraju, </w:t>
      </w:r>
      <w:r w:rsidRPr="0081299B">
        <w:rPr>
          <w:rFonts w:ascii="Times New Roman" w:eastAsia="Batang" w:hAnsi="Times New Roman" w:cs="Times New Roman"/>
          <w:szCs w:val="24"/>
          <w:lang w:val="pl-PL" w:eastAsia="ko-KR"/>
        </w:rPr>
        <w:t>skarżąca złożyła</w:t>
      </w:r>
      <w:r w:rsidRPr="0081299B">
        <w:rPr>
          <w:rFonts w:ascii="Times New Roman" w:hAnsi="Times New Roman"/>
          <w:lang w:val="pl-PL"/>
        </w:rPr>
        <w:t>, przy wsparciu organizacji „</w:t>
      </w:r>
      <w:proofErr w:type="spellStart"/>
      <w:r w:rsidRPr="0081299B">
        <w:rPr>
          <w:rFonts w:ascii="Times New Roman" w:hAnsi="Times New Roman"/>
          <w:lang w:val="pl-PL"/>
        </w:rPr>
        <w:t>Nea</w:t>
      </w:r>
      <w:proofErr w:type="spellEnd"/>
      <w:r w:rsidRPr="0081299B">
        <w:rPr>
          <w:rFonts w:ascii="Times New Roman" w:hAnsi="Times New Roman"/>
          <w:lang w:val="pl-PL"/>
        </w:rPr>
        <w:t xml:space="preserve"> </w:t>
      </w:r>
      <w:proofErr w:type="spellStart"/>
      <w:r w:rsidRPr="0081299B">
        <w:rPr>
          <w:rFonts w:ascii="Times New Roman" w:hAnsi="Times New Roman"/>
          <w:lang w:val="pl-PL"/>
        </w:rPr>
        <w:t>Zoi</w:t>
      </w:r>
      <w:proofErr w:type="spellEnd"/>
      <w:r w:rsidRPr="0081299B">
        <w:rPr>
          <w:rFonts w:ascii="Times New Roman" w:hAnsi="Times New Roman"/>
          <w:lang w:val="pl-PL"/>
        </w:rPr>
        <w:t xml:space="preserve">”, </w:t>
      </w:r>
      <w:r w:rsidRPr="0081299B">
        <w:rPr>
          <w:rFonts w:ascii="Times New Roman" w:eastAsia="Batang" w:hAnsi="Times New Roman" w:cs="Times New Roman"/>
          <w:szCs w:val="24"/>
          <w:lang w:val="pl-PL" w:eastAsia="ko-KR"/>
        </w:rPr>
        <w:t>zawiadomienie o przestępstwie</w:t>
      </w:r>
      <w:r w:rsidRPr="0081299B">
        <w:rPr>
          <w:rFonts w:ascii="Times New Roman" w:hAnsi="Times New Roman"/>
          <w:lang w:val="pl-PL"/>
        </w:rPr>
        <w:t xml:space="preserve"> przeciwko K.A. i jego małżonce, D.J. Oświadczyła, że jest ofiarą handlu ludźmi</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i wyjawiła, że te dwie osoby zmuszały ją, a także dwie inne kobiety nigeryjskie, do prostytucji. Przeniesiona tego samego dnia do Wydziału walki z handlem ludźmi, skarżąca złożyła zeznanie pod przysięgą i przedstawiła sposób, w jaki K.A. i D.J. zmuszali ją do prostytuowania się. Skarżąca potwierdziła policjantom, że z powodu skonfiskowania przez K.A. jej paszportu i złego uroku rzuconego na nią przez „kapłana voodoo” nie mogła uwolnić się od przymusu ze strony K.A., zanim całkowicie nie zwróci długu, jaki ma wobec niego. Oświadczyła, że po swoim przyjeździe do Aten podróżowała sama na Kretę, gdzie czekała na nią D.J. Z początku pracowała jako kelnerka w barze, a następnie D.J. zmusiła ją do prostytuowania się. Po jakimś czasie, D.J., zgodnie z instrukcjami K.A., zawiozła ją do Aten, aby znowu oddawała się prostytucji. Wskazała także miejsce, przed hotelem w centrum Aten, gdzie zgodnie z instrukcjami K.A</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stała na chodniku. Skarżąca oświadczyła, że wyżej wymienione osoby zmuszały ponadto inne dziewczyny pochodzące z Nigerii, mające przezwiska „Tracy” i „Sylvia”, do prostytuowania się. Podała policjantom numer telefonu komórkowego „Tracy”. Wskazała władzom policyjnym adres, w dzielnicy </w:t>
      </w:r>
      <w:proofErr w:type="spellStart"/>
      <w:r w:rsidRPr="0081299B">
        <w:rPr>
          <w:rFonts w:ascii="Times New Roman" w:hAnsi="Times New Roman"/>
          <w:lang w:val="pl-PL"/>
        </w:rPr>
        <w:t>Kypseli</w:t>
      </w:r>
      <w:proofErr w:type="spellEnd"/>
      <w:r w:rsidRPr="0081299B">
        <w:rPr>
          <w:rFonts w:ascii="Times New Roman" w:hAnsi="Times New Roman"/>
          <w:lang w:val="pl-PL"/>
        </w:rPr>
        <w:t>, w centrum Aten, gdzie K.A. i D.J. zamieszkiwali w okresie, kiedy przyjechała do Grecji</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oraz dwa inne adresy, które służyły K.A. za miejsca zamieszkania. Wreszcie, opisała szczegółowo K.A. i D.J., „Tracy” i „Sylwię”. Poprosiła również, aby E.S – dyrektorka organizacji „</w:t>
      </w:r>
      <w:proofErr w:type="spellStart"/>
      <w:r w:rsidRPr="0081299B">
        <w:rPr>
          <w:rFonts w:ascii="Times New Roman" w:hAnsi="Times New Roman"/>
          <w:lang w:val="pl-PL"/>
        </w:rPr>
        <w:t>Nea</w:t>
      </w:r>
      <w:proofErr w:type="spellEnd"/>
      <w:r w:rsidRPr="0081299B">
        <w:rPr>
          <w:rFonts w:ascii="Times New Roman" w:hAnsi="Times New Roman"/>
          <w:lang w:val="pl-PL"/>
        </w:rPr>
        <w:t xml:space="preserve"> </w:t>
      </w:r>
      <w:proofErr w:type="spellStart"/>
      <w:r w:rsidRPr="0081299B">
        <w:rPr>
          <w:rFonts w:ascii="Times New Roman" w:hAnsi="Times New Roman"/>
          <w:lang w:val="pl-PL"/>
        </w:rPr>
        <w:t>Zoi</w:t>
      </w:r>
      <w:proofErr w:type="spellEnd"/>
      <w:r w:rsidRPr="0081299B">
        <w:rPr>
          <w:rFonts w:ascii="Times New Roman" w:hAnsi="Times New Roman"/>
          <w:lang w:val="pl-PL"/>
        </w:rPr>
        <w:t xml:space="preserve">”, która zaoferowała jej wsparcie psychologiczne przed zadenuncjowaniem K.A. i D.J. policji, została przesłuchana w charakterze świadka. </w:t>
      </w:r>
    </w:p>
    <w:p w14:paraId="28EF2216" w14:textId="1C92200B"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Dnia 12 grudnia 2006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E.S. została przesłuchana pod przysięgą przez policję. Zeznała, że poznała skarżącą latem 2004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przed hotelem, gdzie skarżąca się prostytuowała. Wyjawiła, że w tym czasie wiele kobiet pochodzenia afrykańskiego prostytuowało się w dzielnicy, gdzie znajdowało się dawne merostwo Aten. Oświadczyła, że skarżąca była przerażona spłatą długu względem swojego sutenera, nie wymieniając jego nazwiska. Co więcej, nie mogła udać się do siedziby „</w:t>
      </w:r>
      <w:proofErr w:type="spellStart"/>
      <w:r w:rsidRPr="0081299B">
        <w:rPr>
          <w:rFonts w:ascii="Times New Roman" w:hAnsi="Times New Roman"/>
          <w:lang w:val="pl-PL"/>
        </w:rPr>
        <w:t>Nea</w:t>
      </w:r>
      <w:proofErr w:type="spellEnd"/>
      <w:r w:rsidRPr="0081299B">
        <w:rPr>
          <w:rFonts w:ascii="Times New Roman" w:hAnsi="Times New Roman"/>
          <w:lang w:val="pl-PL"/>
        </w:rPr>
        <w:t xml:space="preserve"> </w:t>
      </w:r>
      <w:proofErr w:type="spellStart"/>
      <w:r w:rsidRPr="0081299B">
        <w:rPr>
          <w:rFonts w:ascii="Times New Roman" w:hAnsi="Times New Roman"/>
          <w:lang w:val="pl-PL"/>
        </w:rPr>
        <w:t>Zoi</w:t>
      </w:r>
      <w:proofErr w:type="spellEnd"/>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z tego powodu, że K.A. trzymał ją zamkniętą przez cały dzień w mieszkaniu. Zwierzyła się jej także, że chciała zmienić swoje życie, ale nie mogła uciec spod wpływu K.A. E.S. stwierdziła, że skarżąca była ofiarą handlu ludźmi w celu wykorzystywania seksualnego i że powinna korzystać z ochrony państwa.</w:t>
      </w:r>
    </w:p>
    <w:p w14:paraId="78FB647B" w14:textId="16BAD591"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Dnia 21 grudnia 2006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te trzy kobiety, w tym D.J., które</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według zeznania skarżącej</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mieszkały w centrum Aten, zostały wezwane </w:t>
      </w:r>
      <w:bookmarkStart w:id="1" w:name="_Hlk494834754"/>
      <w:r w:rsidRPr="0081299B">
        <w:rPr>
          <w:rFonts w:ascii="Times New Roman" w:hAnsi="Times New Roman"/>
          <w:lang w:val="pl-PL"/>
        </w:rPr>
        <w:t>do Wydziału policji ds. walki z handlem ludźmi</w:t>
      </w:r>
      <w:bookmarkEnd w:id="1"/>
      <w:r w:rsidRPr="0081299B">
        <w:rPr>
          <w:rFonts w:ascii="Times New Roman" w:hAnsi="Times New Roman"/>
          <w:lang w:val="pl-PL"/>
        </w:rPr>
        <w:t xml:space="preserve">. A.O. i O.M. zeznały, że znają </w:t>
      </w:r>
      <w:r w:rsidRPr="0081299B">
        <w:rPr>
          <w:rFonts w:ascii="Times New Roman" w:hAnsi="Times New Roman"/>
          <w:lang w:val="pl-PL"/>
        </w:rPr>
        <w:lastRenderedPageBreak/>
        <w:t xml:space="preserve">skarżącą i że prostytuowały się okazjonalnie bez doznawania przymusu ze strony osoby trzeciej. D.J. oświadczyła, że nie znała skarżącej, i że ta ostatnia nie mieszkała z nią pod </w:t>
      </w:r>
      <w:r w:rsidR="00893F84" w:rsidRPr="0081299B">
        <w:rPr>
          <w:rFonts w:ascii="Times New Roman" w:hAnsi="Times New Roman"/>
          <w:lang w:val="pl-PL"/>
        </w:rPr>
        <w:t xml:space="preserve">wyżej </w:t>
      </w:r>
      <w:r w:rsidRPr="0081299B">
        <w:rPr>
          <w:rFonts w:ascii="Times New Roman" w:hAnsi="Times New Roman"/>
          <w:lang w:val="pl-PL"/>
        </w:rPr>
        <w:t>wskazanym adresem.</w:t>
      </w:r>
    </w:p>
    <w:p w14:paraId="5F4AAF41" w14:textId="78D26492"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Tego samego dnia policjant K.K., odpowiedzialny za objęcie obserwacją mieszkania położonego w dzielnicy </w:t>
      </w:r>
      <w:proofErr w:type="spellStart"/>
      <w:r w:rsidRPr="0081299B">
        <w:rPr>
          <w:rFonts w:ascii="Times New Roman" w:hAnsi="Times New Roman"/>
          <w:lang w:val="pl-PL"/>
        </w:rPr>
        <w:t>Kypseli</w:t>
      </w:r>
      <w:proofErr w:type="spellEnd"/>
      <w:r w:rsidRPr="0081299B">
        <w:rPr>
          <w:rFonts w:ascii="Times New Roman" w:hAnsi="Times New Roman"/>
          <w:lang w:val="pl-PL"/>
        </w:rPr>
        <w:t>, gdzie K.A. i D.J. mieli mieszkać, także został przesłuchany przez policję. Oświadczył, że w okresie dziesięciu dni kilkakrotnie obserwował przedmiotowe mieszkanie. Zeznał, że mieszkały tam trzy kobiety, wśród nich D.J., jednak nie zaobserwował, że pracują jako prostytutki. Co więcej, nie może potwierdzić obecności K.A. pod wyżej wymienionym adresem.</w:t>
      </w:r>
    </w:p>
    <w:p w14:paraId="4F323218" w14:textId="3E2FE6DE"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Dnia 22 grudnia 2006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Wydział ds. walki z handlem ludźmi zamknął dochodzenie i odesłał akta do prokuratora. Zeznanie E.S. z dnia 12 grudnia 2006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nie zostało włączone do akt.</w:t>
      </w:r>
    </w:p>
    <w:p w14:paraId="53B8A89F" w14:textId="55503D23"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Dnia 28 grudnia 2006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prokurator przy Sądzie Karnym w Atenach oddalił skargę skarżącej. Podniósł, że z akt nie wynika, iż była ofiarą handlu ludźmi. Prokurator oparł się w szczególności na fakcie, że skarżąca podróżowała sama na Kretę, że nie towarzyszyła jej inna osoba wtedy, gdy prostytuowała się przed hotelem w centrum Aten, i że w czerwcu 2006 r., skontaktowała się z K.A. i spotkała się z nim z własnej inicjatywy (postanowienie nr Γ2/2007). </w:t>
      </w:r>
    </w:p>
    <w:p w14:paraId="6E29B6CC" w14:textId="12B0D68C"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Dnia 11 stycznia 2007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zeznanie E.S</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złożone podczas wstępnego śledztwa w sprawie</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zostało włączone do akt sprawy. Dnia 26 stycznia 2007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skarżąca zwróciła się do prokuratora przy Sądzie Apelacyjnym w Atenach z prośbą, by jej </w:t>
      </w:r>
      <w:r w:rsidRPr="0081299B">
        <w:rPr>
          <w:rFonts w:ascii="Times New Roman" w:eastAsia="Batang" w:hAnsi="Times New Roman" w:cs="Times New Roman"/>
          <w:szCs w:val="24"/>
          <w:lang w:val="pl-PL" w:eastAsia="ko-KR"/>
        </w:rPr>
        <w:t>zawiadomienie o przestępstwie zostało</w:t>
      </w:r>
      <w:r w:rsidRPr="0081299B">
        <w:rPr>
          <w:rFonts w:ascii="Times New Roman" w:hAnsi="Times New Roman"/>
          <w:lang w:val="pl-PL"/>
        </w:rPr>
        <w:t xml:space="preserve"> ponownie zbadan</w:t>
      </w:r>
      <w:r w:rsidRPr="0081299B">
        <w:rPr>
          <w:rFonts w:ascii="Times New Roman" w:eastAsia="Batang" w:hAnsi="Times New Roman" w:cs="Times New Roman"/>
          <w:szCs w:val="24"/>
          <w:lang w:val="pl-PL" w:eastAsia="ko-KR"/>
        </w:rPr>
        <w:t>e</w:t>
      </w:r>
      <w:r w:rsidRPr="0081299B">
        <w:rPr>
          <w:rFonts w:ascii="Times New Roman" w:hAnsi="Times New Roman"/>
          <w:lang w:val="pl-PL"/>
        </w:rPr>
        <w:t>. Utrzymywała, że śledztwo w jej sprawie było niewystarczające, w szczególności właściwy prokurator nie uwzględnił ważnych dowodów. Skarżąca ustanowiła się też stroną cywilną w postępowaniu.</w:t>
      </w:r>
    </w:p>
    <w:p w14:paraId="5156A48C" w14:textId="25394AE3"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Dnia 20 lutego 2007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szef Dyrekcji policji ds. cudzoziemców w Atenach nakazał zawieszenie wykonania decyzji o wydaleniu skarżącej.</w:t>
      </w:r>
    </w:p>
    <w:p w14:paraId="03F37331" w14:textId="73EDA4EB"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W dniu 1 czerwca 2007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prokurator przy Sądzie Apelacyjnym w Atenach poparł wniosek skarżącej i nakazał prokuratorowi przy Sądzie Karnym w Atenach przeprowadzenie postępowania karnego przeciwko K.A. i D.J. w związku z zarzutem handlu ludźmi, w szczególności, w celu wykorzystania seksualnego skarżącej po otrzymaniu jej zgody za pomocą podstępu i wykorzystując jej bezbronność. </w:t>
      </w:r>
    </w:p>
    <w:p w14:paraId="2D96DA98" w14:textId="25D2ACC0"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Tego samego dnia skarżąca złożyła nowy wniosek o azyl w Wydziale ds. azylu politycznego Dyrekcji policji ds. cudzoziemców w Attyce. </w:t>
      </w:r>
    </w:p>
    <w:p w14:paraId="0F4CD11D" w14:textId="2F031EBB"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Dnia 21 sierpnia 2007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prokurator przy Sądzie Karnym w Atenach wszczął śledztwo przeciwko K.A. i D.J., którym zarzucono popełnienie przestępstwa handlu ludźmi. Ponadto, tego samego dnia skarżąca została uznana, na podstawie postanowienia tego samego prokuratora, za „ofiarę handlu ludźmi”, zgodnie z przepisami odpowiedniej ustawy. Dnia 24 sierpnia 2007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prokurator przy Sądzie Apelacyjnym w Atenach zatwierdził </w:t>
      </w:r>
      <w:r w:rsidRPr="0081299B">
        <w:rPr>
          <w:rFonts w:ascii="Times New Roman" w:hAnsi="Times New Roman"/>
          <w:lang w:val="pl-PL"/>
        </w:rPr>
        <w:lastRenderedPageBreak/>
        <w:t>zawieszenie postępowania w sprawie wydalenia wszczętego przeciwko skarżącej.</w:t>
      </w:r>
    </w:p>
    <w:p w14:paraId="10FEFB7D" w14:textId="308E63B5"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Dnia 6 marca 2008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K.A. i D.J. zostali wezwani przez sędziego śledczego. Dnia 11 marca 2008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sędzia ten nakazał Dyrekcji ds. dochodzeń w sprawach kryminalnych sprawdzenie w kartotece informacji o K.A. Dnia 12 marca 2008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służba ta poinformowała sędziego śledczego, że osoba pochodzenia nigeryjskiego o imieniu K. i nazwisku identycznym do podanego przez prokuratora, lecz różniącym się ostatnią literą, figurowała w kartotece identyfikacyjnej policji. Dnia 13 marca 2008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sędzia śledczy wezwał K.A., według brzmienia nazwiska przedstawionego przez Dyrekcję ds. dochodzeń w sprawach kryminalnych, do stawienia się przed nim. Następnie, policja poinformowała sędziego śledczego, że doręczenie wezwań do stawiennictwa okazało się niemożliwe, ponieważ K.A. i D.J. nie mieszkają już w dzielnicy </w:t>
      </w:r>
      <w:proofErr w:type="spellStart"/>
      <w:r w:rsidRPr="0081299B">
        <w:rPr>
          <w:rFonts w:ascii="Times New Roman" w:hAnsi="Times New Roman"/>
          <w:lang w:val="pl-PL"/>
        </w:rPr>
        <w:t>Kypseli</w:t>
      </w:r>
      <w:proofErr w:type="spellEnd"/>
      <w:r w:rsidRPr="0081299B">
        <w:rPr>
          <w:rFonts w:ascii="Times New Roman" w:hAnsi="Times New Roman"/>
          <w:lang w:val="pl-PL"/>
        </w:rPr>
        <w:t>. Dnia 31 marca 2008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sędzia śledczy przy Sądzie Karnym w Atenach zamknął śledztwo i wydał nakaz aresztowania K.A. i D.J. Dnia 25 lutego 2009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Izba oskarżycielska Sądu Karnego w Atenach odesłała oskarżonych przed Sąd Przysięgłych w Atenach pod zarzutem handlu ludźmi.</w:t>
      </w:r>
    </w:p>
    <w:p w14:paraId="2102957F" w14:textId="4DD46A7D"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Dnia 12 marca 2009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prokurator Sądu Apelacyjnego w Atenach nakazał stawiennictwo oskarżonych, a w przeciwnym razie wpisanie ich do policyjnej kartoteki osób poszukiwanych. Dnia 20 lipca 2009</w:t>
      </w:r>
      <w:r w:rsidRPr="0081299B">
        <w:rPr>
          <w:rFonts w:ascii="Times New Roman" w:eastAsia="Batang" w:hAnsi="Times New Roman" w:cs="Times New Roman"/>
          <w:szCs w:val="24"/>
          <w:lang w:val="pl-PL" w:eastAsia="ko-KR"/>
        </w:rPr>
        <w:t xml:space="preserve"> r.</w:t>
      </w:r>
      <w:r w:rsidRPr="0081299B">
        <w:rPr>
          <w:rFonts w:ascii="Times New Roman" w:hAnsi="Times New Roman"/>
          <w:lang w:val="pl-PL"/>
        </w:rPr>
        <w:t xml:space="preserve"> </w:t>
      </w:r>
      <w:r w:rsidR="000362E6" w:rsidRPr="0081299B">
        <w:rPr>
          <w:rFonts w:ascii="Times New Roman" w:hAnsi="Times New Roman"/>
          <w:lang w:val="pl-PL"/>
        </w:rPr>
        <w:t>postępowanie w sprawie zostało</w:t>
      </w:r>
      <w:r w:rsidRPr="0081299B">
        <w:rPr>
          <w:rFonts w:ascii="Times New Roman" w:hAnsi="Times New Roman"/>
          <w:lang w:val="pl-PL"/>
        </w:rPr>
        <w:t xml:space="preserve"> </w:t>
      </w:r>
      <w:r w:rsidR="000362E6" w:rsidRPr="0081299B">
        <w:rPr>
          <w:rFonts w:ascii="Times New Roman" w:eastAsia="Batang" w:hAnsi="Times New Roman" w:cs="Times New Roman"/>
          <w:szCs w:val="24"/>
          <w:lang w:val="pl-PL" w:eastAsia="ko-KR"/>
        </w:rPr>
        <w:t>zawieszone</w:t>
      </w:r>
      <w:r w:rsidRPr="0081299B">
        <w:rPr>
          <w:rFonts w:ascii="Times New Roman" w:hAnsi="Times New Roman"/>
          <w:lang w:val="pl-PL"/>
        </w:rPr>
        <w:t xml:space="preserve"> do chwili aresztowania oskarżonych (akta nr 19/2009).</w:t>
      </w:r>
    </w:p>
    <w:p w14:paraId="7B2DED9E" w14:textId="441F6B27"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Dnia 19 maja 2011 r</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D.J. została zatrzymana i umieszczona w areszcie tymczasowym. Rozprawa w sprawie odbyła się w dniu 20 kwietnia 2012 r., po dwukrotnym odroczeniu na wnioski skarżącej i oskarżonej. Skarżąca ustanowiła się stroną cywilną na kwotę czterdziestu czterech euro. Tego samego dnia Sąd Przysięgłych w Atenach uniewinnił oskarżoną. W czterdziestodwustronicowym wyroku uznał, że skarżąca rzeczywiście była ofiarą handlu ludźmi, ponieważ K.A. uzyskał podstępnie jej zgodę, wykorzystując jej bezbronność</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do nadużyć seksualnych. Zmusił ją także do prostytuowania się, żeby zwróciła mu kwotę 40 000 euro, grożąc jej złym urokiem voodoo. Sąd Przysięgłych nie uznał współudziału D.J., wskazując, że z dowodów nie wynika, iż wykorzystała ona skarżącą do celów seksualnych. Po dokonaniu oceny wszystkich zeznań zebranych w trakcie procesu, Sąd Przysięgłych uznał, że D.J. też była ofiarą handlu ludźmi, i że K.A. też wykorzystywał ją do celów seksualnych. Sąd uznał, że </w:t>
      </w:r>
      <w:r w:rsidRPr="0081299B">
        <w:rPr>
          <w:rFonts w:ascii="Times New Roman" w:eastAsia="Batang" w:hAnsi="Times New Roman" w:cs="Times New Roman"/>
          <w:szCs w:val="24"/>
          <w:lang w:val="pl-PL" w:eastAsia="ko-KR"/>
        </w:rPr>
        <w:t>zarzuty</w:t>
      </w:r>
      <w:r w:rsidRPr="0081299B">
        <w:rPr>
          <w:rFonts w:ascii="Times New Roman" w:hAnsi="Times New Roman"/>
          <w:lang w:val="pl-PL"/>
        </w:rPr>
        <w:t xml:space="preserve"> skarżącej przeciwko D.J. były nieprecyzyjne, i że nie zostało udowodnione, iż ta ostatnia zmuszała ją do prostytucji. W tym punkcie sąd przysięgłych zauważył sprzeczności między początkowymi zeznaniami skarżącej z 29 listopada 2006 r. </w:t>
      </w:r>
      <w:r w:rsidRPr="0081299B">
        <w:rPr>
          <w:rFonts w:ascii="Times New Roman" w:eastAsia="Batang" w:hAnsi="Times New Roman" w:cs="Times New Roman"/>
          <w:szCs w:val="24"/>
          <w:lang w:val="pl-PL" w:eastAsia="ko-KR"/>
        </w:rPr>
        <w:t>a</w:t>
      </w:r>
      <w:r w:rsidRPr="0081299B">
        <w:rPr>
          <w:rFonts w:ascii="Times New Roman" w:hAnsi="Times New Roman"/>
          <w:lang w:val="pl-PL"/>
        </w:rPr>
        <w:t xml:space="preserve"> zeznaniem z rozprawy w sprawie (wyrok nr 193/20.4.2012). Na mocy art. 486 Kodeksu postępowania karnego wyrok ten nie podlegał apelacji. </w:t>
      </w:r>
    </w:p>
    <w:p w14:paraId="2C01C75A" w14:textId="16C57419"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lastRenderedPageBreak/>
        <w:t xml:space="preserve">Dnia 16 stycznia 2014 r., w związku z wnioskiem skarżącej opatrzonym datą 9 listopada 2013 r., właściwy organ administracyjny </w:t>
      </w:r>
      <w:r w:rsidRPr="0081299B">
        <w:rPr>
          <w:rFonts w:ascii="Times New Roman" w:eastAsia="Batang" w:hAnsi="Times New Roman" w:cs="Times New Roman"/>
          <w:szCs w:val="24"/>
          <w:lang w:val="pl-PL" w:eastAsia="ko-KR"/>
        </w:rPr>
        <w:t>przedłużył</w:t>
      </w:r>
      <w:r w:rsidRPr="0081299B">
        <w:rPr>
          <w:rFonts w:ascii="Times New Roman" w:hAnsi="Times New Roman"/>
          <w:lang w:val="pl-PL"/>
        </w:rPr>
        <w:t xml:space="preserve"> jej pozwolenie na pobyt do dnia 2 listopada 2014 r.</w:t>
      </w:r>
    </w:p>
    <w:p w14:paraId="5B499266" w14:textId="77777777" w:rsidR="00311E3A" w:rsidRPr="0081299B" w:rsidRDefault="00311E3A" w:rsidP="00C32C2D">
      <w:pPr>
        <w:pStyle w:val="ECHRHeading1"/>
        <w:rPr>
          <w:rFonts w:ascii="Times New Roman" w:hAnsi="Times New Roman"/>
          <w:lang w:val="pl-PL"/>
        </w:rPr>
      </w:pPr>
      <w:bookmarkStart w:id="2" w:name="_Toc264891154"/>
      <w:r w:rsidRPr="0081299B">
        <w:rPr>
          <w:rFonts w:ascii="Times New Roman" w:hAnsi="Times New Roman"/>
          <w:lang w:val="pl-PL"/>
        </w:rPr>
        <w:t xml:space="preserve"> II. WŁAŚCIWE PRZEPISY KRAJOWE I MIĘDZYNARODOWE</w:t>
      </w:r>
      <w:bookmarkEnd w:id="2"/>
    </w:p>
    <w:p w14:paraId="30823091" w14:textId="77777777" w:rsidR="00311E3A" w:rsidRPr="0081299B" w:rsidRDefault="00311E3A" w:rsidP="00C32C2D">
      <w:pPr>
        <w:pStyle w:val="ECHRHeading2"/>
        <w:numPr>
          <w:ilvl w:val="0"/>
          <w:numId w:val="6"/>
        </w:numPr>
        <w:ind w:left="584" w:hanging="352"/>
        <w:rPr>
          <w:rFonts w:ascii="Times New Roman" w:hAnsi="Times New Roman"/>
          <w:lang w:val="pl-PL"/>
        </w:rPr>
      </w:pPr>
      <w:r w:rsidRPr="0081299B">
        <w:rPr>
          <w:rFonts w:ascii="Times New Roman" w:hAnsi="Times New Roman"/>
          <w:lang w:val="pl-PL"/>
        </w:rPr>
        <w:t>Właściwe prawo krajowe</w:t>
      </w:r>
    </w:p>
    <w:p w14:paraId="0D8DF888" w14:textId="77777777" w:rsidR="00311E3A" w:rsidRPr="0081299B" w:rsidRDefault="00311E3A" w:rsidP="00C32C2D">
      <w:pPr>
        <w:pStyle w:val="ECHRHeading3"/>
        <w:numPr>
          <w:ilvl w:val="0"/>
          <w:numId w:val="10"/>
        </w:numPr>
        <w:ind w:left="732" w:hanging="301"/>
        <w:rPr>
          <w:rFonts w:ascii="Times New Roman" w:hAnsi="Times New Roman"/>
          <w:lang w:val="pl-PL"/>
        </w:rPr>
      </w:pPr>
      <w:r w:rsidRPr="0081299B">
        <w:rPr>
          <w:rFonts w:ascii="Times New Roman" w:hAnsi="Times New Roman"/>
          <w:lang w:val="pl-PL"/>
        </w:rPr>
        <w:t>Konstytucja</w:t>
      </w:r>
      <w:r w:rsidRPr="0081299B">
        <w:rPr>
          <w:rFonts w:ascii="Times New Roman" w:hAnsi="Times New Roman"/>
          <w:lang w:val="pl-PL"/>
        </w:rPr>
        <w:tab/>
      </w:r>
      <w:r w:rsidRPr="0081299B">
        <w:rPr>
          <w:rFonts w:ascii="Times New Roman" w:hAnsi="Times New Roman"/>
          <w:lang w:val="pl-PL"/>
        </w:rPr>
        <w:tab/>
      </w:r>
      <w:r w:rsidRPr="0081299B">
        <w:rPr>
          <w:rFonts w:ascii="Times New Roman" w:hAnsi="Times New Roman"/>
          <w:lang w:val="pl-PL"/>
        </w:rPr>
        <w:tab/>
      </w:r>
    </w:p>
    <w:p w14:paraId="1A842252" w14:textId="5EEF5DEC"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cs="Times New Roman"/>
          <w:szCs w:val="24"/>
          <w:lang w:val="pl-PL" w:eastAsia="ko-KR"/>
        </w:rPr>
        <w:t>Art.</w:t>
      </w:r>
      <w:r w:rsidRPr="0081299B">
        <w:rPr>
          <w:rFonts w:ascii="Times New Roman" w:hAnsi="Times New Roman"/>
          <w:lang w:val="pl-PL"/>
        </w:rPr>
        <w:t xml:space="preserve"> 2 </w:t>
      </w:r>
      <w:r w:rsidRPr="0081299B">
        <w:rPr>
          <w:rFonts w:ascii="Times New Roman" w:hAnsi="Times New Roman" w:cs="Times New Roman"/>
          <w:szCs w:val="24"/>
          <w:lang w:val="pl-PL" w:eastAsia="ko-KR"/>
        </w:rPr>
        <w:t>ust.</w:t>
      </w:r>
      <w:r w:rsidRPr="0081299B">
        <w:rPr>
          <w:rFonts w:ascii="Times New Roman" w:hAnsi="Times New Roman"/>
          <w:lang w:val="pl-PL"/>
        </w:rPr>
        <w:t xml:space="preserve"> 1 Konstytucji stanowi, co następuje: </w:t>
      </w:r>
    </w:p>
    <w:p w14:paraId="5A255E02" w14:textId="6C12B20C" w:rsidR="00311E3A" w:rsidRPr="0081299B" w:rsidRDefault="00311E3A" w:rsidP="00C32C2D">
      <w:pPr>
        <w:pStyle w:val="ECHRParaQuote"/>
        <w:rPr>
          <w:rFonts w:ascii="Times New Roman" w:hAnsi="Times New Roman"/>
          <w:lang w:val="pl-PL"/>
        </w:rPr>
      </w:pPr>
      <w:r w:rsidRPr="0081299B">
        <w:rPr>
          <w:rFonts w:ascii="Times New Roman" w:hAnsi="Times New Roman"/>
          <w:lang w:val="pl-PL"/>
        </w:rPr>
        <w:t xml:space="preserve"> „Poszanowanie i ochrona wartości </w:t>
      </w:r>
      <w:r w:rsidRPr="0081299B">
        <w:rPr>
          <w:rFonts w:ascii="Times New Roman" w:hAnsi="Times New Roman" w:cs="Times New Roman"/>
          <w:lang w:val="pl-PL"/>
        </w:rPr>
        <w:t xml:space="preserve">osoby </w:t>
      </w:r>
      <w:r w:rsidRPr="0081299B">
        <w:rPr>
          <w:rFonts w:ascii="Times New Roman" w:hAnsi="Times New Roman"/>
          <w:lang w:val="pl-PL"/>
        </w:rPr>
        <w:t>ludzkiej stanowią podstawowy obowiązek Republiki</w:t>
      </w:r>
      <w:r w:rsidRPr="0081299B">
        <w:rPr>
          <w:rFonts w:ascii="Times New Roman" w:hAnsi="Times New Roman" w:cs="Times New Roman"/>
          <w:lang w:val="pl-PL"/>
        </w:rPr>
        <w:t>.”</w:t>
      </w:r>
      <w:r w:rsidRPr="0081299B">
        <w:rPr>
          <w:rFonts w:ascii="Times New Roman" w:hAnsi="Times New Roman" w:cs="Times New Roman"/>
          <w:lang w:val="pl-PL" w:eastAsia="ko-KR"/>
        </w:rPr>
        <w:t>.</w:t>
      </w:r>
      <w:r w:rsidRPr="0081299B">
        <w:rPr>
          <w:rFonts w:ascii="Times New Roman" w:hAnsi="Times New Roman"/>
          <w:lang w:val="pl-PL"/>
        </w:rPr>
        <w:tab/>
      </w:r>
    </w:p>
    <w:p w14:paraId="669451BC" w14:textId="031B8D96"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cs="Times New Roman"/>
          <w:szCs w:val="24"/>
          <w:lang w:val="pl-PL" w:eastAsia="ko-KR"/>
        </w:rPr>
        <w:t>Art.</w:t>
      </w:r>
      <w:r w:rsidRPr="0081299B">
        <w:rPr>
          <w:rFonts w:ascii="Times New Roman" w:hAnsi="Times New Roman"/>
          <w:lang w:val="pl-PL"/>
        </w:rPr>
        <w:t xml:space="preserve"> 22 </w:t>
      </w:r>
      <w:r w:rsidRPr="0081299B">
        <w:rPr>
          <w:rFonts w:ascii="Times New Roman" w:hAnsi="Times New Roman" w:cs="Times New Roman"/>
          <w:szCs w:val="24"/>
          <w:lang w:val="pl-PL" w:eastAsia="ko-KR"/>
        </w:rPr>
        <w:t>ust.</w:t>
      </w:r>
      <w:r w:rsidRPr="0081299B">
        <w:rPr>
          <w:rFonts w:ascii="Times New Roman" w:hAnsi="Times New Roman"/>
          <w:lang w:val="pl-PL"/>
        </w:rPr>
        <w:t xml:space="preserve"> 4 Konstytucji jest sformułowany następująco:</w:t>
      </w:r>
    </w:p>
    <w:p w14:paraId="63107F6C" w14:textId="53135C7A" w:rsidR="00311E3A" w:rsidRPr="0081299B" w:rsidRDefault="00311E3A" w:rsidP="00C32C2D">
      <w:pPr>
        <w:pStyle w:val="ECHRParaQuote"/>
        <w:rPr>
          <w:rFonts w:ascii="Times New Roman" w:hAnsi="Times New Roman"/>
          <w:lang w:val="pl-PL"/>
        </w:rPr>
      </w:pPr>
      <w:r w:rsidRPr="0081299B">
        <w:rPr>
          <w:rFonts w:ascii="Times New Roman" w:hAnsi="Times New Roman"/>
          <w:lang w:val="pl-PL"/>
        </w:rPr>
        <w:t xml:space="preserve"> „Wszelka forma pracy przymusowej jest zakazana</w:t>
      </w:r>
      <w:r w:rsidRPr="0081299B">
        <w:rPr>
          <w:rFonts w:ascii="Times New Roman" w:hAnsi="Times New Roman" w:cs="Times New Roman"/>
          <w:lang w:val="pl-PL"/>
        </w:rPr>
        <w:t>.”.</w:t>
      </w:r>
    </w:p>
    <w:p w14:paraId="0AF5422E" w14:textId="77777777" w:rsidR="00311E3A" w:rsidRPr="0081299B" w:rsidRDefault="00311E3A" w:rsidP="00C32C2D">
      <w:pPr>
        <w:pStyle w:val="ECHRHeading3"/>
        <w:numPr>
          <w:ilvl w:val="0"/>
          <w:numId w:val="10"/>
        </w:numPr>
        <w:ind w:left="732" w:hanging="301"/>
        <w:rPr>
          <w:rFonts w:ascii="Times New Roman" w:hAnsi="Times New Roman"/>
          <w:lang w:val="pl-PL"/>
        </w:rPr>
      </w:pPr>
      <w:r w:rsidRPr="0081299B">
        <w:rPr>
          <w:rFonts w:ascii="Times New Roman" w:hAnsi="Times New Roman"/>
          <w:lang w:val="pl-PL"/>
        </w:rPr>
        <w:t>Właściwe ustawodawstwo</w:t>
      </w:r>
    </w:p>
    <w:p w14:paraId="7DF8A06B" w14:textId="77777777" w:rsidR="00311E3A" w:rsidRPr="0081299B" w:rsidRDefault="00311E3A" w:rsidP="00C32C2D">
      <w:pPr>
        <w:pStyle w:val="ECHRHeading4"/>
        <w:numPr>
          <w:ilvl w:val="0"/>
          <w:numId w:val="12"/>
        </w:numPr>
        <w:ind w:left="975" w:hanging="340"/>
        <w:rPr>
          <w:rFonts w:ascii="Times New Roman" w:hAnsi="Times New Roman"/>
          <w:lang w:val="pl-PL"/>
        </w:rPr>
      </w:pPr>
      <w:r w:rsidRPr="0081299B">
        <w:rPr>
          <w:rFonts w:ascii="Times New Roman" w:hAnsi="Times New Roman"/>
          <w:lang w:val="pl-PL"/>
        </w:rPr>
        <w:t>W sprawie handlu ludźmi</w:t>
      </w:r>
    </w:p>
    <w:p w14:paraId="462F348A" w14:textId="0D47B8D0"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Na mocy ustawy nr 3064/2002</w:t>
      </w:r>
      <w:r w:rsidRPr="0081299B">
        <w:rPr>
          <w:rFonts w:ascii="Times New Roman" w:hAnsi="Times New Roman" w:cs="Times New Roman"/>
          <w:szCs w:val="24"/>
          <w:lang w:val="pl-PL" w:eastAsia="ko-KR"/>
        </w:rPr>
        <w:t xml:space="preserve"> wprowadzone zostały </w:t>
      </w:r>
      <w:r w:rsidRPr="0081299B">
        <w:rPr>
          <w:rFonts w:ascii="Times New Roman" w:hAnsi="Times New Roman"/>
          <w:lang w:val="pl-PL"/>
        </w:rPr>
        <w:t>liczne zmiany do Kodeksu karnego w celu zaostrzenia kar za handel ludźmi i zwiększenia ochrony ofiar tej zbrodni. Zgodnie z art. 8 tej ustawy,</w:t>
      </w:r>
      <w:r w:rsidRPr="0081299B">
        <w:rPr>
          <w:rFonts w:ascii="Times New Roman" w:hAnsi="Times New Roman"/>
          <w:b/>
          <w:lang w:val="pl-PL"/>
        </w:rPr>
        <w:t xml:space="preserve"> </w:t>
      </w:r>
      <w:r w:rsidRPr="0081299B">
        <w:rPr>
          <w:rFonts w:ascii="Times New Roman" w:hAnsi="Times New Roman"/>
          <w:lang w:val="pl-PL"/>
        </w:rPr>
        <w:t xml:space="preserve">handel ludźmi został zakwalifikowany jako zbrodnia, podczas gdy dotychczas karany był jak występek. Przewidziano wyższe kary dla sprawców przestępstwa handlu ludźmi, jak również w przypadkach zaistnienia okoliczności obciążających, a mianowicie wtedy, kiedy przestępstwo jest związane z wjazdem, pobytem lub opuszczeniem przez ofiarę terytorium Grecji. </w:t>
      </w:r>
    </w:p>
    <w:p w14:paraId="1BFF5BCA" w14:textId="23BE9DA3"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W szczególności, w czasie, kiedy te zdarzenia miały miejsce, właściwe części art. 8 i 12 tej ustawy stanowiły:</w:t>
      </w:r>
    </w:p>
    <w:p w14:paraId="2E711D11" w14:textId="77777777" w:rsidR="00311E3A" w:rsidRPr="0081299B" w:rsidRDefault="00311E3A" w:rsidP="00C32C2D">
      <w:pPr>
        <w:pStyle w:val="ECHRTitleCentre3"/>
        <w:rPr>
          <w:rFonts w:ascii="Times New Roman" w:hAnsi="Times New Roman"/>
          <w:lang w:val="pl-PL"/>
        </w:rPr>
      </w:pPr>
      <w:r w:rsidRPr="0081299B">
        <w:rPr>
          <w:rFonts w:ascii="Times New Roman" w:hAnsi="Times New Roman"/>
          <w:lang w:val="pl-PL"/>
        </w:rPr>
        <w:t>Art. 8</w:t>
      </w:r>
    </w:p>
    <w:p w14:paraId="4474CFFF" w14:textId="6A29A39F" w:rsidR="00311E3A" w:rsidRPr="0081299B" w:rsidRDefault="00311E3A" w:rsidP="00C32C2D">
      <w:pPr>
        <w:pStyle w:val="ECHRParaQuote"/>
        <w:rPr>
          <w:rFonts w:ascii="Times New Roman" w:hAnsi="Times New Roman"/>
          <w:lang w:val="pl-PL"/>
        </w:rPr>
      </w:pPr>
      <w:r w:rsidRPr="0081299B">
        <w:rPr>
          <w:rFonts w:ascii="Times New Roman" w:hAnsi="Times New Roman"/>
          <w:lang w:val="pl-PL"/>
        </w:rPr>
        <w:t xml:space="preserve"> „Art</w:t>
      </w:r>
      <w:r w:rsidRPr="0081299B">
        <w:rPr>
          <w:rFonts w:ascii="Times New Roman" w:hAnsi="Times New Roman" w:cs="Times New Roman"/>
          <w:lang w:val="pl-PL"/>
        </w:rPr>
        <w:t>.</w:t>
      </w:r>
      <w:r w:rsidRPr="0081299B">
        <w:rPr>
          <w:rFonts w:ascii="Times New Roman" w:hAnsi="Times New Roman"/>
          <w:lang w:val="pl-PL"/>
        </w:rPr>
        <w:t xml:space="preserve"> 351 Kodeksu karnego przyjmuje brzmienie:</w:t>
      </w:r>
    </w:p>
    <w:p w14:paraId="505C33AA" w14:textId="77777777" w:rsidR="00311E3A" w:rsidRPr="0081299B" w:rsidRDefault="00311E3A" w:rsidP="00C32C2D">
      <w:pPr>
        <w:pStyle w:val="ECHRTitleCentre3"/>
        <w:rPr>
          <w:rFonts w:ascii="Times New Roman" w:hAnsi="Times New Roman"/>
          <w:lang w:val="pl-PL"/>
        </w:rPr>
      </w:pPr>
      <w:r w:rsidRPr="0081299B">
        <w:rPr>
          <w:rFonts w:ascii="Times New Roman" w:hAnsi="Times New Roman"/>
          <w:lang w:val="pl-PL"/>
        </w:rPr>
        <w:t>Art. 351 - Handel ludźmi</w:t>
      </w:r>
    </w:p>
    <w:p w14:paraId="7C36EC47" w14:textId="5A77086A" w:rsidR="00311E3A" w:rsidRPr="0081299B" w:rsidRDefault="00311E3A" w:rsidP="00C32C2D">
      <w:pPr>
        <w:pStyle w:val="ECHRParaQuote"/>
        <w:rPr>
          <w:rFonts w:ascii="Times New Roman" w:hAnsi="Times New Roman"/>
          <w:lang w:val="pl-PL"/>
        </w:rPr>
      </w:pPr>
      <w:r w:rsidRPr="0081299B">
        <w:rPr>
          <w:rFonts w:ascii="Times New Roman" w:hAnsi="Times New Roman"/>
          <w:lang w:val="pl-PL"/>
        </w:rPr>
        <w:t xml:space="preserve">1.Ten, kto siłą, groźbą lub przy użyciu innej formy przymusu lub nadużywając władzy zatrudnia, przewozi lub wprowadza na terytorium [Grecji] lub poza nim, przetrzymuje, daje schronienie, dostarcza komuś, za wynagrodzeniem lub bez, lub otrzymuje od kogoś osobę, w celu wykorzystania jej seksualnie samemu lub przez osobę trzecią, podlega karze pozbawienia wolności do lat dziesięciu oraz grzywnie od dziesięciu do pięćdziesięciu tysięcy euro. </w:t>
      </w:r>
    </w:p>
    <w:p w14:paraId="621352BB" w14:textId="3AB78089" w:rsidR="00311E3A" w:rsidRPr="0081299B" w:rsidRDefault="00311E3A" w:rsidP="00C32C2D">
      <w:pPr>
        <w:pStyle w:val="ECHRParaQuote"/>
        <w:rPr>
          <w:rFonts w:ascii="Times New Roman" w:hAnsi="Times New Roman"/>
          <w:lang w:val="pl-PL"/>
        </w:rPr>
      </w:pPr>
      <w:r w:rsidRPr="0081299B">
        <w:rPr>
          <w:rFonts w:ascii="Times New Roman" w:hAnsi="Times New Roman"/>
          <w:lang w:val="pl-PL"/>
        </w:rPr>
        <w:t xml:space="preserve"> 2. Taka sama kara zostanie nałożona na tego, kto w tym samym celu uzyska zgodę osoby podstępem lub wykorzystując ją, korzystając z jej bezbronności dzięki obietnicom, prezentom lub oferując inne korzyści. (…)</w:t>
      </w:r>
      <w:r w:rsidR="008124C6" w:rsidRPr="0081299B">
        <w:rPr>
          <w:rFonts w:ascii="Times New Roman" w:hAnsi="Times New Roman"/>
          <w:lang w:val="pl-PL"/>
        </w:rPr>
        <w:t>.</w:t>
      </w:r>
    </w:p>
    <w:p w14:paraId="1A59C25A" w14:textId="238ABBCD" w:rsidR="00311E3A" w:rsidRPr="0081299B" w:rsidRDefault="00311E3A" w:rsidP="00C32C2D">
      <w:pPr>
        <w:pStyle w:val="ECHRParaQuote"/>
        <w:rPr>
          <w:rFonts w:ascii="Times New Roman" w:hAnsi="Times New Roman"/>
          <w:lang w:val="pl-PL"/>
        </w:rPr>
      </w:pPr>
      <w:r w:rsidRPr="0081299B">
        <w:rPr>
          <w:rFonts w:ascii="Times New Roman" w:hAnsi="Times New Roman"/>
          <w:lang w:val="pl-PL"/>
        </w:rPr>
        <w:lastRenderedPageBreak/>
        <w:t>4. Pozbawienie wolności na co najmniej dziesięć lat i grzywna w wysokości  pięćdziesięciu tysięcy euro zostają nałożone, jeżeli czyn opisany powyżej:</w:t>
      </w:r>
    </w:p>
    <w:p w14:paraId="0081B830" w14:textId="77777777" w:rsidR="00311E3A" w:rsidRPr="0081299B" w:rsidRDefault="00311E3A" w:rsidP="00C32C2D">
      <w:pPr>
        <w:pStyle w:val="ECHRParaQuote"/>
        <w:rPr>
          <w:rFonts w:ascii="Times New Roman" w:hAnsi="Times New Roman"/>
          <w:lang w:val="pl-PL"/>
        </w:rPr>
      </w:pPr>
      <w:r w:rsidRPr="0081299B">
        <w:rPr>
          <w:rFonts w:ascii="Times New Roman" w:hAnsi="Times New Roman"/>
          <w:lang w:val="pl-PL"/>
        </w:rPr>
        <w:t xml:space="preserve"> (…)</w:t>
      </w:r>
    </w:p>
    <w:p w14:paraId="0B83B37A" w14:textId="77777777" w:rsidR="00311E3A" w:rsidRPr="0081299B" w:rsidRDefault="00311E3A" w:rsidP="00C32C2D">
      <w:pPr>
        <w:pStyle w:val="ECHRParaQuote"/>
        <w:rPr>
          <w:rFonts w:ascii="Times New Roman" w:hAnsi="Times New Roman"/>
          <w:lang w:val="pl-PL"/>
        </w:rPr>
      </w:pPr>
      <w:r w:rsidRPr="0081299B">
        <w:rPr>
          <w:rFonts w:ascii="Times New Roman" w:hAnsi="Times New Roman"/>
          <w:lang w:val="pl-PL"/>
        </w:rPr>
        <w:t xml:space="preserve"> c) ma związek z wjazdem, pobytem lub nielegalnym opuszczeniem kraju przez ofiarę;</w:t>
      </w:r>
    </w:p>
    <w:p w14:paraId="5688FEFA" w14:textId="77777777" w:rsidR="00311E3A" w:rsidRPr="0081299B" w:rsidRDefault="00311E3A" w:rsidP="00C32C2D">
      <w:pPr>
        <w:pStyle w:val="ECHRParaQuote"/>
        <w:rPr>
          <w:rFonts w:ascii="Times New Roman" w:hAnsi="Times New Roman"/>
          <w:lang w:val="pl-PL"/>
        </w:rPr>
      </w:pPr>
      <w:r w:rsidRPr="0081299B">
        <w:rPr>
          <w:rFonts w:ascii="Times New Roman" w:hAnsi="Times New Roman"/>
          <w:lang w:val="pl-PL"/>
        </w:rPr>
        <w:t xml:space="preserve"> d) został popełniony w związku z działalnością zawodową;</w:t>
      </w:r>
    </w:p>
    <w:p w14:paraId="60AA8FE0" w14:textId="4883C388" w:rsidR="00311E3A" w:rsidRPr="0081299B" w:rsidRDefault="00311E3A" w:rsidP="00C32C2D">
      <w:pPr>
        <w:pStyle w:val="ECHRParaQuote"/>
        <w:rPr>
          <w:rFonts w:ascii="Times New Roman" w:hAnsi="Times New Roman"/>
          <w:lang w:val="pl-PL"/>
        </w:rPr>
      </w:pPr>
      <w:r w:rsidRPr="0081299B">
        <w:rPr>
          <w:rFonts w:ascii="Times New Roman" w:hAnsi="Times New Roman"/>
          <w:lang w:val="pl-PL"/>
        </w:rPr>
        <w:t xml:space="preserve"> </w:t>
      </w:r>
      <w:r w:rsidRPr="0081299B">
        <w:rPr>
          <w:rFonts w:ascii="Times New Roman" w:hAnsi="Times New Roman" w:cs="Times New Roman"/>
          <w:lang w:val="pl-PL"/>
        </w:rPr>
        <w:t>(…)”.</w:t>
      </w:r>
    </w:p>
    <w:p w14:paraId="0A5E7ED0" w14:textId="77777777" w:rsidR="00311E3A" w:rsidRPr="0081299B" w:rsidRDefault="00311E3A" w:rsidP="00C32C2D">
      <w:pPr>
        <w:pStyle w:val="ECHRTitleCentre3"/>
        <w:rPr>
          <w:rFonts w:ascii="Times New Roman" w:hAnsi="Times New Roman"/>
          <w:lang w:val="pl-PL"/>
        </w:rPr>
      </w:pPr>
      <w:r w:rsidRPr="0081299B">
        <w:rPr>
          <w:rFonts w:ascii="Times New Roman" w:hAnsi="Times New Roman"/>
          <w:lang w:val="pl-PL"/>
        </w:rPr>
        <w:t>Art. 12 – O pomocy ofiarom</w:t>
      </w:r>
    </w:p>
    <w:p w14:paraId="66339D65" w14:textId="77777777" w:rsidR="00311E3A" w:rsidRPr="0081299B" w:rsidRDefault="00311E3A" w:rsidP="00C32C2D">
      <w:pPr>
        <w:pStyle w:val="ECHRParaQuote"/>
        <w:rPr>
          <w:rFonts w:ascii="Times New Roman" w:hAnsi="Times New Roman"/>
          <w:lang w:val="pl-PL"/>
        </w:rPr>
      </w:pPr>
      <w:r w:rsidRPr="0081299B">
        <w:rPr>
          <w:rFonts w:ascii="Times New Roman" w:hAnsi="Times New Roman"/>
          <w:lang w:val="pl-PL"/>
        </w:rPr>
        <w:t xml:space="preserve"> „1. Ofiary przestępstw wymienionych w art. (…) 351 Kodeksu karnego są chronione, w szczególności ich życie, nietykalność fizyczna, swoboda osobista i seksualna, jeżeli znajdują się w niebezpieczeństwie. Ponadto, przez okres uznawany za konieczny, korzystają z pomocy mieszkaniowej, żywnościowej, w przetrwaniu, zdrowotnej i wsparcia psychologicznego. Zapewniona jest im także pomoc prawna oraz tłumacz. (…)</w:t>
      </w:r>
    </w:p>
    <w:p w14:paraId="652A0F7E" w14:textId="67ED451E" w:rsidR="00311E3A" w:rsidRPr="0081299B" w:rsidRDefault="00311E3A" w:rsidP="00C32C2D">
      <w:pPr>
        <w:pStyle w:val="ECHRParaQuote"/>
        <w:rPr>
          <w:rFonts w:ascii="Times New Roman" w:hAnsi="Times New Roman"/>
          <w:lang w:val="pl-PL"/>
        </w:rPr>
      </w:pPr>
      <w:r w:rsidRPr="0081299B">
        <w:rPr>
          <w:rFonts w:ascii="Times New Roman" w:hAnsi="Times New Roman"/>
          <w:lang w:val="pl-PL"/>
        </w:rPr>
        <w:t xml:space="preserve">2. Kiedy ofiary czynów wymienionych w </w:t>
      </w:r>
      <w:r w:rsidRPr="0081299B">
        <w:rPr>
          <w:rFonts w:ascii="Times New Roman" w:hAnsi="Times New Roman" w:cs="Times New Roman"/>
          <w:lang w:val="pl-PL"/>
        </w:rPr>
        <w:t>ust.</w:t>
      </w:r>
      <w:r w:rsidRPr="0081299B">
        <w:rPr>
          <w:rFonts w:ascii="Times New Roman" w:hAnsi="Times New Roman"/>
          <w:lang w:val="pl-PL"/>
        </w:rPr>
        <w:t xml:space="preserve"> 1 są obcokrajowcami i znajdują się w kraju nielegalnie (…), ich wydalenie może zostać zawieszone decyzją prokuratora przy Sądzie Karnym, potwierdzoną przez prokuratora przy Sądzie Apelacyjnym </w:t>
      </w:r>
      <w:r w:rsidRPr="0081299B">
        <w:rPr>
          <w:rFonts w:ascii="Times New Roman" w:hAnsi="Times New Roman" w:cs="Times New Roman"/>
          <w:lang w:val="pl-PL"/>
        </w:rPr>
        <w:t>(…)”.</w:t>
      </w:r>
    </w:p>
    <w:p w14:paraId="19A152E1" w14:textId="1F03478C" w:rsidR="00311E3A" w:rsidRPr="0081299B" w:rsidRDefault="00311E3A" w:rsidP="00C32C2D">
      <w:pPr>
        <w:pStyle w:val="ECHRPara"/>
        <w:numPr>
          <w:ilvl w:val="0"/>
          <w:numId w:val="19"/>
        </w:numPr>
        <w:ind w:left="0" w:firstLine="284"/>
        <w:rPr>
          <w:rStyle w:val="h20"/>
          <w:rFonts w:ascii="Times New Roman" w:hAnsi="Times New Roman"/>
          <w:lang w:val="pl-PL"/>
        </w:rPr>
      </w:pPr>
      <w:r w:rsidRPr="0081299B">
        <w:rPr>
          <w:rFonts w:ascii="Times New Roman" w:hAnsi="Times New Roman"/>
          <w:lang w:val="pl-PL"/>
        </w:rPr>
        <w:t>Na mocy ustaw nr 3875/2010 i nr 4216/2013, zostały odpowiednio ratyfikowane dodatkowy Protokół do Konwencji Narodów Zjednoczonych przeciwko międzynarodowej przestępczości zorganizowanej</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zwany „Protok</w:t>
      </w:r>
      <w:r w:rsidRPr="0081299B">
        <w:rPr>
          <w:rFonts w:ascii="Times New Roman" w:eastAsia="Batang" w:hAnsi="Times New Roman" w:cs="Times New Roman"/>
          <w:szCs w:val="24"/>
          <w:lang w:val="pl-PL" w:eastAsia="ko-KR"/>
        </w:rPr>
        <w:t>o</w:t>
      </w:r>
      <w:r w:rsidRPr="0081299B">
        <w:rPr>
          <w:rFonts w:ascii="Times New Roman" w:hAnsi="Times New Roman"/>
          <w:lang w:val="pl-PL"/>
        </w:rPr>
        <w:t>łem z Palermo</w:t>
      </w:r>
      <w:r w:rsidRPr="0081299B">
        <w:rPr>
          <w:rFonts w:ascii="Times New Roman" w:eastAsia="Batang" w:hAnsi="Times New Roman" w:cs="Times New Roman"/>
          <w:szCs w:val="24"/>
          <w:lang w:val="pl-PL" w:eastAsia="ko-KR"/>
        </w:rPr>
        <w:t>”,</w:t>
      </w:r>
      <w:r w:rsidRPr="0081299B">
        <w:rPr>
          <w:rFonts w:ascii="Times New Roman" w:hAnsi="Times New Roman"/>
          <w:lang w:val="pl-PL"/>
        </w:rPr>
        <w:t xml:space="preserve"> z grudnia 2000 r. oraz Konwencja Rady Europy </w:t>
      </w:r>
      <w:r w:rsidRPr="0081299B">
        <w:rPr>
          <w:rStyle w:val="h20"/>
          <w:rFonts w:ascii="Times New Roman" w:hAnsi="Times New Roman"/>
          <w:lang w:val="pl-PL"/>
        </w:rPr>
        <w:t xml:space="preserve">w sprawie działań </w:t>
      </w:r>
      <w:r w:rsidRPr="0081299B">
        <w:rPr>
          <w:rStyle w:val="h20"/>
          <w:rFonts w:ascii="Times New Roman" w:hAnsi="Times New Roman" w:cs="Times New Roman"/>
          <w:szCs w:val="24"/>
          <w:lang w:val="pl-PL"/>
        </w:rPr>
        <w:t>p</w:t>
      </w:r>
      <w:r w:rsidRPr="0081299B">
        <w:rPr>
          <w:rStyle w:val="h20"/>
          <w:rFonts w:ascii="Times New Roman" w:hAnsi="Times New Roman"/>
          <w:lang w:val="pl-PL"/>
        </w:rPr>
        <w:t>rzeciwko handlowi ludźmi z dnia 16 maja 2005 r. Wreszcie, ustawa nr 4198/2013 implementowała Dyrektywę 2011/36 Unii Europejskiej o zapobieganiu i ściganiu handlu ludźmi.</w:t>
      </w:r>
    </w:p>
    <w:p w14:paraId="5CF5501D" w14:textId="365270F4" w:rsidR="00311E3A" w:rsidRPr="0081299B" w:rsidRDefault="00311E3A" w:rsidP="00C32C2D">
      <w:pPr>
        <w:pStyle w:val="ECHRHeading4"/>
        <w:numPr>
          <w:ilvl w:val="0"/>
          <w:numId w:val="12"/>
        </w:numPr>
        <w:ind w:left="975" w:hanging="340"/>
        <w:rPr>
          <w:rFonts w:ascii="Times New Roman" w:hAnsi="Times New Roman"/>
          <w:lang w:val="pl-PL"/>
        </w:rPr>
      </w:pPr>
      <w:r w:rsidRPr="0081299B">
        <w:rPr>
          <w:rFonts w:ascii="Times New Roman" w:hAnsi="Times New Roman"/>
          <w:lang w:val="pl-PL"/>
        </w:rPr>
        <w:t>Kodeks cywilny</w:t>
      </w:r>
    </w:p>
    <w:p w14:paraId="4A0F4239" w14:textId="39275620"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Właściwe artykuły Kodeksu cywilnego mają następujące brzmienie:</w:t>
      </w:r>
    </w:p>
    <w:p w14:paraId="466C6ECE" w14:textId="77777777" w:rsidR="00311E3A" w:rsidRPr="0081299B" w:rsidRDefault="00311E3A" w:rsidP="00C32C2D">
      <w:pPr>
        <w:pStyle w:val="ECHRTitleCentre3"/>
        <w:rPr>
          <w:rFonts w:ascii="Times New Roman" w:hAnsi="Times New Roman"/>
          <w:lang w:val="pl-PL"/>
        </w:rPr>
      </w:pPr>
      <w:r w:rsidRPr="0081299B">
        <w:rPr>
          <w:rFonts w:ascii="Times New Roman" w:hAnsi="Times New Roman"/>
          <w:lang w:val="pl-PL"/>
        </w:rPr>
        <w:t>Art. 914</w:t>
      </w:r>
    </w:p>
    <w:p w14:paraId="48E3B678" w14:textId="7449099E" w:rsidR="00311E3A" w:rsidRPr="0081299B" w:rsidRDefault="00311E3A" w:rsidP="00C32C2D">
      <w:pPr>
        <w:pStyle w:val="ECHRParaQuote"/>
        <w:rPr>
          <w:rFonts w:ascii="Times New Roman" w:hAnsi="Times New Roman"/>
          <w:lang w:val="pl-PL"/>
        </w:rPr>
      </w:pPr>
      <w:r w:rsidRPr="0081299B">
        <w:rPr>
          <w:rFonts w:ascii="Times New Roman" w:hAnsi="Times New Roman"/>
          <w:lang w:val="pl-PL"/>
        </w:rPr>
        <w:t xml:space="preserve"> „Ten, kto naruszając prawo</w:t>
      </w:r>
      <w:r w:rsidRPr="0081299B">
        <w:rPr>
          <w:rFonts w:ascii="Times New Roman" w:hAnsi="Times New Roman" w:cs="Times New Roman"/>
          <w:lang w:val="pl-PL"/>
        </w:rPr>
        <w:t>,</w:t>
      </w:r>
      <w:r w:rsidRPr="0081299B">
        <w:rPr>
          <w:rFonts w:ascii="Times New Roman" w:hAnsi="Times New Roman"/>
          <w:lang w:val="pl-PL"/>
        </w:rPr>
        <w:t xml:space="preserve"> wyrządza szkodę innej osobie</w:t>
      </w:r>
      <w:r w:rsidRPr="0081299B">
        <w:rPr>
          <w:rFonts w:ascii="Times New Roman" w:hAnsi="Times New Roman" w:cs="Times New Roman"/>
          <w:lang w:val="pl-PL"/>
        </w:rPr>
        <w:t>,</w:t>
      </w:r>
      <w:r w:rsidRPr="0081299B">
        <w:rPr>
          <w:rFonts w:ascii="Times New Roman" w:hAnsi="Times New Roman"/>
          <w:lang w:val="pl-PL"/>
        </w:rPr>
        <w:t xml:space="preserve"> zobowiązany jest do jej naprawienia</w:t>
      </w:r>
      <w:r w:rsidRPr="0081299B">
        <w:rPr>
          <w:rFonts w:ascii="Times New Roman" w:hAnsi="Times New Roman" w:cs="Times New Roman"/>
          <w:lang w:val="pl-PL"/>
        </w:rPr>
        <w:t>.”.</w:t>
      </w:r>
    </w:p>
    <w:p w14:paraId="62DBE711" w14:textId="77777777" w:rsidR="00311E3A" w:rsidRPr="0081299B" w:rsidRDefault="00311E3A" w:rsidP="00C32C2D">
      <w:pPr>
        <w:pStyle w:val="ECHRTitleCentre3"/>
        <w:rPr>
          <w:rFonts w:ascii="Times New Roman" w:hAnsi="Times New Roman"/>
          <w:lang w:val="pl-PL"/>
        </w:rPr>
      </w:pPr>
      <w:r w:rsidRPr="0081299B">
        <w:rPr>
          <w:rFonts w:ascii="Times New Roman" w:hAnsi="Times New Roman"/>
          <w:lang w:val="pl-PL"/>
        </w:rPr>
        <w:t xml:space="preserve">Art. 932 </w:t>
      </w:r>
    </w:p>
    <w:p w14:paraId="293C7056" w14:textId="3102E27E" w:rsidR="00311E3A" w:rsidRPr="0081299B" w:rsidRDefault="00311E3A" w:rsidP="00C32C2D">
      <w:pPr>
        <w:pStyle w:val="ECHRParaQuote"/>
        <w:rPr>
          <w:rFonts w:ascii="Times New Roman" w:hAnsi="Times New Roman"/>
          <w:lang w:val="pl-PL"/>
        </w:rPr>
      </w:pPr>
      <w:r w:rsidRPr="0081299B">
        <w:rPr>
          <w:rFonts w:ascii="Times New Roman" w:hAnsi="Times New Roman"/>
          <w:lang w:val="pl-PL"/>
        </w:rPr>
        <w:t xml:space="preserve"> „Niezależnie od odszkodowania należnego za szkodę uczynioną w mieniu w wyniku czynu zabronionego, sąd może, zgodnie ze swoją oceną, przyznać rozsądne zadośćuczynienie za doznaną krzywdę. Może w szczególności skorzystać z tej zasady ten, kto doznał zamachu na swoje zdrowie, honor lub cześć, lub został pozbawiony wolności. W przypadku śmierci człowieka, odszkodowanie może być przyznane rodzinie ofiary z tytułu </w:t>
      </w:r>
      <w:proofErr w:type="spellStart"/>
      <w:r w:rsidRPr="0081299B">
        <w:rPr>
          <w:rFonts w:ascii="Times New Roman" w:hAnsi="Times New Roman"/>
          <w:i/>
          <w:lang w:val="pl-PL"/>
        </w:rPr>
        <w:t>pretium</w:t>
      </w:r>
      <w:proofErr w:type="spellEnd"/>
      <w:r w:rsidRPr="0081299B">
        <w:rPr>
          <w:rFonts w:ascii="Times New Roman" w:hAnsi="Times New Roman"/>
          <w:i/>
          <w:lang w:val="pl-PL"/>
        </w:rPr>
        <w:t xml:space="preserve"> </w:t>
      </w:r>
      <w:proofErr w:type="spellStart"/>
      <w:r w:rsidRPr="0081299B">
        <w:rPr>
          <w:rFonts w:ascii="Times New Roman" w:hAnsi="Times New Roman"/>
          <w:i/>
          <w:lang w:val="pl-PL"/>
        </w:rPr>
        <w:t>doloris</w:t>
      </w:r>
      <w:proofErr w:type="spellEnd"/>
      <w:r w:rsidRPr="0081299B">
        <w:rPr>
          <w:rFonts w:ascii="Times New Roman" w:hAnsi="Times New Roman" w:cs="Times New Roman"/>
          <w:lang w:val="pl-PL"/>
        </w:rPr>
        <w:t>.”.</w:t>
      </w:r>
    </w:p>
    <w:p w14:paraId="0EAE6212" w14:textId="6403CB4B" w:rsidR="00311E3A" w:rsidRPr="0081299B" w:rsidRDefault="00311E3A" w:rsidP="00C32C2D">
      <w:pPr>
        <w:pStyle w:val="ECHRHeading2"/>
        <w:numPr>
          <w:ilvl w:val="0"/>
          <w:numId w:val="6"/>
        </w:numPr>
        <w:ind w:left="584" w:hanging="352"/>
        <w:rPr>
          <w:rFonts w:ascii="Times New Roman" w:hAnsi="Times New Roman"/>
          <w:lang w:val="pl-PL"/>
        </w:rPr>
      </w:pPr>
      <w:r w:rsidRPr="0081299B">
        <w:rPr>
          <w:rFonts w:ascii="Times New Roman" w:hAnsi="Times New Roman"/>
          <w:lang w:val="pl-PL"/>
        </w:rPr>
        <w:lastRenderedPageBreak/>
        <w:t>Właściwe prawo międzynarodowe i europejskie</w:t>
      </w:r>
    </w:p>
    <w:p w14:paraId="52F50350" w14:textId="52837417" w:rsidR="00311E3A" w:rsidRPr="0081299B" w:rsidRDefault="00311E3A" w:rsidP="00C32C2D">
      <w:pPr>
        <w:pStyle w:val="ECHRHeading3"/>
        <w:numPr>
          <w:ilvl w:val="0"/>
          <w:numId w:val="20"/>
        </w:numPr>
        <w:ind w:left="732" w:hanging="301"/>
        <w:rPr>
          <w:rFonts w:ascii="Times New Roman" w:hAnsi="Times New Roman"/>
          <w:lang w:val="pl-PL"/>
        </w:rPr>
      </w:pPr>
      <w:r w:rsidRPr="0081299B">
        <w:rPr>
          <w:rFonts w:ascii="Times New Roman" w:hAnsi="Times New Roman"/>
          <w:lang w:val="pl-PL"/>
        </w:rPr>
        <w:t>Uwagi ogólne</w:t>
      </w:r>
    </w:p>
    <w:p w14:paraId="1C8CE570" w14:textId="6E91F122" w:rsidR="00311E3A" w:rsidRPr="0081299B" w:rsidRDefault="00311E3A" w:rsidP="00C32C2D">
      <w:pPr>
        <w:pStyle w:val="ECHRPara"/>
        <w:numPr>
          <w:ilvl w:val="0"/>
          <w:numId w:val="19"/>
        </w:numPr>
        <w:ind w:left="0" w:firstLine="284"/>
        <w:rPr>
          <w:rFonts w:ascii="Times New Roman" w:hAnsi="Times New Roman"/>
          <w:szCs w:val="24"/>
          <w:lang w:val="pl-PL"/>
        </w:rPr>
      </w:pPr>
      <w:r w:rsidRPr="0081299B">
        <w:rPr>
          <w:rFonts w:ascii="Times New Roman" w:hAnsi="Times New Roman"/>
          <w:szCs w:val="24"/>
          <w:lang w:val="pl-PL"/>
        </w:rPr>
        <w:t xml:space="preserve">Trybunał odsyła do §§ 49 do 51 wyroku </w:t>
      </w:r>
      <w:proofErr w:type="spellStart"/>
      <w:r w:rsidRPr="0081299B">
        <w:rPr>
          <w:rFonts w:ascii="Times New Roman" w:hAnsi="Times New Roman"/>
          <w:i/>
          <w:szCs w:val="24"/>
          <w:lang w:val="pl-PL"/>
        </w:rPr>
        <w:t>Siliadin</w:t>
      </w:r>
      <w:proofErr w:type="spellEnd"/>
      <w:r w:rsidRPr="0081299B">
        <w:rPr>
          <w:rFonts w:ascii="Times New Roman" w:hAnsi="Times New Roman"/>
          <w:szCs w:val="24"/>
          <w:lang w:val="pl-PL"/>
        </w:rPr>
        <w:t xml:space="preserve"> </w:t>
      </w:r>
      <w:r w:rsidRPr="0081299B">
        <w:rPr>
          <w:rFonts w:ascii="Times New Roman" w:hAnsi="Times New Roman"/>
          <w:i/>
          <w:szCs w:val="24"/>
          <w:lang w:val="pl-PL"/>
        </w:rPr>
        <w:t xml:space="preserve">p. Francji </w:t>
      </w:r>
      <w:r w:rsidRPr="0081299B">
        <w:rPr>
          <w:rFonts w:ascii="Times New Roman" w:hAnsi="Times New Roman"/>
          <w:szCs w:val="24"/>
          <w:lang w:val="pl-PL"/>
        </w:rPr>
        <w:t xml:space="preserve">(nr 73316/01, ETPCz 2005-VII) i do §§ 137 do 174 wyroku </w:t>
      </w:r>
      <w:proofErr w:type="spellStart"/>
      <w:r w:rsidRPr="0081299B">
        <w:rPr>
          <w:rFonts w:ascii="Times New Roman" w:hAnsi="Times New Roman"/>
          <w:i/>
          <w:szCs w:val="24"/>
          <w:lang w:val="pl-PL"/>
        </w:rPr>
        <w:t>Rantsev</w:t>
      </w:r>
      <w:proofErr w:type="spellEnd"/>
      <w:r w:rsidRPr="0081299B">
        <w:rPr>
          <w:rFonts w:ascii="Times New Roman" w:hAnsi="Times New Roman"/>
          <w:i/>
          <w:szCs w:val="24"/>
          <w:lang w:val="pl-PL"/>
        </w:rPr>
        <w:t xml:space="preserve"> p. Cyprowi i Rosji</w:t>
      </w:r>
      <w:r w:rsidRPr="0081299B">
        <w:rPr>
          <w:rFonts w:ascii="Times New Roman" w:hAnsi="Times New Roman"/>
          <w:szCs w:val="24"/>
          <w:lang w:val="pl-PL"/>
        </w:rPr>
        <w:t xml:space="preserve"> (nr 25965/04, ETPCz 2010 (fragmenty), które przedstawiają właściwe postanowienia konwencji międzynarodowych odnoszących się do pracy przymusowej, poddaństwa, niewolnictwa i handlu ludźmi (Konwencja Genewska z dnia 25 września 1926 r. zabraniająca niewolnictwa; Konwencja nr 29 Międzynarodowej Organizacji Pracy dotycząca pracy przymusowej lub obowiązkowej z dnia 28 czerwca 1930 r.; uzupełniająca Konwencja w</w:t>
      </w:r>
      <w:r w:rsidRPr="0081299B">
        <w:rPr>
          <w:rFonts w:ascii="Times New Roman" w:hAnsi="Times New Roman" w:cs="Times New Roman"/>
          <w:szCs w:val="24"/>
          <w:lang w:val="pl-PL"/>
        </w:rPr>
        <w:t xml:space="preserve"> </w:t>
      </w:r>
      <w:r w:rsidRPr="0081299B">
        <w:rPr>
          <w:rFonts w:ascii="Times New Roman" w:hAnsi="Times New Roman"/>
          <w:szCs w:val="24"/>
          <w:lang w:val="pl-PL"/>
        </w:rPr>
        <w:t xml:space="preserve">sprawie zniesienia niewolnictwa z dnia 30 kwietnia 1956 r.; Konwencja o Prawach Dziecka z dnia 20 listopada 1989 r.; Protokół z Palermo; </w:t>
      </w:r>
      <w:bookmarkStart w:id="3" w:name="_Hlk495001095"/>
      <w:r w:rsidRPr="0081299B">
        <w:rPr>
          <w:rFonts w:ascii="Times New Roman" w:hAnsi="Times New Roman"/>
          <w:szCs w:val="24"/>
          <w:lang w:val="pl-PL"/>
        </w:rPr>
        <w:t>Konwencja Rady Europy w sprawie działań przeciwko handlowi ludźmi z dnia 16 maja 2005 r</w:t>
      </w:r>
      <w:bookmarkEnd w:id="3"/>
      <w:r w:rsidRPr="0081299B">
        <w:rPr>
          <w:rFonts w:ascii="Times New Roman" w:hAnsi="Times New Roman"/>
          <w:szCs w:val="24"/>
          <w:lang w:val="pl-PL"/>
        </w:rPr>
        <w:t xml:space="preserve">.) oraz do właściwych fragmentów protokołów z prac Rady Europy w tej kwestii (zalecenia nr 1523 z dnia 26 czerwca 2001 r. i nr 1623 z dnia 22 czerwca 2004 r. Zgromadzenia </w:t>
      </w:r>
      <w:r w:rsidRPr="0081299B">
        <w:rPr>
          <w:rFonts w:ascii="Times New Roman" w:hAnsi="Times New Roman" w:cs="Times New Roman"/>
          <w:szCs w:val="24"/>
          <w:lang w:val="pl-PL"/>
        </w:rPr>
        <w:t>P</w:t>
      </w:r>
      <w:r w:rsidRPr="0081299B">
        <w:rPr>
          <w:rFonts w:ascii="Times New Roman" w:hAnsi="Times New Roman"/>
          <w:szCs w:val="24"/>
          <w:lang w:val="pl-PL"/>
        </w:rPr>
        <w:t xml:space="preserve">arlamentarnego; raport wyjaśniający do Konwencji Rady Europy </w:t>
      </w:r>
      <w:r w:rsidRPr="0081299B">
        <w:rPr>
          <w:rFonts w:ascii="Times New Roman" w:hAnsi="Times New Roman" w:cs="Times New Roman"/>
          <w:szCs w:val="24"/>
          <w:lang w:val="pl-PL"/>
        </w:rPr>
        <w:t>w sprawie działań przeciwko</w:t>
      </w:r>
      <w:r w:rsidRPr="0081299B">
        <w:rPr>
          <w:rFonts w:ascii="Times New Roman" w:hAnsi="Times New Roman"/>
          <w:szCs w:val="24"/>
          <w:lang w:val="pl-PL"/>
        </w:rPr>
        <w:t xml:space="preserve"> handlowi ludźmi).</w:t>
      </w:r>
    </w:p>
    <w:p w14:paraId="644AB734" w14:textId="243078CB" w:rsidR="00311E3A" w:rsidRPr="0081299B" w:rsidRDefault="00311E3A" w:rsidP="00C32C2D">
      <w:pPr>
        <w:pStyle w:val="ECHRHeading3"/>
        <w:numPr>
          <w:ilvl w:val="0"/>
          <w:numId w:val="20"/>
        </w:numPr>
        <w:ind w:left="732" w:hanging="301"/>
        <w:rPr>
          <w:rFonts w:ascii="Times New Roman" w:hAnsi="Times New Roman"/>
          <w:lang w:val="pl-PL"/>
        </w:rPr>
      </w:pPr>
      <w:r w:rsidRPr="0081299B">
        <w:rPr>
          <w:rFonts w:ascii="Times New Roman" w:hAnsi="Times New Roman"/>
          <w:lang w:val="pl-PL"/>
        </w:rPr>
        <w:t>Protokół z Palermo</w:t>
      </w:r>
    </w:p>
    <w:p w14:paraId="2163249A" w14:textId="022407F6"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Protokół </w:t>
      </w:r>
      <w:r w:rsidRPr="0081299B">
        <w:rPr>
          <w:rFonts w:ascii="Times New Roman" w:hAnsi="Times New Roman" w:cs="Times New Roman"/>
          <w:szCs w:val="24"/>
          <w:lang w:val="pl-PL"/>
        </w:rPr>
        <w:t>o zapobieganiu, zwalczaniu oraz karaniu za handel ludźmi, w szczególności kobietami i dziećmi, uzupełniający Konwencję</w:t>
      </w:r>
      <w:r w:rsidRPr="0081299B">
        <w:rPr>
          <w:rFonts w:ascii="Times New Roman" w:hAnsi="Times New Roman"/>
          <w:lang w:val="pl-PL"/>
        </w:rPr>
        <w:t xml:space="preserve"> Narodów Zjednoczonych przeciwko międzynarodowej przestępczości zorganizowanej („Protokół z Palermo</w:t>
      </w:r>
      <w:r w:rsidRPr="0081299B">
        <w:rPr>
          <w:rFonts w:ascii="Times New Roman" w:hAnsi="Times New Roman" w:cs="Times New Roman"/>
          <w:szCs w:val="24"/>
          <w:lang w:val="pl-PL"/>
        </w:rPr>
        <w:t>”),</w:t>
      </w:r>
      <w:r w:rsidRPr="0081299B">
        <w:rPr>
          <w:rFonts w:ascii="Times New Roman" w:hAnsi="Times New Roman"/>
          <w:lang w:val="pl-PL"/>
        </w:rPr>
        <w:t xml:space="preserve"> został podpisany przez Grecję w dniu 13 grudnia 2000 r. i ratyfikowany dnia 11 stycznia 2011 r.</w:t>
      </w:r>
    </w:p>
    <w:p w14:paraId="737FF232" w14:textId="6015E1EA"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cs="Times New Roman"/>
          <w:szCs w:val="24"/>
          <w:lang w:val="pl-PL"/>
        </w:rPr>
        <w:t>Art.</w:t>
      </w:r>
      <w:r w:rsidRPr="0081299B">
        <w:rPr>
          <w:rFonts w:ascii="Times New Roman" w:hAnsi="Times New Roman"/>
          <w:lang w:val="pl-PL"/>
        </w:rPr>
        <w:t xml:space="preserve"> 3 lit. a definiuje handel ludźmi w następujący sposób:</w:t>
      </w:r>
    </w:p>
    <w:p w14:paraId="0E7B6898" w14:textId="46868B2B" w:rsidR="00311E3A" w:rsidRPr="0081299B" w:rsidRDefault="00311E3A" w:rsidP="00C32C2D">
      <w:pPr>
        <w:pStyle w:val="ECHRParaQuote"/>
        <w:rPr>
          <w:rFonts w:ascii="Times New Roman" w:hAnsi="Times New Roman"/>
          <w:lang w:val="pl-PL"/>
        </w:rPr>
      </w:pPr>
      <w:r w:rsidRPr="0081299B">
        <w:rPr>
          <w:rFonts w:ascii="Times New Roman" w:hAnsi="Times New Roman"/>
          <w:lang w:val="pl-PL"/>
        </w:rPr>
        <w:t xml:space="preserve"> </w:t>
      </w:r>
      <w:r w:rsidRPr="0081299B">
        <w:rPr>
          <w:rFonts w:ascii="Times New Roman" w:hAnsi="Times New Roman" w:cs="Times New Roman"/>
          <w:lang w:val="pl-PL"/>
        </w:rPr>
        <w:t>„[</w:t>
      </w:r>
      <w:r w:rsidRPr="0081299B">
        <w:rPr>
          <w:rFonts w:ascii="Times New Roman" w:hAnsi="Times New Roman"/>
          <w:lang w:val="pl-PL"/>
        </w:rPr>
        <w:t>Wyrażenie</w:t>
      </w:r>
      <w:r w:rsidRPr="0081299B">
        <w:rPr>
          <w:rFonts w:ascii="Times New Roman" w:hAnsi="Times New Roman" w:cs="Times New Roman"/>
          <w:lang w:val="pl-PL"/>
        </w:rPr>
        <w:t>] „</w:t>
      </w:r>
      <w:r w:rsidRPr="0081299B">
        <w:rPr>
          <w:rFonts w:ascii="Times New Roman" w:hAnsi="Times New Roman"/>
          <w:lang w:val="pl-PL"/>
        </w:rPr>
        <w:t>handel ludźmi</w:t>
      </w:r>
      <w:r w:rsidRPr="0081299B">
        <w:rPr>
          <w:rFonts w:ascii="Times New Roman" w:hAnsi="Times New Roman" w:cs="Times New Roman"/>
          <w:lang w:val="pl-PL"/>
        </w:rPr>
        <w:t>”</w:t>
      </w:r>
      <w:r w:rsidRPr="0081299B">
        <w:rPr>
          <w:rFonts w:ascii="Times New Roman" w:hAnsi="Times New Roman"/>
          <w:lang w:val="pl-PL"/>
        </w:rPr>
        <w:t xml:space="preserve"> oznacza </w:t>
      </w:r>
      <w:bookmarkStart w:id="4" w:name="_Hlk495049769"/>
      <w:r w:rsidRPr="0081299B">
        <w:rPr>
          <w:rFonts w:ascii="Times New Roman" w:hAnsi="Times New Roman"/>
          <w:lang w:val="pl-PL"/>
        </w:rPr>
        <w:t>werbowanie, transport, przekazywanie, przechowywanie lub przyjmowanie osób z zastosowaniem gróźb lub użyciem siły lub też z wykorzystaniem innej formy przymusu, uprowadzenia, oszustwa, wprowadzenia w błąd, nadużycia władzy lub wykorzystania słabości, wręczenia lub przyjęcia płatności lub korzyści dla uzyskania zgody osoby mającej kontrolę nad inną osobą, w celu wykorzystania.</w:t>
      </w:r>
      <w:bookmarkEnd w:id="4"/>
      <w:r w:rsidRPr="0081299B">
        <w:rPr>
          <w:rFonts w:ascii="Times New Roman" w:hAnsi="Times New Roman"/>
          <w:lang w:val="pl-PL"/>
        </w:rPr>
        <w:t xml:space="preserve"> Wykorzystanie obejmuje, jako minimum, wykorzystanie prostytucji innych osób lub inne formy wykorzystania seksualnego, pracę lub usługi o charakterze przymusowym, niewolnictwo lub praktyki podobne do niewolnictwa, zniewolenie albo pobranie organów; </w:t>
      </w:r>
      <w:r w:rsidRPr="0081299B">
        <w:rPr>
          <w:rFonts w:ascii="Times New Roman" w:hAnsi="Times New Roman" w:cs="Times New Roman"/>
          <w:lang w:val="pl-PL"/>
        </w:rPr>
        <w:t>(…)”.</w:t>
      </w:r>
    </w:p>
    <w:p w14:paraId="2F684F95" w14:textId="223C0C69"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cs="Times New Roman"/>
          <w:szCs w:val="24"/>
          <w:lang w:val="pl-PL"/>
        </w:rPr>
        <w:t>Art.</w:t>
      </w:r>
      <w:r w:rsidRPr="0081299B">
        <w:rPr>
          <w:rFonts w:ascii="Times New Roman" w:hAnsi="Times New Roman"/>
          <w:lang w:val="pl-PL"/>
        </w:rPr>
        <w:t xml:space="preserve"> 3 lit. b precyzuje, że zgoda ofiary handlu ludźmi na </w:t>
      </w:r>
      <w:r w:rsidRPr="0081299B">
        <w:rPr>
          <w:rFonts w:ascii="Times New Roman" w:hAnsi="Times New Roman" w:cs="Times New Roman"/>
          <w:szCs w:val="24"/>
          <w:lang w:val="pl-PL"/>
        </w:rPr>
        <w:t>zamierzone</w:t>
      </w:r>
      <w:r w:rsidRPr="0081299B">
        <w:rPr>
          <w:rFonts w:ascii="Times New Roman" w:hAnsi="Times New Roman"/>
          <w:lang w:val="pl-PL"/>
        </w:rPr>
        <w:t xml:space="preserve"> wykorzystanie, </w:t>
      </w:r>
      <w:r w:rsidRPr="0081299B">
        <w:rPr>
          <w:rFonts w:ascii="Times New Roman" w:hAnsi="Times New Roman" w:cs="Times New Roman"/>
          <w:szCs w:val="24"/>
          <w:lang w:val="pl-PL"/>
        </w:rPr>
        <w:t>o którym mowa</w:t>
      </w:r>
      <w:r w:rsidRPr="0081299B">
        <w:rPr>
          <w:rFonts w:ascii="Times New Roman" w:hAnsi="Times New Roman"/>
          <w:lang w:val="pl-PL"/>
        </w:rPr>
        <w:t xml:space="preserve"> w </w:t>
      </w:r>
      <w:r w:rsidRPr="0081299B">
        <w:rPr>
          <w:rFonts w:ascii="Times New Roman" w:hAnsi="Times New Roman" w:cs="Times New Roman"/>
          <w:szCs w:val="24"/>
          <w:lang w:val="pl-PL"/>
        </w:rPr>
        <w:t>art.</w:t>
      </w:r>
      <w:r w:rsidRPr="0081299B">
        <w:rPr>
          <w:rFonts w:ascii="Times New Roman" w:hAnsi="Times New Roman"/>
          <w:lang w:val="pl-PL"/>
        </w:rPr>
        <w:t xml:space="preserve"> 3 lit. a, </w:t>
      </w:r>
      <w:r w:rsidRPr="0081299B">
        <w:rPr>
          <w:rFonts w:ascii="Times New Roman" w:hAnsi="Times New Roman" w:cs="Times New Roman"/>
          <w:szCs w:val="24"/>
          <w:lang w:val="pl-PL"/>
        </w:rPr>
        <w:t>nie ma</w:t>
      </w:r>
      <w:r w:rsidRPr="0081299B">
        <w:rPr>
          <w:rFonts w:ascii="Times New Roman" w:hAnsi="Times New Roman"/>
          <w:lang w:val="pl-PL"/>
        </w:rPr>
        <w:t xml:space="preserve"> znaczenia, jeżeli </w:t>
      </w:r>
      <w:r w:rsidRPr="0081299B">
        <w:rPr>
          <w:rFonts w:ascii="Times New Roman" w:hAnsi="Times New Roman" w:cs="Times New Roman"/>
          <w:szCs w:val="24"/>
          <w:lang w:val="pl-PL"/>
        </w:rPr>
        <w:t>posłużono się którąkolwiek z metod, o której mowa</w:t>
      </w:r>
      <w:r w:rsidRPr="0081299B">
        <w:rPr>
          <w:rFonts w:ascii="Times New Roman" w:hAnsi="Times New Roman"/>
          <w:lang w:val="pl-PL"/>
        </w:rPr>
        <w:t xml:space="preserve"> w lit. a.</w:t>
      </w:r>
    </w:p>
    <w:p w14:paraId="4FC1E217" w14:textId="751260C2"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cs="Times New Roman"/>
          <w:szCs w:val="24"/>
          <w:lang w:val="pl-PL"/>
        </w:rPr>
        <w:t>Art.</w:t>
      </w:r>
      <w:r w:rsidRPr="0081299B">
        <w:rPr>
          <w:rFonts w:ascii="Times New Roman" w:hAnsi="Times New Roman"/>
          <w:lang w:val="pl-PL"/>
        </w:rPr>
        <w:t xml:space="preserve"> 5 </w:t>
      </w:r>
      <w:r w:rsidRPr="0081299B">
        <w:rPr>
          <w:rFonts w:ascii="Times New Roman" w:hAnsi="Times New Roman" w:cs="Times New Roman"/>
          <w:szCs w:val="24"/>
          <w:lang w:val="pl-PL"/>
        </w:rPr>
        <w:t>ust.</w:t>
      </w:r>
      <w:r w:rsidRPr="0081299B">
        <w:rPr>
          <w:rFonts w:ascii="Times New Roman" w:hAnsi="Times New Roman"/>
          <w:lang w:val="pl-PL"/>
        </w:rPr>
        <w:t xml:space="preserve"> 1 przedstawia następujące obowiązki:</w:t>
      </w:r>
    </w:p>
    <w:p w14:paraId="5C0B79D3" w14:textId="5D16DB60" w:rsidR="00311E3A" w:rsidRPr="0081299B" w:rsidRDefault="00311E3A" w:rsidP="00C32C2D">
      <w:pPr>
        <w:pStyle w:val="ECHRParaQuote"/>
        <w:rPr>
          <w:rFonts w:ascii="Times New Roman" w:hAnsi="Times New Roman"/>
          <w:lang w:val="pl-PL"/>
        </w:rPr>
      </w:pPr>
      <w:r w:rsidRPr="0081299B">
        <w:rPr>
          <w:rFonts w:ascii="Times New Roman" w:hAnsi="Times New Roman"/>
          <w:lang w:val="pl-PL"/>
        </w:rPr>
        <w:t xml:space="preserve"> „ Każde Państwo-Strona podejmie takie ustawodawcze i inne działania, jakie mogą okazać się konieczne dla uznania za przestępstwa czynów, o których mowa w </w:t>
      </w:r>
      <w:r w:rsidRPr="0081299B">
        <w:rPr>
          <w:rFonts w:ascii="Times New Roman" w:hAnsi="Times New Roman" w:cs="Times New Roman"/>
          <w:lang w:val="pl-PL"/>
        </w:rPr>
        <w:t>art.</w:t>
      </w:r>
      <w:r w:rsidRPr="0081299B">
        <w:rPr>
          <w:rFonts w:ascii="Times New Roman" w:hAnsi="Times New Roman"/>
          <w:lang w:val="pl-PL"/>
        </w:rPr>
        <w:t xml:space="preserve"> 3 (…) protokołu, jeżeli zostały popełnione umyślnie.” </w:t>
      </w:r>
    </w:p>
    <w:p w14:paraId="3F4D7BF4" w14:textId="4B0ECCFF"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cs="Times New Roman"/>
          <w:szCs w:val="24"/>
          <w:lang w:val="pl-PL"/>
        </w:rPr>
        <w:lastRenderedPageBreak/>
        <w:t>Art.</w:t>
      </w:r>
      <w:r w:rsidRPr="0081299B">
        <w:rPr>
          <w:rFonts w:ascii="Times New Roman" w:hAnsi="Times New Roman"/>
          <w:lang w:val="pl-PL"/>
        </w:rPr>
        <w:t xml:space="preserve"> 6 dotyczy pomocy i ochrony udzielanych ofiarom.</w:t>
      </w:r>
    </w:p>
    <w:p w14:paraId="1A99137D" w14:textId="7DA59632" w:rsidR="00311E3A" w:rsidRPr="0081299B" w:rsidRDefault="00311E3A" w:rsidP="00311E3A">
      <w:pPr>
        <w:pStyle w:val="ECHRPara"/>
        <w:ind w:left="284" w:firstLine="424"/>
        <w:rPr>
          <w:rFonts w:ascii="Times New Roman" w:hAnsi="Times New Roman" w:cs="Times New Roman"/>
          <w:szCs w:val="24"/>
          <w:lang w:val="pl-PL"/>
        </w:rPr>
      </w:pPr>
      <w:r w:rsidRPr="0081299B">
        <w:rPr>
          <w:rFonts w:ascii="Times New Roman" w:hAnsi="Times New Roman" w:cs="Times New Roman"/>
          <w:szCs w:val="24"/>
          <w:lang w:val="pl-PL"/>
        </w:rPr>
        <w:t>(…)</w:t>
      </w:r>
    </w:p>
    <w:p w14:paraId="7D8D5FB3" w14:textId="2D56DD4C" w:rsidR="00311E3A" w:rsidRPr="0081299B" w:rsidRDefault="00311E3A" w:rsidP="00C32C2D">
      <w:pPr>
        <w:pStyle w:val="ECHRHeading3"/>
        <w:numPr>
          <w:ilvl w:val="0"/>
          <w:numId w:val="20"/>
        </w:numPr>
        <w:ind w:left="732" w:hanging="301"/>
        <w:rPr>
          <w:rFonts w:ascii="Times New Roman" w:hAnsi="Times New Roman"/>
          <w:szCs w:val="24"/>
          <w:lang w:val="pl-PL"/>
        </w:rPr>
      </w:pPr>
      <w:r w:rsidRPr="0081299B">
        <w:rPr>
          <w:rFonts w:ascii="Times New Roman" w:hAnsi="Times New Roman"/>
          <w:szCs w:val="24"/>
          <w:lang w:val="pl-PL"/>
        </w:rPr>
        <w:t>Konwencja Rady Europy w sprawie działań przeciwko handlowi ludźmi, CETS nr 197, 16 maja 2005 r.</w:t>
      </w:r>
    </w:p>
    <w:p w14:paraId="339D4632" w14:textId="7E7A7E46"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Grecja podpisała Konwencję Rady Europy w sprawie działań przeciwko handlowi ludźmi („Konwencja Rady Europy przeciw handlowi ludźmi”) dnia 17 listopada 2005 r. i ratyfikowała ją dnia 11 kwietnia 2014 r. </w:t>
      </w:r>
      <w:r w:rsidRPr="0081299B">
        <w:rPr>
          <w:rFonts w:ascii="Times New Roman" w:hAnsi="Times New Roman" w:cs="Times New Roman"/>
          <w:szCs w:val="24"/>
          <w:lang w:val="pl-PL"/>
        </w:rPr>
        <w:t>W stosunku do</w:t>
      </w:r>
      <w:r w:rsidRPr="0081299B">
        <w:rPr>
          <w:rFonts w:ascii="Times New Roman" w:hAnsi="Times New Roman"/>
          <w:lang w:val="pl-PL"/>
        </w:rPr>
        <w:t xml:space="preserve"> niej Konwencja weszła w życie dnia 1 sierpnia 2014 r. </w:t>
      </w:r>
    </w:p>
    <w:p w14:paraId="339AC2DB" w14:textId="05E8DC45"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cs="Times New Roman"/>
          <w:szCs w:val="24"/>
          <w:lang w:val="pl-PL"/>
        </w:rPr>
        <w:t>Art.</w:t>
      </w:r>
      <w:r w:rsidRPr="0081299B">
        <w:rPr>
          <w:rFonts w:ascii="Times New Roman" w:hAnsi="Times New Roman"/>
          <w:lang w:val="pl-PL"/>
        </w:rPr>
        <w:t xml:space="preserve"> 4 lit. a powtarza definicję handlu ludźmi zawartą w Protokole z Palermo, art</w:t>
      </w:r>
      <w:r w:rsidRPr="0081299B">
        <w:rPr>
          <w:rFonts w:ascii="Times New Roman" w:hAnsi="Times New Roman" w:cs="Times New Roman"/>
          <w:szCs w:val="24"/>
          <w:lang w:val="pl-PL"/>
        </w:rPr>
        <w:t>.</w:t>
      </w:r>
      <w:r w:rsidRPr="0081299B">
        <w:rPr>
          <w:rFonts w:ascii="Times New Roman" w:hAnsi="Times New Roman"/>
          <w:lang w:val="pl-PL"/>
        </w:rPr>
        <w:t xml:space="preserve"> 4 lit. b powtarza przepis z Protokołu z Palermo dotyczący zgody ofiar handlu ludźmi w celu ich wykorzystania.</w:t>
      </w:r>
    </w:p>
    <w:p w14:paraId="53322B77" w14:textId="5D5ABC88"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cs="Times New Roman"/>
          <w:szCs w:val="24"/>
          <w:lang w:val="pl-PL"/>
        </w:rPr>
        <w:t>Art. 5 wymaga od państw podjęcia</w:t>
      </w:r>
      <w:r w:rsidRPr="0081299B">
        <w:rPr>
          <w:rFonts w:ascii="Times New Roman" w:hAnsi="Times New Roman"/>
          <w:lang w:val="pl-PL"/>
        </w:rPr>
        <w:t xml:space="preserve"> działań przeciwko handlowi ludźmi. Przewiduje on w szczególności, że:</w:t>
      </w:r>
    </w:p>
    <w:p w14:paraId="46BA6140" w14:textId="1274D1CA" w:rsidR="00311E3A" w:rsidRPr="0081299B" w:rsidRDefault="00311E3A" w:rsidP="00C32C2D">
      <w:pPr>
        <w:pStyle w:val="ECHRParaQuote"/>
        <w:rPr>
          <w:rFonts w:ascii="Times New Roman" w:hAnsi="Times New Roman"/>
          <w:lang w:val="pl-PL"/>
        </w:rPr>
      </w:pPr>
      <w:r w:rsidRPr="0081299B">
        <w:rPr>
          <w:rFonts w:ascii="Times New Roman" w:hAnsi="Times New Roman"/>
          <w:lang w:val="pl-PL"/>
        </w:rPr>
        <w:t xml:space="preserve"> „ 1. Każda strona podejmie działania w celu ustanowienia lub wzmocnienia koordynacji  krajowej pomiędzy różnymi organami odpowiedzialnymi za zapobieganie i zwalczanie handlu ludźmi.</w:t>
      </w:r>
    </w:p>
    <w:p w14:paraId="7731B91A" w14:textId="77777777" w:rsidR="00311E3A" w:rsidRPr="0081299B" w:rsidRDefault="00311E3A" w:rsidP="00C32C2D">
      <w:pPr>
        <w:pStyle w:val="ECHRParaQuote"/>
        <w:rPr>
          <w:rFonts w:ascii="Times New Roman" w:hAnsi="Times New Roman"/>
          <w:lang w:val="pl-PL"/>
        </w:rPr>
      </w:pPr>
      <w:r w:rsidRPr="0081299B">
        <w:rPr>
          <w:rFonts w:ascii="Times New Roman" w:hAnsi="Times New Roman"/>
          <w:lang w:val="pl-PL"/>
        </w:rPr>
        <w:t xml:space="preserve"> 2. Każda strona określi lub wzmocni skuteczne założenia polityki i programy służące </w:t>
      </w:r>
      <w:r w:rsidRPr="0081299B">
        <w:rPr>
          <w:rFonts w:ascii="Times New Roman" w:hAnsi="Times New Roman" w:cs="Times New Roman"/>
          <w:lang w:val="pl-PL"/>
        </w:rPr>
        <w:t>zapobieganiu handlowi ludźmi poprzez takie środki jak: badania, informacje, kampanie uświadamiające i edukacyjne, inicjatywy społeczne i gospodarcze oraz programy szkoleniowe skierowane w szczególności do osób narażonych na możliwość stania się  ofiarą handlu ludźmi oraz osób zawodowo zajmujących się zwalczaniem handlu ludźmi.</w:t>
      </w:r>
    </w:p>
    <w:p w14:paraId="49970704" w14:textId="6571BC19" w:rsidR="00311E3A" w:rsidRPr="0081299B" w:rsidRDefault="00311E3A" w:rsidP="00311E3A">
      <w:pPr>
        <w:pStyle w:val="ECHRParaQuote"/>
        <w:rPr>
          <w:rFonts w:ascii="Times New Roman" w:hAnsi="Times New Roman" w:cs="Times New Roman"/>
          <w:lang w:val="pl-PL"/>
        </w:rPr>
      </w:pPr>
      <w:r w:rsidRPr="0081299B">
        <w:rPr>
          <w:rFonts w:ascii="Times New Roman" w:hAnsi="Times New Roman" w:cs="Times New Roman"/>
          <w:lang w:val="pl-PL"/>
        </w:rPr>
        <w:t xml:space="preserve"> (…)”.</w:t>
      </w:r>
    </w:p>
    <w:p w14:paraId="41F505EF" w14:textId="77777777" w:rsidR="00311E3A" w:rsidRPr="0081299B" w:rsidRDefault="00311E3A" w:rsidP="00C32C2D">
      <w:pPr>
        <w:pStyle w:val="ECHRHeading3"/>
        <w:numPr>
          <w:ilvl w:val="0"/>
          <w:numId w:val="20"/>
        </w:numPr>
        <w:ind w:left="732" w:hanging="301"/>
        <w:rPr>
          <w:rFonts w:ascii="Times New Roman" w:hAnsi="Times New Roman"/>
          <w:lang w:val="pl-PL"/>
        </w:rPr>
      </w:pPr>
      <w:r w:rsidRPr="0081299B">
        <w:rPr>
          <w:rFonts w:ascii="Times New Roman" w:hAnsi="Times New Roman"/>
          <w:lang w:val="pl-PL"/>
        </w:rPr>
        <w:t>Karta praw podstawowych Unii Europejskiej</w:t>
      </w:r>
    </w:p>
    <w:p w14:paraId="6FF187B9" w14:textId="29C07960"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cs="Times New Roman"/>
          <w:szCs w:val="24"/>
          <w:lang w:val="pl-PL"/>
        </w:rPr>
        <w:t>Art.</w:t>
      </w:r>
      <w:r w:rsidRPr="0081299B">
        <w:rPr>
          <w:rFonts w:ascii="Times New Roman" w:hAnsi="Times New Roman"/>
          <w:lang w:val="pl-PL"/>
        </w:rPr>
        <w:t xml:space="preserve"> 5 </w:t>
      </w:r>
      <w:r w:rsidRPr="0081299B">
        <w:rPr>
          <w:rFonts w:ascii="Times New Roman" w:hAnsi="Times New Roman" w:cs="Times New Roman"/>
          <w:szCs w:val="24"/>
          <w:lang w:val="pl-PL"/>
        </w:rPr>
        <w:t>ust.</w:t>
      </w:r>
      <w:r w:rsidRPr="0081299B">
        <w:rPr>
          <w:rFonts w:ascii="Times New Roman" w:hAnsi="Times New Roman"/>
          <w:lang w:val="pl-PL"/>
        </w:rPr>
        <w:t xml:space="preserve"> 3 Karty postanawia, co następuje:</w:t>
      </w:r>
    </w:p>
    <w:p w14:paraId="1FF0C59C" w14:textId="77777777" w:rsidR="00311E3A" w:rsidRPr="0081299B" w:rsidRDefault="00311E3A" w:rsidP="00311E3A">
      <w:pPr>
        <w:pStyle w:val="ECHRParaQuote"/>
        <w:rPr>
          <w:rFonts w:ascii="Times New Roman" w:hAnsi="Times New Roman" w:cs="Times New Roman"/>
          <w:lang w:val="pl-PL"/>
        </w:rPr>
      </w:pPr>
      <w:r w:rsidRPr="0081299B">
        <w:rPr>
          <w:rFonts w:ascii="Times New Roman" w:hAnsi="Times New Roman"/>
          <w:lang w:val="pl-PL"/>
        </w:rPr>
        <w:t xml:space="preserve"> „ (…) </w:t>
      </w:r>
    </w:p>
    <w:p w14:paraId="72D9BFD2" w14:textId="57FD1324" w:rsidR="00311E3A" w:rsidRPr="0081299B" w:rsidRDefault="00311E3A" w:rsidP="00C32C2D">
      <w:pPr>
        <w:pStyle w:val="ECHRParaQuote"/>
        <w:rPr>
          <w:rFonts w:ascii="Times New Roman" w:hAnsi="Times New Roman"/>
          <w:lang w:val="pl-PL"/>
        </w:rPr>
      </w:pPr>
      <w:r w:rsidRPr="0081299B">
        <w:rPr>
          <w:rFonts w:ascii="Times New Roman" w:hAnsi="Times New Roman"/>
          <w:lang w:val="pl-PL"/>
        </w:rPr>
        <w:t>3. Handel ludźmi jest zakazany</w:t>
      </w:r>
      <w:r w:rsidRPr="0081299B">
        <w:rPr>
          <w:rFonts w:ascii="Times New Roman" w:hAnsi="Times New Roman" w:cs="Times New Roman"/>
          <w:lang w:val="pl-PL"/>
        </w:rPr>
        <w:t>.”.</w:t>
      </w:r>
    </w:p>
    <w:p w14:paraId="26A0C670" w14:textId="292B5973" w:rsidR="00311E3A" w:rsidRPr="0081299B" w:rsidRDefault="00311E3A" w:rsidP="00C32C2D">
      <w:pPr>
        <w:pStyle w:val="ECHRHeading3"/>
        <w:rPr>
          <w:rFonts w:ascii="Times New Roman" w:hAnsi="Times New Roman"/>
          <w:szCs w:val="24"/>
          <w:lang w:val="pl-PL"/>
        </w:rPr>
      </w:pPr>
      <w:r w:rsidRPr="0081299B">
        <w:rPr>
          <w:rFonts w:ascii="Times New Roman" w:hAnsi="Times New Roman"/>
          <w:i w:val="0"/>
          <w:sz w:val="22"/>
          <w:lang w:val="pl-PL"/>
        </w:rPr>
        <w:t xml:space="preserve">5. </w:t>
      </w:r>
      <w:r w:rsidRPr="0081299B">
        <w:rPr>
          <w:rFonts w:ascii="Times New Roman" w:hAnsi="Times New Roman"/>
          <w:szCs w:val="24"/>
          <w:lang w:val="pl-PL"/>
        </w:rPr>
        <w:t>Dyrektywa 2011/36 Unii Europejskiej w sprawie zapobiegania handlowi ludźmi i zwalczania tego procederu oraz ochrony ofiar</w:t>
      </w:r>
    </w:p>
    <w:p w14:paraId="00E986F1" w14:textId="26A294AC"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Zgodnie z tą Dyrektywą, państwa członkowskie powinny podjąć niezbędne działania, aby karze podlegały „werbowanie, transport, przekazywanie, przechowywanie lub przyjmowanie osób, w tym wymiana lub przekazanie kontroli nad tymi osobami, z zastosowaniem groźby lub przemocy bądź innych form przymusu, uprowadzenia, oszustwa, podstępu, poprzez nadużycie uprawnień lub wykorzystanie sytuacji bezbronności, lub też wręczenie lub przyjęcie płatności lub korzyści dla uzyskania zgody osoby sprawującej kontrolę nad inną osobą, w celu wyzysku” (art. 2 </w:t>
      </w:r>
      <w:r w:rsidRPr="0081299B">
        <w:rPr>
          <w:rFonts w:ascii="Times New Roman" w:hAnsi="Times New Roman" w:cs="Times New Roman"/>
          <w:szCs w:val="24"/>
          <w:lang w:val="pl-PL"/>
        </w:rPr>
        <w:t>ust.</w:t>
      </w:r>
      <w:r w:rsidRPr="0081299B">
        <w:rPr>
          <w:rFonts w:ascii="Times New Roman" w:hAnsi="Times New Roman"/>
          <w:lang w:val="pl-PL"/>
        </w:rPr>
        <w:t xml:space="preserve"> 1). Zgodnie z Dyrektywą, „wyzysk obejmuje, w szczególności, wyzyskiwanie innych osób do prostytucji lub innych form wykorzystywania seksualnego”. </w:t>
      </w:r>
      <w:r w:rsidRPr="0081299B">
        <w:rPr>
          <w:rFonts w:ascii="Times New Roman" w:hAnsi="Times New Roman"/>
          <w:lang w:val="pl-PL"/>
        </w:rPr>
        <w:lastRenderedPageBreak/>
        <w:t xml:space="preserve">Ponadto, „zgoda ofiary handlu ludźmi na wyzysk, niezależnie od tego, czy zamierzony lub rzeczywisty, nie ma znaczenia, jeżeli posłużono się którymkolwiek ze środków określonych w </w:t>
      </w:r>
      <w:r w:rsidRPr="0081299B">
        <w:rPr>
          <w:rFonts w:ascii="Times New Roman" w:hAnsi="Times New Roman" w:cs="Times New Roman"/>
          <w:szCs w:val="24"/>
          <w:lang w:val="pl-PL"/>
        </w:rPr>
        <w:t>ust.</w:t>
      </w:r>
      <w:r w:rsidRPr="0081299B">
        <w:rPr>
          <w:rFonts w:ascii="Times New Roman" w:hAnsi="Times New Roman"/>
          <w:lang w:val="pl-PL"/>
        </w:rPr>
        <w:t xml:space="preserve"> 1” (art. 2 </w:t>
      </w:r>
      <w:r w:rsidRPr="0081299B">
        <w:rPr>
          <w:rFonts w:ascii="Times New Roman" w:hAnsi="Times New Roman" w:cs="Times New Roman"/>
          <w:szCs w:val="24"/>
          <w:lang w:val="pl-PL"/>
        </w:rPr>
        <w:t>ust.</w:t>
      </w:r>
      <w:r w:rsidRPr="0081299B">
        <w:rPr>
          <w:rFonts w:ascii="Times New Roman" w:hAnsi="Times New Roman"/>
          <w:lang w:val="pl-PL"/>
        </w:rPr>
        <w:t xml:space="preserve"> 3 i 4). Dyrektywa przewiduje, między innymi, zobowiązanie, że Państwa członkowskie „podejmują środki niezbędne do zapewnienia osobom, jednostkom i służbom odpowiedzialnym za ściganie lub oskarżanie w odniesieniu do przestępstw, o których mowa w </w:t>
      </w:r>
      <w:r w:rsidRPr="0081299B">
        <w:rPr>
          <w:rFonts w:ascii="Times New Roman" w:hAnsi="Times New Roman" w:cs="Times New Roman"/>
          <w:szCs w:val="24"/>
          <w:lang w:val="pl-PL" w:eastAsia="pl-PL"/>
        </w:rPr>
        <w:t>art.</w:t>
      </w:r>
      <w:r w:rsidRPr="0081299B">
        <w:rPr>
          <w:rFonts w:ascii="Times New Roman" w:hAnsi="Times New Roman"/>
          <w:lang w:val="pl-PL"/>
        </w:rPr>
        <w:t xml:space="preserve"> 2 i 3” (art. 9 </w:t>
      </w:r>
      <w:r w:rsidRPr="0081299B">
        <w:rPr>
          <w:rFonts w:ascii="Times New Roman" w:hAnsi="Times New Roman" w:cs="Times New Roman"/>
          <w:szCs w:val="24"/>
          <w:lang w:val="pl-PL"/>
        </w:rPr>
        <w:t>ust.</w:t>
      </w:r>
      <w:r w:rsidRPr="0081299B">
        <w:rPr>
          <w:rFonts w:ascii="Times New Roman" w:hAnsi="Times New Roman"/>
          <w:lang w:val="pl-PL"/>
        </w:rPr>
        <w:t xml:space="preserve"> 4). Poza tym, Dyrektywa nakłada na Państwa członkowskie obowiązek podjęcia środków niezbędnych do zapewnienia, by ofiary handlu ludźmi otrzymały wsparcie i pomoc (art. 11), jak również ochronę w ramach śledztw oraz postępowań karnych (art. 12). </w:t>
      </w:r>
    </w:p>
    <w:p w14:paraId="19EA6D45" w14:textId="77777777" w:rsidR="00311E3A" w:rsidRPr="0081299B" w:rsidRDefault="00311E3A" w:rsidP="00C32C2D">
      <w:pPr>
        <w:pStyle w:val="Nagwek4"/>
        <w:spacing w:before="720" w:after="240" w:line="240" w:lineRule="auto"/>
        <w:jc w:val="both"/>
        <w:rPr>
          <w:rFonts w:ascii="Times New Roman" w:hAnsi="Times New Roman"/>
          <w:i w:val="0"/>
          <w:color w:val="auto"/>
          <w:sz w:val="28"/>
        </w:rPr>
      </w:pPr>
      <w:r w:rsidRPr="0081299B">
        <w:rPr>
          <w:rFonts w:ascii="Times New Roman" w:hAnsi="Times New Roman"/>
          <w:i w:val="0"/>
          <w:color w:val="auto"/>
          <w:sz w:val="28"/>
        </w:rPr>
        <w:t>PRAWO</w:t>
      </w:r>
    </w:p>
    <w:p w14:paraId="516EBFDE" w14:textId="7C38FC6B" w:rsidR="00311E3A" w:rsidRPr="0081299B" w:rsidRDefault="00311E3A" w:rsidP="00C32C2D">
      <w:pPr>
        <w:pStyle w:val="ECHRHeading1"/>
        <w:rPr>
          <w:rFonts w:ascii="Times New Roman" w:hAnsi="Times New Roman"/>
          <w:lang w:val="pl-PL"/>
        </w:rPr>
      </w:pPr>
      <w:r w:rsidRPr="0081299B">
        <w:rPr>
          <w:rFonts w:ascii="Times New Roman" w:hAnsi="Times New Roman"/>
          <w:lang w:val="pl-PL"/>
        </w:rPr>
        <w:t xml:space="preserve"> I.</w:t>
      </w:r>
      <w:r w:rsidRPr="0081299B">
        <w:rPr>
          <w:rFonts w:ascii="Times New Roman" w:hAnsi="Times New Roman"/>
          <w:lang w:val="pl-PL"/>
        </w:rPr>
        <w:tab/>
        <w:t xml:space="preserve"> ZARZUC</w:t>
      </w:r>
      <w:r w:rsidRPr="0081299B">
        <w:rPr>
          <w:rFonts w:ascii="Times New Roman" w:hAnsi="Times New Roman" w:cs="Times New Roman"/>
          <w:lang w:val="pl-PL"/>
        </w:rPr>
        <w:t>A</w:t>
      </w:r>
      <w:r w:rsidRPr="0081299B">
        <w:rPr>
          <w:rFonts w:ascii="Times New Roman" w:hAnsi="Times New Roman"/>
          <w:lang w:val="pl-PL"/>
        </w:rPr>
        <w:t>NE NARUSZENIE ART. 4 KONWENCJI</w:t>
      </w:r>
    </w:p>
    <w:p w14:paraId="20C377C9" w14:textId="406C7362"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Skarżąca twierdzi, że stała się ofiarą handlu ludźmi przez fakt, iż została poddana prostytucji przez K.A i D.J. Powołuje się na niedopełnienie przez państwo greckie nałożonych na nie obowiązków </w:t>
      </w:r>
      <w:r w:rsidRPr="0081299B">
        <w:rPr>
          <w:rFonts w:ascii="Times New Roman" w:hAnsi="Times New Roman" w:cs="Times New Roman"/>
          <w:szCs w:val="24"/>
          <w:lang w:val="pl-PL" w:eastAsia="pl-PL"/>
        </w:rPr>
        <w:t xml:space="preserve">pozytywnych </w:t>
      </w:r>
      <w:r w:rsidRPr="0081299B">
        <w:rPr>
          <w:rFonts w:ascii="Times New Roman" w:hAnsi="Times New Roman"/>
          <w:lang w:val="pl-PL"/>
        </w:rPr>
        <w:t>wynikających z art. 4, w szczególności w odniesieniu do jej ochrony jako ofiary handlu ludźmi, ucieczki K.A. i obowiązków proceduralnych państwa, co stanowi naruszenie tego przepisu.</w:t>
      </w:r>
    </w:p>
    <w:p w14:paraId="05D72ACC" w14:textId="7A5640DF"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W jego odpowiednich częściach, art. 4 brzmi następująco:</w:t>
      </w:r>
    </w:p>
    <w:p w14:paraId="2A91803E" w14:textId="5A03A2D2" w:rsidR="00311E3A" w:rsidRPr="0081299B" w:rsidRDefault="00311E3A" w:rsidP="00C32C2D">
      <w:pPr>
        <w:pStyle w:val="ECHRParaQuote"/>
        <w:rPr>
          <w:rFonts w:ascii="Times New Roman" w:hAnsi="Times New Roman"/>
          <w:lang w:val="pl-PL"/>
        </w:rPr>
      </w:pPr>
      <w:r w:rsidRPr="0081299B">
        <w:rPr>
          <w:rFonts w:ascii="Times New Roman" w:hAnsi="Times New Roman"/>
          <w:lang w:val="pl-PL"/>
        </w:rPr>
        <w:t xml:space="preserve"> „1. Nikt nie może być trzymany w niewoli lub w poddaństwie. </w:t>
      </w:r>
    </w:p>
    <w:p w14:paraId="2AF1A3D7" w14:textId="77777777" w:rsidR="00311E3A" w:rsidRPr="0081299B" w:rsidRDefault="00311E3A" w:rsidP="00C32C2D">
      <w:pPr>
        <w:pStyle w:val="ECHRParaQuote"/>
        <w:rPr>
          <w:rFonts w:ascii="Times New Roman" w:hAnsi="Times New Roman"/>
          <w:lang w:val="pl-PL"/>
        </w:rPr>
      </w:pPr>
      <w:r w:rsidRPr="0081299B">
        <w:rPr>
          <w:rFonts w:ascii="Times New Roman" w:hAnsi="Times New Roman"/>
          <w:lang w:val="pl-PL"/>
        </w:rPr>
        <w:t xml:space="preserve"> 2. Nikt nie może być zmuszony do świadczenia pracy przymusowej lub obowiązkowej. </w:t>
      </w:r>
    </w:p>
    <w:p w14:paraId="1327365E" w14:textId="588A3D36" w:rsidR="00311E3A" w:rsidRPr="0081299B" w:rsidRDefault="00311E3A" w:rsidP="00C32C2D">
      <w:pPr>
        <w:pStyle w:val="ECHRParaQuote"/>
        <w:rPr>
          <w:rFonts w:ascii="Times New Roman" w:hAnsi="Times New Roman"/>
          <w:lang w:val="pl-PL"/>
        </w:rPr>
      </w:pPr>
      <w:r w:rsidRPr="0081299B">
        <w:rPr>
          <w:rFonts w:ascii="Times New Roman" w:hAnsi="Times New Roman"/>
          <w:lang w:val="pl-PL"/>
        </w:rPr>
        <w:t xml:space="preserve"> </w:t>
      </w:r>
      <w:r w:rsidRPr="0081299B">
        <w:rPr>
          <w:rFonts w:ascii="Times New Roman" w:hAnsi="Times New Roman" w:cs="Times New Roman"/>
          <w:lang w:val="pl-PL"/>
        </w:rPr>
        <w:t>(…)”.</w:t>
      </w:r>
    </w:p>
    <w:p w14:paraId="625D5DA8" w14:textId="4A5B222C" w:rsidR="00311E3A" w:rsidRPr="0081299B" w:rsidRDefault="00311E3A" w:rsidP="00C32C2D">
      <w:pPr>
        <w:pStyle w:val="ECHRHeading2"/>
        <w:rPr>
          <w:rFonts w:ascii="Times New Roman" w:hAnsi="Times New Roman"/>
          <w:lang w:val="pl-PL"/>
        </w:rPr>
      </w:pPr>
      <w:r w:rsidRPr="0081299B">
        <w:rPr>
          <w:rFonts w:ascii="Times New Roman" w:hAnsi="Times New Roman"/>
          <w:lang w:val="pl-PL"/>
        </w:rPr>
        <w:t>A.</w:t>
      </w:r>
      <w:r w:rsidRPr="0081299B">
        <w:rPr>
          <w:rFonts w:ascii="Times New Roman" w:hAnsi="Times New Roman"/>
          <w:lang w:val="pl-PL"/>
        </w:rPr>
        <w:tab/>
        <w:t>Dopuszczalność</w:t>
      </w:r>
    </w:p>
    <w:p w14:paraId="32DEE800" w14:textId="14C36CC6" w:rsidR="00311E3A" w:rsidRPr="0081299B" w:rsidRDefault="00311E3A" w:rsidP="00C32C2D">
      <w:pPr>
        <w:pStyle w:val="ECHRHeading3"/>
        <w:numPr>
          <w:ilvl w:val="0"/>
          <w:numId w:val="21"/>
        </w:numPr>
        <w:ind w:left="732" w:hanging="301"/>
        <w:rPr>
          <w:rFonts w:ascii="Times New Roman" w:hAnsi="Times New Roman"/>
          <w:lang w:val="pl-PL"/>
        </w:rPr>
      </w:pPr>
      <w:r w:rsidRPr="0081299B">
        <w:rPr>
          <w:rFonts w:ascii="Times New Roman" w:hAnsi="Times New Roman"/>
          <w:lang w:val="pl-PL"/>
        </w:rPr>
        <w:t>Oświadczenia stron</w:t>
      </w:r>
    </w:p>
    <w:p w14:paraId="2C77060B" w14:textId="7459FD94" w:rsidR="00311E3A" w:rsidRPr="0081299B" w:rsidRDefault="00311E3A" w:rsidP="00C32C2D">
      <w:pPr>
        <w:pStyle w:val="ECHRHeading4"/>
        <w:numPr>
          <w:ilvl w:val="0"/>
          <w:numId w:val="22"/>
        </w:numPr>
        <w:ind w:left="975" w:hanging="340"/>
        <w:rPr>
          <w:rFonts w:ascii="Times New Roman" w:hAnsi="Times New Roman"/>
          <w:lang w:val="pl-PL"/>
        </w:rPr>
      </w:pPr>
      <w:r w:rsidRPr="0081299B">
        <w:rPr>
          <w:rFonts w:ascii="Times New Roman" w:hAnsi="Times New Roman"/>
          <w:lang w:val="pl-PL"/>
        </w:rPr>
        <w:t>Rząd</w:t>
      </w:r>
    </w:p>
    <w:p w14:paraId="6D2F96C1" w14:textId="6276D0BA"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Rząd twierdzi na wstępie, że część zarzutów z art. 4 została złożona po czasie. W szczególności zauważa, że </w:t>
      </w:r>
      <w:r w:rsidRPr="0081299B">
        <w:rPr>
          <w:rFonts w:ascii="Times New Roman" w:hAnsi="Times New Roman" w:cs="Times New Roman"/>
          <w:szCs w:val="24"/>
          <w:lang w:val="pl-PL"/>
        </w:rPr>
        <w:t>w odniesieniu do wyżej wymienionego postanowienia Konwencji Trybunał</w:t>
      </w:r>
      <w:r w:rsidRPr="0081299B">
        <w:rPr>
          <w:rFonts w:ascii="Times New Roman" w:hAnsi="Times New Roman"/>
          <w:lang w:val="pl-PL"/>
        </w:rPr>
        <w:t xml:space="preserve"> powinien zbadać</w:t>
      </w:r>
      <w:r w:rsidRPr="0081299B">
        <w:rPr>
          <w:rFonts w:ascii="Times New Roman" w:hAnsi="Times New Roman" w:cs="Times New Roman"/>
          <w:szCs w:val="24"/>
          <w:lang w:val="pl-PL"/>
        </w:rPr>
        <w:t xml:space="preserve"> jedynie</w:t>
      </w:r>
      <w:r w:rsidRPr="0081299B">
        <w:rPr>
          <w:rFonts w:ascii="Times New Roman" w:hAnsi="Times New Roman"/>
          <w:lang w:val="pl-PL"/>
        </w:rPr>
        <w:t xml:space="preserve"> działania lub zaniechania władz krajowych, które miały miejsce w okresie 6 miesięcy poprzedzających datę wniesienia niniejszej skargi, tj. 20 listopada 2012 r. Otóż, jedyne zdarzenie, jakie miało miejsce w tym okresie, to publikacja wyroku nr 193/20.4.2012 Sądu Przysięgłych w Atenach, który uniewinnił D.J. W konsekwencji, jedynie uniewinnienie D.J. przez Sąd </w:t>
      </w:r>
      <w:r w:rsidRPr="0081299B">
        <w:rPr>
          <w:rFonts w:ascii="Times New Roman" w:hAnsi="Times New Roman"/>
          <w:lang w:val="pl-PL"/>
        </w:rPr>
        <w:lastRenderedPageBreak/>
        <w:t>Przysięgłych może zostać zbadane przez Trybunał w odniesieniu do art. 4 Konwencji.</w:t>
      </w:r>
    </w:p>
    <w:p w14:paraId="55B7643F" w14:textId="1CE290FE"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Co więcej, nie powołując się wyraźnie na niewyczerpanie krajowych środków odwoławczych, Rząd podtrzymuje, że skarżąca mogła wnieść do sądów cywilnych powództwo o odszkodowanie przeciwko K.A. i D.J</w:t>
      </w:r>
      <w:r w:rsidRPr="0081299B">
        <w:rPr>
          <w:rFonts w:ascii="Times New Roman" w:hAnsi="Times New Roman" w:cs="Times New Roman"/>
          <w:szCs w:val="24"/>
          <w:lang w:val="pl-PL"/>
        </w:rPr>
        <w:t>.,</w:t>
      </w:r>
      <w:r w:rsidRPr="0081299B">
        <w:rPr>
          <w:rFonts w:ascii="Times New Roman" w:hAnsi="Times New Roman"/>
          <w:lang w:val="pl-PL"/>
        </w:rPr>
        <w:t xml:space="preserve"> domagając się rekompensaty szkody majątkowej i niemajątkowej doznanej z powodu zarzucanego wykorzystania przez wyżej wymienione osoby. </w:t>
      </w:r>
    </w:p>
    <w:p w14:paraId="778DA1B8" w14:textId="612C4FB6" w:rsidR="00311E3A" w:rsidRPr="0081299B" w:rsidRDefault="00311E3A" w:rsidP="00C32C2D">
      <w:pPr>
        <w:pStyle w:val="ECHRHeading4"/>
        <w:numPr>
          <w:ilvl w:val="0"/>
          <w:numId w:val="22"/>
        </w:numPr>
        <w:ind w:left="975" w:hanging="340"/>
        <w:rPr>
          <w:rFonts w:ascii="Times New Roman" w:hAnsi="Times New Roman"/>
          <w:lang w:val="pl-PL"/>
        </w:rPr>
      </w:pPr>
      <w:r w:rsidRPr="0081299B">
        <w:rPr>
          <w:rFonts w:ascii="Times New Roman" w:hAnsi="Times New Roman"/>
          <w:lang w:val="pl-PL"/>
        </w:rPr>
        <w:t xml:space="preserve">Skarżąca </w:t>
      </w:r>
    </w:p>
    <w:p w14:paraId="0F821213" w14:textId="5385BC86"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Skarżąca stwierdza, że pominąwszy fakt, iż K.A. cały czas się ukrywa, postępowanie krajowe w celu zbadania odpowiedzialności karnej D.J. zakończyło się jej uniewinnieniem na mocy wyroku nr 193/20.4.2012 Sądu Przysięgłych w Atenach. W konsekwencji, skargę do Trybunału mogła wnieść dopiero po zakończeniu krajowego postępowania karnego przeciwko D.J., ponieważ sądy karne mogły uznać jej winę.</w:t>
      </w:r>
    </w:p>
    <w:p w14:paraId="0BFC0AB1" w14:textId="27D99393" w:rsidR="00311E3A" w:rsidRPr="0081299B" w:rsidRDefault="00311E3A" w:rsidP="00C32C2D">
      <w:pPr>
        <w:pStyle w:val="ECHRHeading3"/>
        <w:numPr>
          <w:ilvl w:val="0"/>
          <w:numId w:val="21"/>
        </w:numPr>
        <w:ind w:left="732" w:hanging="301"/>
        <w:rPr>
          <w:rFonts w:ascii="Times New Roman" w:hAnsi="Times New Roman"/>
          <w:lang w:val="pl-PL"/>
        </w:rPr>
      </w:pPr>
      <w:r w:rsidRPr="0081299B">
        <w:rPr>
          <w:rFonts w:ascii="Times New Roman" w:hAnsi="Times New Roman"/>
          <w:lang w:val="pl-PL"/>
        </w:rPr>
        <w:t>Ocena Trybunału</w:t>
      </w:r>
    </w:p>
    <w:p w14:paraId="5F32ED15" w14:textId="6B27F8C7" w:rsidR="00311E3A" w:rsidRPr="0081299B" w:rsidRDefault="00311E3A" w:rsidP="00C32C2D">
      <w:pPr>
        <w:pStyle w:val="ECHRHeading4"/>
        <w:numPr>
          <w:ilvl w:val="0"/>
          <w:numId w:val="24"/>
        </w:numPr>
        <w:ind w:left="975" w:hanging="340"/>
        <w:rPr>
          <w:rFonts w:ascii="Times New Roman" w:hAnsi="Times New Roman"/>
          <w:lang w:val="pl-PL"/>
        </w:rPr>
      </w:pPr>
      <w:r w:rsidRPr="0081299B">
        <w:rPr>
          <w:rFonts w:ascii="Times New Roman" w:hAnsi="Times New Roman"/>
          <w:lang w:val="pl-PL"/>
        </w:rPr>
        <w:t>W przedmiocie wniesienia części zarzutów po terminie</w:t>
      </w:r>
    </w:p>
    <w:p w14:paraId="3FBE3517" w14:textId="62CFED50"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Trybunał przypomina, że co do zasady </w:t>
      </w:r>
      <w:r w:rsidRPr="0081299B">
        <w:rPr>
          <w:rFonts w:ascii="Times New Roman" w:hAnsi="Times New Roman" w:cs="Times New Roman"/>
          <w:szCs w:val="24"/>
          <w:lang w:val="pl-PL"/>
        </w:rPr>
        <w:t>termin</w:t>
      </w:r>
      <w:r w:rsidRPr="0081299B">
        <w:rPr>
          <w:rFonts w:ascii="Times New Roman" w:hAnsi="Times New Roman"/>
          <w:lang w:val="pl-PL"/>
        </w:rPr>
        <w:t xml:space="preserve"> sześciu miesięcy zaczyna biec w dniu podjęcia ostatecznej decyzji w ramach procesu wyczerpywania krajowych </w:t>
      </w:r>
      <w:r w:rsidRPr="0081299B">
        <w:rPr>
          <w:rFonts w:ascii="Times New Roman" w:hAnsi="Times New Roman" w:cs="Times New Roman"/>
          <w:szCs w:val="24"/>
          <w:lang w:val="pl-PL"/>
        </w:rPr>
        <w:t xml:space="preserve">środków </w:t>
      </w:r>
      <w:r w:rsidRPr="0081299B">
        <w:rPr>
          <w:rFonts w:ascii="Times New Roman" w:hAnsi="Times New Roman"/>
          <w:lang w:val="pl-PL"/>
        </w:rPr>
        <w:t>odwoławczych (</w:t>
      </w:r>
      <w:r w:rsidRPr="0081299B">
        <w:rPr>
          <w:rFonts w:ascii="Times New Roman" w:hAnsi="Times New Roman"/>
          <w:i/>
          <w:lang w:val="pl-PL"/>
        </w:rPr>
        <w:t xml:space="preserve">Chapman p. Belgii </w:t>
      </w:r>
      <w:r w:rsidRPr="0081299B">
        <w:rPr>
          <w:rFonts w:ascii="Times New Roman" w:hAnsi="Times New Roman"/>
          <w:lang w:val="pl-PL"/>
        </w:rPr>
        <w:t xml:space="preserve">(decyzja), nr 39619/06, § 34, 5 marca 2013 r.). Ponadto, </w:t>
      </w:r>
      <w:r w:rsidRPr="0081299B">
        <w:rPr>
          <w:rFonts w:ascii="Times New Roman" w:hAnsi="Times New Roman" w:cs="Times New Roman"/>
          <w:szCs w:val="24"/>
          <w:lang w:val="pl-PL"/>
        </w:rPr>
        <w:t>jeżeli żaden środek odwoławczy nie jest dostępny w ramach prawa krajowego, termin ten</w:t>
      </w:r>
      <w:r w:rsidRPr="0081299B">
        <w:rPr>
          <w:rFonts w:ascii="Times New Roman" w:hAnsi="Times New Roman"/>
          <w:lang w:val="pl-PL"/>
        </w:rPr>
        <w:t xml:space="preserve"> może zacząć biec w dniu, w którym miały miejsce określone wydarzenia świadczące o przestępstwie</w:t>
      </w:r>
      <w:r w:rsidRPr="0081299B">
        <w:rPr>
          <w:rFonts w:ascii="Times New Roman" w:hAnsi="Times New Roman" w:cs="Times New Roman"/>
          <w:szCs w:val="24"/>
          <w:lang w:val="pl-PL"/>
        </w:rPr>
        <w:t>,</w:t>
      </w:r>
      <w:r w:rsidRPr="0081299B">
        <w:rPr>
          <w:rFonts w:ascii="Times New Roman" w:hAnsi="Times New Roman"/>
          <w:lang w:val="pl-PL"/>
        </w:rPr>
        <w:t xml:space="preserve"> lub również w dniu, w którym zainteresowanego dotknęły </w:t>
      </w:r>
      <w:r w:rsidRPr="0081299B">
        <w:rPr>
          <w:rFonts w:ascii="Times New Roman" w:hAnsi="Times New Roman" w:cs="Times New Roman"/>
          <w:szCs w:val="24"/>
          <w:lang w:val="pl-PL"/>
        </w:rPr>
        <w:t>przedmiotowe</w:t>
      </w:r>
      <w:r w:rsidRPr="0081299B">
        <w:rPr>
          <w:rFonts w:ascii="Times New Roman" w:hAnsi="Times New Roman"/>
          <w:lang w:val="pl-PL"/>
        </w:rPr>
        <w:t xml:space="preserve"> wydarzenia, dowiedział się o nich lub </w:t>
      </w:r>
      <w:r w:rsidRPr="0081299B">
        <w:rPr>
          <w:rFonts w:ascii="Times New Roman" w:hAnsi="Times New Roman" w:cs="Times New Roman"/>
          <w:szCs w:val="24"/>
          <w:lang w:val="pl-PL"/>
        </w:rPr>
        <w:t>mógł był</w:t>
      </w:r>
      <w:r w:rsidRPr="0081299B">
        <w:rPr>
          <w:rFonts w:ascii="Times New Roman" w:hAnsi="Times New Roman"/>
          <w:lang w:val="pl-PL"/>
        </w:rPr>
        <w:t xml:space="preserve"> się dowiedzieć, (</w:t>
      </w:r>
      <w:proofErr w:type="spellStart"/>
      <w:r w:rsidRPr="0081299B">
        <w:rPr>
          <w:rFonts w:ascii="Times New Roman" w:hAnsi="Times New Roman"/>
          <w:i/>
          <w:lang w:val="pl-PL"/>
        </w:rPr>
        <w:t>Gongadzé</w:t>
      </w:r>
      <w:proofErr w:type="spellEnd"/>
      <w:r w:rsidRPr="0081299B">
        <w:rPr>
          <w:rFonts w:ascii="Times New Roman" w:hAnsi="Times New Roman"/>
          <w:i/>
          <w:lang w:val="pl-PL"/>
        </w:rPr>
        <w:t xml:space="preserve"> p. Ukraina</w:t>
      </w:r>
      <w:r w:rsidRPr="0081299B">
        <w:rPr>
          <w:rFonts w:ascii="Times New Roman" w:hAnsi="Times New Roman"/>
          <w:lang w:val="pl-PL"/>
        </w:rPr>
        <w:t>, nr 34056/02, § 155, ETPCz 2005-XI).</w:t>
      </w:r>
    </w:p>
    <w:p w14:paraId="7F0793DC" w14:textId="571B44A8"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Naruszenie Konwencji lub jej Protokołów może przybrać formę aktu mającego miejsce w określonej chwili, ale również sytuacji ciągłej. Pojęcie „sytuacji ciągłej” określa stan rzeczy wynikający z działań ciągłych podejmowanych przez państwo lub w jego imieniu, których skarżący jest ofiarą. W przypadku, kiedy skarga dotyczy sytuacji ciągłej, wobec której nie ma żadnego odwołania, sześciomiesięczny termin biegnie od końca tej sytuacji. Tak długo, jak ona trwa, zasada sześciu miesięcy nie znajduje zastosowania (</w:t>
      </w:r>
      <w:r w:rsidRPr="0081299B">
        <w:rPr>
          <w:rFonts w:ascii="Times New Roman" w:hAnsi="Times New Roman" w:cs="Times New Roman"/>
          <w:szCs w:val="24"/>
          <w:lang w:val="pl-PL"/>
        </w:rPr>
        <w:t>zob.,</w:t>
      </w:r>
      <w:r w:rsidRPr="0081299B">
        <w:rPr>
          <w:rFonts w:ascii="Times New Roman" w:hAnsi="Times New Roman"/>
          <w:lang w:val="pl-PL"/>
        </w:rPr>
        <w:t xml:space="preserve"> </w:t>
      </w:r>
      <w:r w:rsidRPr="0081299B">
        <w:rPr>
          <w:rFonts w:ascii="Times New Roman" w:hAnsi="Times New Roman"/>
          <w:i/>
          <w:lang w:val="pl-PL"/>
        </w:rPr>
        <w:t xml:space="preserve">mutatis mutandis, </w:t>
      </w:r>
      <w:proofErr w:type="spellStart"/>
      <w:r w:rsidRPr="0081299B">
        <w:rPr>
          <w:rFonts w:ascii="Times New Roman" w:hAnsi="Times New Roman"/>
          <w:i/>
          <w:lang w:val="pl-PL"/>
        </w:rPr>
        <w:t>Maricanos</w:t>
      </w:r>
      <w:proofErr w:type="spellEnd"/>
      <w:r w:rsidRPr="0081299B">
        <w:rPr>
          <w:rFonts w:ascii="Times New Roman" w:hAnsi="Times New Roman"/>
          <w:i/>
          <w:lang w:val="pl-PL"/>
        </w:rPr>
        <w:t xml:space="preserve"> p. Grecji </w:t>
      </w:r>
      <w:r w:rsidRPr="0081299B">
        <w:rPr>
          <w:rFonts w:ascii="Times New Roman" w:hAnsi="Times New Roman"/>
          <w:lang w:val="pl-PL"/>
        </w:rPr>
        <w:t>(decyzja), nr 49282/99, 29 marc</w:t>
      </w:r>
      <w:r w:rsidRPr="0081299B">
        <w:rPr>
          <w:rFonts w:ascii="Times New Roman" w:hAnsi="Times New Roman" w:cs="Times New Roman"/>
          <w:szCs w:val="24"/>
          <w:lang w:val="pl-PL"/>
        </w:rPr>
        <w:t>a</w:t>
      </w:r>
      <w:r w:rsidRPr="0081299B">
        <w:rPr>
          <w:rFonts w:ascii="Times New Roman" w:hAnsi="Times New Roman"/>
          <w:lang w:val="pl-PL"/>
        </w:rPr>
        <w:t xml:space="preserve"> 2001 r.; </w:t>
      </w:r>
      <w:proofErr w:type="spellStart"/>
      <w:r w:rsidRPr="0081299B">
        <w:rPr>
          <w:rFonts w:ascii="Times New Roman" w:hAnsi="Times New Roman"/>
          <w:i/>
          <w:lang w:val="pl-PL"/>
        </w:rPr>
        <w:t>Doğan</w:t>
      </w:r>
      <w:proofErr w:type="spellEnd"/>
      <w:r w:rsidRPr="0081299B">
        <w:rPr>
          <w:rFonts w:ascii="Times New Roman" w:hAnsi="Times New Roman"/>
          <w:i/>
          <w:lang w:val="pl-PL"/>
        </w:rPr>
        <w:t xml:space="preserve"> i inni p. Turcji</w:t>
      </w:r>
      <w:r w:rsidRPr="0081299B">
        <w:rPr>
          <w:rFonts w:ascii="Times New Roman" w:hAnsi="Times New Roman"/>
          <w:lang w:val="pl-PL"/>
        </w:rPr>
        <w:t xml:space="preserve">, nr 8803-8811/02, 8813/02 i 8815-8819/02, § 113, ETPCz 2004-VI (fragmenty). </w:t>
      </w:r>
    </w:p>
    <w:p w14:paraId="60C05D53" w14:textId="24C34EB2"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W niniejszej sprawie, Trybunał odnotowuje, że poprzez swoją skargę wywiedzioną z art. 4 Konwencji, skarżąca zarzuca władzom krajowym, że nie otrzymała odpowiedniej ochrony jako ofiara handlu ludźmi ze strony K.A. i D.J. Podnosi także, że</w:t>
      </w:r>
      <w:r w:rsidRPr="0081299B">
        <w:rPr>
          <w:rFonts w:ascii="Times New Roman" w:hAnsi="Times New Roman" w:cs="Times New Roman"/>
          <w:szCs w:val="24"/>
          <w:lang w:val="pl-PL"/>
        </w:rPr>
        <w:t>,</w:t>
      </w:r>
      <w:r w:rsidRPr="0081299B">
        <w:rPr>
          <w:rFonts w:ascii="Times New Roman" w:hAnsi="Times New Roman"/>
          <w:lang w:val="pl-PL"/>
        </w:rPr>
        <w:t xml:space="preserve"> co się tyczy D.J., krajowe </w:t>
      </w:r>
      <w:r w:rsidRPr="0081299B">
        <w:rPr>
          <w:rFonts w:ascii="Times New Roman" w:hAnsi="Times New Roman"/>
          <w:lang w:val="pl-PL"/>
        </w:rPr>
        <w:lastRenderedPageBreak/>
        <w:t>postępowanie karne wszczęte przeciwko niej zakończyło się dnia 20 kwietnia 2012 r. wyrokiem nr 193/2012, w którym Sąd Przysięgłych w Atenach orzekł o jej uniewinnieniu. Co się zaś tyczy K.A., dochodzenie w jego sprawie było prowadzone wspólnie z dochodzeniem przeciwko D.J. Postępowanie dotyczące K.A., wciąż ukrywającego się, jest zawieszone. Z uwagi na treść skargi opartej na art. 4, zgodność działań władz krajowych z tymi postanowieniami może wynikać tylko z całości sprawy związanej ze stawianymi zarzutami i wydanego w niej wyroku nr 193/2012. Wynika z tego, że wcześniejsze etapy śledztwa w tej sprawie nie mogły być oddzielone od rozprawy przed Sądem Przysięgłych w Atenach w sprawie D.J. W związku z tym, że wyrok nr 193/2012 został opublikowany w dniu 20 kwietnia 2012 r., tj. sześć miesięcy przed niniejszą skargą, zarzuty skarżącej, sformułowane w oparciu o art. 4 Konwencji, nie są spóźnione.</w:t>
      </w:r>
    </w:p>
    <w:p w14:paraId="4EC9237A" w14:textId="7AFD6248"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Ponadto, co się tyczy K.A., jest on wciąż na wolności i postępowanie karne pozostaje otwarte w jego sprawie. Chodzi więc o sytuację ciągłą w zakresie, w jakim jego odpowiedzialność karna nie została jeszcze </w:t>
      </w:r>
      <w:r w:rsidRPr="0081299B">
        <w:rPr>
          <w:rFonts w:ascii="Times New Roman" w:hAnsi="Times New Roman" w:cs="Times New Roman"/>
          <w:szCs w:val="24"/>
          <w:lang w:val="pl-PL"/>
        </w:rPr>
        <w:t>rozstrzygnięta</w:t>
      </w:r>
      <w:r w:rsidRPr="0081299B">
        <w:rPr>
          <w:rFonts w:ascii="Times New Roman" w:hAnsi="Times New Roman"/>
          <w:lang w:val="pl-PL"/>
        </w:rPr>
        <w:t xml:space="preserve"> przez sądy krajowe i, jak to podnosi skarżąca, zdarzenia </w:t>
      </w:r>
      <w:r w:rsidR="000362E6" w:rsidRPr="0081299B">
        <w:rPr>
          <w:rFonts w:ascii="Times New Roman" w:hAnsi="Times New Roman"/>
          <w:lang w:val="pl-PL"/>
        </w:rPr>
        <w:t>po kwietniu</w:t>
      </w:r>
      <w:r w:rsidRPr="0081299B">
        <w:rPr>
          <w:rFonts w:ascii="Times New Roman" w:hAnsi="Times New Roman"/>
          <w:lang w:val="pl-PL"/>
        </w:rPr>
        <w:t xml:space="preserve"> 2012 r. mogłyby </w:t>
      </w:r>
      <w:r w:rsidR="000362E6" w:rsidRPr="0081299B">
        <w:rPr>
          <w:rFonts w:ascii="Times New Roman" w:hAnsi="Times New Roman"/>
          <w:lang w:val="pl-PL"/>
        </w:rPr>
        <w:t>wchodzić w zakres odpowiedzialności</w:t>
      </w:r>
      <w:r w:rsidRPr="0081299B">
        <w:rPr>
          <w:rFonts w:ascii="Times New Roman" w:hAnsi="Times New Roman"/>
          <w:lang w:val="pl-PL"/>
        </w:rPr>
        <w:t xml:space="preserve"> władz krajowych.</w:t>
      </w:r>
    </w:p>
    <w:p w14:paraId="1562CF7F" w14:textId="18918E7D" w:rsidR="00311E3A" w:rsidRPr="0081299B" w:rsidRDefault="00311E3A" w:rsidP="00C32C2D">
      <w:pPr>
        <w:pStyle w:val="ECHRPara"/>
        <w:numPr>
          <w:ilvl w:val="0"/>
          <w:numId w:val="19"/>
        </w:numPr>
        <w:ind w:left="0" w:firstLine="284"/>
        <w:rPr>
          <w:rFonts w:ascii="Times New Roman" w:hAnsi="Times New Roman"/>
          <w:b/>
          <w:lang w:val="pl-PL"/>
        </w:rPr>
      </w:pPr>
      <w:r w:rsidRPr="0081299B">
        <w:rPr>
          <w:rFonts w:ascii="Times New Roman" w:hAnsi="Times New Roman"/>
          <w:lang w:val="pl-PL"/>
        </w:rPr>
        <w:t>W związku z powyższym, zastrzeżenia Rządu, że część zarzutów przedstawionych w oparciu o art</w:t>
      </w:r>
      <w:r w:rsidRPr="0081299B">
        <w:rPr>
          <w:rFonts w:ascii="Times New Roman" w:hAnsi="Times New Roman" w:cs="Times New Roman"/>
          <w:szCs w:val="24"/>
          <w:lang w:val="pl-PL"/>
        </w:rPr>
        <w:t>.</w:t>
      </w:r>
      <w:r w:rsidRPr="0081299B">
        <w:rPr>
          <w:rFonts w:ascii="Times New Roman" w:hAnsi="Times New Roman"/>
          <w:lang w:val="pl-PL"/>
        </w:rPr>
        <w:t xml:space="preserve"> 4 jest spóźniona, muszą zostać odrzucone. </w:t>
      </w:r>
    </w:p>
    <w:p w14:paraId="0ABEFC41" w14:textId="30C93CCE" w:rsidR="00311E3A" w:rsidRPr="0081299B" w:rsidRDefault="00311E3A" w:rsidP="00C32C2D">
      <w:pPr>
        <w:pStyle w:val="ECHRHeading4"/>
        <w:numPr>
          <w:ilvl w:val="0"/>
          <w:numId w:val="24"/>
        </w:numPr>
        <w:ind w:left="975" w:hanging="340"/>
        <w:rPr>
          <w:rFonts w:ascii="Times New Roman" w:hAnsi="Times New Roman"/>
          <w:lang w:val="pl-PL"/>
        </w:rPr>
      </w:pPr>
      <w:r w:rsidRPr="0081299B">
        <w:rPr>
          <w:rFonts w:ascii="Times New Roman" w:hAnsi="Times New Roman" w:cs="Times New Roman"/>
          <w:lang w:val="pl-PL"/>
        </w:rPr>
        <w:t xml:space="preserve">W przedmiocie wyczerpania </w:t>
      </w:r>
      <w:r w:rsidRPr="0081299B">
        <w:rPr>
          <w:rFonts w:ascii="Times New Roman" w:hAnsi="Times New Roman"/>
          <w:lang w:val="pl-PL"/>
        </w:rPr>
        <w:t>krajowych środków odwoławczych</w:t>
      </w:r>
    </w:p>
    <w:p w14:paraId="5BDFF72B" w14:textId="0C3C3B2C"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Trybunał przypomina na wstępie, że art. 35 Konwencji wymaga wyczerpania </w:t>
      </w:r>
      <w:r w:rsidRPr="0081299B">
        <w:rPr>
          <w:rFonts w:ascii="Times New Roman" w:hAnsi="Times New Roman" w:cs="Times New Roman"/>
          <w:szCs w:val="24"/>
          <w:lang w:val="pl-PL"/>
        </w:rPr>
        <w:t xml:space="preserve">tylko </w:t>
      </w:r>
      <w:r w:rsidRPr="0081299B">
        <w:rPr>
          <w:rFonts w:ascii="Times New Roman" w:hAnsi="Times New Roman"/>
          <w:lang w:val="pl-PL"/>
        </w:rPr>
        <w:t>środków odwoławczych dostępnych, odpowiednich i odnoszących się do zarzucanych naruszeń prawa (</w:t>
      </w:r>
      <w:r w:rsidRPr="0081299B">
        <w:rPr>
          <w:rFonts w:ascii="Times New Roman" w:hAnsi="Times New Roman" w:cs="Times New Roman"/>
          <w:szCs w:val="24"/>
          <w:lang w:val="pl-PL"/>
        </w:rPr>
        <w:t>zob.,</w:t>
      </w:r>
      <w:r w:rsidRPr="0081299B">
        <w:rPr>
          <w:rFonts w:ascii="Times New Roman" w:hAnsi="Times New Roman"/>
          <w:lang w:val="pl-PL"/>
        </w:rPr>
        <w:t xml:space="preserve"> </w:t>
      </w:r>
      <w:r w:rsidRPr="0081299B">
        <w:rPr>
          <w:rFonts w:ascii="Times New Roman" w:hAnsi="Times New Roman"/>
          <w:i/>
          <w:lang w:val="pl-PL"/>
        </w:rPr>
        <w:t xml:space="preserve">mutatis mutandis, </w:t>
      </w:r>
      <w:proofErr w:type="spellStart"/>
      <w:r w:rsidRPr="0081299B">
        <w:rPr>
          <w:rFonts w:ascii="Times New Roman" w:hAnsi="Times New Roman"/>
          <w:i/>
          <w:lang w:val="pl-PL"/>
        </w:rPr>
        <w:t>Manoussakis</w:t>
      </w:r>
      <w:proofErr w:type="spellEnd"/>
      <w:r w:rsidRPr="0081299B">
        <w:rPr>
          <w:rFonts w:ascii="Times New Roman" w:hAnsi="Times New Roman"/>
          <w:i/>
          <w:lang w:val="pl-PL"/>
        </w:rPr>
        <w:t xml:space="preserve"> i inni p. Grecji, </w:t>
      </w:r>
      <w:r w:rsidRPr="0081299B">
        <w:rPr>
          <w:rFonts w:ascii="Times New Roman" w:hAnsi="Times New Roman"/>
          <w:lang w:val="pl-PL"/>
        </w:rPr>
        <w:t>26 wrze</w:t>
      </w:r>
      <w:r w:rsidRPr="0081299B">
        <w:rPr>
          <w:rFonts w:ascii="Times New Roman" w:hAnsi="Times New Roman" w:cs="Times New Roman"/>
          <w:szCs w:val="24"/>
          <w:lang w:val="pl-PL"/>
        </w:rPr>
        <w:t>śn</w:t>
      </w:r>
      <w:r w:rsidRPr="0081299B">
        <w:rPr>
          <w:rFonts w:ascii="Times New Roman" w:hAnsi="Times New Roman"/>
          <w:lang w:val="pl-PL"/>
        </w:rPr>
        <w:t>i</w:t>
      </w:r>
      <w:r w:rsidRPr="0081299B">
        <w:rPr>
          <w:rFonts w:ascii="Times New Roman" w:hAnsi="Times New Roman" w:cs="Times New Roman"/>
          <w:szCs w:val="24"/>
          <w:lang w:val="pl-PL"/>
        </w:rPr>
        <w:t>a</w:t>
      </w:r>
      <w:r w:rsidRPr="0081299B">
        <w:rPr>
          <w:rFonts w:ascii="Times New Roman" w:hAnsi="Times New Roman"/>
          <w:lang w:val="pl-PL"/>
        </w:rPr>
        <w:t xml:space="preserve"> 1996</w:t>
      </w:r>
      <w:r w:rsidRPr="0081299B">
        <w:rPr>
          <w:rFonts w:ascii="Times New Roman" w:hAnsi="Times New Roman" w:cs="Times New Roman"/>
          <w:szCs w:val="24"/>
          <w:lang w:val="pl-PL"/>
        </w:rPr>
        <w:t xml:space="preserve"> r.,</w:t>
      </w:r>
      <w:r w:rsidRPr="0081299B">
        <w:rPr>
          <w:rFonts w:ascii="Times New Roman" w:hAnsi="Times New Roman"/>
          <w:lang w:val="pl-PL"/>
        </w:rPr>
        <w:t xml:space="preserve"> § 33</w:t>
      </w:r>
      <w:r w:rsidRPr="0081299B">
        <w:rPr>
          <w:rFonts w:ascii="Times New Roman" w:hAnsi="Times New Roman"/>
          <w:i/>
          <w:lang w:val="pl-PL"/>
        </w:rPr>
        <w:t xml:space="preserve">, Zbiór wyroków i decyzji </w:t>
      </w:r>
      <w:r w:rsidRPr="0081299B">
        <w:rPr>
          <w:rFonts w:ascii="Times New Roman" w:hAnsi="Times New Roman"/>
          <w:lang w:val="pl-PL"/>
        </w:rPr>
        <w:t>1996-IV)</w:t>
      </w:r>
      <w:r w:rsidRPr="0081299B">
        <w:rPr>
          <w:rFonts w:ascii="Times New Roman" w:hAnsi="Times New Roman"/>
          <w:i/>
          <w:lang w:val="pl-PL"/>
        </w:rPr>
        <w:t xml:space="preserve">. </w:t>
      </w:r>
      <w:r w:rsidRPr="0081299B">
        <w:rPr>
          <w:rFonts w:ascii="Times New Roman" w:hAnsi="Times New Roman"/>
          <w:lang w:val="pl-PL"/>
        </w:rPr>
        <w:t xml:space="preserve">Poza tym art. 4 Konwencji nakłada na Państwa-Strony szczególny pozytywny obowiązek karania i skutecznego ścigania każdego czynu nastawionego na sprowadzenie jednostki do stanu niewolnika lub poddanego lub przymuszenia jej do pracy przymusowej lub obowiązkowej </w:t>
      </w:r>
      <w:bookmarkStart w:id="5" w:name="_Hlk495097495"/>
      <w:r w:rsidRPr="0081299B">
        <w:rPr>
          <w:rFonts w:ascii="Times New Roman" w:hAnsi="Times New Roman"/>
          <w:lang w:val="pl-PL"/>
        </w:rPr>
        <w:t>(</w:t>
      </w:r>
      <w:proofErr w:type="spellStart"/>
      <w:r w:rsidRPr="0081299B">
        <w:rPr>
          <w:rFonts w:ascii="Times New Roman" w:hAnsi="Times New Roman"/>
          <w:i/>
          <w:lang w:val="pl-PL"/>
        </w:rPr>
        <w:t>Rantsev</w:t>
      </w:r>
      <w:proofErr w:type="spellEnd"/>
      <w:r w:rsidRPr="0081299B">
        <w:rPr>
          <w:rFonts w:ascii="Times New Roman" w:hAnsi="Times New Roman"/>
          <w:i/>
          <w:lang w:val="pl-PL"/>
        </w:rPr>
        <w:t xml:space="preserve">, </w:t>
      </w:r>
      <w:r w:rsidRPr="0081299B">
        <w:rPr>
          <w:rFonts w:ascii="Times New Roman" w:hAnsi="Times New Roman"/>
          <w:lang w:val="pl-PL"/>
        </w:rPr>
        <w:t>wyżej wymieniony, § 285)</w:t>
      </w:r>
      <w:bookmarkEnd w:id="5"/>
      <w:r w:rsidRPr="0081299B">
        <w:rPr>
          <w:rFonts w:ascii="Times New Roman" w:hAnsi="Times New Roman"/>
          <w:lang w:val="pl-PL"/>
        </w:rPr>
        <w:t>. Ponadto, Trybunał już stwierdził, że nałożony na państwo przez art. 3 obowiązek przeprowadzenia śledztwa mogącego doprowadzić do ustalenia i ukarania tych, którzy odpowiadają za złe traktowanie</w:t>
      </w:r>
      <w:r w:rsidRPr="0081299B">
        <w:rPr>
          <w:rFonts w:ascii="Times New Roman" w:hAnsi="Times New Roman" w:cs="Times New Roman"/>
          <w:szCs w:val="24"/>
          <w:lang w:val="pl-PL"/>
        </w:rPr>
        <w:t>,</w:t>
      </w:r>
      <w:r w:rsidRPr="0081299B">
        <w:rPr>
          <w:rFonts w:ascii="Times New Roman" w:hAnsi="Times New Roman"/>
          <w:lang w:val="pl-PL"/>
        </w:rPr>
        <w:t xml:space="preserve"> byłby iluzoryczny, jeżeli wobec zarzutu opartego na tym artykule skarżący byłby zobligowany do wyczerpania środka odwoławczego, który mógłby doprowadzić tylko do przyznania odszkodowania (</w:t>
      </w:r>
      <w:proofErr w:type="spellStart"/>
      <w:r w:rsidRPr="0081299B">
        <w:rPr>
          <w:rFonts w:ascii="Times New Roman" w:hAnsi="Times New Roman"/>
          <w:i/>
          <w:lang w:val="pl-PL"/>
        </w:rPr>
        <w:t>Okkali</w:t>
      </w:r>
      <w:proofErr w:type="spellEnd"/>
      <w:r w:rsidRPr="0081299B">
        <w:rPr>
          <w:rFonts w:ascii="Times New Roman" w:hAnsi="Times New Roman"/>
          <w:i/>
          <w:lang w:val="pl-PL"/>
        </w:rPr>
        <w:t xml:space="preserve"> p. Turcji</w:t>
      </w:r>
      <w:r w:rsidRPr="0081299B">
        <w:rPr>
          <w:rFonts w:ascii="Times New Roman" w:hAnsi="Times New Roman"/>
          <w:lang w:val="pl-PL"/>
        </w:rPr>
        <w:t xml:space="preserve">, nr 52067/99, § 58, ETPCZ 2006-XII (fragmenty), </w:t>
      </w:r>
      <w:proofErr w:type="spellStart"/>
      <w:r w:rsidRPr="0081299B">
        <w:rPr>
          <w:rFonts w:ascii="Times New Roman" w:hAnsi="Times New Roman"/>
          <w:i/>
          <w:lang w:val="pl-PL"/>
        </w:rPr>
        <w:t>Taymuskhanovy</w:t>
      </w:r>
      <w:proofErr w:type="spellEnd"/>
      <w:r w:rsidRPr="0081299B">
        <w:rPr>
          <w:rFonts w:ascii="Times New Roman" w:hAnsi="Times New Roman"/>
          <w:i/>
          <w:lang w:val="pl-PL"/>
        </w:rPr>
        <w:t xml:space="preserve"> p. Rosji</w:t>
      </w:r>
      <w:r w:rsidRPr="0081299B">
        <w:rPr>
          <w:rFonts w:ascii="Times New Roman" w:hAnsi="Times New Roman"/>
          <w:lang w:val="pl-PL"/>
        </w:rPr>
        <w:t xml:space="preserve">, nr 11528/07, § 75, 16 grudnia 2010 r.). Wynika z tego, że analogicznie jak w orzecznictwie odnoszącym się do art. 3, nie można zaspokoić obowiązków, które na państwa nakłada art. 4, poprzez zwykłe przyznanie odszkodowania (zob. pod tym względem </w:t>
      </w:r>
      <w:proofErr w:type="spellStart"/>
      <w:r w:rsidRPr="0081299B">
        <w:rPr>
          <w:rFonts w:ascii="Times New Roman" w:hAnsi="Times New Roman"/>
          <w:i/>
          <w:lang w:val="pl-PL"/>
        </w:rPr>
        <w:t>Mc</w:t>
      </w:r>
      <w:r w:rsidRPr="0081299B">
        <w:rPr>
          <w:rFonts w:ascii="Times New Roman" w:hAnsi="Times New Roman" w:cs="Times New Roman"/>
          <w:i/>
          <w:szCs w:val="24"/>
          <w:lang w:val="pl-PL"/>
        </w:rPr>
        <w:t>K</w:t>
      </w:r>
      <w:r w:rsidRPr="0081299B">
        <w:rPr>
          <w:rFonts w:ascii="Times New Roman" w:hAnsi="Times New Roman"/>
          <w:i/>
          <w:lang w:val="pl-PL"/>
        </w:rPr>
        <w:t>err</w:t>
      </w:r>
      <w:proofErr w:type="spellEnd"/>
      <w:r w:rsidRPr="0081299B">
        <w:rPr>
          <w:rFonts w:ascii="Times New Roman" w:hAnsi="Times New Roman"/>
          <w:i/>
          <w:lang w:val="pl-PL"/>
        </w:rPr>
        <w:t xml:space="preserve"> p. Zjednoczonemu Królestwu, </w:t>
      </w:r>
      <w:r w:rsidRPr="0081299B">
        <w:rPr>
          <w:rFonts w:ascii="Times New Roman" w:hAnsi="Times New Roman"/>
          <w:lang w:val="pl-PL"/>
        </w:rPr>
        <w:t>nr 28883/95, § 121, ETPCz 2001-</w:t>
      </w:r>
      <w:r w:rsidRPr="0081299B">
        <w:rPr>
          <w:rFonts w:ascii="Times New Roman" w:hAnsi="Times New Roman"/>
          <w:lang w:val="pl-PL"/>
        </w:rPr>
        <w:lastRenderedPageBreak/>
        <w:t>III). Istotnie, Trybunał uważa, że</w:t>
      </w:r>
      <w:r w:rsidRPr="0081299B">
        <w:rPr>
          <w:rFonts w:ascii="Times New Roman" w:hAnsi="Times New Roman"/>
          <w:i/>
          <w:lang w:val="pl-PL"/>
        </w:rPr>
        <w:t xml:space="preserve"> </w:t>
      </w:r>
      <w:r w:rsidRPr="0081299B">
        <w:rPr>
          <w:rFonts w:ascii="Times New Roman" w:hAnsi="Times New Roman" w:cs="Times New Roman"/>
          <w:szCs w:val="24"/>
          <w:lang w:val="pl-PL"/>
        </w:rPr>
        <w:t>do poskarżenia</w:t>
      </w:r>
      <w:r w:rsidRPr="0081299B">
        <w:rPr>
          <w:rFonts w:ascii="Times New Roman" w:hAnsi="Times New Roman"/>
          <w:i/>
          <w:lang w:val="pl-PL"/>
        </w:rPr>
        <w:t xml:space="preserve"> </w:t>
      </w:r>
      <w:r w:rsidRPr="0081299B">
        <w:rPr>
          <w:rFonts w:ascii="Times New Roman" w:hAnsi="Times New Roman"/>
          <w:lang w:val="pl-PL"/>
        </w:rPr>
        <w:t>się na traktowanie mogące okazać się sprzeczn</w:t>
      </w:r>
      <w:r w:rsidRPr="0081299B">
        <w:rPr>
          <w:rFonts w:ascii="Times New Roman" w:hAnsi="Times New Roman" w:cs="Times New Roman"/>
          <w:szCs w:val="24"/>
          <w:lang w:val="pl-PL"/>
        </w:rPr>
        <w:t>e</w:t>
      </w:r>
      <w:r w:rsidRPr="0081299B">
        <w:rPr>
          <w:rFonts w:ascii="Times New Roman" w:hAnsi="Times New Roman"/>
          <w:lang w:val="pl-PL"/>
        </w:rPr>
        <w:t xml:space="preserve"> z art. 4 Konwencji, to </w:t>
      </w:r>
      <w:r w:rsidRPr="0081299B">
        <w:rPr>
          <w:rFonts w:ascii="Times New Roman" w:hAnsi="Times New Roman" w:cs="Times New Roman"/>
          <w:szCs w:val="24"/>
          <w:lang w:val="pl-PL"/>
        </w:rPr>
        <w:t>droga</w:t>
      </w:r>
      <w:r w:rsidRPr="0081299B">
        <w:rPr>
          <w:rFonts w:ascii="Times New Roman" w:hAnsi="Times New Roman"/>
          <w:lang w:val="pl-PL"/>
        </w:rPr>
        <w:t xml:space="preserve"> karna stanowi odpowiedni środek odwoławczy (zob. </w:t>
      </w:r>
      <w:r w:rsidRPr="0081299B">
        <w:rPr>
          <w:rFonts w:ascii="Times New Roman" w:hAnsi="Times New Roman"/>
          <w:i/>
          <w:lang w:val="pl-PL"/>
        </w:rPr>
        <w:t xml:space="preserve">mutatis mutandis, </w:t>
      </w:r>
      <w:proofErr w:type="spellStart"/>
      <w:r w:rsidRPr="0081299B">
        <w:rPr>
          <w:rFonts w:ascii="Times New Roman" w:hAnsi="Times New Roman"/>
          <w:i/>
          <w:lang w:val="pl-PL"/>
        </w:rPr>
        <w:t>Parlak</w:t>
      </w:r>
      <w:proofErr w:type="spellEnd"/>
      <w:r w:rsidRPr="0081299B">
        <w:rPr>
          <w:rFonts w:ascii="Times New Roman" w:hAnsi="Times New Roman"/>
          <w:i/>
          <w:lang w:val="pl-PL"/>
        </w:rPr>
        <w:t xml:space="preserve">, </w:t>
      </w:r>
      <w:proofErr w:type="spellStart"/>
      <w:r w:rsidRPr="0081299B">
        <w:rPr>
          <w:rFonts w:ascii="Times New Roman" w:hAnsi="Times New Roman"/>
          <w:i/>
          <w:lang w:val="pl-PL"/>
        </w:rPr>
        <w:t>Aktürk</w:t>
      </w:r>
      <w:proofErr w:type="spellEnd"/>
      <w:r w:rsidRPr="0081299B">
        <w:rPr>
          <w:rFonts w:ascii="Times New Roman" w:hAnsi="Times New Roman"/>
          <w:i/>
          <w:lang w:val="pl-PL"/>
        </w:rPr>
        <w:t xml:space="preserve"> i </w:t>
      </w:r>
      <w:proofErr w:type="spellStart"/>
      <w:r w:rsidRPr="0081299B">
        <w:rPr>
          <w:rFonts w:ascii="Times New Roman" w:hAnsi="Times New Roman"/>
          <w:i/>
          <w:lang w:val="pl-PL"/>
        </w:rPr>
        <w:t>Yay</w:t>
      </w:r>
      <w:proofErr w:type="spellEnd"/>
      <w:r w:rsidRPr="0081299B">
        <w:rPr>
          <w:rFonts w:ascii="Times New Roman" w:hAnsi="Times New Roman"/>
          <w:i/>
          <w:lang w:val="pl-PL"/>
        </w:rPr>
        <w:t xml:space="preserve"> p. Turcji </w:t>
      </w:r>
      <w:r w:rsidRPr="0081299B">
        <w:rPr>
          <w:rFonts w:ascii="Times New Roman" w:hAnsi="Times New Roman"/>
          <w:lang w:val="pl-PL"/>
        </w:rPr>
        <w:t>(decyzja), numer 24942/94, 24943/94 i 25125/94, 9 stycznia 2001 r.).</w:t>
      </w:r>
    </w:p>
    <w:p w14:paraId="3A1A173F" w14:textId="163A02B1"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Jeżeli chodzi o wniesienie skargi o odszkodowanie przeciwko K.A. i D.J., Trybunał przypomina swoje orzecznictwo, zgodnie z którym ten, kto </w:t>
      </w:r>
      <w:r w:rsidRPr="0081299B">
        <w:rPr>
          <w:rFonts w:ascii="Times New Roman" w:hAnsi="Times New Roman" w:cs="Times New Roman"/>
          <w:szCs w:val="24"/>
          <w:lang w:val="pl-PL"/>
        </w:rPr>
        <w:t>skorzystał ze środka odwoławczego mogącego</w:t>
      </w:r>
      <w:r w:rsidRPr="0081299B">
        <w:rPr>
          <w:rFonts w:ascii="Times New Roman" w:hAnsi="Times New Roman"/>
          <w:lang w:val="pl-PL"/>
        </w:rPr>
        <w:t xml:space="preserve"> bezpośrednio – a nie drogą okrężną –</w:t>
      </w:r>
      <w:r w:rsidRPr="0081299B">
        <w:rPr>
          <w:rFonts w:ascii="Times New Roman" w:hAnsi="Times New Roman" w:cs="Times New Roman"/>
          <w:szCs w:val="24"/>
          <w:lang w:val="pl-PL"/>
        </w:rPr>
        <w:t xml:space="preserve"> naprawić sporną sytuację,</w:t>
      </w:r>
      <w:r w:rsidRPr="0081299B">
        <w:rPr>
          <w:rFonts w:ascii="Times New Roman" w:hAnsi="Times New Roman"/>
          <w:lang w:val="pl-PL"/>
        </w:rPr>
        <w:t xml:space="preserve"> nie jest zobowiązany do sięgania po inne środki, które byłyby dla niego dostępne, lecz których skuteczność jest mało prawdopodobna (</w:t>
      </w:r>
      <w:proofErr w:type="spellStart"/>
      <w:r w:rsidRPr="0081299B">
        <w:rPr>
          <w:rFonts w:ascii="Times New Roman" w:hAnsi="Times New Roman"/>
          <w:i/>
          <w:lang w:val="pl-PL"/>
        </w:rPr>
        <w:t>Manussakis</w:t>
      </w:r>
      <w:proofErr w:type="spellEnd"/>
      <w:r w:rsidRPr="0081299B">
        <w:rPr>
          <w:rFonts w:ascii="Times New Roman" w:hAnsi="Times New Roman"/>
          <w:i/>
          <w:lang w:val="pl-PL"/>
        </w:rPr>
        <w:t xml:space="preserve"> i inni, </w:t>
      </w:r>
      <w:r w:rsidRPr="0081299B">
        <w:rPr>
          <w:rFonts w:ascii="Times New Roman" w:hAnsi="Times New Roman"/>
          <w:lang w:val="pl-PL"/>
        </w:rPr>
        <w:t>wyżej wymieniony § 33)</w:t>
      </w:r>
      <w:r w:rsidRPr="0081299B">
        <w:rPr>
          <w:rFonts w:ascii="Times New Roman" w:hAnsi="Times New Roman"/>
          <w:i/>
          <w:lang w:val="pl-PL"/>
        </w:rPr>
        <w:t xml:space="preserve">. </w:t>
      </w:r>
      <w:r w:rsidRPr="0081299B">
        <w:rPr>
          <w:rFonts w:ascii="Times New Roman" w:hAnsi="Times New Roman"/>
          <w:lang w:val="pl-PL"/>
        </w:rPr>
        <w:t xml:space="preserve">Otóż, Trybunał odnotowuje, że przedmiot </w:t>
      </w:r>
      <w:r w:rsidRPr="0081299B">
        <w:rPr>
          <w:rFonts w:ascii="Times New Roman" w:hAnsi="Times New Roman" w:cs="Times New Roman"/>
          <w:szCs w:val="24"/>
          <w:lang w:val="pl-PL"/>
        </w:rPr>
        <w:t>środka odwoławczego przywołanego</w:t>
      </w:r>
      <w:r w:rsidRPr="0081299B">
        <w:rPr>
          <w:rFonts w:ascii="Times New Roman" w:hAnsi="Times New Roman"/>
          <w:lang w:val="pl-PL"/>
        </w:rPr>
        <w:t xml:space="preserve"> przez Rząd pokrywa się częściowo z ustanowieniem </w:t>
      </w:r>
      <w:r w:rsidRPr="0081299B">
        <w:rPr>
          <w:rFonts w:ascii="Times New Roman" w:hAnsi="Times New Roman" w:cs="Times New Roman"/>
          <w:szCs w:val="24"/>
          <w:lang w:val="pl-PL"/>
        </w:rPr>
        <w:t>się stroną cywilną, dokonanym przez skarżącą</w:t>
      </w:r>
      <w:r w:rsidRPr="0081299B">
        <w:rPr>
          <w:rFonts w:ascii="Times New Roman" w:hAnsi="Times New Roman"/>
          <w:lang w:val="pl-PL"/>
        </w:rPr>
        <w:t xml:space="preserve">: oba działania umożliwiają zainteresowanej uzyskanie odszkodowania. Skarżąca zdecydowała się być stroną cywilną i Trybunał nie mógłby żądać, aby wniosła </w:t>
      </w:r>
      <w:r w:rsidRPr="0081299B">
        <w:rPr>
          <w:rFonts w:ascii="Times New Roman" w:hAnsi="Times New Roman" w:cs="Times New Roman"/>
          <w:szCs w:val="24"/>
          <w:lang w:val="pl-PL"/>
        </w:rPr>
        <w:t xml:space="preserve">ona </w:t>
      </w:r>
      <w:r w:rsidRPr="0081299B">
        <w:rPr>
          <w:rFonts w:ascii="Times New Roman" w:hAnsi="Times New Roman"/>
          <w:lang w:val="pl-PL"/>
        </w:rPr>
        <w:t xml:space="preserve">dodatkowo powództwo oparte na odpowiednich przepisach Kodeksu cywilnego. W związku z powyższym, Trybunał odrzuca sprzeciw podniesiony </w:t>
      </w:r>
      <w:r w:rsidRPr="0081299B">
        <w:rPr>
          <w:rFonts w:ascii="Times New Roman" w:hAnsi="Times New Roman" w:cs="Times New Roman"/>
          <w:szCs w:val="24"/>
          <w:lang w:val="pl-PL"/>
        </w:rPr>
        <w:t>co do istoty</w:t>
      </w:r>
      <w:r w:rsidRPr="0081299B">
        <w:rPr>
          <w:rFonts w:ascii="Times New Roman" w:hAnsi="Times New Roman"/>
          <w:lang w:val="pl-PL"/>
        </w:rPr>
        <w:t xml:space="preserve"> przez Rząd co do braku wyczerpania krajowych środków odwoławczych.</w:t>
      </w:r>
    </w:p>
    <w:p w14:paraId="15FA9193" w14:textId="4A85F0C7" w:rsidR="00311E3A" w:rsidRPr="0081299B" w:rsidRDefault="00311E3A" w:rsidP="00C32C2D">
      <w:pPr>
        <w:pStyle w:val="ECHRHeading4"/>
        <w:numPr>
          <w:ilvl w:val="0"/>
          <w:numId w:val="24"/>
        </w:numPr>
        <w:ind w:left="975" w:hanging="340"/>
        <w:rPr>
          <w:rFonts w:ascii="Times New Roman" w:hAnsi="Times New Roman"/>
          <w:lang w:val="pl-PL"/>
        </w:rPr>
      </w:pPr>
      <w:r w:rsidRPr="0081299B">
        <w:rPr>
          <w:rFonts w:ascii="Times New Roman" w:hAnsi="Times New Roman" w:cs="Times New Roman"/>
          <w:lang w:val="pl-PL"/>
        </w:rPr>
        <w:t>W przedmiocie</w:t>
      </w:r>
      <w:r w:rsidRPr="0081299B">
        <w:rPr>
          <w:rFonts w:ascii="Times New Roman" w:hAnsi="Times New Roman"/>
          <w:lang w:val="pl-PL"/>
        </w:rPr>
        <w:t xml:space="preserve"> stosowalności art. 4 Konwencji</w:t>
      </w:r>
    </w:p>
    <w:p w14:paraId="48AF6508" w14:textId="5CA414A9"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Trybunał przypomina, że nie może być żadnej wątpliwości co do tego, że handel ludźmi niszczy godność człowieka i podstawowe wolności jego ofiar, i że nie może być uznany za zgodny z zasadą społeczeństwa demokratycznego ani z wartościami zapisanymi w Konwencji (</w:t>
      </w:r>
      <w:proofErr w:type="spellStart"/>
      <w:r w:rsidRPr="0081299B">
        <w:rPr>
          <w:rFonts w:ascii="Times New Roman" w:hAnsi="Times New Roman"/>
          <w:i/>
          <w:lang w:val="pl-PL"/>
        </w:rPr>
        <w:t>Rantsev</w:t>
      </w:r>
      <w:proofErr w:type="spellEnd"/>
      <w:r w:rsidRPr="0081299B">
        <w:rPr>
          <w:rFonts w:ascii="Times New Roman" w:hAnsi="Times New Roman"/>
          <w:i/>
          <w:lang w:val="pl-PL"/>
        </w:rPr>
        <w:t xml:space="preserve">, </w:t>
      </w:r>
      <w:r w:rsidRPr="0081299B">
        <w:rPr>
          <w:rFonts w:ascii="Times New Roman" w:hAnsi="Times New Roman"/>
          <w:lang w:val="pl-PL"/>
        </w:rPr>
        <w:t>wyżej wymieniony, § 282). Trybunał odsyła do odpowiedniego swojego orzecznictwa</w:t>
      </w:r>
      <w:r w:rsidRPr="0081299B">
        <w:rPr>
          <w:rFonts w:ascii="Times New Roman" w:hAnsi="Times New Roman" w:cs="Times New Roman"/>
          <w:szCs w:val="24"/>
          <w:lang w:val="pl-PL"/>
        </w:rPr>
        <w:t>, w którym uznał już</w:t>
      </w:r>
      <w:r w:rsidRPr="0081299B">
        <w:rPr>
          <w:rFonts w:ascii="Times New Roman" w:hAnsi="Times New Roman"/>
          <w:lang w:val="pl-PL"/>
        </w:rPr>
        <w:t xml:space="preserve">, że handel ludźmi wchodzi w zakres art. 4 Konwencji (zob. m.in. </w:t>
      </w:r>
      <w:proofErr w:type="spellStart"/>
      <w:r w:rsidRPr="0081299B">
        <w:rPr>
          <w:rFonts w:ascii="Times New Roman" w:hAnsi="Times New Roman"/>
          <w:i/>
          <w:lang w:val="pl-PL"/>
        </w:rPr>
        <w:t>Rantsev</w:t>
      </w:r>
      <w:proofErr w:type="spellEnd"/>
      <w:r w:rsidRPr="0081299B">
        <w:rPr>
          <w:rFonts w:ascii="Times New Roman" w:hAnsi="Times New Roman"/>
          <w:lang w:val="pl-PL"/>
        </w:rPr>
        <w:t xml:space="preserve">, wyżej wymieniony, §§ 272-282). Odnotowuje także, że Rząd nie zaprzecza faktowi, iż skarżąca była ofiarą handlu ludźmi. Z tego wynika, że w </w:t>
      </w:r>
      <w:r w:rsidRPr="0081299B">
        <w:rPr>
          <w:rFonts w:ascii="Times New Roman" w:hAnsi="Times New Roman" w:cs="Times New Roman"/>
          <w:szCs w:val="24"/>
          <w:lang w:val="pl-PL"/>
        </w:rPr>
        <w:t>niniejszej sprawie</w:t>
      </w:r>
      <w:r w:rsidRPr="0081299B">
        <w:rPr>
          <w:rFonts w:ascii="Times New Roman" w:hAnsi="Times New Roman"/>
          <w:lang w:val="pl-PL"/>
        </w:rPr>
        <w:t xml:space="preserve"> art. 4 znajduje zastosowanie.</w:t>
      </w:r>
    </w:p>
    <w:p w14:paraId="0BC3B954" w14:textId="0A6399FB"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Poza tym, Trybunał stwierdza, że skarga oparta na art. 4 nie jest w sposób oczywisty nieuzasadniona w rozumieniu art. 35 ust. 3 lit. a Konwencji. </w:t>
      </w:r>
      <w:r w:rsidRPr="0081299B">
        <w:rPr>
          <w:rFonts w:ascii="Times New Roman" w:hAnsi="Times New Roman" w:cs="Times New Roman"/>
          <w:szCs w:val="24"/>
          <w:lang w:val="pl-PL"/>
        </w:rPr>
        <w:t>Zauważa</w:t>
      </w:r>
      <w:r w:rsidRPr="0081299B">
        <w:rPr>
          <w:rFonts w:ascii="Times New Roman" w:hAnsi="Times New Roman"/>
          <w:lang w:val="pl-PL"/>
        </w:rPr>
        <w:t xml:space="preserve"> poza tym, że skarga nie jest niedopuszczalna z żadnych innych powodów, należy</w:t>
      </w:r>
      <w:r w:rsidRPr="0081299B">
        <w:rPr>
          <w:rFonts w:ascii="Times New Roman" w:hAnsi="Times New Roman" w:cs="Times New Roman"/>
          <w:szCs w:val="24"/>
          <w:lang w:val="pl-PL"/>
        </w:rPr>
        <w:t xml:space="preserve"> więc</w:t>
      </w:r>
      <w:r w:rsidRPr="0081299B">
        <w:rPr>
          <w:rFonts w:ascii="Times New Roman" w:hAnsi="Times New Roman"/>
          <w:lang w:val="pl-PL"/>
        </w:rPr>
        <w:t xml:space="preserve"> uznać ją za dopuszczalną.</w:t>
      </w:r>
    </w:p>
    <w:p w14:paraId="6EA981B0" w14:textId="2A16DA32" w:rsidR="00311E3A" w:rsidRPr="0081299B" w:rsidRDefault="00311E3A" w:rsidP="00C32C2D">
      <w:pPr>
        <w:pStyle w:val="ECHRHeading2"/>
        <w:rPr>
          <w:rFonts w:ascii="Times New Roman" w:hAnsi="Times New Roman"/>
          <w:lang w:val="pl-PL"/>
        </w:rPr>
      </w:pPr>
      <w:r w:rsidRPr="0081299B">
        <w:rPr>
          <w:rFonts w:ascii="Times New Roman" w:hAnsi="Times New Roman"/>
          <w:lang w:val="pl-PL"/>
        </w:rPr>
        <w:t xml:space="preserve">B. </w:t>
      </w:r>
      <w:r w:rsidRPr="0081299B">
        <w:rPr>
          <w:rFonts w:ascii="Times New Roman" w:hAnsi="Times New Roman"/>
          <w:lang w:val="pl-PL"/>
        </w:rPr>
        <w:tab/>
        <w:t>Przedmiot skargi</w:t>
      </w:r>
    </w:p>
    <w:p w14:paraId="77E12349" w14:textId="1EEC1537" w:rsidR="00311E3A" w:rsidRPr="0081299B" w:rsidRDefault="00311E3A" w:rsidP="00C32C2D">
      <w:pPr>
        <w:pStyle w:val="ECHRHeading3"/>
        <w:numPr>
          <w:ilvl w:val="0"/>
          <w:numId w:val="25"/>
        </w:numPr>
        <w:ind w:left="709"/>
        <w:rPr>
          <w:rFonts w:ascii="Times New Roman" w:hAnsi="Times New Roman"/>
          <w:lang w:val="pl-PL"/>
        </w:rPr>
      </w:pPr>
      <w:r w:rsidRPr="0081299B">
        <w:rPr>
          <w:rFonts w:ascii="Times New Roman" w:hAnsi="Times New Roman" w:cs="Times New Roman"/>
          <w:lang w:val="pl-PL"/>
        </w:rPr>
        <w:t>Oświadczenia</w:t>
      </w:r>
      <w:r w:rsidRPr="0081299B">
        <w:rPr>
          <w:rFonts w:ascii="Times New Roman" w:hAnsi="Times New Roman"/>
          <w:lang w:val="pl-PL"/>
        </w:rPr>
        <w:t xml:space="preserve"> stron</w:t>
      </w:r>
    </w:p>
    <w:p w14:paraId="1313AC85" w14:textId="67D1D208" w:rsidR="00311E3A" w:rsidRPr="0081299B" w:rsidRDefault="00311E3A" w:rsidP="00C32C2D">
      <w:pPr>
        <w:pStyle w:val="ECHRHeading4"/>
        <w:numPr>
          <w:ilvl w:val="0"/>
          <w:numId w:val="23"/>
        </w:numPr>
        <w:ind w:left="975" w:hanging="340"/>
        <w:rPr>
          <w:rFonts w:ascii="Times New Roman" w:hAnsi="Times New Roman"/>
          <w:lang w:val="pl-PL"/>
        </w:rPr>
      </w:pPr>
      <w:r w:rsidRPr="0081299B">
        <w:rPr>
          <w:rFonts w:ascii="Times New Roman" w:hAnsi="Times New Roman"/>
          <w:lang w:val="pl-PL"/>
        </w:rPr>
        <w:t>Rząd</w:t>
      </w:r>
    </w:p>
    <w:p w14:paraId="74CE2DAD" w14:textId="70E880FE" w:rsidR="00311E3A" w:rsidRPr="0081299B" w:rsidRDefault="00311E3A" w:rsidP="00C32C2D">
      <w:pPr>
        <w:pStyle w:val="ECHRPara"/>
        <w:numPr>
          <w:ilvl w:val="0"/>
          <w:numId w:val="19"/>
        </w:numPr>
        <w:ind w:left="0" w:firstLine="284"/>
        <w:rPr>
          <w:rStyle w:val="shorttext"/>
          <w:rFonts w:ascii="Times New Roman" w:hAnsi="Times New Roman"/>
          <w:lang w:val="pl-PL"/>
        </w:rPr>
      </w:pPr>
      <w:r w:rsidRPr="0081299B">
        <w:rPr>
          <w:rFonts w:ascii="Times New Roman" w:hAnsi="Times New Roman"/>
          <w:lang w:val="pl-PL"/>
        </w:rPr>
        <w:t xml:space="preserve">Rząd </w:t>
      </w:r>
      <w:r w:rsidRPr="0081299B">
        <w:rPr>
          <w:rFonts w:ascii="Times New Roman" w:hAnsi="Times New Roman" w:cs="Times New Roman"/>
          <w:szCs w:val="24"/>
          <w:lang w:val="pl-PL"/>
        </w:rPr>
        <w:t>przyznaje</w:t>
      </w:r>
      <w:r w:rsidRPr="0081299B">
        <w:rPr>
          <w:rFonts w:ascii="Times New Roman" w:hAnsi="Times New Roman"/>
          <w:lang w:val="pl-PL"/>
        </w:rPr>
        <w:t>, że skarżąca była ofiarą handlu ludźmi, co w każdym razie zostało uznane przez władze krajowe w trakcie postępowania karnego przeciwko K.A. i D.J. S</w:t>
      </w:r>
      <w:r w:rsidRPr="0081299B">
        <w:rPr>
          <w:rStyle w:val="shorttext"/>
          <w:rFonts w:ascii="Times New Roman" w:hAnsi="Times New Roman"/>
          <w:lang w:val="pl-PL"/>
        </w:rPr>
        <w:t xml:space="preserve">twierdza jednocześnie istnienie w prawie greckim </w:t>
      </w:r>
      <w:r w:rsidRPr="0081299B">
        <w:rPr>
          <w:rStyle w:val="shorttext"/>
          <w:rFonts w:ascii="Times New Roman" w:hAnsi="Times New Roman"/>
          <w:lang w:val="pl-PL"/>
        </w:rPr>
        <w:lastRenderedPageBreak/>
        <w:t>odpowiednich ram prawnych do karania handlu ludźmi, które odzwierciedlają ducha i postanowienia najważniejszych aktów prawa międzynarodowego na ten temat. W sprawie zastosowania ustawodawstwa odnoszącego się do handlu ludźmi, Rząd uważa, że władze administracyjne, zadziałały w sposób całkowicie zadowalający. Do 29 listopada 2006 r., kiedy skarżąca wyraźnie oświadczyła władzom policyjnym, że była ofiarą handlu ludźmi ze strony K.A. i D.J., policjanci nie mieli o tej sytuacji żadnej wiedzy</w:t>
      </w:r>
      <w:r w:rsidRPr="0081299B">
        <w:rPr>
          <w:rStyle w:val="shorttext"/>
          <w:rFonts w:ascii="Times New Roman" w:hAnsi="Times New Roman" w:cs="Times New Roman"/>
          <w:szCs w:val="24"/>
          <w:lang w:val="pl-PL"/>
        </w:rPr>
        <w:t xml:space="preserve"> –</w:t>
      </w:r>
      <w:r w:rsidRPr="0081299B">
        <w:rPr>
          <w:rStyle w:val="shorttext"/>
          <w:rFonts w:ascii="Times New Roman" w:hAnsi="Times New Roman"/>
          <w:lang w:val="pl-PL"/>
        </w:rPr>
        <w:t xml:space="preserve"> ani od skarżącej, ani z jakiegokolwiek innego źródła. Poza tym, po złożeniu </w:t>
      </w:r>
      <w:r w:rsidRPr="0081299B">
        <w:rPr>
          <w:rStyle w:val="shorttext"/>
          <w:rFonts w:ascii="Times New Roman" w:hAnsi="Times New Roman" w:cs="Times New Roman"/>
          <w:szCs w:val="24"/>
          <w:lang w:val="pl-PL"/>
        </w:rPr>
        <w:t>zawiadomienia</w:t>
      </w:r>
      <w:r w:rsidRPr="0081299B">
        <w:rPr>
          <w:rStyle w:val="shorttext"/>
          <w:rFonts w:ascii="Times New Roman" w:hAnsi="Times New Roman"/>
          <w:lang w:val="pl-PL"/>
        </w:rPr>
        <w:t xml:space="preserve"> przez skarżącą, władze policyjne zadziałały szybko w celu zakończenia śledztwa i zatrzymania podejrzanych. Rząd twierdzi, że zeznanie E.S. nie zostało z początku włączone do akt sprawy przez „zwykłe niedopatrzenie” organów policji. Jednocześnie odnosi się do adekwatności śledztwa: kamienica, w której K.A i D.J. mieli mieszkać</w:t>
      </w:r>
      <w:r w:rsidRPr="0081299B">
        <w:rPr>
          <w:rStyle w:val="shorttext"/>
          <w:rFonts w:ascii="Times New Roman" w:hAnsi="Times New Roman" w:cs="Times New Roman"/>
          <w:szCs w:val="24"/>
          <w:lang w:val="pl-PL"/>
        </w:rPr>
        <w:t>,</w:t>
      </w:r>
      <w:r w:rsidRPr="0081299B">
        <w:rPr>
          <w:rStyle w:val="shorttext"/>
          <w:rFonts w:ascii="Times New Roman" w:hAnsi="Times New Roman"/>
          <w:lang w:val="pl-PL"/>
        </w:rPr>
        <w:t xml:space="preserve"> była obserwowana przez policję i obecność tego pierwszego nie mogła zostać potwierdzona. Rząd dodaje, że K.A. nadal jest poszukiwany przez władze w celu doprowadzenia przed sąd karny.</w:t>
      </w:r>
    </w:p>
    <w:p w14:paraId="24BB2B01" w14:textId="34002611" w:rsidR="00311E3A" w:rsidRPr="0081299B" w:rsidRDefault="00311E3A" w:rsidP="00C32C2D">
      <w:pPr>
        <w:pStyle w:val="ECHRPara"/>
        <w:numPr>
          <w:ilvl w:val="0"/>
          <w:numId w:val="19"/>
        </w:numPr>
        <w:ind w:left="0" w:firstLine="284"/>
        <w:rPr>
          <w:rFonts w:ascii="Times New Roman" w:hAnsi="Times New Roman"/>
          <w:b/>
          <w:lang w:val="pl-PL"/>
        </w:rPr>
      </w:pPr>
      <w:r w:rsidRPr="0081299B">
        <w:rPr>
          <w:rStyle w:val="shorttext"/>
          <w:rFonts w:ascii="Times New Roman" w:hAnsi="Times New Roman"/>
          <w:lang w:val="pl-PL"/>
        </w:rPr>
        <w:t>Jeżeli chodzi o władze sądowe, one także miał</w:t>
      </w:r>
      <w:r w:rsidR="00267D3B" w:rsidRPr="0081299B">
        <w:rPr>
          <w:rStyle w:val="shorttext"/>
          <w:rFonts w:ascii="Times New Roman" w:hAnsi="Times New Roman"/>
          <w:lang w:val="pl-PL"/>
        </w:rPr>
        <w:t>y</w:t>
      </w:r>
      <w:r w:rsidRPr="0081299B">
        <w:rPr>
          <w:rStyle w:val="shorttext"/>
          <w:rFonts w:ascii="Times New Roman" w:hAnsi="Times New Roman"/>
          <w:lang w:val="pl-PL"/>
        </w:rPr>
        <w:t xml:space="preserve"> </w:t>
      </w:r>
      <w:r w:rsidR="000362E6" w:rsidRPr="0081299B">
        <w:rPr>
          <w:rStyle w:val="shorttext"/>
          <w:rFonts w:ascii="Times New Roman" w:hAnsi="Times New Roman" w:cs="Times New Roman"/>
          <w:szCs w:val="24"/>
          <w:lang w:val="pl-PL"/>
        </w:rPr>
        <w:t>starannie</w:t>
      </w:r>
      <w:r w:rsidR="000362E6" w:rsidRPr="0081299B">
        <w:rPr>
          <w:rStyle w:val="shorttext"/>
          <w:rFonts w:ascii="Times New Roman" w:hAnsi="Times New Roman"/>
          <w:lang w:val="pl-PL"/>
        </w:rPr>
        <w:t xml:space="preserve"> </w:t>
      </w:r>
      <w:r w:rsidRPr="0081299B">
        <w:rPr>
          <w:rStyle w:val="shorttext"/>
          <w:rFonts w:ascii="Times New Roman" w:hAnsi="Times New Roman"/>
          <w:lang w:val="pl-PL"/>
        </w:rPr>
        <w:t xml:space="preserve">przeprowadzić śledztwo. Poza tym, według Rządu, nie można czynić zarzutu </w:t>
      </w:r>
      <w:r w:rsidRPr="0081299B">
        <w:rPr>
          <w:rFonts w:ascii="Times New Roman" w:hAnsi="Times New Roman"/>
          <w:lang w:val="pl-PL"/>
        </w:rPr>
        <w:t>państwu</w:t>
      </w:r>
      <w:r w:rsidRPr="0081299B">
        <w:rPr>
          <w:rStyle w:val="shorttext"/>
          <w:rFonts w:ascii="Times New Roman" w:hAnsi="Times New Roman"/>
          <w:lang w:val="pl-PL"/>
        </w:rPr>
        <w:t xml:space="preserve"> za ułaskawienie D.J.</w:t>
      </w:r>
      <w:r w:rsidRPr="0081299B">
        <w:rPr>
          <w:rFonts w:ascii="Times New Roman" w:hAnsi="Times New Roman"/>
          <w:lang w:val="pl-PL"/>
        </w:rPr>
        <w:t xml:space="preserve"> Wyrok 193/2012 był w pełni uzasadniony. Sąd Przysięgłych w Atenach oparł się na wszystkich zgromadzonych materiałach i doszedł do wniosku, że D.J. także była ofiarą handlu ludźmi i że nie nakłaniała skarżącej do prostytucji. Ponadto, wyrok</w:t>
      </w:r>
      <w:r w:rsidRPr="0081299B">
        <w:rPr>
          <w:rFonts w:ascii="Times New Roman" w:hAnsi="Times New Roman" w:cs="Times New Roman"/>
          <w:szCs w:val="24"/>
          <w:lang w:val="pl-PL"/>
        </w:rPr>
        <w:t xml:space="preserve"> ten</w:t>
      </w:r>
      <w:r w:rsidRPr="0081299B">
        <w:rPr>
          <w:rFonts w:ascii="Times New Roman" w:hAnsi="Times New Roman"/>
          <w:lang w:val="pl-PL"/>
        </w:rPr>
        <w:t xml:space="preserve"> potwierdził także status skarżącej jako ofiary handlu ludźmi. </w:t>
      </w:r>
    </w:p>
    <w:p w14:paraId="3B6D813B" w14:textId="15E356D9" w:rsidR="00311E3A" w:rsidRPr="0081299B" w:rsidRDefault="00311E3A" w:rsidP="00C32C2D">
      <w:pPr>
        <w:pStyle w:val="ECHRHeading4"/>
        <w:numPr>
          <w:ilvl w:val="0"/>
          <w:numId w:val="23"/>
        </w:numPr>
        <w:ind w:left="975" w:hanging="340"/>
        <w:rPr>
          <w:rFonts w:ascii="Times New Roman" w:hAnsi="Times New Roman"/>
          <w:lang w:val="pl-PL"/>
        </w:rPr>
      </w:pPr>
      <w:r w:rsidRPr="0081299B">
        <w:rPr>
          <w:rFonts w:ascii="Times New Roman" w:hAnsi="Times New Roman"/>
          <w:lang w:val="pl-PL"/>
        </w:rPr>
        <w:t>Skarżąca</w:t>
      </w:r>
    </w:p>
    <w:p w14:paraId="7303934A" w14:textId="00C76960"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Po pierwsze, skarżąca podtrzymuje, że niektóre dowody przedstawione przez Rząd, wśród nich protokoły z jej aresztowania w związku z nielegalną prostytucją i jej wnioski o azyl, pochodzą z jej akt policyjnych i stanowią dane osobowe. Zdaniem skarżącej, decyzja państwa greckiego, aby przedłożyć je </w:t>
      </w:r>
      <w:r w:rsidRPr="0081299B">
        <w:rPr>
          <w:rFonts w:ascii="Times New Roman" w:hAnsi="Times New Roman" w:cs="Times New Roman"/>
          <w:szCs w:val="24"/>
          <w:lang w:val="pl-PL"/>
        </w:rPr>
        <w:t>Trybunałowi,</w:t>
      </w:r>
      <w:r w:rsidRPr="0081299B">
        <w:rPr>
          <w:rFonts w:ascii="Times New Roman" w:hAnsi="Times New Roman"/>
          <w:lang w:val="pl-PL"/>
        </w:rPr>
        <w:t xml:space="preserve"> narusza grecką ustawę nr 2247/1997 o ochronie danych osobowych i wobec tego dane </w:t>
      </w:r>
      <w:r w:rsidRPr="0081299B">
        <w:rPr>
          <w:rFonts w:ascii="Times New Roman" w:hAnsi="Times New Roman" w:cs="Times New Roman"/>
          <w:szCs w:val="24"/>
          <w:lang w:val="pl-PL"/>
        </w:rPr>
        <w:t xml:space="preserve">te </w:t>
      </w:r>
      <w:r w:rsidRPr="0081299B">
        <w:rPr>
          <w:rFonts w:ascii="Times New Roman" w:hAnsi="Times New Roman"/>
          <w:lang w:val="pl-PL"/>
        </w:rPr>
        <w:t xml:space="preserve">nie powinny być brane pod uwagę przez Trybunał. </w:t>
      </w:r>
    </w:p>
    <w:p w14:paraId="6B367C6F" w14:textId="62E5452C"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W odniesieniu do przedmiotu sprawy, twierdzi ona w szczególności, że opóźnienia władz policyjnych i sądowych podczas śledztwa w sprawie, jak również uchybienia w przesłuchaniach osób uwikłanych umożliwiły ucieczkę K.A. i D.J. Skarżąca także </w:t>
      </w:r>
      <w:r w:rsidRPr="0081299B">
        <w:rPr>
          <w:rFonts w:ascii="Times New Roman" w:hAnsi="Times New Roman" w:cs="Times New Roman"/>
          <w:szCs w:val="24"/>
          <w:lang w:val="pl-PL"/>
        </w:rPr>
        <w:t>u</w:t>
      </w:r>
      <w:r w:rsidRPr="0081299B">
        <w:rPr>
          <w:rFonts w:ascii="Times New Roman" w:hAnsi="Times New Roman"/>
          <w:lang w:val="pl-PL"/>
        </w:rPr>
        <w:t xml:space="preserve">trzymuje, że decyzja prokuratora z dnia 28 grudnia 2006 r. o odrzuceniu po raz pierwszy jej </w:t>
      </w:r>
      <w:r w:rsidRPr="0081299B">
        <w:rPr>
          <w:rFonts w:ascii="Times New Roman" w:hAnsi="Times New Roman" w:cs="Times New Roman"/>
          <w:szCs w:val="24"/>
          <w:lang w:val="pl-PL"/>
        </w:rPr>
        <w:t>zawiadomienia o przestępstwie</w:t>
      </w:r>
      <w:r w:rsidRPr="0081299B">
        <w:rPr>
          <w:rFonts w:ascii="Times New Roman" w:hAnsi="Times New Roman"/>
          <w:lang w:val="pl-PL"/>
        </w:rPr>
        <w:t xml:space="preserve"> miała poważne skutki dla jej </w:t>
      </w:r>
      <w:r w:rsidRPr="0081299B">
        <w:rPr>
          <w:rFonts w:ascii="Times New Roman" w:hAnsi="Times New Roman" w:cs="Times New Roman"/>
          <w:szCs w:val="24"/>
          <w:lang w:val="pl-PL"/>
        </w:rPr>
        <w:t xml:space="preserve">sytuacji </w:t>
      </w:r>
      <w:r w:rsidRPr="0081299B">
        <w:rPr>
          <w:rFonts w:ascii="Times New Roman" w:hAnsi="Times New Roman"/>
          <w:lang w:val="pl-PL"/>
        </w:rPr>
        <w:t xml:space="preserve">osobistej, ponieważ nie mogła zostać uznana za ofiarę handlu ludźmi i otrzymać specjalnego dokumentu pozwalającego na pobyt na terytorium Grecji. Skarżąca dodaje, że K.A. pozostaje wciąż na wolności, a D.J. została uniewinniona przez sądy karne. Jej zdaniem, Sąd Przysięgłych w Atenach niewłaściwie ocenił </w:t>
      </w:r>
      <w:r w:rsidRPr="0081299B">
        <w:rPr>
          <w:rFonts w:ascii="Times New Roman" w:hAnsi="Times New Roman"/>
          <w:lang w:val="pl-PL"/>
        </w:rPr>
        <w:lastRenderedPageBreak/>
        <w:t>dowody w sprawie, z których jasno wynikało że, poza K.A., do prostytucji była zmuszana</w:t>
      </w:r>
      <w:r w:rsidRPr="0081299B">
        <w:rPr>
          <w:rFonts w:ascii="Times New Roman" w:hAnsi="Times New Roman" w:cs="Times New Roman"/>
          <w:szCs w:val="24"/>
          <w:lang w:val="pl-PL"/>
        </w:rPr>
        <w:t xml:space="preserve"> także</w:t>
      </w:r>
      <w:r w:rsidRPr="0081299B">
        <w:rPr>
          <w:rFonts w:ascii="Times New Roman" w:hAnsi="Times New Roman"/>
          <w:lang w:val="pl-PL"/>
        </w:rPr>
        <w:t xml:space="preserve"> przez D.J.</w:t>
      </w:r>
    </w:p>
    <w:p w14:paraId="2450A696" w14:textId="18AE730A" w:rsidR="00311E3A" w:rsidRPr="0081299B" w:rsidRDefault="00311E3A" w:rsidP="00C32C2D">
      <w:pPr>
        <w:pStyle w:val="ECHRHeading3"/>
        <w:numPr>
          <w:ilvl w:val="0"/>
          <w:numId w:val="25"/>
        </w:numPr>
        <w:ind w:left="732" w:hanging="301"/>
        <w:rPr>
          <w:rFonts w:ascii="Times New Roman" w:hAnsi="Times New Roman"/>
          <w:lang w:val="pl-PL"/>
        </w:rPr>
      </w:pPr>
      <w:r w:rsidRPr="0081299B">
        <w:rPr>
          <w:rFonts w:ascii="Times New Roman" w:hAnsi="Times New Roman"/>
          <w:lang w:val="pl-PL"/>
        </w:rPr>
        <w:t>Ocena Trybunału</w:t>
      </w:r>
    </w:p>
    <w:p w14:paraId="45139080" w14:textId="5743F164" w:rsidR="00311E3A" w:rsidRPr="0081299B" w:rsidRDefault="00311E3A" w:rsidP="00C32C2D">
      <w:pPr>
        <w:pStyle w:val="ECHRHeading4"/>
        <w:numPr>
          <w:ilvl w:val="0"/>
          <w:numId w:val="26"/>
        </w:numPr>
        <w:ind w:left="993"/>
        <w:rPr>
          <w:rFonts w:ascii="Times New Roman" w:hAnsi="Times New Roman"/>
          <w:lang w:val="pl-PL"/>
        </w:rPr>
      </w:pPr>
      <w:r w:rsidRPr="0081299B">
        <w:rPr>
          <w:rFonts w:ascii="Times New Roman" w:hAnsi="Times New Roman"/>
          <w:lang w:val="pl-PL"/>
        </w:rPr>
        <w:t>Zasady ogólne wynikające z art. 4</w:t>
      </w:r>
    </w:p>
    <w:p w14:paraId="1A9B4755" w14:textId="13334F0B"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 Trybunał odsyła do odpowiedniego orzecznictwa na temat ogólnych zasad regulujących stosowanie art. 4 w szczególnym kontekście handlu ludźmi (zob. zwłaszcza </w:t>
      </w:r>
      <w:proofErr w:type="spellStart"/>
      <w:r w:rsidRPr="0081299B">
        <w:rPr>
          <w:rFonts w:ascii="Times New Roman" w:hAnsi="Times New Roman"/>
          <w:i/>
          <w:lang w:val="pl-PL"/>
        </w:rPr>
        <w:t>Rantsev</w:t>
      </w:r>
      <w:proofErr w:type="spellEnd"/>
      <w:r w:rsidRPr="0081299B">
        <w:rPr>
          <w:rFonts w:ascii="Times New Roman" w:hAnsi="Times New Roman"/>
          <w:lang w:val="pl-PL"/>
        </w:rPr>
        <w:t xml:space="preserve">, wyżej wymieniony, §§ 283-289). Wynika z niego zwłaszcza, że wraz z art. 2 i 3, art. 4 uświęca jedną z podstawowych wartości społeczeństw demokratycznych, które tworzą Radę Europy. Z uwagi na znaczenie art. 4 w Konwencji, jego zakres nie może ograniczać się tylko do bezpośrednich działań władz państwa. Wspomniany przepis nakłada też na państwa członkowskie serię pozytywnych obowiązków związanych </w:t>
      </w:r>
      <w:r w:rsidRPr="0081299B">
        <w:rPr>
          <w:rFonts w:ascii="Times New Roman" w:hAnsi="Times New Roman" w:cs="Times New Roman"/>
          <w:szCs w:val="24"/>
          <w:lang w:val="pl-PL"/>
        </w:rPr>
        <w:t xml:space="preserve"> </w:t>
      </w:r>
      <w:r w:rsidRPr="0081299B">
        <w:rPr>
          <w:rFonts w:ascii="Times New Roman" w:hAnsi="Times New Roman"/>
          <w:lang w:val="pl-PL"/>
        </w:rPr>
        <w:t>między innymi z ochroną ofiar handlu ludźmi, jak również z zapobieganiem mu i jego karaniem (</w:t>
      </w:r>
      <w:proofErr w:type="spellStart"/>
      <w:r w:rsidRPr="0081299B">
        <w:rPr>
          <w:rFonts w:ascii="Times New Roman" w:hAnsi="Times New Roman"/>
          <w:i/>
          <w:lang w:val="pl-PL"/>
        </w:rPr>
        <w:t>Siliadin</w:t>
      </w:r>
      <w:proofErr w:type="spellEnd"/>
      <w:r w:rsidRPr="0081299B">
        <w:rPr>
          <w:rFonts w:ascii="Times New Roman" w:hAnsi="Times New Roman"/>
          <w:lang w:val="pl-PL"/>
        </w:rPr>
        <w:t>, wyżej wymieniony, §§ 7 i 89).</w:t>
      </w:r>
    </w:p>
    <w:p w14:paraId="520C50A2" w14:textId="69ADA9CE"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Jeżeli chodzi, w szczególności, o handel ludźmi, należy przyjąć podejście globalne, aby zwalczać to zjawisko</w:t>
      </w:r>
      <w:r w:rsidRPr="0081299B">
        <w:rPr>
          <w:rFonts w:ascii="Times New Roman" w:hAnsi="Times New Roman" w:cs="Times New Roman"/>
          <w:szCs w:val="24"/>
          <w:lang w:val="pl-PL"/>
        </w:rPr>
        <w:t>,</w:t>
      </w:r>
      <w:r w:rsidRPr="0081299B">
        <w:rPr>
          <w:rFonts w:ascii="Times New Roman" w:hAnsi="Times New Roman"/>
          <w:lang w:val="pl-PL"/>
        </w:rPr>
        <w:t xml:space="preserve"> uruchamiając dodatkowo środki mające na celu ukaranie przemytników, jak również zapobieganie przemytowi oraz ochronę ofiar (</w:t>
      </w:r>
      <w:proofErr w:type="spellStart"/>
      <w:r w:rsidRPr="0081299B">
        <w:rPr>
          <w:rFonts w:ascii="Times New Roman" w:hAnsi="Times New Roman"/>
          <w:i/>
          <w:lang w:val="pl-PL"/>
        </w:rPr>
        <w:t>Rantsev</w:t>
      </w:r>
      <w:proofErr w:type="spellEnd"/>
      <w:r w:rsidRPr="0081299B">
        <w:rPr>
          <w:rFonts w:ascii="Times New Roman" w:hAnsi="Times New Roman"/>
          <w:lang w:val="pl-PL"/>
        </w:rPr>
        <w:t xml:space="preserve">, wyżej wymieniony § 285). Z orzecznictwa wynika, że państwa ponoszą, </w:t>
      </w:r>
      <w:r w:rsidRPr="0081299B">
        <w:rPr>
          <w:rFonts w:ascii="Times New Roman" w:hAnsi="Times New Roman" w:cs="Times New Roman"/>
          <w:szCs w:val="24"/>
          <w:lang w:val="pl-PL"/>
        </w:rPr>
        <w:t>w pierwszej kolejności,</w:t>
      </w:r>
      <w:r w:rsidRPr="0081299B">
        <w:rPr>
          <w:rFonts w:ascii="Times New Roman" w:hAnsi="Times New Roman"/>
          <w:lang w:val="pl-PL"/>
        </w:rPr>
        <w:t xml:space="preserve"> odpowiedzialność za stworzenie właściwych ram prawnych i </w:t>
      </w:r>
      <w:r w:rsidR="00512162" w:rsidRPr="0081299B">
        <w:rPr>
          <w:rFonts w:ascii="Times New Roman" w:hAnsi="Times New Roman"/>
          <w:lang w:val="pl-PL"/>
        </w:rPr>
        <w:t>regulacyjnych</w:t>
      </w:r>
      <w:r w:rsidRPr="0081299B">
        <w:rPr>
          <w:rFonts w:ascii="Times New Roman" w:hAnsi="Times New Roman"/>
          <w:lang w:val="pl-PL"/>
        </w:rPr>
        <w:t xml:space="preserve">, oferujących konkretną i skuteczną pomoc rzeczywistym i potencjalnym ofiarom handlu ludźmi. Ponadto, ustawodawstwo państw odnośnie </w:t>
      </w:r>
      <w:r w:rsidRPr="0081299B">
        <w:rPr>
          <w:rFonts w:ascii="Times New Roman" w:hAnsi="Times New Roman" w:cs="Times New Roman"/>
          <w:szCs w:val="24"/>
          <w:lang w:val="pl-PL"/>
        </w:rPr>
        <w:t xml:space="preserve">do </w:t>
      </w:r>
      <w:r w:rsidRPr="0081299B">
        <w:rPr>
          <w:rFonts w:ascii="Times New Roman" w:hAnsi="Times New Roman"/>
          <w:lang w:val="pl-PL"/>
        </w:rPr>
        <w:t xml:space="preserve">imigracji powinno </w:t>
      </w:r>
      <w:r w:rsidRPr="0081299B">
        <w:rPr>
          <w:rFonts w:ascii="Times New Roman" w:hAnsi="Times New Roman" w:cs="Times New Roman"/>
          <w:szCs w:val="24"/>
          <w:lang w:val="pl-PL"/>
        </w:rPr>
        <w:t>odpowiadać</w:t>
      </w:r>
      <w:r w:rsidRPr="0081299B">
        <w:rPr>
          <w:rFonts w:ascii="Times New Roman" w:hAnsi="Times New Roman"/>
          <w:lang w:val="pl-PL"/>
        </w:rPr>
        <w:t xml:space="preserve"> na obawy</w:t>
      </w:r>
      <w:r w:rsidRPr="0081299B">
        <w:rPr>
          <w:rFonts w:ascii="Times New Roman" w:hAnsi="Times New Roman" w:cs="Times New Roman"/>
          <w:szCs w:val="24"/>
          <w:lang w:val="pl-PL"/>
        </w:rPr>
        <w:t xml:space="preserve"> odnoszące się do problem</w:t>
      </w:r>
      <w:r w:rsidR="00512162" w:rsidRPr="0081299B">
        <w:rPr>
          <w:rFonts w:ascii="Times New Roman" w:hAnsi="Times New Roman" w:cs="Times New Roman"/>
          <w:szCs w:val="24"/>
          <w:lang w:val="pl-PL"/>
        </w:rPr>
        <w:t>u</w:t>
      </w:r>
      <w:r w:rsidRPr="0081299B">
        <w:rPr>
          <w:rFonts w:ascii="Times New Roman" w:hAnsi="Times New Roman" w:cs="Times New Roman"/>
          <w:szCs w:val="24"/>
          <w:lang w:val="pl-PL"/>
        </w:rPr>
        <w:t xml:space="preserve"> nakłaniania</w:t>
      </w:r>
      <w:r w:rsidR="00F541FD" w:rsidRPr="0081299B">
        <w:rPr>
          <w:rFonts w:ascii="Times New Roman" w:hAnsi="Times New Roman" w:cs="Times New Roman"/>
          <w:szCs w:val="24"/>
          <w:lang w:val="pl-PL"/>
        </w:rPr>
        <w:t xml:space="preserve"> do</w:t>
      </w:r>
      <w:r w:rsidRPr="0081299B">
        <w:rPr>
          <w:rFonts w:ascii="Times New Roman" w:hAnsi="Times New Roman"/>
          <w:lang w:val="pl-PL"/>
        </w:rPr>
        <w:t xml:space="preserve"> </w:t>
      </w:r>
      <w:r w:rsidR="00234932" w:rsidRPr="0081299B">
        <w:rPr>
          <w:rFonts w:ascii="Times New Roman" w:hAnsi="Times New Roman"/>
          <w:lang w:val="pl-PL"/>
        </w:rPr>
        <w:t xml:space="preserve">handlu ludźmi </w:t>
      </w:r>
      <w:r w:rsidRPr="0081299B">
        <w:rPr>
          <w:rFonts w:ascii="Times New Roman" w:hAnsi="Times New Roman"/>
          <w:lang w:val="pl-PL"/>
        </w:rPr>
        <w:t>i wspierani</w:t>
      </w:r>
      <w:r w:rsidRPr="0081299B">
        <w:rPr>
          <w:rFonts w:ascii="Times New Roman" w:hAnsi="Times New Roman" w:cs="Times New Roman"/>
          <w:szCs w:val="24"/>
          <w:lang w:val="pl-PL"/>
        </w:rPr>
        <w:t>a</w:t>
      </w:r>
      <w:r w:rsidR="00234932" w:rsidRPr="0081299B">
        <w:rPr>
          <w:rFonts w:ascii="Times New Roman" w:hAnsi="Times New Roman" w:cs="Times New Roman"/>
          <w:szCs w:val="24"/>
          <w:lang w:val="pl-PL"/>
        </w:rPr>
        <w:t xml:space="preserve"> </w:t>
      </w:r>
      <w:r w:rsidRPr="0081299B">
        <w:rPr>
          <w:rFonts w:ascii="Times New Roman" w:hAnsi="Times New Roman"/>
          <w:lang w:val="pl-PL"/>
        </w:rPr>
        <w:t>oraz tolerowani</w:t>
      </w:r>
      <w:r w:rsidRPr="0081299B">
        <w:rPr>
          <w:rFonts w:ascii="Times New Roman" w:hAnsi="Times New Roman" w:cs="Times New Roman"/>
          <w:szCs w:val="24"/>
          <w:lang w:val="pl-PL"/>
        </w:rPr>
        <w:t>a</w:t>
      </w:r>
      <w:r w:rsidRPr="0081299B">
        <w:rPr>
          <w:rFonts w:ascii="Times New Roman" w:hAnsi="Times New Roman"/>
          <w:lang w:val="pl-PL"/>
        </w:rPr>
        <w:t xml:space="preserve"> go (</w:t>
      </w:r>
      <w:proofErr w:type="spellStart"/>
      <w:r w:rsidRPr="0081299B">
        <w:rPr>
          <w:rFonts w:ascii="Times New Roman" w:hAnsi="Times New Roman"/>
          <w:i/>
          <w:lang w:val="pl-PL"/>
        </w:rPr>
        <w:t>Rantsev</w:t>
      </w:r>
      <w:proofErr w:type="spellEnd"/>
      <w:r w:rsidRPr="0081299B">
        <w:rPr>
          <w:rFonts w:ascii="Times New Roman" w:hAnsi="Times New Roman"/>
          <w:lang w:val="pl-PL"/>
        </w:rPr>
        <w:t xml:space="preserve">, wyżej wymieniony, § 287). </w:t>
      </w:r>
    </w:p>
    <w:p w14:paraId="3D7E3F01" w14:textId="69D610E3"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Po drugie, w niektórych okolicznościach państwo staje wobec </w:t>
      </w:r>
      <w:r w:rsidRPr="0081299B">
        <w:rPr>
          <w:rFonts w:ascii="Times New Roman" w:hAnsi="Times New Roman" w:cs="Times New Roman"/>
          <w:szCs w:val="24"/>
          <w:lang w:val="pl-PL"/>
        </w:rPr>
        <w:t>obowiązku podjęcia</w:t>
      </w:r>
      <w:r w:rsidRPr="0081299B">
        <w:rPr>
          <w:rFonts w:ascii="Times New Roman" w:hAnsi="Times New Roman"/>
          <w:lang w:val="pl-PL"/>
        </w:rPr>
        <w:t xml:space="preserve"> konkretnych środków w celu ochrony ujawnionych lub potencjalnych ofiar traktowania sprzecznego z art. 4. Tak, jak art. 2 i 3, art. 4 może, w niektórych okolicznościach </w:t>
      </w:r>
      <w:r w:rsidRPr="0081299B">
        <w:rPr>
          <w:rFonts w:ascii="Times New Roman" w:hAnsi="Times New Roman" w:cs="Times New Roman"/>
          <w:szCs w:val="24"/>
          <w:lang w:val="pl-PL"/>
        </w:rPr>
        <w:t>nakładać na państwo</w:t>
      </w:r>
      <w:r w:rsidRPr="0081299B">
        <w:rPr>
          <w:rFonts w:ascii="Times New Roman" w:hAnsi="Times New Roman"/>
          <w:lang w:val="pl-PL"/>
        </w:rPr>
        <w:t xml:space="preserve"> taki rodzaj zobowiązania (zob. </w:t>
      </w:r>
      <w:r w:rsidRPr="0081299B">
        <w:rPr>
          <w:rFonts w:ascii="Times New Roman" w:hAnsi="Times New Roman"/>
          <w:i/>
          <w:lang w:val="pl-PL"/>
        </w:rPr>
        <w:t xml:space="preserve">mutatis mutandis Giuliani et </w:t>
      </w:r>
      <w:proofErr w:type="spellStart"/>
      <w:r w:rsidRPr="0081299B">
        <w:rPr>
          <w:rFonts w:ascii="Times New Roman" w:hAnsi="Times New Roman"/>
          <w:i/>
          <w:lang w:val="pl-PL"/>
        </w:rPr>
        <w:t>Gaggio</w:t>
      </w:r>
      <w:proofErr w:type="spellEnd"/>
      <w:r w:rsidRPr="0081299B">
        <w:rPr>
          <w:rFonts w:ascii="Times New Roman" w:hAnsi="Times New Roman"/>
          <w:i/>
          <w:lang w:val="pl-PL"/>
        </w:rPr>
        <w:t xml:space="preserve"> przeciwko Włochom </w:t>
      </w:r>
      <w:r w:rsidRPr="0081299B">
        <w:rPr>
          <w:rFonts w:ascii="Times New Roman" w:hAnsi="Times New Roman"/>
          <w:lang w:val="pl-PL"/>
        </w:rPr>
        <w:t xml:space="preserve">[WI], nr 23458/02, § 244, ETPCz 2011 r. (fragmenty); </w:t>
      </w:r>
      <w:r w:rsidRPr="0081299B">
        <w:rPr>
          <w:rFonts w:ascii="Times New Roman" w:hAnsi="Times New Roman"/>
          <w:i/>
          <w:lang w:val="pl-PL"/>
        </w:rPr>
        <w:t>Osman przeciwko Zjednoczonemu Królestwu</w:t>
      </w:r>
      <w:r w:rsidRPr="0081299B">
        <w:rPr>
          <w:rFonts w:ascii="Times New Roman" w:hAnsi="Times New Roman"/>
          <w:lang w:val="pl-PL"/>
        </w:rPr>
        <w:t xml:space="preserve">, 28 października 1998 r., §115, Zbiór 1998-VIII, </w:t>
      </w:r>
      <w:proofErr w:type="spellStart"/>
      <w:r w:rsidRPr="0081299B">
        <w:rPr>
          <w:rFonts w:ascii="Times New Roman" w:hAnsi="Times New Roman"/>
          <w:i/>
          <w:lang w:val="pl-PL"/>
        </w:rPr>
        <w:t>Amadayev</w:t>
      </w:r>
      <w:proofErr w:type="spellEnd"/>
      <w:r w:rsidRPr="0081299B">
        <w:rPr>
          <w:rFonts w:ascii="Times New Roman" w:hAnsi="Times New Roman"/>
          <w:i/>
          <w:lang w:val="pl-PL"/>
        </w:rPr>
        <w:t xml:space="preserve"> przeciwko Rosji</w:t>
      </w:r>
      <w:r w:rsidRPr="0081299B">
        <w:rPr>
          <w:rFonts w:ascii="Times New Roman" w:hAnsi="Times New Roman"/>
          <w:lang w:val="pl-PL"/>
        </w:rPr>
        <w:t>, nr 18114/06, § 68, 3 lipca 2014 r.). Aby zaistniał pozytywny obowiązek podjęcia konkretnych działań w danej sprawie, należy wykazać, że władze państwa miały wiedzę lub powinny mieć wiedzę o okolicznościach pozwalających racjonalnie podejrzewać, że jednostka podlega</w:t>
      </w:r>
      <w:r w:rsidR="00234932" w:rsidRPr="0081299B">
        <w:rPr>
          <w:rFonts w:ascii="Times New Roman" w:hAnsi="Times New Roman"/>
          <w:lang w:val="pl-PL"/>
        </w:rPr>
        <w:t xml:space="preserve"> </w:t>
      </w:r>
      <w:r w:rsidRPr="0081299B">
        <w:rPr>
          <w:rFonts w:ascii="Times New Roman" w:hAnsi="Times New Roman"/>
          <w:lang w:val="pl-PL"/>
        </w:rPr>
        <w:t xml:space="preserve">lub znajduje się w realnym i bezpośrednim niebezpieczeństwie </w:t>
      </w:r>
      <w:r w:rsidRPr="0081299B">
        <w:rPr>
          <w:rFonts w:ascii="Times New Roman" w:hAnsi="Times New Roman" w:cs="Times New Roman"/>
          <w:szCs w:val="24"/>
          <w:lang w:val="pl-PL"/>
        </w:rPr>
        <w:t xml:space="preserve">podlegania </w:t>
      </w:r>
      <w:r w:rsidRPr="0081299B">
        <w:rPr>
          <w:rFonts w:ascii="Times New Roman" w:hAnsi="Times New Roman"/>
          <w:lang w:val="pl-PL"/>
        </w:rPr>
        <w:t>handlowi ludźmi lub wykorzystywaniu w rozumieniu art. 3 lit. a Protokołu z Palermo i art. 4 lit. a Konwencji Rady Europy w sprawie działań przeciwko handlowi ludźmi. Jeżeli zaistniał taki przypadek i nie podejmują one właściwych działań będących w ich mocy, w celu uratowania jednostki z takiej sytuacji lub od takiego ryzyka, ma</w:t>
      </w:r>
      <w:r w:rsidRPr="0081299B">
        <w:rPr>
          <w:rFonts w:ascii="Times New Roman" w:hAnsi="Times New Roman" w:cs="Times New Roman"/>
          <w:szCs w:val="24"/>
          <w:lang w:val="pl-PL"/>
        </w:rPr>
        <w:t xml:space="preserve"> </w:t>
      </w:r>
      <w:r w:rsidRPr="0081299B">
        <w:rPr>
          <w:rFonts w:ascii="Times New Roman" w:hAnsi="Times New Roman" w:cs="Times New Roman"/>
          <w:szCs w:val="24"/>
          <w:lang w:val="pl-PL"/>
        </w:rPr>
        <w:lastRenderedPageBreak/>
        <w:t>wówczas</w:t>
      </w:r>
      <w:r w:rsidRPr="0081299B">
        <w:rPr>
          <w:rFonts w:ascii="Times New Roman" w:hAnsi="Times New Roman"/>
          <w:lang w:val="pl-PL"/>
        </w:rPr>
        <w:t xml:space="preserve"> miejsce naruszenie art. 4 Konwencji (zob. </w:t>
      </w:r>
      <w:proofErr w:type="spellStart"/>
      <w:r w:rsidRPr="0081299B">
        <w:rPr>
          <w:rFonts w:ascii="Times New Roman" w:hAnsi="Times New Roman"/>
          <w:i/>
          <w:lang w:val="pl-PL"/>
        </w:rPr>
        <w:t>Rantsev</w:t>
      </w:r>
      <w:proofErr w:type="spellEnd"/>
      <w:r w:rsidRPr="0081299B">
        <w:rPr>
          <w:rFonts w:ascii="Times New Roman" w:hAnsi="Times New Roman"/>
          <w:lang w:val="pl-PL"/>
        </w:rPr>
        <w:t xml:space="preserve">, wyżej wymieniony § 286 i, </w:t>
      </w:r>
      <w:r w:rsidRPr="0081299B">
        <w:rPr>
          <w:rFonts w:ascii="Times New Roman" w:hAnsi="Times New Roman"/>
          <w:i/>
          <w:lang w:val="pl-PL"/>
        </w:rPr>
        <w:t>mutatis mutandis</w:t>
      </w:r>
      <w:r w:rsidRPr="0081299B">
        <w:rPr>
          <w:rFonts w:ascii="Times New Roman" w:hAnsi="Times New Roman"/>
          <w:lang w:val="pl-PL"/>
        </w:rPr>
        <w:t xml:space="preserve">, </w:t>
      </w:r>
      <w:r w:rsidRPr="0081299B">
        <w:rPr>
          <w:rFonts w:ascii="Times New Roman" w:hAnsi="Times New Roman"/>
          <w:i/>
          <w:lang w:val="pl-PL"/>
        </w:rPr>
        <w:t xml:space="preserve">Giuliani i </w:t>
      </w:r>
      <w:proofErr w:type="spellStart"/>
      <w:r w:rsidRPr="0081299B">
        <w:rPr>
          <w:rFonts w:ascii="Times New Roman" w:hAnsi="Times New Roman"/>
          <w:i/>
          <w:lang w:val="pl-PL"/>
        </w:rPr>
        <w:t>Gaggio</w:t>
      </w:r>
      <w:proofErr w:type="spellEnd"/>
      <w:r w:rsidRPr="0081299B">
        <w:rPr>
          <w:rFonts w:ascii="Times New Roman" w:hAnsi="Times New Roman"/>
          <w:lang w:val="pl-PL"/>
        </w:rPr>
        <w:t xml:space="preserve">, wyżej wymieniony, § 246; </w:t>
      </w:r>
      <w:r w:rsidRPr="0081299B">
        <w:rPr>
          <w:rFonts w:ascii="Times New Roman" w:hAnsi="Times New Roman"/>
          <w:i/>
          <w:lang w:val="pl-PL"/>
        </w:rPr>
        <w:t>Osman</w:t>
      </w:r>
      <w:r w:rsidRPr="0081299B">
        <w:rPr>
          <w:rFonts w:ascii="Times New Roman" w:hAnsi="Times New Roman"/>
          <w:lang w:val="pl-PL"/>
        </w:rPr>
        <w:t>, wyżej wymieniony, §§ 116-117).</w:t>
      </w:r>
    </w:p>
    <w:p w14:paraId="2F43CF46" w14:textId="6B077147"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Nie wynika z tego jednak, że można wyprowadzić z tego przepisu pozytywny obowiązek zapobieżenia wszelkiej potencjalnej przemocy. Należy </w:t>
      </w:r>
      <w:r w:rsidRPr="0081299B">
        <w:rPr>
          <w:rFonts w:ascii="Times New Roman" w:hAnsi="Times New Roman" w:cs="Times New Roman"/>
          <w:szCs w:val="24"/>
          <w:lang w:val="pl-PL"/>
        </w:rPr>
        <w:t>w istocie</w:t>
      </w:r>
      <w:r w:rsidRPr="0081299B">
        <w:rPr>
          <w:rFonts w:ascii="Times New Roman" w:hAnsi="Times New Roman"/>
          <w:lang w:val="pl-PL"/>
        </w:rPr>
        <w:t xml:space="preserve"> interpretować ten obowiązek tak, żeby nie narzucać władzom ciężaru nie do </w:t>
      </w:r>
      <w:r w:rsidRPr="0081299B">
        <w:rPr>
          <w:rFonts w:ascii="Times New Roman" w:hAnsi="Times New Roman" w:cs="Times New Roman"/>
          <w:szCs w:val="24"/>
          <w:lang w:val="pl-PL"/>
        </w:rPr>
        <w:t>u</w:t>
      </w:r>
      <w:r w:rsidRPr="0081299B">
        <w:rPr>
          <w:rFonts w:ascii="Times New Roman" w:hAnsi="Times New Roman"/>
          <w:lang w:val="pl-PL"/>
        </w:rPr>
        <w:t>niesienia lub nadmiernego, biorąc pod uwagę trudności, jakie ma policja z wykonywaniem swoich czynności we współczesnych społeczeństwach</w:t>
      </w:r>
      <w:r w:rsidRPr="0081299B">
        <w:rPr>
          <w:rFonts w:ascii="Times New Roman" w:hAnsi="Times New Roman" w:cs="Times New Roman"/>
          <w:szCs w:val="24"/>
          <w:lang w:val="pl-PL"/>
        </w:rPr>
        <w:t>,</w:t>
      </w:r>
      <w:r w:rsidRPr="0081299B">
        <w:rPr>
          <w:rFonts w:ascii="Times New Roman" w:hAnsi="Times New Roman"/>
          <w:lang w:val="pl-PL"/>
        </w:rPr>
        <w:t xml:space="preserve"> i nieprzewidywalność zachowania ludzi, jak również konieczność dokonywania wyboru, co do priorytetów i środków (zob. </w:t>
      </w:r>
      <w:r w:rsidRPr="0081299B">
        <w:rPr>
          <w:rFonts w:ascii="Times New Roman" w:hAnsi="Times New Roman"/>
          <w:i/>
          <w:lang w:val="pl-PL"/>
        </w:rPr>
        <w:t xml:space="preserve">mutatis mutandis, Giuliani i </w:t>
      </w:r>
      <w:proofErr w:type="spellStart"/>
      <w:r w:rsidRPr="0081299B">
        <w:rPr>
          <w:rFonts w:ascii="Times New Roman" w:hAnsi="Times New Roman"/>
          <w:i/>
          <w:lang w:val="pl-PL"/>
        </w:rPr>
        <w:t>Gaggio</w:t>
      </w:r>
      <w:proofErr w:type="spellEnd"/>
      <w:r w:rsidRPr="0081299B">
        <w:rPr>
          <w:rFonts w:ascii="Times New Roman" w:hAnsi="Times New Roman"/>
          <w:i/>
          <w:lang w:val="pl-PL"/>
        </w:rPr>
        <w:t xml:space="preserve">, </w:t>
      </w:r>
      <w:r w:rsidRPr="0081299B">
        <w:rPr>
          <w:rFonts w:ascii="Times New Roman" w:hAnsi="Times New Roman"/>
          <w:lang w:val="pl-PL"/>
        </w:rPr>
        <w:t xml:space="preserve">wyżej wymieniony, § 245; </w:t>
      </w:r>
      <w:r w:rsidRPr="0081299B">
        <w:rPr>
          <w:rFonts w:ascii="Times New Roman" w:hAnsi="Times New Roman"/>
          <w:i/>
          <w:lang w:val="pl-PL"/>
        </w:rPr>
        <w:t>Osman,</w:t>
      </w:r>
      <w:r w:rsidRPr="0081299B">
        <w:rPr>
          <w:rFonts w:ascii="Times New Roman" w:hAnsi="Times New Roman"/>
          <w:lang w:val="pl-PL"/>
        </w:rPr>
        <w:t xml:space="preserve"> wyżej</w:t>
      </w:r>
      <w:r w:rsidRPr="0081299B">
        <w:rPr>
          <w:rFonts w:ascii="Times New Roman" w:hAnsi="Times New Roman"/>
          <w:i/>
          <w:lang w:val="pl-PL"/>
        </w:rPr>
        <w:t xml:space="preserve"> </w:t>
      </w:r>
      <w:r w:rsidRPr="0081299B">
        <w:rPr>
          <w:rFonts w:ascii="Times New Roman" w:hAnsi="Times New Roman"/>
          <w:lang w:val="pl-PL"/>
        </w:rPr>
        <w:t xml:space="preserve">wymieniony, § 116, i </w:t>
      </w:r>
      <w:proofErr w:type="spellStart"/>
      <w:r w:rsidRPr="0081299B">
        <w:rPr>
          <w:rFonts w:ascii="Times New Roman" w:hAnsi="Times New Roman"/>
          <w:i/>
          <w:lang w:val="pl-PL"/>
        </w:rPr>
        <w:t>Maiorano</w:t>
      </w:r>
      <w:proofErr w:type="spellEnd"/>
      <w:r w:rsidRPr="0081299B">
        <w:rPr>
          <w:rFonts w:ascii="Times New Roman" w:hAnsi="Times New Roman"/>
          <w:i/>
          <w:lang w:val="pl-PL"/>
        </w:rPr>
        <w:t xml:space="preserve"> i inni przeciwko Włochom, </w:t>
      </w:r>
      <w:r w:rsidRPr="0081299B">
        <w:rPr>
          <w:rFonts w:ascii="Times New Roman" w:hAnsi="Times New Roman"/>
          <w:lang w:val="pl-PL"/>
        </w:rPr>
        <w:t>nr 28634,</w:t>
      </w:r>
      <w:r w:rsidRPr="0081299B">
        <w:rPr>
          <w:rFonts w:ascii="Times New Roman" w:hAnsi="Times New Roman"/>
          <w:i/>
          <w:lang w:val="pl-PL"/>
        </w:rPr>
        <w:t xml:space="preserve"> </w:t>
      </w:r>
      <w:r w:rsidRPr="0081299B">
        <w:rPr>
          <w:rFonts w:ascii="Times New Roman" w:hAnsi="Times New Roman"/>
          <w:lang w:val="pl-PL"/>
        </w:rPr>
        <w:t>§ 105, 15 grudnia 2009 r.).</w:t>
      </w:r>
    </w:p>
    <w:p w14:paraId="577375F6" w14:textId="2AFFEB93"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Po trzecie, art. 4 nakłada obowiązek proceduralny przeprowadzenia dochodzenia w sytuacji potencjalnego handlu ludźmi. Obowiązek przeprowadzenia dochodzenia nie jest uzależniony od </w:t>
      </w:r>
      <w:r w:rsidRPr="0081299B">
        <w:rPr>
          <w:rFonts w:ascii="Times New Roman" w:hAnsi="Times New Roman" w:cs="Times New Roman"/>
          <w:szCs w:val="24"/>
          <w:lang w:val="pl-PL"/>
        </w:rPr>
        <w:t>zawiadomienia</w:t>
      </w:r>
      <w:r w:rsidRPr="0081299B">
        <w:rPr>
          <w:rFonts w:ascii="Times New Roman" w:hAnsi="Times New Roman"/>
          <w:lang w:val="pl-PL"/>
        </w:rPr>
        <w:t xml:space="preserve"> ofiary lub jej bliskiego: z chwilą, kiedy </w:t>
      </w:r>
      <w:r w:rsidRPr="0081299B">
        <w:rPr>
          <w:rFonts w:ascii="Times New Roman" w:hAnsi="Times New Roman" w:cs="Times New Roman"/>
          <w:szCs w:val="24"/>
          <w:lang w:val="pl-PL"/>
        </w:rPr>
        <w:t>zostanie zwrócona</w:t>
      </w:r>
      <w:r w:rsidRPr="0081299B">
        <w:rPr>
          <w:rFonts w:ascii="Times New Roman" w:hAnsi="Times New Roman"/>
          <w:lang w:val="pl-PL"/>
        </w:rPr>
        <w:t xml:space="preserve"> ich </w:t>
      </w:r>
      <w:r w:rsidRPr="0081299B">
        <w:rPr>
          <w:rFonts w:ascii="Times New Roman" w:hAnsi="Times New Roman" w:cs="Times New Roman"/>
          <w:szCs w:val="24"/>
          <w:lang w:val="pl-PL"/>
        </w:rPr>
        <w:t>uwaga na tę kwestię</w:t>
      </w:r>
      <w:r w:rsidRPr="0081299B">
        <w:rPr>
          <w:rFonts w:ascii="Times New Roman" w:hAnsi="Times New Roman"/>
          <w:lang w:val="pl-PL"/>
        </w:rPr>
        <w:t xml:space="preserve">, władze muszą zareagować (zob. </w:t>
      </w:r>
      <w:r w:rsidRPr="0081299B">
        <w:rPr>
          <w:rFonts w:ascii="Times New Roman" w:hAnsi="Times New Roman"/>
          <w:i/>
          <w:lang w:val="pl-PL"/>
        </w:rPr>
        <w:t xml:space="preserve">mutatis mutandis, </w:t>
      </w:r>
      <w:proofErr w:type="spellStart"/>
      <w:r w:rsidRPr="0081299B">
        <w:rPr>
          <w:rFonts w:ascii="Times New Roman" w:hAnsi="Times New Roman"/>
          <w:i/>
          <w:lang w:val="pl-PL"/>
        </w:rPr>
        <w:t>Dink</w:t>
      </w:r>
      <w:proofErr w:type="spellEnd"/>
      <w:r w:rsidRPr="0081299B">
        <w:rPr>
          <w:rFonts w:ascii="Times New Roman" w:hAnsi="Times New Roman"/>
          <w:i/>
          <w:lang w:val="pl-PL"/>
        </w:rPr>
        <w:t xml:space="preserve"> przeciwko Turcji, </w:t>
      </w:r>
      <w:r w:rsidRPr="0081299B">
        <w:rPr>
          <w:rFonts w:ascii="Times New Roman" w:hAnsi="Times New Roman"/>
          <w:lang w:val="pl-PL"/>
        </w:rPr>
        <w:t xml:space="preserve">numer 2668/07, 6102/08, 30079/08, 7072/09 i 7124/09, § 76, 14 września 2010 r.; </w:t>
      </w:r>
      <w:r w:rsidRPr="0081299B">
        <w:rPr>
          <w:rFonts w:ascii="Times New Roman" w:hAnsi="Times New Roman"/>
          <w:i/>
          <w:lang w:val="pl-PL"/>
        </w:rPr>
        <w:t xml:space="preserve">Paul i Audrey Edwards przeciwko Zjednoczonemu Królestwu, </w:t>
      </w:r>
      <w:r w:rsidRPr="0081299B">
        <w:rPr>
          <w:rFonts w:ascii="Times New Roman" w:hAnsi="Times New Roman"/>
          <w:lang w:val="pl-PL"/>
        </w:rPr>
        <w:t xml:space="preserve">nr 46277/99, § 69, ETPCz 2002-II). Aby dochodzenie </w:t>
      </w:r>
      <w:r w:rsidRPr="0081299B">
        <w:rPr>
          <w:rFonts w:ascii="Times New Roman" w:hAnsi="Times New Roman" w:cs="Times New Roman"/>
          <w:szCs w:val="24"/>
          <w:lang w:val="pl-PL"/>
        </w:rPr>
        <w:t>było skuteczne</w:t>
      </w:r>
      <w:r w:rsidRPr="0081299B">
        <w:rPr>
          <w:rFonts w:ascii="Times New Roman" w:hAnsi="Times New Roman"/>
          <w:lang w:val="pl-PL"/>
        </w:rPr>
        <w:t xml:space="preserve">, musi być ono niezależne od osób zaangażowanych w sprawę. Musi również pozwolić na zidentyfikowanie i ukaranie osób odpowiedzialnych. Nie chodzi tu o zobowiązanie rezultatu, lecz </w:t>
      </w:r>
      <w:r w:rsidR="00DD5AE9" w:rsidRPr="0081299B">
        <w:rPr>
          <w:rFonts w:ascii="Times New Roman" w:hAnsi="Times New Roman" w:cs="Times New Roman"/>
          <w:szCs w:val="24"/>
          <w:lang w:val="pl-PL"/>
        </w:rPr>
        <w:t>[zastosowania odpowiednich]</w:t>
      </w:r>
      <w:r w:rsidR="00FA2075" w:rsidRPr="0081299B">
        <w:rPr>
          <w:rFonts w:ascii="Times New Roman" w:hAnsi="Times New Roman" w:cs="Times New Roman"/>
          <w:szCs w:val="24"/>
          <w:lang w:val="pl-PL"/>
        </w:rPr>
        <w:t xml:space="preserve"> </w:t>
      </w:r>
      <w:r w:rsidRPr="0081299B">
        <w:rPr>
          <w:rFonts w:ascii="Times New Roman" w:hAnsi="Times New Roman"/>
          <w:lang w:val="pl-PL"/>
        </w:rPr>
        <w:t xml:space="preserve">środków. We wszystkich przypadkach </w:t>
      </w:r>
      <w:r w:rsidRPr="0081299B">
        <w:rPr>
          <w:rFonts w:ascii="Times New Roman" w:hAnsi="Times New Roman"/>
          <w:i/>
          <w:lang w:val="pl-PL"/>
        </w:rPr>
        <w:t xml:space="preserve">implicite </w:t>
      </w:r>
      <w:r w:rsidRPr="0081299B">
        <w:rPr>
          <w:rFonts w:ascii="Times New Roman" w:hAnsi="Times New Roman"/>
          <w:lang w:val="pl-PL"/>
        </w:rPr>
        <w:t xml:space="preserve">przyjmowany jest wymóg rozsądnej szybkości i staranności, lecz jeżeli jest możliwe uchronienie jednostki, której to dotyczy, przed sytuacją przynoszącą szkodę, dochodzenie musi być przeprowadzone niezwłocznie. Ofiara lub osoba jej bliska musi być zaangażowana w postępowanie, o ile jest to konieczne dla ochrony ich uzasadnionych interesów (zob. </w:t>
      </w:r>
      <w:r w:rsidRPr="0081299B">
        <w:rPr>
          <w:rFonts w:ascii="Times New Roman" w:hAnsi="Times New Roman"/>
          <w:i/>
          <w:lang w:val="pl-PL"/>
        </w:rPr>
        <w:t xml:space="preserve">mutatis mutandis, Paul i Audrey Edwards, </w:t>
      </w:r>
      <w:r w:rsidRPr="0081299B">
        <w:rPr>
          <w:rFonts w:ascii="Times New Roman" w:hAnsi="Times New Roman"/>
          <w:lang w:val="pl-PL"/>
        </w:rPr>
        <w:t xml:space="preserve">wyżej wymieniony, §§ 70-73). </w:t>
      </w:r>
    </w:p>
    <w:p w14:paraId="03814DCA" w14:textId="157BF7EB" w:rsidR="00311E3A" w:rsidRPr="0081299B" w:rsidRDefault="00311E3A" w:rsidP="00C32C2D">
      <w:pPr>
        <w:pStyle w:val="ECHRHeading4"/>
        <w:numPr>
          <w:ilvl w:val="0"/>
          <w:numId w:val="26"/>
        </w:numPr>
        <w:ind w:left="975" w:hanging="340"/>
        <w:rPr>
          <w:rFonts w:ascii="Times New Roman" w:hAnsi="Times New Roman"/>
          <w:lang w:val="pl-PL"/>
        </w:rPr>
      </w:pPr>
      <w:r w:rsidRPr="0081299B">
        <w:rPr>
          <w:rFonts w:ascii="Times New Roman" w:hAnsi="Times New Roman"/>
          <w:lang w:val="pl-PL"/>
        </w:rPr>
        <w:t>Zastosowanie przedstawionych zasad ogólnych w danej sprawie</w:t>
      </w:r>
    </w:p>
    <w:p w14:paraId="1291F5AF" w14:textId="671FE1FF"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Trybunał zauważa na wstępie, że skarżąca wnioskuje do Trybunału o odrzucenie niektórych dowodów przedstawionych przez Rząd z racji tego, że ich wykorzystanie przez władze państwowe byłoby sprzeczne z ustawą nr 2247/1997 o ochronie danych osobowych. Trybunał podnosi, że dokumenty zakwestionowane przez skarżącą dotyczą w szczególności jej kartoteki policyjnej i wszystkie pozostają w związku z niniejszą sprawą. Trybunał stwierdza, że na tyle, na ile mogły one dotyczyć kwestii prawa krajowego, skarżąca mogła korzystać ze środków odwoławczych dostępnych w prawie krajowym. W każdym razie, co się tyczy niniejszego postępowania, Trybunał przypomina, że Przewodnicząca Sekcji przychyliła </w:t>
      </w:r>
      <w:r w:rsidRPr="0081299B">
        <w:rPr>
          <w:rFonts w:ascii="Times New Roman" w:hAnsi="Times New Roman"/>
          <w:lang w:val="pl-PL"/>
        </w:rPr>
        <w:lastRenderedPageBreak/>
        <w:t xml:space="preserve">się do prośby, złożonej przez skarżącą na mocy Reguły 47 § 4 Regulaminu Trybunału, o nieujawnianie jej tożsamości. W konsekwencji, jeśli tożsamość skarżącej nie będzie ujawniona, to zakwestionowane przez nią dokumenty nie będą kojarzone z jej osobą. </w:t>
      </w:r>
    </w:p>
    <w:p w14:paraId="048AF001" w14:textId="7674B656" w:rsidR="00311E3A" w:rsidRPr="0081299B" w:rsidRDefault="00311E3A" w:rsidP="00C32C2D">
      <w:pPr>
        <w:pStyle w:val="ECHRHeading5"/>
        <w:rPr>
          <w:rFonts w:ascii="Times New Roman" w:hAnsi="Times New Roman"/>
          <w:lang w:val="pl-PL"/>
        </w:rPr>
      </w:pPr>
      <w:r w:rsidRPr="0081299B">
        <w:rPr>
          <w:rFonts w:ascii="Times New Roman" w:hAnsi="Times New Roman"/>
          <w:lang w:val="pl-PL"/>
        </w:rPr>
        <w:t xml:space="preserve"> i. Istniejące ramy prawne i regula</w:t>
      </w:r>
      <w:r w:rsidRPr="0081299B">
        <w:rPr>
          <w:rFonts w:ascii="Times New Roman" w:hAnsi="Times New Roman" w:cs="Times New Roman"/>
          <w:lang w:val="pl-PL"/>
        </w:rPr>
        <w:t>cyj</w:t>
      </w:r>
      <w:r w:rsidRPr="0081299B">
        <w:rPr>
          <w:rFonts w:ascii="Times New Roman" w:hAnsi="Times New Roman"/>
          <w:lang w:val="pl-PL"/>
        </w:rPr>
        <w:t>ne</w:t>
      </w:r>
    </w:p>
    <w:p w14:paraId="6125F708" w14:textId="7E2DA01A"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Skarżąca nie podważa ani znaczenia, ani skuteczności greckich ram prawnych dotyczących zapobiegania i zwalczania handlu ludźmi na terytorium Grecji (zob. </w:t>
      </w:r>
      <w:r w:rsidRPr="0081299B">
        <w:rPr>
          <w:rFonts w:ascii="Times New Roman" w:hAnsi="Times New Roman" w:cs="Times New Roman"/>
          <w:i/>
          <w:szCs w:val="24"/>
          <w:lang w:val="pl-PL"/>
        </w:rPr>
        <w:t>m</w:t>
      </w:r>
      <w:r w:rsidRPr="0081299B">
        <w:rPr>
          <w:rFonts w:ascii="Times New Roman" w:hAnsi="Times New Roman"/>
          <w:i/>
          <w:lang w:val="pl-PL"/>
        </w:rPr>
        <w:t xml:space="preserve">utatis mutandis, </w:t>
      </w:r>
      <w:proofErr w:type="spellStart"/>
      <w:r w:rsidRPr="0081299B">
        <w:rPr>
          <w:rFonts w:ascii="Times New Roman" w:hAnsi="Times New Roman"/>
          <w:i/>
          <w:lang w:val="pl-PL"/>
        </w:rPr>
        <w:t>Rantsev</w:t>
      </w:r>
      <w:proofErr w:type="spellEnd"/>
      <w:r w:rsidRPr="0081299B">
        <w:rPr>
          <w:rFonts w:ascii="Times New Roman" w:hAnsi="Times New Roman"/>
          <w:i/>
          <w:lang w:val="pl-PL"/>
        </w:rPr>
        <w:t xml:space="preserve">, </w:t>
      </w:r>
      <w:r w:rsidRPr="0081299B">
        <w:rPr>
          <w:rFonts w:ascii="Times New Roman" w:hAnsi="Times New Roman"/>
          <w:lang w:val="pl-PL"/>
        </w:rPr>
        <w:t>wyżej wymieniony, § 301). Ponadto, w odniesieniu do</w:t>
      </w:r>
      <w:r w:rsidRPr="0081299B">
        <w:rPr>
          <w:rFonts w:ascii="Times New Roman" w:hAnsi="Times New Roman" w:cs="Times New Roman"/>
          <w:szCs w:val="24"/>
          <w:lang w:val="pl-PL"/>
        </w:rPr>
        <w:t xml:space="preserve"> nałożonego na państwo</w:t>
      </w:r>
      <w:r w:rsidRPr="0081299B">
        <w:rPr>
          <w:rFonts w:ascii="Times New Roman" w:hAnsi="Times New Roman"/>
          <w:lang w:val="pl-PL"/>
        </w:rPr>
        <w:t xml:space="preserve"> obowiązku wypracowania ustawodawstwa umożliwiającego karanie przestępstw związanych z tym zjawiskiem, Trybunał stwierdza, że </w:t>
      </w:r>
      <w:r w:rsidRPr="0081299B">
        <w:rPr>
          <w:rFonts w:ascii="Times New Roman" w:hAnsi="Times New Roman" w:cs="Times New Roman"/>
          <w:szCs w:val="24"/>
          <w:lang w:val="pl-PL"/>
        </w:rPr>
        <w:t xml:space="preserve">w czasie, gdy miały miejsce przedmiotowe wydarzenia, </w:t>
      </w:r>
      <w:r w:rsidRPr="0081299B">
        <w:rPr>
          <w:rFonts w:ascii="Times New Roman" w:hAnsi="Times New Roman"/>
          <w:lang w:val="pl-PL"/>
        </w:rPr>
        <w:t xml:space="preserve">grecki Kodeks karny wyraźnie zakazywał handlu ludźmi w celach seksualnych. W szczególności, art. 351 Kodeksu karnego </w:t>
      </w:r>
      <w:r w:rsidRPr="0081299B">
        <w:rPr>
          <w:rFonts w:ascii="Times New Roman" w:hAnsi="Times New Roman" w:cs="Times New Roman"/>
          <w:szCs w:val="24"/>
          <w:lang w:val="pl-PL"/>
        </w:rPr>
        <w:t>definiował</w:t>
      </w:r>
      <w:r w:rsidRPr="0081299B">
        <w:rPr>
          <w:rFonts w:ascii="Times New Roman" w:hAnsi="Times New Roman"/>
          <w:lang w:val="pl-PL"/>
        </w:rPr>
        <w:t xml:space="preserve"> handel ludźmi w sposób zgodny z jego definicją zawartą w Protokole z Palermo i Konwencji Rady Europy w sprawie działań przeciwko handlowi ludźmi (zob. §§ 32 i 37 powyżej). Co więcej, art. 12 ustawy nr 3064/2002 przewiduje szczególne środki ochrony dla ofiar handlu ludźmi w odniesieniu do ich nietykalności fizycznej i wolności osobistej. To samo postanowienie nakłada także na władze</w:t>
      </w:r>
      <w:r w:rsidRPr="0081299B">
        <w:rPr>
          <w:rFonts w:ascii="Times New Roman" w:hAnsi="Times New Roman" w:cs="Times New Roman"/>
          <w:szCs w:val="24"/>
          <w:lang w:val="pl-PL"/>
        </w:rPr>
        <w:t xml:space="preserve"> obowiązek przyznania</w:t>
      </w:r>
      <w:r w:rsidRPr="0081299B">
        <w:rPr>
          <w:rFonts w:ascii="Times New Roman" w:hAnsi="Times New Roman"/>
          <w:lang w:val="pl-PL"/>
        </w:rPr>
        <w:t xml:space="preserve">, między innymi, </w:t>
      </w:r>
      <w:r w:rsidRPr="0081299B">
        <w:rPr>
          <w:rFonts w:ascii="Times New Roman" w:hAnsi="Times New Roman" w:cs="Times New Roman"/>
          <w:szCs w:val="24"/>
          <w:lang w:val="pl-PL"/>
        </w:rPr>
        <w:t>pomocy mieszkaniowej, żywnościowej</w:t>
      </w:r>
      <w:r w:rsidRPr="0081299B">
        <w:rPr>
          <w:rFonts w:ascii="Times New Roman" w:hAnsi="Times New Roman"/>
          <w:lang w:val="pl-PL"/>
        </w:rPr>
        <w:t xml:space="preserve">, w zakresie opieki zdrowotnej i </w:t>
      </w:r>
      <w:r w:rsidRPr="0081299B">
        <w:rPr>
          <w:rFonts w:ascii="Times New Roman" w:hAnsi="Times New Roman" w:cs="Times New Roman"/>
          <w:szCs w:val="24"/>
          <w:lang w:val="pl-PL"/>
        </w:rPr>
        <w:t>pomocy psychologicznej</w:t>
      </w:r>
      <w:r w:rsidRPr="0081299B">
        <w:rPr>
          <w:rFonts w:ascii="Times New Roman" w:hAnsi="Times New Roman"/>
          <w:lang w:val="pl-PL"/>
        </w:rPr>
        <w:t xml:space="preserve"> oraz </w:t>
      </w:r>
      <w:r w:rsidRPr="0081299B">
        <w:rPr>
          <w:rFonts w:ascii="Times New Roman" w:hAnsi="Times New Roman" w:cs="Times New Roman"/>
          <w:szCs w:val="24"/>
          <w:lang w:val="pl-PL"/>
        </w:rPr>
        <w:t>pomocy prawnej</w:t>
      </w:r>
      <w:r w:rsidRPr="0081299B">
        <w:rPr>
          <w:rFonts w:ascii="Times New Roman" w:hAnsi="Times New Roman"/>
          <w:lang w:val="pl-PL"/>
        </w:rPr>
        <w:t xml:space="preserve">. Ponadto, jeżeli ofiara handlu ludźmi jest obcokrajowcem przebywającym na terytorium Grecji, ustawodawstwo obowiązujące w okresie </w:t>
      </w:r>
      <w:r w:rsidRPr="0081299B">
        <w:rPr>
          <w:rFonts w:ascii="Times New Roman" w:hAnsi="Times New Roman" w:cs="Times New Roman"/>
          <w:szCs w:val="24"/>
          <w:lang w:val="pl-PL"/>
        </w:rPr>
        <w:t>przedmiotowych</w:t>
      </w:r>
      <w:r w:rsidRPr="0081299B">
        <w:rPr>
          <w:rFonts w:ascii="Times New Roman" w:hAnsi="Times New Roman"/>
          <w:lang w:val="pl-PL"/>
        </w:rPr>
        <w:t xml:space="preserve"> wydarzeń przewidywało możliwość zawieszenia prowadzonego przeciwko niej postępowania w sprawie jej wydalenia.</w:t>
      </w:r>
    </w:p>
    <w:p w14:paraId="0882CF3E" w14:textId="15ADC4EF"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Wreszcie, Grecja wprowadziła już do swojego prawa krajowego niektóre z głównych aktów prawa międzynarodowego odnoszących się do handlu ludźmi. I tak, poprzez ustawy o numerach 3875/2010 i 4216/2013, zostały ratyfikowane</w:t>
      </w:r>
      <w:r w:rsidRPr="0081299B">
        <w:rPr>
          <w:rFonts w:ascii="Times New Roman" w:hAnsi="Times New Roman" w:cs="Times New Roman"/>
          <w:szCs w:val="24"/>
          <w:lang w:val="pl-PL"/>
        </w:rPr>
        <w:t>, odpowiednio</w:t>
      </w:r>
      <w:r w:rsidRPr="0081299B">
        <w:rPr>
          <w:rFonts w:ascii="Times New Roman" w:hAnsi="Times New Roman"/>
          <w:lang w:val="pl-PL"/>
        </w:rPr>
        <w:t>: Protokół z Palermo i Konwencja Rady Europy w sprawie działań przeciwko handlowi ludźmi. W odniesieniu do prawa europejskiego, ustawa nr 4198/2013 transponowała Dyrektywę 2011/36 Unii Europejskiej o zapobieganiu i ściganiu handlu ludźmi.</w:t>
      </w:r>
    </w:p>
    <w:p w14:paraId="1D552F21" w14:textId="7EFB9BEC"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W związku z powyższym, Trybunał nie uważa, że odpowiednie ustawodawstwo obowiązujące w Grecji w momencie opisywanych wydarzeń nie zapewniło skarżącej praktycznej i skutecznej ochrony.</w:t>
      </w:r>
    </w:p>
    <w:p w14:paraId="67FDC1E7" w14:textId="77777777" w:rsidR="00311E3A" w:rsidRPr="0081299B" w:rsidRDefault="00311E3A" w:rsidP="00C32C2D">
      <w:pPr>
        <w:pStyle w:val="ECHRHeading5"/>
        <w:rPr>
          <w:rFonts w:ascii="Times New Roman" w:hAnsi="Times New Roman"/>
          <w:lang w:val="pl-PL"/>
        </w:rPr>
      </w:pPr>
      <w:r w:rsidRPr="0081299B">
        <w:rPr>
          <w:rFonts w:ascii="Times New Roman" w:hAnsi="Times New Roman"/>
          <w:lang w:val="pl-PL"/>
        </w:rPr>
        <w:t xml:space="preserve"> ii. Dostateczność środków operacyjnych zastosowanych do ochrony skarżącej.</w:t>
      </w:r>
    </w:p>
    <w:p w14:paraId="0D04AE9C" w14:textId="03FB89DB"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Kluczową datą w odniesieniu do obowiązku spoczywającego na władzach podjęcia konkretnych działań w celu ochrony skarżącej jako ofiary handlu ludźmi w celu wykorzystania seksualnego jest 29 listopada </w:t>
      </w:r>
      <w:r w:rsidRPr="0081299B">
        <w:rPr>
          <w:rFonts w:ascii="Times New Roman" w:hAnsi="Times New Roman"/>
          <w:lang w:val="pl-PL"/>
        </w:rPr>
        <w:lastRenderedPageBreak/>
        <w:t>2006 r. Tego dnia</w:t>
      </w:r>
      <w:r w:rsidRPr="0081299B">
        <w:rPr>
          <w:rFonts w:ascii="Times New Roman" w:hAnsi="Times New Roman" w:cs="Times New Roman"/>
          <w:szCs w:val="24"/>
          <w:lang w:val="pl-PL"/>
        </w:rPr>
        <w:t>,</w:t>
      </w:r>
      <w:r w:rsidRPr="0081299B">
        <w:rPr>
          <w:rFonts w:ascii="Times New Roman" w:hAnsi="Times New Roman"/>
          <w:lang w:val="pl-PL"/>
        </w:rPr>
        <w:t xml:space="preserve"> </w:t>
      </w:r>
      <w:r w:rsidR="00234932" w:rsidRPr="0081299B">
        <w:rPr>
          <w:rFonts w:ascii="Times New Roman" w:hAnsi="Times New Roman"/>
          <w:lang w:val="pl-PL"/>
        </w:rPr>
        <w:t xml:space="preserve">podczas jej aresztowania </w:t>
      </w:r>
      <w:r w:rsidRPr="0081299B">
        <w:rPr>
          <w:rFonts w:ascii="Times New Roman" w:hAnsi="Times New Roman"/>
          <w:lang w:val="pl-PL"/>
        </w:rPr>
        <w:t>w celu wydalenia, skarżąca wyraźnie oświadczyła władzom, że była ofiarą handlu ludźmi.</w:t>
      </w:r>
    </w:p>
    <w:p w14:paraId="07AB5B89" w14:textId="27E3266C"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Do Trybunału należy więc zbadanie, czy przed 29 listopada 2006 r. właściwe władze mogły rozsądnie wiedzieć lub podejrzewać, że skarżąca jest ofiarą handlu ludźmi. Poza tym, Trybunał zbada począwszy od tej daty, czy władze policyjne i sądowe podjęły niezbędne działania leżące w ich kompetencjach, aby zapewnić skarżącej odpowiednią ochronę.</w:t>
      </w:r>
    </w:p>
    <w:p w14:paraId="53E34779" w14:textId="572CD422"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Co się tyczy okresu przed 29 listopada 2006 r., skarżąca nie twierdzi, że zwracała uwagę władz na swoją sytuację ofiary handlu ludźmi. Rzeczywiście, z akt sprawy wynika, że pomimo wielokrotnych kontaktów z władzami krajowymi w różnych okolicznościach, nie zostały one </w:t>
      </w:r>
      <w:r w:rsidRPr="0081299B">
        <w:rPr>
          <w:rFonts w:ascii="Times New Roman" w:hAnsi="Times New Roman" w:cs="Times New Roman"/>
          <w:szCs w:val="24"/>
          <w:lang w:val="pl-PL"/>
        </w:rPr>
        <w:t>zawiadomione o szczególnej sytuacji</w:t>
      </w:r>
      <w:r w:rsidRPr="0081299B">
        <w:rPr>
          <w:rFonts w:ascii="Times New Roman" w:hAnsi="Times New Roman"/>
          <w:lang w:val="pl-PL"/>
        </w:rPr>
        <w:t xml:space="preserve"> skarżącej. </w:t>
      </w:r>
      <w:r w:rsidRPr="0081299B">
        <w:rPr>
          <w:rFonts w:ascii="Times New Roman" w:hAnsi="Times New Roman" w:cs="Times New Roman"/>
          <w:szCs w:val="24"/>
          <w:lang w:val="pl-PL"/>
        </w:rPr>
        <w:t>Na</w:t>
      </w:r>
      <w:r w:rsidRPr="0081299B">
        <w:rPr>
          <w:rFonts w:ascii="Times New Roman" w:hAnsi="Times New Roman"/>
          <w:lang w:val="pl-PL"/>
        </w:rPr>
        <w:t xml:space="preserve"> przykład wtedy, kiedy skarżąca składała do właściwych władz wnioski o azyl. Trybunał odnotowuje również fakt, że nawet nie znając jej szczególnej sytuacji, władze zaoferowały skarżącej miejsce w ośrodku pobytu, ale ona nie zgłosiła</w:t>
      </w:r>
      <w:r w:rsidRPr="0081299B">
        <w:rPr>
          <w:rFonts w:ascii="Times New Roman" w:hAnsi="Times New Roman" w:cs="Times New Roman"/>
          <w:szCs w:val="24"/>
          <w:lang w:val="pl-PL"/>
        </w:rPr>
        <w:t xml:space="preserve"> się następnie, by</w:t>
      </w:r>
      <w:r w:rsidRPr="0081299B">
        <w:rPr>
          <w:rFonts w:ascii="Times New Roman" w:hAnsi="Times New Roman"/>
          <w:lang w:val="pl-PL"/>
        </w:rPr>
        <w:t xml:space="preserve"> z niego skorzystać. </w:t>
      </w:r>
    </w:p>
    <w:p w14:paraId="5139C958" w14:textId="58BC3EF1"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Jeżeli chodzi o okres po 29 listopada 2006 r., to właściwe władze nie pozostały obojętne wobec wyraźnego stwierdzenia przez skarżącą, że jest ofiarą handlu ludźmi </w:t>
      </w:r>
      <w:r w:rsidRPr="0081299B">
        <w:rPr>
          <w:rFonts w:ascii="Times New Roman" w:hAnsi="Times New Roman" w:cs="Times New Roman"/>
          <w:szCs w:val="24"/>
          <w:lang w:val="pl-PL"/>
        </w:rPr>
        <w:t>ze strony</w:t>
      </w:r>
      <w:r w:rsidRPr="0081299B">
        <w:rPr>
          <w:rFonts w:ascii="Times New Roman" w:hAnsi="Times New Roman"/>
          <w:lang w:val="pl-PL"/>
        </w:rPr>
        <w:t xml:space="preserve"> K.A. i D.J. Służby policyjne niezwłocznie zareagowały na zawiadomienie</w:t>
      </w:r>
      <w:r w:rsidRPr="0081299B">
        <w:rPr>
          <w:rFonts w:ascii="Times New Roman" w:hAnsi="Times New Roman" w:cs="Times New Roman"/>
          <w:szCs w:val="24"/>
          <w:lang w:val="pl-PL"/>
        </w:rPr>
        <w:t>,</w:t>
      </w:r>
      <w:r w:rsidRPr="0081299B">
        <w:rPr>
          <w:rFonts w:ascii="Times New Roman" w:hAnsi="Times New Roman"/>
          <w:lang w:val="pl-PL"/>
        </w:rPr>
        <w:t xml:space="preserve"> przekazując skarżącą służbom policji wyspecjalizowanym w zwalczaniu handlu ludźmi, w celu zbadania prawdziwości jej twierdzeń. Co więcej, na mocy właściwych przepisów prawa,</w:t>
      </w:r>
      <w:r w:rsidR="00B22DC8" w:rsidRPr="0081299B">
        <w:rPr>
          <w:rFonts w:ascii="Times New Roman" w:hAnsi="Times New Roman"/>
          <w:lang w:val="pl-PL"/>
        </w:rPr>
        <w:t xml:space="preserve"> prowadzone</w:t>
      </w:r>
      <w:r w:rsidR="00CF1870" w:rsidRPr="0081299B">
        <w:rPr>
          <w:rFonts w:ascii="Times New Roman" w:hAnsi="Times New Roman" w:cs="Times New Roman"/>
          <w:szCs w:val="24"/>
          <w:lang w:val="pl-PL"/>
        </w:rPr>
        <w:t xml:space="preserve"> </w:t>
      </w:r>
      <w:r w:rsidRPr="0081299B">
        <w:rPr>
          <w:rFonts w:ascii="Times New Roman" w:hAnsi="Times New Roman"/>
          <w:lang w:val="pl-PL"/>
        </w:rPr>
        <w:t>postępowanie przeciwko skarżącej mające na celu jej wydalenie nie zostało zakończone i wydano jej pozwolenie na pobyt na terytorium Grecji. Wreszcie, w dniu 21 sierpnia 2007 r., prokurator przy Sądzie Karnym w Atenach formalnie zakwalifikował skarżącą jako ofiarę handlu ludźmi, co zostało zresztą potwierdzone wyrokiem nr 193/2012 Sądu Przysięgłych w Atenach.</w:t>
      </w:r>
    </w:p>
    <w:p w14:paraId="30EE0D63" w14:textId="773FA834"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Niemniej jednak, chociaż </w:t>
      </w:r>
      <w:r w:rsidRPr="0081299B">
        <w:rPr>
          <w:rFonts w:ascii="Times New Roman" w:hAnsi="Times New Roman" w:cs="Times New Roman"/>
          <w:szCs w:val="24"/>
          <w:lang w:val="pl-PL"/>
        </w:rPr>
        <w:t xml:space="preserve">w dniu 29 listopada 2006 r. </w:t>
      </w:r>
      <w:r w:rsidRPr="0081299B">
        <w:rPr>
          <w:rFonts w:ascii="Times New Roman" w:hAnsi="Times New Roman"/>
          <w:lang w:val="pl-PL"/>
        </w:rPr>
        <w:t xml:space="preserve">skarżąca wyraźnie przedstawiła władzom swoją sytuację ofiary handlu ludźmi, właściwy prokurator przyznał jej ten status dopiero 21 sierpnia 2007 r., czyli około dziewięć miesięcy później. </w:t>
      </w:r>
      <w:r w:rsidRPr="0081299B">
        <w:rPr>
          <w:rFonts w:ascii="Times New Roman" w:hAnsi="Times New Roman" w:cs="Times New Roman"/>
          <w:szCs w:val="24"/>
          <w:lang w:val="pl-PL"/>
        </w:rPr>
        <w:t>Jednakże</w:t>
      </w:r>
      <w:r w:rsidRPr="0081299B">
        <w:rPr>
          <w:rFonts w:ascii="Times New Roman" w:hAnsi="Times New Roman"/>
          <w:lang w:val="pl-PL"/>
        </w:rPr>
        <w:t xml:space="preserve">, władze krajowe nie mogły </w:t>
      </w:r>
      <w:r w:rsidR="000362E6" w:rsidRPr="0081299B">
        <w:rPr>
          <w:rFonts w:ascii="Times New Roman" w:hAnsi="Times New Roman" w:cs="Times New Roman"/>
          <w:szCs w:val="24"/>
          <w:lang w:val="pl-PL"/>
        </w:rPr>
        <w:t>pomijać</w:t>
      </w:r>
      <w:r w:rsidRPr="0081299B">
        <w:rPr>
          <w:rFonts w:ascii="Times New Roman" w:hAnsi="Times New Roman"/>
          <w:lang w:val="pl-PL"/>
        </w:rPr>
        <w:t xml:space="preserve"> od końca 2006 r., że skarżąca była p</w:t>
      </w:r>
      <w:r w:rsidR="00234932" w:rsidRPr="0081299B">
        <w:rPr>
          <w:rFonts w:ascii="Times New Roman" w:hAnsi="Times New Roman"/>
          <w:lang w:val="pl-PL"/>
        </w:rPr>
        <w:t>rze</w:t>
      </w:r>
      <w:r w:rsidR="005707F0" w:rsidRPr="0081299B">
        <w:rPr>
          <w:rFonts w:ascii="Times New Roman" w:hAnsi="Times New Roman"/>
          <w:lang w:val="pl-PL"/>
        </w:rPr>
        <w:t>dmiotem</w:t>
      </w:r>
      <w:r w:rsidRPr="0081299B">
        <w:rPr>
          <w:rFonts w:ascii="Times New Roman" w:hAnsi="Times New Roman"/>
          <w:lang w:val="pl-PL"/>
        </w:rPr>
        <w:t xml:space="preserve"> handlu ludźmi lub wykorzystywania. </w:t>
      </w:r>
      <w:r w:rsidRPr="0081299B">
        <w:rPr>
          <w:rFonts w:ascii="Times New Roman" w:hAnsi="Times New Roman" w:cs="Times New Roman"/>
          <w:szCs w:val="24"/>
          <w:lang w:val="pl-PL"/>
        </w:rPr>
        <w:t xml:space="preserve">Niezależnie od </w:t>
      </w:r>
      <w:r w:rsidR="005E72F8" w:rsidRPr="0081299B">
        <w:rPr>
          <w:rFonts w:ascii="Times New Roman" w:hAnsi="Times New Roman" w:cs="Times New Roman"/>
          <w:szCs w:val="24"/>
          <w:lang w:val="pl-PL"/>
        </w:rPr>
        <w:t xml:space="preserve">konkretnego </w:t>
      </w:r>
      <w:r w:rsidRPr="0081299B">
        <w:rPr>
          <w:rFonts w:ascii="Times New Roman" w:hAnsi="Times New Roman" w:cs="Times New Roman"/>
          <w:szCs w:val="24"/>
          <w:lang w:val="pl-PL"/>
        </w:rPr>
        <w:t>zawiadomienia skarżącej</w:t>
      </w:r>
      <w:r w:rsidRPr="0081299B">
        <w:rPr>
          <w:rFonts w:ascii="Times New Roman" w:hAnsi="Times New Roman"/>
          <w:lang w:val="pl-PL"/>
        </w:rPr>
        <w:t xml:space="preserve"> i wiedz</w:t>
      </w:r>
      <w:r w:rsidRPr="0081299B">
        <w:rPr>
          <w:rFonts w:ascii="Times New Roman" w:hAnsi="Times New Roman" w:cs="Times New Roman"/>
          <w:szCs w:val="24"/>
          <w:lang w:val="pl-PL"/>
        </w:rPr>
        <w:t>y</w:t>
      </w:r>
      <w:r w:rsidRPr="0081299B">
        <w:rPr>
          <w:rFonts w:ascii="Times New Roman" w:hAnsi="Times New Roman"/>
          <w:lang w:val="pl-PL"/>
        </w:rPr>
        <w:t xml:space="preserve"> władz, że uprawiała</w:t>
      </w:r>
      <w:r w:rsidRPr="0081299B">
        <w:rPr>
          <w:rFonts w:ascii="Times New Roman" w:hAnsi="Times New Roman" w:cs="Times New Roman"/>
          <w:szCs w:val="24"/>
          <w:lang w:val="pl-PL"/>
        </w:rPr>
        <w:t xml:space="preserve"> ona</w:t>
      </w:r>
      <w:r w:rsidRPr="0081299B">
        <w:rPr>
          <w:rFonts w:ascii="Times New Roman" w:hAnsi="Times New Roman"/>
          <w:lang w:val="pl-PL"/>
        </w:rPr>
        <w:t xml:space="preserve"> systematycznie prostytucję, E.S., dyrektorka organizacji rządowej „</w:t>
      </w:r>
      <w:proofErr w:type="spellStart"/>
      <w:r w:rsidRPr="0081299B">
        <w:rPr>
          <w:rFonts w:ascii="Times New Roman" w:hAnsi="Times New Roman"/>
          <w:lang w:val="pl-PL"/>
        </w:rPr>
        <w:t>Nea</w:t>
      </w:r>
      <w:proofErr w:type="spellEnd"/>
      <w:r w:rsidRPr="0081299B">
        <w:rPr>
          <w:rFonts w:ascii="Times New Roman" w:hAnsi="Times New Roman"/>
          <w:lang w:val="pl-PL"/>
        </w:rPr>
        <w:t xml:space="preserve"> </w:t>
      </w:r>
      <w:proofErr w:type="spellStart"/>
      <w:r w:rsidRPr="0081299B">
        <w:rPr>
          <w:rFonts w:ascii="Times New Roman" w:hAnsi="Times New Roman"/>
          <w:lang w:val="pl-PL"/>
        </w:rPr>
        <w:t>Zoi</w:t>
      </w:r>
      <w:proofErr w:type="spellEnd"/>
      <w:r w:rsidRPr="0081299B">
        <w:rPr>
          <w:rFonts w:ascii="Times New Roman" w:hAnsi="Times New Roman"/>
          <w:lang w:val="pl-PL"/>
        </w:rPr>
        <w:t>”, faktycznie potwierdziła dnia 12 grudnia 2006 r. władzom policyjnym, że według jej doświadczenia, skarżąca była wykorzystywana przez kogoś w celach seksualnych, i że z tego względu konieczna była pomoc ze strony państwa. Jak przyznaje Rząd, to zeznanie nie zostało włączone do akt we właściwym czasie. W konsekwencji, okres około dziewięciu miesięcy, który upłynął</w:t>
      </w:r>
      <w:r w:rsidRPr="0081299B">
        <w:rPr>
          <w:rFonts w:ascii="Times New Roman" w:hAnsi="Times New Roman" w:cs="Times New Roman"/>
          <w:szCs w:val="24"/>
          <w:lang w:val="pl-PL"/>
        </w:rPr>
        <w:t>,</w:t>
      </w:r>
      <w:r w:rsidRPr="0081299B">
        <w:rPr>
          <w:rFonts w:ascii="Times New Roman" w:hAnsi="Times New Roman"/>
          <w:lang w:val="pl-PL"/>
        </w:rPr>
        <w:t xml:space="preserve"> zanim skarżąca została uznana za ofiarę handlu ludźmi</w:t>
      </w:r>
      <w:r w:rsidRPr="0081299B">
        <w:rPr>
          <w:rFonts w:ascii="Times New Roman" w:hAnsi="Times New Roman" w:cs="Times New Roman"/>
          <w:szCs w:val="24"/>
          <w:lang w:val="pl-PL"/>
        </w:rPr>
        <w:t>,</w:t>
      </w:r>
      <w:r w:rsidRPr="0081299B">
        <w:rPr>
          <w:rFonts w:ascii="Times New Roman" w:hAnsi="Times New Roman"/>
          <w:lang w:val="pl-PL"/>
        </w:rPr>
        <w:t xml:space="preserve"> nie może być </w:t>
      </w:r>
      <w:r w:rsidRPr="0081299B">
        <w:rPr>
          <w:rFonts w:ascii="Times New Roman" w:hAnsi="Times New Roman" w:cs="Times New Roman"/>
          <w:szCs w:val="24"/>
          <w:lang w:val="pl-PL"/>
        </w:rPr>
        <w:t>uznany za</w:t>
      </w:r>
      <w:r w:rsidRPr="0081299B">
        <w:rPr>
          <w:rFonts w:ascii="Times New Roman" w:hAnsi="Times New Roman"/>
          <w:lang w:val="pl-PL"/>
        </w:rPr>
        <w:t xml:space="preserve"> rozsądny. Jest to tym bardziej prawdziwe, że zaniedbanie właściwych władz mogło wpłynąć negatywnie na osobistą sytuację skarżącej. Istotnie, jej </w:t>
      </w:r>
      <w:r w:rsidRPr="0081299B">
        <w:rPr>
          <w:rFonts w:ascii="Times New Roman" w:hAnsi="Times New Roman"/>
          <w:lang w:val="pl-PL"/>
        </w:rPr>
        <w:lastRenderedPageBreak/>
        <w:t xml:space="preserve">wypuszczenie na wolność mogło zostać opóźnione, skoro </w:t>
      </w:r>
      <w:r w:rsidRPr="0081299B">
        <w:rPr>
          <w:rFonts w:ascii="Times New Roman" w:hAnsi="Times New Roman" w:cs="Times New Roman"/>
          <w:szCs w:val="24"/>
          <w:lang w:val="pl-PL"/>
        </w:rPr>
        <w:t>była pozbawiona wolności</w:t>
      </w:r>
      <w:r w:rsidRPr="0081299B">
        <w:rPr>
          <w:rFonts w:ascii="Times New Roman" w:hAnsi="Times New Roman"/>
          <w:lang w:val="pl-PL"/>
        </w:rPr>
        <w:t xml:space="preserve"> do dnia 20 lutego 2007 r. Wypada przypomnieć, że na mocy art. 12 § 2 ustawy nr 3064/2002 władze krajowe mogły wcześniej zawiesić jej zatrzymanie w celu wydalenia jej z kraju (zob. § 32 powyżej).</w:t>
      </w:r>
    </w:p>
    <w:p w14:paraId="37844F54" w14:textId="560EB65E"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Wynika z tego, że opóźnienie</w:t>
      </w:r>
      <w:r w:rsidRPr="0081299B">
        <w:rPr>
          <w:rFonts w:ascii="Times New Roman" w:hAnsi="Times New Roman" w:cs="Times New Roman"/>
          <w:szCs w:val="24"/>
          <w:lang w:val="pl-PL"/>
        </w:rPr>
        <w:t>,</w:t>
      </w:r>
      <w:r w:rsidRPr="0081299B">
        <w:rPr>
          <w:rFonts w:ascii="Times New Roman" w:hAnsi="Times New Roman"/>
          <w:lang w:val="pl-PL"/>
        </w:rPr>
        <w:t xml:space="preserve"> z jakim władze krajowe uznały, że skarżąca jest ofiarą handlu ludźmi</w:t>
      </w:r>
      <w:r w:rsidRPr="0081299B">
        <w:rPr>
          <w:rFonts w:ascii="Times New Roman" w:hAnsi="Times New Roman" w:cs="Times New Roman"/>
          <w:szCs w:val="24"/>
          <w:lang w:val="pl-PL"/>
        </w:rPr>
        <w:t>, stanowiło istotną wadę</w:t>
      </w:r>
      <w:r w:rsidRPr="0081299B">
        <w:rPr>
          <w:rFonts w:ascii="Times New Roman" w:hAnsi="Times New Roman"/>
          <w:lang w:val="pl-PL"/>
        </w:rPr>
        <w:t xml:space="preserve"> w zakresie działań operacyjnych, jakie władze mogły podjąć dla jej ochrony.</w:t>
      </w:r>
    </w:p>
    <w:p w14:paraId="69E4247A" w14:textId="2EE14C3C" w:rsidR="00311E3A" w:rsidRPr="0081299B" w:rsidRDefault="00311E3A" w:rsidP="00C32C2D">
      <w:pPr>
        <w:pStyle w:val="ECHRHeading5"/>
        <w:rPr>
          <w:rFonts w:ascii="Times New Roman" w:hAnsi="Times New Roman"/>
          <w:lang w:val="pl-PL"/>
        </w:rPr>
      </w:pPr>
      <w:r w:rsidRPr="0081299B">
        <w:rPr>
          <w:rFonts w:ascii="Times New Roman" w:hAnsi="Times New Roman"/>
          <w:lang w:val="pl-PL"/>
        </w:rPr>
        <w:t xml:space="preserve"> iii. </w:t>
      </w:r>
      <w:r w:rsidRPr="0081299B">
        <w:rPr>
          <w:rFonts w:ascii="Times New Roman" w:hAnsi="Times New Roman" w:cs="Times New Roman"/>
          <w:lang w:val="pl-PL"/>
        </w:rPr>
        <w:t>S</w:t>
      </w:r>
      <w:r w:rsidRPr="0081299B">
        <w:rPr>
          <w:rFonts w:ascii="Times New Roman" w:hAnsi="Times New Roman"/>
          <w:lang w:val="pl-PL"/>
        </w:rPr>
        <w:t>kuteczność dochodzenia policyjnego i postępowania sądowego</w:t>
      </w:r>
    </w:p>
    <w:p w14:paraId="705849CA" w14:textId="198C2625"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Trybunał odnotowuje, że skarżąca koncentruje swoją argumentację na dwóch szczególnych aspektach postępowań sądowego i administracyjnego przeprowadzonych w tej </w:t>
      </w:r>
      <w:r w:rsidRPr="0081299B">
        <w:rPr>
          <w:rFonts w:ascii="Times New Roman" w:hAnsi="Times New Roman" w:cs="Times New Roman"/>
          <w:szCs w:val="24"/>
          <w:lang w:val="pl-PL"/>
        </w:rPr>
        <w:t>sprawie</w:t>
      </w:r>
      <w:r w:rsidRPr="0081299B">
        <w:rPr>
          <w:rFonts w:ascii="Times New Roman" w:hAnsi="Times New Roman"/>
          <w:lang w:val="pl-PL"/>
        </w:rPr>
        <w:t>. Co się tyczy postępowania sądowego, podważa ona uniewinnienie D.J. przez Sąd Przysięgłych w Atenach. Poza tym, co się tyczy wstępnego dochodzenia i śledztwa w sprawie, wskazuje na brak staranności władz krajowych, który mógł ograniczyć skuteczność postępowania.</w:t>
      </w:r>
    </w:p>
    <w:p w14:paraId="0613B2B0" w14:textId="47220E70"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Jeżeli chodzi o uniewinnienie D.J., Trybunał przypomina, że zidentyfikowanie i </w:t>
      </w:r>
      <w:r w:rsidRPr="0081299B">
        <w:rPr>
          <w:rFonts w:ascii="Times New Roman" w:hAnsi="Times New Roman" w:cs="Times New Roman"/>
          <w:szCs w:val="24"/>
          <w:lang w:val="pl-PL"/>
        </w:rPr>
        <w:t>ukaranie</w:t>
      </w:r>
      <w:r w:rsidRPr="0081299B">
        <w:rPr>
          <w:rFonts w:ascii="Times New Roman" w:hAnsi="Times New Roman"/>
          <w:lang w:val="pl-PL"/>
        </w:rPr>
        <w:t xml:space="preserve"> osób odpowiedzialnych za handel ludźmi nie jest zobowiązaniem rezultatu, ale </w:t>
      </w:r>
      <w:r w:rsidR="000362E6" w:rsidRPr="0081299B">
        <w:rPr>
          <w:rFonts w:ascii="Times New Roman" w:hAnsi="Times New Roman"/>
          <w:lang w:val="pl-PL"/>
        </w:rPr>
        <w:t>środków</w:t>
      </w:r>
      <w:r w:rsidRPr="0081299B">
        <w:rPr>
          <w:rFonts w:ascii="Times New Roman" w:hAnsi="Times New Roman"/>
          <w:lang w:val="pl-PL"/>
        </w:rPr>
        <w:t xml:space="preserve"> (zob. § 68 powyżej). W tym przypadku, w wyroku liczącym 42 strony i po uwzględnieniu wielu zeznań osób występujących w sprawie, Sąd Przysięgłych orzekł, że nie ustalono, iż oskarżona zmuszała skarżącą do prostytucji. W szczególności, właściwy sąd podniósł, że stwierdzenia skarżącej były niejasne i, opierając się na dowodach</w:t>
      </w:r>
      <w:r w:rsidRPr="0081299B">
        <w:rPr>
          <w:rFonts w:ascii="Times New Roman" w:hAnsi="Times New Roman" w:cs="Times New Roman"/>
          <w:szCs w:val="24"/>
          <w:lang w:val="pl-PL"/>
        </w:rPr>
        <w:t>,</w:t>
      </w:r>
      <w:r w:rsidRPr="0081299B">
        <w:rPr>
          <w:rFonts w:ascii="Times New Roman" w:hAnsi="Times New Roman"/>
          <w:lang w:val="pl-PL"/>
        </w:rPr>
        <w:t xml:space="preserve"> orzekł, że D.J. również była ofiarą handlu ludźmi w celu wykorzystania seksualnego. W konsekwencji, nie można zarzucić Sądowi Przysięgłych w Atenach, że uniewinnił D.J</w:t>
      </w:r>
      <w:r w:rsidRPr="0081299B">
        <w:rPr>
          <w:rFonts w:ascii="Times New Roman" w:hAnsi="Times New Roman" w:cs="Times New Roman"/>
          <w:szCs w:val="24"/>
          <w:lang w:val="pl-PL"/>
        </w:rPr>
        <w:t>.,</w:t>
      </w:r>
      <w:r w:rsidRPr="0081299B">
        <w:rPr>
          <w:rFonts w:ascii="Times New Roman" w:hAnsi="Times New Roman"/>
          <w:lang w:val="pl-PL"/>
        </w:rPr>
        <w:t xml:space="preserve"> wydając wyrok arbitralny lub niedostatecznie umotywowany, bez poszanowania zobowiązania proceduralnego wynikającego z art. 4.</w:t>
      </w:r>
    </w:p>
    <w:p w14:paraId="3CBAB76B" w14:textId="3DF96031"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W sprawie adekwatności dochodzenia policyjnego, Trybunał podnosi na wstępie, że organy policji szybko zareagowały na zawiadomienie złożone przez skarżącą w dniu 29 listopada, która twierdziła, że jest ofiarą handlu ludźmi w celu wykorzystywania seksualnego. Śledztwo zostało powierzone wydziałowi policji wyspecjalizowanemu w zwalczaniu handlu ludźmi. Skarżąca została natychmiast przesłuchana przez oficerów tego wydziału, co więcej, domniemany adres K.A. i D.J. został poddany obserwacji. Ponadto, zebranych zostało wiele zeznań osób występujących w sprawie i początkowe śledztwo, którego niezależnego charakteru skarżąca nie kontestuje, zostało zakończone 22 grudnia 2006 r., tj. w odpowiednim czasie.</w:t>
      </w:r>
    </w:p>
    <w:p w14:paraId="621B6786" w14:textId="07F21359"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Jednak pewne aspekty postępowania administracyjnego i sądowego, </w:t>
      </w:r>
      <w:r w:rsidRPr="0081299B">
        <w:rPr>
          <w:rFonts w:ascii="Times New Roman" w:hAnsi="Times New Roman" w:cs="Times New Roman"/>
          <w:szCs w:val="24"/>
          <w:lang w:val="pl-PL"/>
        </w:rPr>
        <w:t>związane</w:t>
      </w:r>
      <w:r w:rsidRPr="0081299B">
        <w:rPr>
          <w:rFonts w:ascii="Times New Roman" w:hAnsi="Times New Roman"/>
          <w:lang w:val="pl-PL"/>
        </w:rPr>
        <w:t xml:space="preserve"> w szczególności z wymog</w:t>
      </w:r>
      <w:r w:rsidRPr="0081299B">
        <w:rPr>
          <w:rFonts w:ascii="Times New Roman" w:hAnsi="Times New Roman" w:cs="Times New Roman"/>
          <w:szCs w:val="24"/>
          <w:lang w:val="pl-PL"/>
        </w:rPr>
        <w:t>iem</w:t>
      </w:r>
      <w:r w:rsidRPr="0081299B">
        <w:rPr>
          <w:rFonts w:ascii="Times New Roman" w:hAnsi="Times New Roman"/>
          <w:lang w:val="pl-PL"/>
        </w:rPr>
        <w:t xml:space="preserve"> dokładności i</w:t>
      </w:r>
      <w:r w:rsidR="005E72F8" w:rsidRPr="0081299B">
        <w:rPr>
          <w:rFonts w:ascii="Times New Roman" w:hAnsi="Times New Roman"/>
          <w:lang w:val="pl-PL"/>
        </w:rPr>
        <w:t xml:space="preserve"> staranności</w:t>
      </w:r>
      <w:r w:rsidRPr="0081299B">
        <w:rPr>
          <w:rFonts w:ascii="Times New Roman" w:hAnsi="Times New Roman" w:cs="Times New Roman"/>
          <w:szCs w:val="24"/>
          <w:lang w:val="pl-PL"/>
        </w:rPr>
        <w:t>,</w:t>
      </w:r>
      <w:r w:rsidRPr="0081299B">
        <w:rPr>
          <w:rFonts w:ascii="Times New Roman" w:hAnsi="Times New Roman"/>
          <w:lang w:val="pl-PL"/>
        </w:rPr>
        <w:t xml:space="preserve"> nie są zadowalające. Na wstępie, </w:t>
      </w:r>
      <w:r w:rsidRPr="0081299B">
        <w:rPr>
          <w:rFonts w:ascii="Times New Roman" w:hAnsi="Times New Roman" w:cs="Times New Roman"/>
          <w:szCs w:val="24"/>
          <w:lang w:val="pl-PL"/>
        </w:rPr>
        <w:t>zawiadomienie</w:t>
      </w:r>
      <w:r w:rsidRPr="0081299B">
        <w:rPr>
          <w:rFonts w:ascii="Times New Roman" w:hAnsi="Times New Roman"/>
          <w:lang w:val="pl-PL"/>
        </w:rPr>
        <w:t xml:space="preserve"> skarżącej został</w:t>
      </w:r>
      <w:r w:rsidRPr="0081299B">
        <w:rPr>
          <w:rFonts w:ascii="Times New Roman" w:hAnsi="Times New Roman" w:cs="Times New Roman"/>
          <w:szCs w:val="24"/>
          <w:lang w:val="pl-PL"/>
        </w:rPr>
        <w:t>o</w:t>
      </w:r>
      <w:r w:rsidRPr="0081299B">
        <w:rPr>
          <w:rFonts w:ascii="Times New Roman" w:hAnsi="Times New Roman"/>
          <w:lang w:val="pl-PL"/>
        </w:rPr>
        <w:t xml:space="preserve"> na początku, tj. </w:t>
      </w:r>
      <w:r w:rsidRPr="0081299B">
        <w:rPr>
          <w:rFonts w:ascii="Times New Roman" w:hAnsi="Times New Roman"/>
          <w:lang w:val="pl-PL"/>
        </w:rPr>
        <w:lastRenderedPageBreak/>
        <w:t>w dniu 28 grudnia 2006 r., odrzucon</w:t>
      </w:r>
      <w:r w:rsidRPr="0081299B">
        <w:rPr>
          <w:rFonts w:ascii="Times New Roman" w:hAnsi="Times New Roman" w:cs="Times New Roman"/>
          <w:szCs w:val="24"/>
          <w:lang w:val="pl-PL"/>
        </w:rPr>
        <w:t>e</w:t>
      </w:r>
      <w:r w:rsidRPr="0081299B">
        <w:rPr>
          <w:rFonts w:ascii="Times New Roman" w:hAnsi="Times New Roman"/>
          <w:lang w:val="pl-PL"/>
        </w:rPr>
        <w:t xml:space="preserve"> przez właściwego prokuratora. </w:t>
      </w:r>
      <w:r w:rsidRPr="0081299B">
        <w:rPr>
          <w:rFonts w:ascii="Times New Roman" w:hAnsi="Times New Roman" w:cs="Times New Roman"/>
          <w:szCs w:val="24"/>
          <w:lang w:val="pl-PL"/>
        </w:rPr>
        <w:t>Jednakże</w:t>
      </w:r>
      <w:r w:rsidRPr="0081299B">
        <w:rPr>
          <w:rFonts w:ascii="Times New Roman" w:hAnsi="Times New Roman"/>
          <w:lang w:val="pl-PL"/>
        </w:rPr>
        <w:t xml:space="preserve"> prokurator nie dysponował zeznaniem E.S., dyrektorki organizacji pozarządowej „</w:t>
      </w:r>
      <w:proofErr w:type="spellStart"/>
      <w:r w:rsidRPr="0081299B">
        <w:rPr>
          <w:rFonts w:ascii="Times New Roman" w:hAnsi="Times New Roman"/>
          <w:lang w:val="pl-PL"/>
        </w:rPr>
        <w:t>Nea</w:t>
      </w:r>
      <w:proofErr w:type="spellEnd"/>
      <w:r w:rsidRPr="0081299B">
        <w:rPr>
          <w:rFonts w:ascii="Times New Roman" w:hAnsi="Times New Roman"/>
          <w:lang w:val="pl-PL"/>
        </w:rPr>
        <w:t xml:space="preserve"> </w:t>
      </w:r>
      <w:proofErr w:type="spellStart"/>
      <w:r w:rsidRPr="0081299B">
        <w:rPr>
          <w:rFonts w:ascii="Times New Roman" w:hAnsi="Times New Roman"/>
          <w:lang w:val="pl-PL"/>
        </w:rPr>
        <w:t>Zoi</w:t>
      </w:r>
      <w:proofErr w:type="spellEnd"/>
      <w:r w:rsidRPr="0081299B">
        <w:rPr>
          <w:rFonts w:ascii="Times New Roman" w:hAnsi="Times New Roman"/>
          <w:lang w:val="pl-PL"/>
        </w:rPr>
        <w:t xml:space="preserve">”, która potwierdziła, w wyniku licznych kontaktów ze skarżącą, że faktycznie jest ona ofiarą handlu ludźmi w celu wykorzystania seksualnego. Przypomina się, że to zeznanie, nie zostało, zdaniem Rządu, dołączone do akt z powodu nieuwagi władz policyjnych. Trybunał uważa, że to pominięcie mogło prawdopodobnie mieć negatywny wpływ na wstępną ocenę </w:t>
      </w:r>
      <w:r w:rsidRPr="0081299B">
        <w:rPr>
          <w:rFonts w:ascii="Times New Roman" w:hAnsi="Times New Roman" w:cs="Times New Roman"/>
          <w:szCs w:val="24"/>
          <w:lang w:val="pl-PL"/>
        </w:rPr>
        <w:t>zawiadomienia</w:t>
      </w:r>
      <w:r w:rsidRPr="0081299B">
        <w:rPr>
          <w:rFonts w:ascii="Times New Roman" w:hAnsi="Times New Roman"/>
          <w:lang w:val="pl-PL"/>
        </w:rPr>
        <w:t xml:space="preserve"> przez prokuratora przy Sądzie Karnym; istotnie, to zeznanie</w:t>
      </w:r>
      <w:r w:rsidR="005E72F8" w:rsidRPr="0081299B">
        <w:rPr>
          <w:rFonts w:ascii="Times New Roman" w:hAnsi="Times New Roman"/>
          <w:lang w:val="pl-PL"/>
        </w:rPr>
        <w:t xml:space="preserve"> do akt sprawy </w:t>
      </w:r>
      <w:r w:rsidRPr="0081299B">
        <w:rPr>
          <w:rFonts w:ascii="Times New Roman" w:hAnsi="Times New Roman"/>
          <w:lang w:val="pl-PL"/>
        </w:rPr>
        <w:t xml:space="preserve">zostało uwzględnione przez prokuratora przy Sądzie Apelacyjnym, kiedy ten ostatni </w:t>
      </w:r>
      <w:r w:rsidRPr="0081299B">
        <w:rPr>
          <w:rFonts w:ascii="Times New Roman" w:hAnsi="Times New Roman" w:cs="Times New Roman"/>
          <w:szCs w:val="24"/>
          <w:lang w:val="pl-PL"/>
        </w:rPr>
        <w:t>nakazał</w:t>
      </w:r>
      <w:r w:rsidRPr="0081299B">
        <w:rPr>
          <w:rFonts w:ascii="Times New Roman" w:hAnsi="Times New Roman"/>
          <w:lang w:val="pl-PL"/>
        </w:rPr>
        <w:t xml:space="preserve">, dnia 1 czerwca 2007 r., prokuratorowi przy Sądzie Karnym wszczęcie postępowania karnego. Poza zaniechaniem włączenia tego zeznania do akt sprawy, właściwe organy sądowe nie podjęły z własnej inicjatywy ponownego rozpoznania zarzutów skarżącej, w następstwie jego dołączenia. To skarżąca przyczyniła się do </w:t>
      </w:r>
      <w:r w:rsidRPr="0081299B">
        <w:rPr>
          <w:rFonts w:ascii="Times New Roman" w:hAnsi="Times New Roman" w:cs="Times New Roman"/>
          <w:szCs w:val="24"/>
          <w:lang w:val="pl-PL"/>
        </w:rPr>
        <w:t>podjęcia</w:t>
      </w:r>
      <w:r w:rsidRPr="0081299B">
        <w:rPr>
          <w:rFonts w:ascii="Times New Roman" w:hAnsi="Times New Roman"/>
          <w:lang w:val="pl-PL"/>
        </w:rPr>
        <w:t xml:space="preserve"> </w:t>
      </w:r>
      <w:r w:rsidR="006B441D" w:rsidRPr="0081299B">
        <w:rPr>
          <w:rFonts w:ascii="Times New Roman" w:hAnsi="Times New Roman"/>
          <w:lang w:val="pl-PL"/>
        </w:rPr>
        <w:t xml:space="preserve">na nowo </w:t>
      </w:r>
      <w:r w:rsidRPr="0081299B">
        <w:rPr>
          <w:rFonts w:ascii="Times New Roman" w:hAnsi="Times New Roman"/>
          <w:lang w:val="pl-PL"/>
        </w:rPr>
        <w:t>postępowania</w:t>
      </w:r>
      <w:r w:rsidRPr="0081299B">
        <w:rPr>
          <w:rFonts w:ascii="Times New Roman" w:hAnsi="Times New Roman" w:cs="Times New Roman"/>
          <w:szCs w:val="24"/>
          <w:lang w:val="pl-PL"/>
        </w:rPr>
        <w:t>, kierując wniosek</w:t>
      </w:r>
      <w:r w:rsidRPr="0081299B">
        <w:rPr>
          <w:rFonts w:ascii="Times New Roman" w:hAnsi="Times New Roman"/>
          <w:lang w:val="pl-PL"/>
        </w:rPr>
        <w:t xml:space="preserve"> w dniu 26 stycznia 2007 do prokuratury przy sądzie karnym. Wreszcie, prokurator przy Sądzie Apelacyjnym w Atenach zarządził </w:t>
      </w:r>
      <w:r w:rsidRPr="0081299B">
        <w:rPr>
          <w:rFonts w:ascii="Times New Roman" w:hAnsi="Times New Roman" w:cs="Times New Roman"/>
          <w:szCs w:val="24"/>
          <w:lang w:val="pl-PL"/>
        </w:rPr>
        <w:t>podjęcie</w:t>
      </w:r>
      <w:r w:rsidRPr="0081299B">
        <w:rPr>
          <w:rFonts w:ascii="Times New Roman" w:hAnsi="Times New Roman"/>
          <w:lang w:val="pl-PL"/>
        </w:rPr>
        <w:t xml:space="preserve"> </w:t>
      </w:r>
      <w:r w:rsidR="006B441D" w:rsidRPr="0081299B">
        <w:rPr>
          <w:rFonts w:ascii="Times New Roman" w:hAnsi="Times New Roman"/>
          <w:lang w:val="pl-PL"/>
        </w:rPr>
        <w:t xml:space="preserve">na nowo </w:t>
      </w:r>
      <w:r w:rsidRPr="0081299B">
        <w:rPr>
          <w:rFonts w:ascii="Times New Roman" w:hAnsi="Times New Roman"/>
          <w:lang w:val="pl-PL"/>
        </w:rPr>
        <w:t xml:space="preserve">śledztwa dopiero 1 czerwca 2007 r. Rząd nie przedstawił wyjaśnienia dla tego 5-miesięcznego okresu bezczynności. Trybunał uważa, że skutkiem tych działań i zaniechań właściwych władz jest wydłużenie okresu między zawiadomieniem na temat spornej sytuacji złożonym przez skarżącą, a rozpoczęciem ścigania karnego K.A. i D.J. </w:t>
      </w:r>
      <w:r w:rsidRPr="0081299B">
        <w:rPr>
          <w:rFonts w:ascii="Times New Roman" w:hAnsi="Times New Roman" w:cs="Times New Roman"/>
          <w:szCs w:val="24"/>
          <w:lang w:val="pl-PL"/>
        </w:rPr>
        <w:t>Jednakże</w:t>
      </w:r>
      <w:r w:rsidRPr="0081299B">
        <w:rPr>
          <w:rFonts w:ascii="Times New Roman" w:hAnsi="Times New Roman"/>
          <w:lang w:val="pl-PL"/>
        </w:rPr>
        <w:t>, okres ten był kluczowy dla szybkiego przebiegu postępowania.</w:t>
      </w:r>
    </w:p>
    <w:p w14:paraId="505F6FD9" w14:textId="31FC95B3"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Po drugie, pewne braki we wstępnym śledztwie i w postępowaniu dowodowym w sprawie zmniejszyły jego skuteczność. I tak, co prawda kamienica w dzielnicy </w:t>
      </w:r>
      <w:proofErr w:type="spellStart"/>
      <w:r w:rsidRPr="0081299B">
        <w:rPr>
          <w:rFonts w:ascii="Times New Roman" w:hAnsi="Times New Roman"/>
          <w:lang w:val="pl-PL"/>
        </w:rPr>
        <w:t>Kypseli</w:t>
      </w:r>
      <w:proofErr w:type="spellEnd"/>
      <w:r w:rsidRPr="0081299B">
        <w:rPr>
          <w:rFonts w:ascii="Times New Roman" w:hAnsi="Times New Roman"/>
          <w:lang w:val="pl-PL"/>
        </w:rPr>
        <w:t xml:space="preserve"> zaraz po wpłynięciu zawiadomienia złożonego przez skarżącą została poddana obserwacji przez policję w celu namierzenia K.A. </w:t>
      </w:r>
      <w:r w:rsidRPr="0081299B">
        <w:rPr>
          <w:rFonts w:ascii="Times New Roman" w:hAnsi="Times New Roman" w:cs="Times New Roman"/>
          <w:szCs w:val="24"/>
          <w:lang w:val="pl-PL"/>
        </w:rPr>
        <w:t>Tym niemniej</w:t>
      </w:r>
      <w:r w:rsidRPr="0081299B">
        <w:rPr>
          <w:rFonts w:ascii="Times New Roman" w:hAnsi="Times New Roman"/>
          <w:lang w:val="pl-PL"/>
        </w:rPr>
        <w:t>, po stwierdzeniu, że ten ostatni tam już nie mieszka, policja nie rozszerzyła swoich poszukiwań na inne adresy wyraźnie wymienione przez skarżącą w zeznaniu pod przysięgą. Nie wydaje się również, żeby próbowała zebrać inne informacje</w:t>
      </w:r>
      <w:r w:rsidRPr="0081299B">
        <w:rPr>
          <w:rFonts w:ascii="Times New Roman" w:hAnsi="Times New Roman" w:cs="Times New Roman"/>
          <w:szCs w:val="24"/>
          <w:lang w:val="pl-PL"/>
        </w:rPr>
        <w:t>,</w:t>
      </w:r>
      <w:r w:rsidRPr="0081299B">
        <w:rPr>
          <w:rFonts w:ascii="Times New Roman" w:hAnsi="Times New Roman"/>
          <w:lang w:val="pl-PL"/>
        </w:rPr>
        <w:t xml:space="preserve"> między innymi poprzez rozpytanie personelu hotelu w centrum Aten, przed którym skarżąca regularnie się prostytuowała. Należy odnotować, że zintensyfikowanie poszukiwania K.A. wydawało się kluczowe na tym etapie postępowania, z racji tego, że D.J., czyli jego domniemana wspólniczka, już została wezwana 21 grudnia 2006 r. przez policję w celu przesłuchania w ramach wstępnego śledztwa.</w:t>
      </w:r>
    </w:p>
    <w:p w14:paraId="7852AE72" w14:textId="0E1751FB"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Po trzecie, zarówno wstępne dochodzenie, jak i postępowanie wyjaśniające przeprowadzone zostały ze </w:t>
      </w:r>
      <w:r w:rsidRPr="0081299B">
        <w:rPr>
          <w:rFonts w:ascii="Times New Roman" w:hAnsi="Times New Roman" w:cs="Times New Roman"/>
          <w:szCs w:val="24"/>
          <w:lang w:val="pl-PL"/>
        </w:rPr>
        <w:t>znacznymi opóźnieniami.</w:t>
      </w:r>
      <w:r w:rsidRPr="0081299B">
        <w:rPr>
          <w:rFonts w:ascii="Times New Roman" w:hAnsi="Times New Roman"/>
          <w:lang w:val="pl-PL"/>
        </w:rPr>
        <w:t xml:space="preserve"> W ten sposób, od rozpoczęcia w dniu 21 grudnia 2007 r. postępowania karnego dotyczącego K.A. i D.J. minęło </w:t>
      </w:r>
      <w:r w:rsidR="005E72F8" w:rsidRPr="0081299B">
        <w:rPr>
          <w:rFonts w:ascii="Times New Roman" w:hAnsi="Times New Roman" w:cs="Times New Roman"/>
          <w:szCs w:val="24"/>
          <w:lang w:val="pl-PL"/>
        </w:rPr>
        <w:t>ponad</w:t>
      </w:r>
      <w:r w:rsidR="005E72F8" w:rsidRPr="0081299B">
        <w:rPr>
          <w:rFonts w:ascii="Times New Roman" w:hAnsi="Times New Roman"/>
          <w:lang w:val="pl-PL"/>
        </w:rPr>
        <w:t xml:space="preserve"> </w:t>
      </w:r>
      <w:r w:rsidRPr="0081299B">
        <w:rPr>
          <w:rFonts w:ascii="Times New Roman" w:hAnsi="Times New Roman"/>
          <w:lang w:val="pl-PL"/>
        </w:rPr>
        <w:t>cztery lata i osiem miesięcy</w:t>
      </w:r>
      <w:r w:rsidRPr="0081299B">
        <w:rPr>
          <w:rFonts w:ascii="Times New Roman" w:hAnsi="Times New Roman" w:cs="Times New Roman"/>
          <w:szCs w:val="24"/>
          <w:lang w:val="pl-PL"/>
        </w:rPr>
        <w:t>,</w:t>
      </w:r>
      <w:r w:rsidRPr="0081299B">
        <w:rPr>
          <w:rFonts w:ascii="Times New Roman" w:hAnsi="Times New Roman"/>
          <w:lang w:val="pl-PL"/>
        </w:rPr>
        <w:t xml:space="preserve"> zanim odbyła się rozprawa w tej sprawie przed Sądem Przysięgłych w Atenach. Oczywiście Trybunał dostrzega, że to opóźnienie jest w pewnym stopniu uzasadnione z uwagi na to, że w międzyczasie K.A. i D.J. zbiegli, </w:t>
      </w:r>
      <w:r w:rsidRPr="0081299B">
        <w:rPr>
          <w:rFonts w:ascii="Times New Roman" w:hAnsi="Times New Roman" w:cs="Times New Roman"/>
          <w:szCs w:val="24"/>
          <w:lang w:val="pl-PL"/>
        </w:rPr>
        <w:t>a</w:t>
      </w:r>
      <w:r w:rsidRPr="0081299B">
        <w:rPr>
          <w:rFonts w:ascii="Times New Roman" w:hAnsi="Times New Roman"/>
          <w:lang w:val="pl-PL"/>
        </w:rPr>
        <w:t xml:space="preserve"> </w:t>
      </w:r>
      <w:r w:rsidRPr="0081299B">
        <w:rPr>
          <w:rFonts w:ascii="Times New Roman" w:hAnsi="Times New Roman"/>
          <w:lang w:val="pl-PL"/>
        </w:rPr>
        <w:lastRenderedPageBreak/>
        <w:t>rozprawa w tej sprawie nie mogła się odbyć pod ich nieobecność. Jednak zostały stwierdzone</w:t>
      </w:r>
      <w:r w:rsidRPr="0081299B">
        <w:rPr>
          <w:rFonts w:ascii="Times New Roman" w:hAnsi="Times New Roman" w:cs="Times New Roman"/>
          <w:szCs w:val="24"/>
          <w:lang w:val="pl-PL"/>
        </w:rPr>
        <w:t xml:space="preserve"> znaczne opóźnienia</w:t>
      </w:r>
      <w:r w:rsidRPr="0081299B">
        <w:rPr>
          <w:rFonts w:ascii="Times New Roman" w:hAnsi="Times New Roman"/>
          <w:lang w:val="pl-PL"/>
        </w:rPr>
        <w:t xml:space="preserve"> pomiędzy różnymi stadiami postępowania, dla których Rząd nie przedstawia wytłumaczenia. I tak, ponad sześć i pół miesiąca upłynęło pomiędzy rozpoczęciem postępowania karnego w dniu 21 sierpnia 2007 r. a dniem 13 marca 2008 r. – wezwaniem K.A. i D.J do stawienia się przed sądem. Otóż w tym czasie nie mieszkali oni w </w:t>
      </w:r>
      <w:proofErr w:type="spellStart"/>
      <w:r w:rsidRPr="0081299B">
        <w:rPr>
          <w:rFonts w:ascii="Times New Roman" w:hAnsi="Times New Roman"/>
          <w:lang w:val="pl-PL"/>
        </w:rPr>
        <w:t>Kypseli</w:t>
      </w:r>
      <w:proofErr w:type="spellEnd"/>
      <w:r w:rsidRPr="0081299B">
        <w:rPr>
          <w:rFonts w:ascii="Times New Roman" w:hAnsi="Times New Roman"/>
          <w:lang w:val="pl-PL"/>
        </w:rPr>
        <w:t xml:space="preserve">. Poza tym, Rząd nie przedstawia wyjaśnienia około jedenastomiesięcznej zwłoki pomiędzy zamknięciem dochodzenia </w:t>
      </w:r>
      <w:r w:rsidRPr="0081299B">
        <w:rPr>
          <w:rFonts w:ascii="Times New Roman" w:hAnsi="Times New Roman" w:cs="Times New Roman"/>
          <w:szCs w:val="24"/>
          <w:lang w:val="pl-PL"/>
        </w:rPr>
        <w:t xml:space="preserve">w dniu </w:t>
      </w:r>
      <w:r w:rsidRPr="0081299B">
        <w:rPr>
          <w:rFonts w:ascii="Times New Roman" w:hAnsi="Times New Roman"/>
          <w:lang w:val="pl-PL"/>
        </w:rPr>
        <w:t xml:space="preserve">31 marca 2008 r. a </w:t>
      </w:r>
      <w:r w:rsidRPr="0081299B">
        <w:rPr>
          <w:rFonts w:ascii="Times New Roman" w:hAnsi="Times New Roman" w:cs="Times New Roman"/>
          <w:szCs w:val="24"/>
          <w:lang w:val="pl-PL"/>
        </w:rPr>
        <w:t xml:space="preserve">dniem </w:t>
      </w:r>
      <w:r w:rsidRPr="0081299B">
        <w:rPr>
          <w:rFonts w:ascii="Times New Roman" w:hAnsi="Times New Roman"/>
          <w:lang w:val="pl-PL"/>
        </w:rPr>
        <w:t xml:space="preserve">25 lutego 2009 r., kiedy </w:t>
      </w:r>
      <w:r w:rsidRPr="0081299B">
        <w:rPr>
          <w:rFonts w:ascii="Times New Roman" w:hAnsi="Times New Roman" w:cs="Times New Roman"/>
          <w:szCs w:val="24"/>
          <w:lang w:val="pl-PL"/>
        </w:rPr>
        <w:t xml:space="preserve">sprawa </w:t>
      </w:r>
      <w:r w:rsidRPr="0081299B">
        <w:rPr>
          <w:rFonts w:ascii="Times New Roman" w:hAnsi="Times New Roman"/>
          <w:lang w:val="pl-PL"/>
        </w:rPr>
        <w:t xml:space="preserve">K.A. i D.J. </w:t>
      </w:r>
      <w:r w:rsidRPr="0081299B">
        <w:rPr>
          <w:rFonts w:ascii="Times New Roman" w:hAnsi="Times New Roman" w:cs="Times New Roman"/>
          <w:szCs w:val="24"/>
          <w:lang w:val="pl-PL"/>
        </w:rPr>
        <w:t>została skierowana do sądu</w:t>
      </w:r>
      <w:r w:rsidRPr="0081299B">
        <w:rPr>
          <w:rFonts w:ascii="Times New Roman" w:hAnsi="Times New Roman"/>
          <w:lang w:val="pl-PL"/>
        </w:rPr>
        <w:t xml:space="preserve">. </w:t>
      </w:r>
    </w:p>
    <w:p w14:paraId="16FB4AB8" w14:textId="591E3D0E"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Wreszcie, co się tyczy K.A., domniemanego głównego sprawcy czynów związanych z handlem ludźmi na szkodę skarżącej, z akt nie wynika, </w:t>
      </w:r>
      <w:r w:rsidRPr="0081299B">
        <w:rPr>
          <w:rFonts w:ascii="Times New Roman" w:hAnsi="Times New Roman" w:cs="Times New Roman"/>
          <w:szCs w:val="24"/>
          <w:lang w:val="pl-PL"/>
        </w:rPr>
        <w:t>by – poza wpisaniem go do policyjnej kartoteki karnej osób poszukiwanych –</w:t>
      </w:r>
      <w:r w:rsidRPr="0081299B">
        <w:rPr>
          <w:rFonts w:ascii="Times New Roman" w:hAnsi="Times New Roman"/>
          <w:lang w:val="pl-PL"/>
        </w:rPr>
        <w:t xml:space="preserve"> władze krajowe podjęły jakieś konkretne działania w celu zlokalizowania go i doprowadzenia przed sąd. Co więcej, nawet w odniesieniu do okresu po rozprawie w sprawie przed Sądem Przysięgłych w Atenach i uniewinnieniu D.J., Rząd nie dostarcza konkretnych informacji </w:t>
      </w:r>
      <w:r w:rsidRPr="0081299B">
        <w:rPr>
          <w:rFonts w:ascii="Times New Roman" w:hAnsi="Times New Roman" w:cs="Times New Roman"/>
          <w:szCs w:val="24"/>
          <w:lang w:val="pl-PL"/>
        </w:rPr>
        <w:t>na temat stanu dochodzenia</w:t>
      </w:r>
      <w:r w:rsidRPr="0081299B">
        <w:rPr>
          <w:rFonts w:ascii="Times New Roman" w:hAnsi="Times New Roman"/>
          <w:lang w:val="pl-PL"/>
        </w:rPr>
        <w:t xml:space="preserve"> policji w sprawie losu K.A. Tak więc, na przykład</w:t>
      </w:r>
      <w:r w:rsidRPr="0081299B">
        <w:rPr>
          <w:rFonts w:ascii="Times New Roman" w:hAnsi="Times New Roman" w:cs="Times New Roman"/>
          <w:szCs w:val="24"/>
          <w:lang w:val="pl-PL"/>
        </w:rPr>
        <w:t>,</w:t>
      </w:r>
      <w:r w:rsidRPr="0081299B">
        <w:rPr>
          <w:rFonts w:ascii="Times New Roman" w:hAnsi="Times New Roman"/>
          <w:lang w:val="pl-PL"/>
        </w:rPr>
        <w:t xml:space="preserve"> z akt nie wynika, </w:t>
      </w:r>
      <w:r w:rsidRPr="0081299B">
        <w:rPr>
          <w:rFonts w:ascii="Times New Roman" w:hAnsi="Times New Roman" w:cs="Times New Roman"/>
          <w:szCs w:val="24"/>
          <w:lang w:val="pl-PL"/>
        </w:rPr>
        <w:t>by</w:t>
      </w:r>
      <w:r w:rsidRPr="0081299B">
        <w:rPr>
          <w:rFonts w:ascii="Times New Roman" w:hAnsi="Times New Roman"/>
          <w:lang w:val="pl-PL"/>
        </w:rPr>
        <w:t xml:space="preserve"> władze greckie nawiązały współpracę i kontakt z władzami nigeryjskimi w celu namierzenia i zatrzymania K.A. (zob. </w:t>
      </w:r>
      <w:r w:rsidRPr="0081299B">
        <w:rPr>
          <w:rFonts w:ascii="Times New Roman" w:hAnsi="Times New Roman"/>
          <w:i/>
          <w:lang w:val="pl-PL"/>
        </w:rPr>
        <w:t xml:space="preserve">a contrario, M. i inni przeciwko Włochom i Bułgarii, </w:t>
      </w:r>
      <w:r w:rsidRPr="0081299B">
        <w:rPr>
          <w:rFonts w:ascii="Times New Roman" w:hAnsi="Times New Roman"/>
          <w:lang w:val="pl-PL"/>
        </w:rPr>
        <w:t>nr 40020/03, § 169, 31 lipca 2012 r.).</w:t>
      </w:r>
    </w:p>
    <w:p w14:paraId="416E3FB3" w14:textId="6DEDE632" w:rsidR="00311E3A" w:rsidRPr="0081299B" w:rsidRDefault="00311E3A" w:rsidP="00C32C2D">
      <w:pPr>
        <w:pStyle w:val="ECHRHeading4"/>
        <w:numPr>
          <w:ilvl w:val="0"/>
          <w:numId w:val="26"/>
        </w:numPr>
        <w:ind w:left="975" w:hanging="340"/>
        <w:rPr>
          <w:rFonts w:ascii="Times New Roman" w:hAnsi="Times New Roman"/>
          <w:lang w:val="pl-PL"/>
        </w:rPr>
      </w:pPr>
      <w:r w:rsidRPr="0081299B">
        <w:rPr>
          <w:rFonts w:ascii="Times New Roman" w:hAnsi="Times New Roman"/>
          <w:lang w:val="pl-PL"/>
        </w:rPr>
        <w:t>Konkluzja</w:t>
      </w:r>
    </w:p>
    <w:p w14:paraId="3D8E7B1D" w14:textId="35A6D91C"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W związku z powyższym, Trybunał stwierdza brak</w:t>
      </w:r>
      <w:r w:rsidR="000362E6" w:rsidRPr="0081299B">
        <w:rPr>
          <w:rFonts w:ascii="Times New Roman" w:hAnsi="Times New Roman"/>
          <w:lang w:val="pl-PL"/>
        </w:rPr>
        <w:t xml:space="preserve"> szybkości</w:t>
      </w:r>
      <w:r w:rsidRPr="0081299B">
        <w:rPr>
          <w:rFonts w:ascii="Times New Roman" w:hAnsi="Times New Roman"/>
          <w:lang w:val="pl-PL"/>
        </w:rPr>
        <w:t xml:space="preserve"> w podejmowaniu działań operacyjnych na rzecz skarżącej oraz niedopełnienie obowiązków proceduralnych ciążących na Grecji zgodnie z art. 4 Konwencji. Trybunał konkluduje zatem, że </w:t>
      </w:r>
      <w:r w:rsidRPr="0081299B">
        <w:rPr>
          <w:rFonts w:ascii="Times New Roman" w:hAnsi="Times New Roman" w:cs="Times New Roman"/>
          <w:szCs w:val="24"/>
          <w:lang w:val="pl-PL"/>
        </w:rPr>
        <w:t>zostało naruszone to postanowienie</w:t>
      </w:r>
      <w:r w:rsidRPr="0081299B">
        <w:rPr>
          <w:rFonts w:ascii="Times New Roman" w:hAnsi="Times New Roman"/>
          <w:lang w:val="pl-PL"/>
        </w:rPr>
        <w:t>.</w:t>
      </w:r>
    </w:p>
    <w:p w14:paraId="1E15CD25" w14:textId="2AC0BE58" w:rsidR="00311E3A" w:rsidRPr="0081299B" w:rsidRDefault="00311E3A" w:rsidP="00C32C2D">
      <w:pPr>
        <w:pStyle w:val="ECHRHeading1"/>
        <w:rPr>
          <w:rFonts w:ascii="Times New Roman" w:hAnsi="Times New Roman"/>
          <w:lang w:val="pl-PL"/>
        </w:rPr>
      </w:pPr>
      <w:r w:rsidRPr="0081299B">
        <w:rPr>
          <w:rFonts w:ascii="Times New Roman" w:hAnsi="Times New Roman"/>
          <w:lang w:val="pl-PL"/>
        </w:rPr>
        <w:t xml:space="preserve"> II. ZARZUCANE NARUSZENIA ART. 6 </w:t>
      </w:r>
      <w:r w:rsidRPr="0081299B">
        <w:rPr>
          <w:rFonts w:ascii="Times New Roman" w:hAnsi="Times New Roman" w:cs="Times New Roman"/>
          <w:lang w:val="pl-PL"/>
        </w:rPr>
        <w:t>UST</w:t>
      </w:r>
      <w:r w:rsidRPr="0081299B">
        <w:rPr>
          <w:rFonts w:ascii="Times New Roman" w:hAnsi="Times New Roman"/>
          <w:lang w:val="pl-PL"/>
        </w:rPr>
        <w:t xml:space="preserve">. 1 </w:t>
      </w:r>
      <w:r w:rsidRPr="0081299B">
        <w:rPr>
          <w:rFonts w:ascii="Times New Roman" w:hAnsi="Times New Roman" w:cs="Times New Roman"/>
          <w:lang w:val="pl-PL"/>
        </w:rPr>
        <w:t>I</w:t>
      </w:r>
      <w:r w:rsidRPr="0081299B">
        <w:rPr>
          <w:rFonts w:ascii="Times New Roman" w:hAnsi="Times New Roman"/>
          <w:lang w:val="pl-PL"/>
        </w:rPr>
        <w:t xml:space="preserve"> </w:t>
      </w:r>
      <w:r w:rsidR="005E72F8" w:rsidRPr="0081299B">
        <w:rPr>
          <w:rFonts w:ascii="Times New Roman" w:hAnsi="Times New Roman"/>
          <w:lang w:val="pl-PL"/>
        </w:rPr>
        <w:t xml:space="preserve">ART. </w:t>
      </w:r>
      <w:r w:rsidRPr="0081299B">
        <w:rPr>
          <w:rFonts w:ascii="Times New Roman" w:hAnsi="Times New Roman"/>
          <w:lang w:val="pl-PL"/>
        </w:rPr>
        <w:t>13 KONWENCJI</w:t>
      </w:r>
    </w:p>
    <w:p w14:paraId="456BD477" w14:textId="57961B6D"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Skarżąca skarży się w oparciu o art. 6 ust. 1 Konwencji na czas trwania postępowania karnego, w którym ustanowiła się stroną cywilną. Twierdzi ona także, że w czasie, kiedy opisane wydarzenia miały miejsce, w Grecji nie istniał żaden skuteczny środek odwoławczy, by móc skarżyć się na zbyt długie trwanie postepowania. Przywołuje art</w:t>
      </w:r>
      <w:r w:rsidR="005E72F8" w:rsidRPr="0081299B">
        <w:rPr>
          <w:rFonts w:ascii="Times New Roman" w:hAnsi="Times New Roman"/>
          <w:lang w:val="pl-PL"/>
        </w:rPr>
        <w:t>.</w:t>
      </w:r>
      <w:r w:rsidRPr="0081299B">
        <w:rPr>
          <w:rFonts w:ascii="Times New Roman" w:hAnsi="Times New Roman"/>
          <w:lang w:val="pl-PL"/>
        </w:rPr>
        <w:t xml:space="preserve"> 6 </w:t>
      </w:r>
      <w:r w:rsidR="005E72F8" w:rsidRPr="0081299B">
        <w:rPr>
          <w:rFonts w:ascii="Times New Roman" w:hAnsi="Times New Roman"/>
          <w:lang w:val="pl-PL"/>
        </w:rPr>
        <w:t>ust.</w:t>
      </w:r>
      <w:r w:rsidRPr="0081299B">
        <w:rPr>
          <w:rFonts w:ascii="Times New Roman" w:hAnsi="Times New Roman"/>
          <w:lang w:val="pl-PL"/>
        </w:rPr>
        <w:t xml:space="preserve"> 1 i </w:t>
      </w:r>
      <w:r w:rsidR="005E72F8" w:rsidRPr="0081299B">
        <w:rPr>
          <w:rFonts w:ascii="Times New Roman" w:hAnsi="Times New Roman"/>
          <w:lang w:val="pl-PL"/>
        </w:rPr>
        <w:t xml:space="preserve">art. </w:t>
      </w:r>
      <w:r w:rsidRPr="0081299B">
        <w:rPr>
          <w:rFonts w:ascii="Times New Roman" w:hAnsi="Times New Roman"/>
          <w:lang w:val="pl-PL"/>
        </w:rPr>
        <w:t>13 Konwencji, przepisy, których odpowiednie części brzmią</w:t>
      </w:r>
      <w:r w:rsidR="005E72F8" w:rsidRPr="0081299B">
        <w:rPr>
          <w:rFonts w:ascii="Times New Roman" w:hAnsi="Times New Roman"/>
          <w:lang w:val="pl-PL"/>
        </w:rPr>
        <w:t>,</w:t>
      </w:r>
      <w:r w:rsidRPr="0081299B">
        <w:rPr>
          <w:rFonts w:ascii="Times New Roman" w:hAnsi="Times New Roman"/>
          <w:lang w:val="pl-PL"/>
        </w:rPr>
        <w:t xml:space="preserve"> jak następuje:</w:t>
      </w:r>
    </w:p>
    <w:p w14:paraId="54C2B2C5" w14:textId="07E304B0" w:rsidR="00311E3A" w:rsidRPr="0081299B" w:rsidRDefault="00311E3A" w:rsidP="00C32C2D">
      <w:pPr>
        <w:pStyle w:val="ECHRTitleCentre3"/>
        <w:rPr>
          <w:rFonts w:ascii="Times New Roman" w:hAnsi="Times New Roman"/>
          <w:lang w:val="pl-PL"/>
        </w:rPr>
      </w:pPr>
      <w:r w:rsidRPr="0081299B">
        <w:rPr>
          <w:rFonts w:ascii="Times New Roman" w:hAnsi="Times New Roman"/>
          <w:lang w:val="pl-PL"/>
        </w:rPr>
        <w:t>Art</w:t>
      </w:r>
      <w:r w:rsidRPr="0081299B">
        <w:rPr>
          <w:rFonts w:ascii="Times New Roman" w:eastAsia="MS Mincho" w:hAnsi="Times New Roman" w:cs="Times New Roman"/>
          <w:lang w:val="pl-PL" w:eastAsia="fr-FR"/>
        </w:rPr>
        <w:t>.</w:t>
      </w:r>
      <w:r w:rsidRPr="0081299B">
        <w:rPr>
          <w:rFonts w:ascii="Times New Roman" w:hAnsi="Times New Roman"/>
          <w:lang w:val="pl-PL"/>
        </w:rPr>
        <w:t xml:space="preserve"> 6 ust</w:t>
      </w:r>
      <w:r w:rsidRPr="0081299B">
        <w:rPr>
          <w:rFonts w:ascii="Times New Roman" w:eastAsia="MS Mincho" w:hAnsi="Times New Roman" w:cs="Times New Roman"/>
          <w:lang w:val="pl-PL" w:eastAsia="fr-FR"/>
        </w:rPr>
        <w:t>.</w:t>
      </w:r>
      <w:r w:rsidRPr="0081299B">
        <w:rPr>
          <w:rFonts w:ascii="Times New Roman" w:hAnsi="Times New Roman"/>
          <w:lang w:val="pl-PL"/>
        </w:rPr>
        <w:t xml:space="preserve"> 1</w:t>
      </w:r>
    </w:p>
    <w:p w14:paraId="4C510BBA" w14:textId="0C52BF2F" w:rsidR="00311E3A" w:rsidRPr="0081299B" w:rsidRDefault="00311E3A" w:rsidP="00C32C2D">
      <w:pPr>
        <w:pStyle w:val="ECHRParaQuote"/>
        <w:rPr>
          <w:rFonts w:ascii="Times New Roman" w:hAnsi="Times New Roman"/>
          <w:lang w:val="pl-PL"/>
        </w:rPr>
      </w:pPr>
      <w:r w:rsidRPr="0081299B">
        <w:rPr>
          <w:rFonts w:ascii="Times New Roman" w:hAnsi="Times New Roman"/>
          <w:sz w:val="24"/>
          <w:lang w:val="pl-PL"/>
        </w:rPr>
        <w:t xml:space="preserve"> </w:t>
      </w:r>
      <w:r w:rsidRPr="0081299B">
        <w:rPr>
          <w:rFonts w:ascii="Times New Roman" w:hAnsi="Times New Roman"/>
          <w:lang w:val="pl-PL"/>
        </w:rPr>
        <w:t xml:space="preserve">„ Każdy ma prawo do (…) rozpatrzenia jego sprawy w rozsądnym terminie przez (…) sąd (…) przy rozstrzyganiu o jego prawach i obowiązkach o charakterze cywilnym </w:t>
      </w:r>
      <w:r w:rsidR="00F541FD" w:rsidRPr="0081299B">
        <w:rPr>
          <w:rFonts w:ascii="Times New Roman" w:hAnsi="Times New Roman" w:cs="Times New Roman"/>
          <w:lang w:val="pl-PL"/>
        </w:rPr>
        <w:t>(…)”</w:t>
      </w:r>
    </w:p>
    <w:p w14:paraId="5C3BC871" w14:textId="5265823C" w:rsidR="00311E3A" w:rsidRPr="0081299B" w:rsidRDefault="00311E3A" w:rsidP="00C32C2D">
      <w:pPr>
        <w:pStyle w:val="ECHRTitleCentre3"/>
        <w:rPr>
          <w:rFonts w:ascii="Times New Roman" w:hAnsi="Times New Roman"/>
          <w:lang w:val="pl-PL"/>
        </w:rPr>
      </w:pPr>
      <w:r w:rsidRPr="0081299B">
        <w:rPr>
          <w:rFonts w:ascii="Times New Roman" w:eastAsia="MS Mincho" w:hAnsi="Times New Roman" w:cs="Times New Roman"/>
          <w:lang w:val="pl-PL" w:eastAsia="fr-FR"/>
        </w:rPr>
        <w:lastRenderedPageBreak/>
        <w:t>Art.</w:t>
      </w:r>
      <w:r w:rsidRPr="0081299B">
        <w:rPr>
          <w:rFonts w:ascii="Times New Roman" w:hAnsi="Times New Roman"/>
          <w:lang w:val="pl-PL"/>
        </w:rPr>
        <w:t xml:space="preserve"> 13</w:t>
      </w:r>
    </w:p>
    <w:p w14:paraId="7C858A23" w14:textId="78E3734F" w:rsidR="00311E3A" w:rsidRPr="0081299B" w:rsidRDefault="00311E3A" w:rsidP="00C32C2D">
      <w:pPr>
        <w:pStyle w:val="ECHRParaQuote"/>
        <w:rPr>
          <w:rFonts w:ascii="Times New Roman" w:hAnsi="Times New Roman"/>
          <w:lang w:val="pl-PL"/>
        </w:rPr>
      </w:pPr>
      <w:r w:rsidRPr="0081299B">
        <w:rPr>
          <w:rFonts w:ascii="Times New Roman" w:hAnsi="Times New Roman"/>
          <w:sz w:val="22"/>
          <w:lang w:val="pl-PL"/>
        </w:rPr>
        <w:t xml:space="preserve"> </w:t>
      </w:r>
      <w:r w:rsidRPr="0081299B">
        <w:rPr>
          <w:rFonts w:ascii="Times New Roman" w:hAnsi="Times New Roman"/>
          <w:szCs w:val="20"/>
          <w:lang w:val="pl-PL"/>
        </w:rPr>
        <w:t>„Każdy, kogo prawa i wolności zawarte w (…) Konwencji zostały naruszone, ma prawo do skutecznego środka odwoławczego do właściwego organu państwowego także wówczas, gdy naruszenia dokonały osoby wykonujące swoje funkcje urzędowe</w:t>
      </w:r>
      <w:r w:rsidRPr="0081299B">
        <w:rPr>
          <w:rFonts w:ascii="Times New Roman" w:hAnsi="Times New Roman" w:cs="Times New Roman"/>
          <w:szCs w:val="20"/>
          <w:lang w:val="pl-PL"/>
        </w:rPr>
        <w:t>.”.</w:t>
      </w:r>
    </w:p>
    <w:p w14:paraId="2A1160EB" w14:textId="4752CEA2" w:rsidR="00311E3A" w:rsidRPr="0081299B" w:rsidRDefault="00311E3A" w:rsidP="00C32C2D">
      <w:pPr>
        <w:pStyle w:val="ECHRHeading2"/>
        <w:rPr>
          <w:rFonts w:ascii="Times New Roman" w:hAnsi="Times New Roman"/>
          <w:lang w:val="pl-PL"/>
        </w:rPr>
      </w:pPr>
      <w:r w:rsidRPr="0081299B">
        <w:rPr>
          <w:rFonts w:ascii="Times New Roman" w:hAnsi="Times New Roman"/>
          <w:lang w:val="pl-PL"/>
        </w:rPr>
        <w:t>A.</w:t>
      </w:r>
      <w:r w:rsidRPr="0081299B">
        <w:rPr>
          <w:rFonts w:ascii="Times New Roman" w:hAnsi="Times New Roman"/>
          <w:lang w:val="pl-PL"/>
        </w:rPr>
        <w:tab/>
      </w:r>
      <w:r w:rsidRPr="0081299B">
        <w:rPr>
          <w:rFonts w:ascii="Times New Roman" w:hAnsi="Times New Roman" w:cs="Times New Roman"/>
          <w:lang w:val="pl-PL"/>
        </w:rPr>
        <w:t>Dopuszczalność</w:t>
      </w:r>
      <w:r w:rsidRPr="0081299B">
        <w:rPr>
          <w:rFonts w:ascii="Times New Roman" w:hAnsi="Times New Roman"/>
          <w:lang w:val="pl-PL"/>
        </w:rPr>
        <w:t xml:space="preserve"> </w:t>
      </w:r>
    </w:p>
    <w:p w14:paraId="77BFE91D" w14:textId="7C4A128A"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Rząd twierdzi, że te zarzuty są sformułowane po czasie, ponieważ postępowanie wszczęte przez skarżącą w charakterze strony cywilnej przeciwko K.A. i D.J. faktycznie zakończyło się 20 lipca 2009 r., w dniu, kiedy właściwy prokurator zarządził na mocy swojego </w:t>
      </w:r>
      <w:r w:rsidRPr="0081299B">
        <w:rPr>
          <w:rFonts w:ascii="Times New Roman" w:hAnsi="Times New Roman" w:cs="Times New Roman"/>
          <w:szCs w:val="24"/>
          <w:lang w:val="pl-PL"/>
        </w:rPr>
        <w:t>postanowienia</w:t>
      </w:r>
      <w:r w:rsidRPr="0081299B">
        <w:rPr>
          <w:rFonts w:ascii="Times New Roman" w:hAnsi="Times New Roman"/>
          <w:lang w:val="pl-PL"/>
        </w:rPr>
        <w:t xml:space="preserve"> nr 19/2009 zawieszenie </w:t>
      </w:r>
      <w:r w:rsidR="005E72F8" w:rsidRPr="0081299B">
        <w:rPr>
          <w:rFonts w:ascii="Times New Roman" w:hAnsi="Times New Roman"/>
          <w:lang w:val="pl-PL"/>
        </w:rPr>
        <w:t>postępowania</w:t>
      </w:r>
      <w:r w:rsidRPr="0081299B">
        <w:rPr>
          <w:rFonts w:ascii="Times New Roman" w:hAnsi="Times New Roman"/>
          <w:lang w:val="pl-PL"/>
        </w:rPr>
        <w:t xml:space="preserve"> w tej sprawie. Zdaniem Rządu, branie pod uwagę okresu po zawieszeniu </w:t>
      </w:r>
      <w:r w:rsidR="005E72F8" w:rsidRPr="0081299B">
        <w:rPr>
          <w:rFonts w:ascii="Times New Roman" w:hAnsi="Times New Roman"/>
          <w:lang w:val="pl-PL"/>
        </w:rPr>
        <w:t>postępowania</w:t>
      </w:r>
      <w:r w:rsidRPr="0081299B">
        <w:rPr>
          <w:rFonts w:ascii="Times New Roman" w:hAnsi="Times New Roman"/>
          <w:lang w:val="pl-PL"/>
        </w:rPr>
        <w:t xml:space="preserve"> nie byłoby rozsądne, ponieważ </w:t>
      </w:r>
      <w:r w:rsidRPr="0081299B">
        <w:rPr>
          <w:rFonts w:ascii="Times New Roman" w:hAnsi="Times New Roman" w:cs="Times New Roman"/>
          <w:szCs w:val="24"/>
          <w:lang w:val="pl-PL"/>
        </w:rPr>
        <w:t>z</w:t>
      </w:r>
      <w:r w:rsidRPr="0081299B">
        <w:rPr>
          <w:rFonts w:ascii="Times New Roman" w:hAnsi="Times New Roman"/>
          <w:lang w:val="pl-PL"/>
        </w:rPr>
        <w:t>a</w:t>
      </w:r>
      <w:r w:rsidRPr="0081299B">
        <w:rPr>
          <w:rFonts w:ascii="Times New Roman" w:hAnsi="Times New Roman" w:cs="Times New Roman"/>
          <w:szCs w:val="24"/>
          <w:lang w:val="pl-PL"/>
        </w:rPr>
        <w:t>t</w:t>
      </w:r>
      <w:r w:rsidRPr="0081299B">
        <w:rPr>
          <w:rFonts w:ascii="Times New Roman" w:hAnsi="Times New Roman"/>
          <w:lang w:val="pl-PL"/>
        </w:rPr>
        <w:t>rz</w:t>
      </w:r>
      <w:r w:rsidRPr="0081299B">
        <w:rPr>
          <w:rFonts w:ascii="Times New Roman" w:hAnsi="Times New Roman" w:cs="Times New Roman"/>
          <w:szCs w:val="24"/>
          <w:lang w:val="pl-PL"/>
        </w:rPr>
        <w:t>ym</w:t>
      </w:r>
      <w:r w:rsidRPr="0081299B">
        <w:rPr>
          <w:rFonts w:ascii="Times New Roman" w:hAnsi="Times New Roman"/>
          <w:lang w:val="pl-PL"/>
        </w:rPr>
        <w:t xml:space="preserve">anie D.J. i K.A., które pozwoliłoby na </w:t>
      </w:r>
      <w:r w:rsidRPr="0081299B">
        <w:rPr>
          <w:rFonts w:ascii="Times New Roman" w:hAnsi="Times New Roman" w:cs="Times New Roman"/>
          <w:szCs w:val="24"/>
          <w:lang w:val="pl-PL"/>
        </w:rPr>
        <w:t>podjęcie</w:t>
      </w:r>
      <w:r w:rsidRPr="0081299B">
        <w:rPr>
          <w:rFonts w:ascii="Times New Roman" w:hAnsi="Times New Roman"/>
          <w:lang w:val="pl-PL"/>
        </w:rPr>
        <w:t xml:space="preserve"> postępowania</w:t>
      </w:r>
      <w:r w:rsidRPr="0081299B">
        <w:rPr>
          <w:rFonts w:ascii="Times New Roman" w:hAnsi="Times New Roman" w:cs="Times New Roman"/>
          <w:szCs w:val="24"/>
          <w:lang w:val="pl-PL"/>
        </w:rPr>
        <w:t>,</w:t>
      </w:r>
      <w:r w:rsidRPr="0081299B">
        <w:rPr>
          <w:rFonts w:ascii="Times New Roman" w:hAnsi="Times New Roman"/>
          <w:lang w:val="pl-PL"/>
        </w:rPr>
        <w:t xml:space="preserve"> było niepewne.</w:t>
      </w:r>
    </w:p>
    <w:p w14:paraId="185F0442" w14:textId="4ADF8CA5"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Skarżąca odpowiada, że te zarzuty są dopuszczalne.</w:t>
      </w:r>
    </w:p>
    <w:p w14:paraId="1033223C" w14:textId="08A25D96"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W tym przypadku, skarżąca ustanowiła się stroną cywilną na kwotę czterdziestu czterech euro (</w:t>
      </w:r>
      <w:r w:rsidRPr="0081299B">
        <w:rPr>
          <w:rFonts w:ascii="Times New Roman" w:hAnsi="Times New Roman" w:cs="Times New Roman"/>
          <w:szCs w:val="24"/>
          <w:lang w:val="pl-PL"/>
        </w:rPr>
        <w:t>zob.</w:t>
      </w:r>
      <w:r w:rsidRPr="0081299B">
        <w:rPr>
          <w:rFonts w:ascii="Times New Roman" w:hAnsi="Times New Roman"/>
          <w:lang w:val="pl-PL"/>
        </w:rPr>
        <w:t xml:space="preserve"> § 27 powyżej). Zatem przedmiotowe postępowanie </w:t>
      </w:r>
      <w:r w:rsidRPr="0081299B">
        <w:rPr>
          <w:rFonts w:ascii="Times New Roman" w:hAnsi="Times New Roman" w:cs="Times New Roman"/>
          <w:szCs w:val="24"/>
          <w:lang w:val="pl-PL"/>
        </w:rPr>
        <w:t>ma</w:t>
      </w:r>
      <w:r w:rsidRPr="0081299B">
        <w:rPr>
          <w:rFonts w:ascii="Times New Roman" w:hAnsi="Times New Roman"/>
          <w:lang w:val="pl-PL"/>
        </w:rPr>
        <w:t xml:space="preserve"> charakter majątkowy i art</w:t>
      </w:r>
      <w:r w:rsidRPr="0081299B">
        <w:rPr>
          <w:rFonts w:ascii="Times New Roman" w:hAnsi="Times New Roman" w:cs="Times New Roman"/>
          <w:szCs w:val="24"/>
          <w:lang w:val="pl-PL"/>
        </w:rPr>
        <w:t>.</w:t>
      </w:r>
      <w:r w:rsidRPr="0081299B">
        <w:rPr>
          <w:rFonts w:ascii="Times New Roman" w:hAnsi="Times New Roman"/>
          <w:lang w:val="pl-PL"/>
        </w:rPr>
        <w:t xml:space="preserve"> 6 ust. 1 </w:t>
      </w:r>
      <w:r w:rsidRPr="0081299B">
        <w:rPr>
          <w:rFonts w:ascii="Times New Roman" w:hAnsi="Times New Roman" w:cs="Times New Roman"/>
          <w:szCs w:val="24"/>
          <w:lang w:val="pl-PL"/>
        </w:rPr>
        <w:t>znajduje</w:t>
      </w:r>
      <w:r w:rsidRPr="0081299B">
        <w:rPr>
          <w:rFonts w:ascii="Times New Roman" w:hAnsi="Times New Roman"/>
          <w:lang w:val="pl-PL"/>
        </w:rPr>
        <w:t xml:space="preserve"> zastosowanie w swoim aspekcie cywilnym (</w:t>
      </w:r>
      <w:r w:rsidRPr="0081299B">
        <w:rPr>
          <w:rFonts w:ascii="Times New Roman" w:hAnsi="Times New Roman" w:cs="Times New Roman"/>
          <w:szCs w:val="24"/>
          <w:lang w:val="pl-PL"/>
        </w:rPr>
        <w:t>zob.</w:t>
      </w:r>
      <w:r w:rsidRPr="0081299B">
        <w:rPr>
          <w:rFonts w:ascii="Times New Roman" w:hAnsi="Times New Roman"/>
          <w:lang w:val="pl-PL"/>
        </w:rPr>
        <w:t xml:space="preserve"> </w:t>
      </w:r>
      <w:r w:rsidRPr="0081299B">
        <w:rPr>
          <w:rFonts w:ascii="Times New Roman" w:hAnsi="Times New Roman"/>
          <w:i/>
          <w:lang w:val="pl-PL"/>
        </w:rPr>
        <w:t xml:space="preserve">Perez przeciwko Francji </w:t>
      </w:r>
      <w:r w:rsidRPr="0081299B">
        <w:rPr>
          <w:rFonts w:ascii="Times New Roman" w:hAnsi="Times New Roman"/>
          <w:lang w:val="pl-PL"/>
        </w:rPr>
        <w:t xml:space="preserve">[WI], nr 47287/99, §70, ETPCz 2004-I; </w:t>
      </w:r>
      <w:proofErr w:type="spellStart"/>
      <w:r w:rsidRPr="0081299B">
        <w:rPr>
          <w:rFonts w:ascii="Times New Roman" w:hAnsi="Times New Roman"/>
          <w:i/>
          <w:lang w:val="pl-PL"/>
        </w:rPr>
        <w:t>Gorou</w:t>
      </w:r>
      <w:proofErr w:type="spellEnd"/>
      <w:r w:rsidRPr="0081299B">
        <w:rPr>
          <w:rFonts w:ascii="Times New Roman" w:hAnsi="Times New Roman"/>
          <w:i/>
          <w:lang w:val="pl-PL"/>
        </w:rPr>
        <w:t xml:space="preserve"> przeciwko Grecji (nr 2) </w:t>
      </w:r>
      <w:r w:rsidRPr="0081299B">
        <w:rPr>
          <w:rFonts w:ascii="Times New Roman" w:hAnsi="Times New Roman"/>
          <w:lang w:val="pl-PL"/>
        </w:rPr>
        <w:t>[WI], nr 12686/03, § 26, 20 marca 2009 r.). Ponadto, Trybunał odnotowuje, że 20 lipca 2009 r</w:t>
      </w:r>
      <w:r w:rsidRPr="0081299B">
        <w:rPr>
          <w:rFonts w:ascii="Times New Roman" w:hAnsi="Times New Roman" w:cs="Times New Roman"/>
          <w:szCs w:val="24"/>
          <w:lang w:val="pl-PL"/>
        </w:rPr>
        <w:t>.</w:t>
      </w:r>
      <w:r w:rsidRPr="0081299B">
        <w:rPr>
          <w:rFonts w:ascii="Times New Roman" w:hAnsi="Times New Roman"/>
          <w:lang w:val="pl-PL"/>
        </w:rPr>
        <w:t xml:space="preserve"> postępowanie dotyczące niniejszej sprawy nie było zakończone; </w:t>
      </w:r>
      <w:r w:rsidR="005707F0" w:rsidRPr="0081299B">
        <w:rPr>
          <w:rFonts w:ascii="Times New Roman" w:hAnsi="Times New Roman"/>
          <w:lang w:val="pl-PL"/>
        </w:rPr>
        <w:t>postępowanie zostało zawieszone</w:t>
      </w:r>
      <w:r w:rsidRPr="0081299B">
        <w:rPr>
          <w:rFonts w:ascii="Times New Roman" w:hAnsi="Times New Roman"/>
          <w:lang w:val="pl-PL"/>
        </w:rPr>
        <w:t xml:space="preserve"> z tej przyczyny, że oskarżeni uciekli. W konsekwencji, stadium rozprawy w sprawie, która miała miejsce 20 kwietnia 2012 r., nie może być oddzielone od wcześniejszych stadiów postępowania, z którymi stanowi całość. W związku z tym, że niniejsza skarga została wniesiona 20 października 2012 r., zażalenia na mocy art. 6 ust. 1 i 13 Konwencji nie są spóźnione w rozumieniu art. 35 ust. 1 Konwencji. Stwierdzając, że ucieczka K.A. i D.J. może być wzięta pod uwagę przez Trybunał w ramach oceny odpowiedzialności pozwanego państwa za wydłużenie przedmiotowego postępowania, Trybunał konkluduje, że należy odrzucić sprzeciw Rządu oparty na spóźnionym charakterze tych zarzutów. </w:t>
      </w:r>
    </w:p>
    <w:p w14:paraId="14B50B80" w14:textId="2E5B33B3"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Ponadto, Trybunał stwierdza, że te zarzuty wyraźnie nie są w oczywisty sposób nieuzasadnione w rozumieniu art. 35 ust. 3 lit. a Konwencji. Podnosi również, że nie ma żadnego innego powodu stwierdzenia niedopuszczalności. Należy więc je uznać za dopuszczalne.</w:t>
      </w:r>
    </w:p>
    <w:p w14:paraId="0086EDB8" w14:textId="77777777" w:rsidR="00311E3A" w:rsidRPr="0081299B" w:rsidRDefault="00311E3A" w:rsidP="00C32C2D">
      <w:pPr>
        <w:pStyle w:val="Lista2"/>
        <w:spacing w:line="240" w:lineRule="auto"/>
        <w:ind w:firstLine="284"/>
        <w:jc w:val="both"/>
        <w:rPr>
          <w:rFonts w:ascii="Times New Roman" w:hAnsi="Times New Roman" w:cs="Times New Roman"/>
          <w:sz w:val="24"/>
          <w:szCs w:val="24"/>
        </w:rPr>
      </w:pPr>
    </w:p>
    <w:p w14:paraId="535A5282" w14:textId="77777777" w:rsidR="00311E3A" w:rsidRPr="0081299B" w:rsidRDefault="00311E3A" w:rsidP="00C32C2D">
      <w:pPr>
        <w:pStyle w:val="ECHRHeading2"/>
        <w:rPr>
          <w:rFonts w:ascii="Times New Roman" w:hAnsi="Times New Roman"/>
          <w:lang w:val="pl-PL"/>
        </w:rPr>
      </w:pPr>
      <w:r w:rsidRPr="0081299B">
        <w:rPr>
          <w:rFonts w:ascii="Times New Roman" w:hAnsi="Times New Roman"/>
          <w:lang w:val="pl-PL"/>
        </w:rPr>
        <w:lastRenderedPageBreak/>
        <w:t xml:space="preserve"> B.</w:t>
      </w:r>
      <w:r w:rsidRPr="0081299B">
        <w:rPr>
          <w:rFonts w:ascii="Times New Roman" w:hAnsi="Times New Roman"/>
          <w:lang w:val="pl-PL"/>
        </w:rPr>
        <w:tab/>
        <w:t>Przedmiot skargi</w:t>
      </w:r>
    </w:p>
    <w:p w14:paraId="4B1C1494" w14:textId="3E2CDE5A" w:rsidR="00311E3A" w:rsidRPr="0081299B" w:rsidRDefault="00311E3A" w:rsidP="00C32C2D">
      <w:pPr>
        <w:pStyle w:val="ECHRHeading3"/>
        <w:numPr>
          <w:ilvl w:val="0"/>
          <w:numId w:val="27"/>
        </w:numPr>
        <w:ind w:left="709"/>
        <w:rPr>
          <w:rFonts w:ascii="Times New Roman" w:hAnsi="Times New Roman"/>
          <w:lang w:val="pl-PL"/>
        </w:rPr>
      </w:pPr>
      <w:r w:rsidRPr="0081299B">
        <w:rPr>
          <w:rFonts w:ascii="Times New Roman" w:hAnsi="Times New Roman"/>
          <w:lang w:val="pl-PL"/>
        </w:rPr>
        <w:t xml:space="preserve">W odniesieniu do czasu trwania postępowania </w:t>
      </w:r>
    </w:p>
    <w:p w14:paraId="0F4E3E6C" w14:textId="2F8168C0" w:rsidR="00311E3A" w:rsidRPr="0081299B" w:rsidRDefault="00311E3A" w:rsidP="00C32C2D">
      <w:pPr>
        <w:pStyle w:val="ECHRHeading4"/>
        <w:numPr>
          <w:ilvl w:val="0"/>
          <w:numId w:val="28"/>
        </w:numPr>
        <w:ind w:left="993"/>
        <w:rPr>
          <w:rFonts w:ascii="Times New Roman" w:hAnsi="Times New Roman"/>
          <w:lang w:val="pl-PL"/>
        </w:rPr>
      </w:pPr>
      <w:r w:rsidRPr="0081299B">
        <w:rPr>
          <w:rFonts w:ascii="Times New Roman" w:hAnsi="Times New Roman"/>
          <w:lang w:val="pl-PL"/>
        </w:rPr>
        <w:t>Okres, który należy wziąć pod uwagę</w:t>
      </w:r>
    </w:p>
    <w:p w14:paraId="47BD61BE" w14:textId="1E42E91E"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Okres, jaki należy wziąć pod uwagę, rozpoczął się 26 stycznia 2007 r., w dniu, kiedy skarżąca zadeklarowała swoją chęć ustanowienia się stroną cywilną w spornym postępowaniu (zob. </w:t>
      </w:r>
      <w:proofErr w:type="spellStart"/>
      <w:r w:rsidRPr="0081299B">
        <w:rPr>
          <w:rFonts w:ascii="Times New Roman" w:hAnsi="Times New Roman"/>
          <w:i/>
          <w:lang w:val="pl-PL"/>
        </w:rPr>
        <w:t>Jarnevic</w:t>
      </w:r>
      <w:proofErr w:type="spellEnd"/>
      <w:r w:rsidRPr="0081299B">
        <w:rPr>
          <w:rFonts w:ascii="Times New Roman" w:hAnsi="Times New Roman"/>
          <w:i/>
          <w:lang w:val="pl-PL"/>
        </w:rPr>
        <w:t xml:space="preserve"> i Profit przeciwko Grecji</w:t>
      </w:r>
      <w:r w:rsidRPr="0081299B">
        <w:rPr>
          <w:rFonts w:ascii="Times New Roman" w:hAnsi="Times New Roman"/>
          <w:lang w:val="pl-PL"/>
        </w:rPr>
        <w:t>, nr 28338/02, § 21, 7 kwietnia 2005 r.). Zakończył się z dniem 20 kwietnia 2012 r., z chwilą ogłoszenia wyroku nr 139/2012. Trwał zatem pięć lat i ponad dwa miesiące na poziomie jednej instancji.</w:t>
      </w:r>
    </w:p>
    <w:p w14:paraId="475B8BD1" w14:textId="4BF5B4A3" w:rsidR="00311E3A" w:rsidRPr="0081299B" w:rsidRDefault="00311E3A" w:rsidP="00C32C2D">
      <w:pPr>
        <w:pStyle w:val="ECHRHeading4"/>
        <w:numPr>
          <w:ilvl w:val="0"/>
          <w:numId w:val="28"/>
        </w:numPr>
        <w:ind w:left="975" w:hanging="340"/>
        <w:rPr>
          <w:rFonts w:ascii="Times New Roman" w:hAnsi="Times New Roman"/>
          <w:lang w:val="pl-PL"/>
        </w:rPr>
      </w:pPr>
      <w:r w:rsidRPr="0081299B">
        <w:rPr>
          <w:rFonts w:ascii="Times New Roman" w:hAnsi="Times New Roman"/>
          <w:lang w:val="pl-PL"/>
        </w:rPr>
        <w:t xml:space="preserve">Rozsądny charakter </w:t>
      </w:r>
      <w:r w:rsidRPr="0081299B">
        <w:rPr>
          <w:rFonts w:ascii="Times New Roman" w:hAnsi="Times New Roman" w:cs="Times New Roman"/>
          <w:lang w:val="pl-PL"/>
        </w:rPr>
        <w:t xml:space="preserve">[czasu trwania] </w:t>
      </w:r>
      <w:r w:rsidRPr="0081299B">
        <w:rPr>
          <w:rFonts w:ascii="Times New Roman" w:hAnsi="Times New Roman"/>
          <w:lang w:val="pl-PL"/>
        </w:rPr>
        <w:t>postępowania</w:t>
      </w:r>
    </w:p>
    <w:p w14:paraId="1E0FA9F1" w14:textId="21899290"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Rząd twierdzi, że okres, który nastąpił po 20 kwietnia 2009 r. nie powinien być brany pod uwagę. Co się zaś tyczy okresu pomiędzy 19 maja 2011 r. (dniem aresztowania D.J.) a 20 kwietnia 2012 r. (dniem ogłoszeniem wyroku 139/2012) uważa on, że nie jest nadmiernie długi.</w:t>
      </w:r>
    </w:p>
    <w:p w14:paraId="59F7544C" w14:textId="7B4CE9E0"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Skarżąca odpowiada, że czas postępowania był za długi i że należy to przypisać władzom krajowym.</w:t>
      </w:r>
    </w:p>
    <w:p w14:paraId="0069C7F9" w14:textId="49FF3A56"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Trybunał przypomina, że rozsądny charakter czasu trwania postępowania ocenia się w zależności od </w:t>
      </w:r>
      <w:r w:rsidRPr="0081299B">
        <w:rPr>
          <w:rFonts w:ascii="Times New Roman" w:hAnsi="Times New Roman" w:cs="Times New Roman"/>
          <w:szCs w:val="24"/>
          <w:lang w:val="pl-PL"/>
        </w:rPr>
        <w:t>okoliczności sprawy</w:t>
      </w:r>
      <w:r w:rsidRPr="0081299B">
        <w:rPr>
          <w:rFonts w:ascii="Times New Roman" w:hAnsi="Times New Roman"/>
          <w:lang w:val="pl-PL"/>
        </w:rPr>
        <w:t xml:space="preserve"> i z uwzględnieniem kryteriów utrwalonych przez orzecznictwo, takich jak w szczególności: złożoność sprawy, zachowania skarżącego i właściwych władz, jak również wag</w:t>
      </w:r>
      <w:r w:rsidRPr="0081299B">
        <w:rPr>
          <w:rFonts w:ascii="Times New Roman" w:hAnsi="Times New Roman" w:cs="Times New Roman"/>
          <w:szCs w:val="24"/>
          <w:lang w:val="pl-PL"/>
        </w:rPr>
        <w:t>a</w:t>
      </w:r>
      <w:r w:rsidRPr="0081299B">
        <w:rPr>
          <w:rFonts w:ascii="Times New Roman" w:hAnsi="Times New Roman"/>
          <w:lang w:val="pl-PL"/>
        </w:rPr>
        <w:t xml:space="preserve"> sporu dla zainteresowanych (zob. wśród wielu innych, </w:t>
      </w:r>
      <w:proofErr w:type="spellStart"/>
      <w:r w:rsidRPr="0081299B">
        <w:rPr>
          <w:rFonts w:ascii="Times New Roman" w:hAnsi="Times New Roman"/>
          <w:i/>
          <w:lang w:val="pl-PL"/>
        </w:rPr>
        <w:t>Glykantzi</w:t>
      </w:r>
      <w:proofErr w:type="spellEnd"/>
      <w:r w:rsidRPr="0081299B">
        <w:rPr>
          <w:rFonts w:ascii="Times New Roman" w:hAnsi="Times New Roman"/>
          <w:i/>
          <w:lang w:val="pl-PL"/>
        </w:rPr>
        <w:t xml:space="preserve"> przeciwko Grecji, </w:t>
      </w:r>
      <w:r w:rsidRPr="0081299B">
        <w:rPr>
          <w:rFonts w:ascii="Times New Roman" w:hAnsi="Times New Roman"/>
          <w:lang w:val="pl-PL"/>
        </w:rPr>
        <w:t>nr 40150/09, § 47, 30 października 2012 r.).</w:t>
      </w:r>
    </w:p>
    <w:p w14:paraId="75293F32" w14:textId="28A79822"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Trybunał zajmował się wielokrotnie sprawami podnoszącymi kwestie podobne do tych, które </w:t>
      </w:r>
      <w:r w:rsidRPr="0081299B">
        <w:rPr>
          <w:rFonts w:ascii="Times New Roman" w:hAnsi="Times New Roman" w:cs="Times New Roman"/>
          <w:szCs w:val="24"/>
          <w:lang w:val="pl-PL"/>
        </w:rPr>
        <w:t>zachodzą w niniejszej sprawie,</w:t>
      </w:r>
      <w:r w:rsidRPr="0081299B">
        <w:rPr>
          <w:rFonts w:ascii="Times New Roman" w:hAnsi="Times New Roman"/>
          <w:lang w:val="pl-PL"/>
        </w:rPr>
        <w:t xml:space="preserve"> i stwierdz</w:t>
      </w:r>
      <w:r w:rsidRPr="0081299B">
        <w:rPr>
          <w:rFonts w:ascii="Times New Roman" w:hAnsi="Times New Roman" w:cs="Times New Roman"/>
          <w:szCs w:val="24"/>
          <w:lang w:val="pl-PL"/>
        </w:rPr>
        <w:t>a</w:t>
      </w:r>
      <w:r w:rsidRPr="0081299B">
        <w:rPr>
          <w:rFonts w:ascii="Times New Roman" w:hAnsi="Times New Roman"/>
          <w:lang w:val="pl-PL"/>
        </w:rPr>
        <w:t xml:space="preserve">ł naruszenie </w:t>
      </w:r>
      <w:r w:rsidRPr="0081299B">
        <w:rPr>
          <w:rFonts w:ascii="Times New Roman" w:hAnsi="Times New Roman" w:cs="Times New Roman"/>
          <w:szCs w:val="24"/>
          <w:lang w:val="pl-PL"/>
        </w:rPr>
        <w:t>art.</w:t>
      </w:r>
      <w:r w:rsidRPr="0081299B">
        <w:rPr>
          <w:rFonts w:ascii="Times New Roman" w:hAnsi="Times New Roman"/>
          <w:lang w:val="pl-PL"/>
        </w:rPr>
        <w:t xml:space="preserve"> 6 ust. 1 Konwencji (zob. </w:t>
      </w:r>
      <w:proofErr w:type="spellStart"/>
      <w:r w:rsidRPr="0081299B">
        <w:rPr>
          <w:rFonts w:ascii="Times New Roman" w:hAnsi="Times New Roman"/>
          <w:i/>
          <w:lang w:val="pl-PL"/>
        </w:rPr>
        <w:t>Glykantzi</w:t>
      </w:r>
      <w:proofErr w:type="spellEnd"/>
      <w:r w:rsidRPr="0081299B">
        <w:rPr>
          <w:rFonts w:ascii="Times New Roman" w:hAnsi="Times New Roman"/>
          <w:i/>
          <w:lang w:val="pl-PL"/>
        </w:rPr>
        <w:t xml:space="preserve">, </w:t>
      </w:r>
      <w:r w:rsidRPr="0081299B">
        <w:rPr>
          <w:rFonts w:ascii="Times New Roman" w:hAnsi="Times New Roman"/>
          <w:lang w:val="pl-PL"/>
        </w:rPr>
        <w:t>wyżej wymieniony, § 71).</w:t>
      </w:r>
    </w:p>
    <w:p w14:paraId="4A6A53A8" w14:textId="49B5445E"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W tym przypadku, </w:t>
      </w:r>
      <w:r w:rsidRPr="0081299B">
        <w:rPr>
          <w:rFonts w:ascii="Times New Roman" w:hAnsi="Times New Roman" w:cs="Times New Roman"/>
          <w:szCs w:val="24"/>
          <w:lang w:val="pl-PL"/>
        </w:rPr>
        <w:t>nie lekceważąc złożoności niniejszej sprawy</w:t>
      </w:r>
      <w:r w:rsidRPr="0081299B">
        <w:rPr>
          <w:rFonts w:ascii="Times New Roman" w:hAnsi="Times New Roman"/>
          <w:lang w:val="pl-PL"/>
        </w:rPr>
        <w:t xml:space="preserve"> na poziomie dochodzenia, Trybunał stwierdza, że pomiędzy ustanowieniem się przez skarżącą stroną cywilną </w:t>
      </w:r>
      <w:r w:rsidRPr="0081299B">
        <w:rPr>
          <w:rFonts w:ascii="Times New Roman" w:hAnsi="Times New Roman" w:cs="Times New Roman"/>
          <w:szCs w:val="24"/>
          <w:lang w:val="pl-PL"/>
        </w:rPr>
        <w:t>a</w:t>
      </w:r>
      <w:r w:rsidRPr="0081299B">
        <w:rPr>
          <w:rFonts w:ascii="Times New Roman" w:hAnsi="Times New Roman"/>
          <w:lang w:val="pl-PL"/>
        </w:rPr>
        <w:t xml:space="preserve"> zawieszeniem postępowania na mocy postanowienia nr 19/2009 właściwego prokuratora</w:t>
      </w:r>
      <w:r w:rsidR="00C26BB0" w:rsidRPr="0081299B">
        <w:rPr>
          <w:rFonts w:ascii="Times New Roman" w:hAnsi="Times New Roman"/>
          <w:lang w:val="pl-PL"/>
        </w:rPr>
        <w:t xml:space="preserve"> upłynęło prawie dwa i pół roku</w:t>
      </w:r>
      <w:r w:rsidRPr="0081299B">
        <w:rPr>
          <w:rFonts w:ascii="Times New Roman" w:hAnsi="Times New Roman"/>
          <w:lang w:val="pl-PL"/>
        </w:rPr>
        <w:t xml:space="preserve">. Biorąc pod uwagę orzecznictwo w </w:t>
      </w:r>
      <w:r w:rsidRPr="0081299B">
        <w:rPr>
          <w:rFonts w:ascii="Times New Roman" w:hAnsi="Times New Roman" w:cs="Times New Roman"/>
          <w:szCs w:val="24"/>
          <w:lang w:val="pl-PL"/>
        </w:rPr>
        <w:t>tym obszarze</w:t>
      </w:r>
      <w:r w:rsidRPr="0081299B">
        <w:rPr>
          <w:rFonts w:ascii="Times New Roman" w:hAnsi="Times New Roman"/>
          <w:lang w:val="pl-PL"/>
        </w:rPr>
        <w:t xml:space="preserve"> i szczególną szybkość, która jest wymagana w tego rodzaju sprawach (zob. § 68 powyżej), Trybunał uważa, że w </w:t>
      </w:r>
      <w:r w:rsidRPr="0081299B">
        <w:rPr>
          <w:rFonts w:ascii="Times New Roman" w:hAnsi="Times New Roman" w:cs="Times New Roman"/>
          <w:szCs w:val="24"/>
          <w:lang w:val="pl-PL"/>
        </w:rPr>
        <w:t>niniejszej sprawie</w:t>
      </w:r>
      <w:r w:rsidRPr="0081299B">
        <w:rPr>
          <w:rFonts w:ascii="Times New Roman" w:hAnsi="Times New Roman"/>
          <w:lang w:val="pl-PL"/>
        </w:rPr>
        <w:t xml:space="preserve"> czas trwania spornego postępowania w jednej instancji był za długi i nie odpowiada wymogowi „rozsądnego terminu”.</w:t>
      </w:r>
    </w:p>
    <w:p w14:paraId="6C182ADF" w14:textId="7BD7977D"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Doszło zatem do naruszenia art. 6 ust. 1 w odniesieniu do czasu trwania postępowania.</w:t>
      </w:r>
    </w:p>
    <w:p w14:paraId="76319ADB" w14:textId="015E7007" w:rsidR="00311E3A" w:rsidRPr="0081299B" w:rsidRDefault="00311E3A" w:rsidP="00C32C2D">
      <w:pPr>
        <w:pStyle w:val="ECHRHeading3"/>
        <w:numPr>
          <w:ilvl w:val="0"/>
          <w:numId w:val="27"/>
        </w:numPr>
        <w:ind w:left="732" w:hanging="301"/>
        <w:rPr>
          <w:rFonts w:ascii="Times New Roman" w:hAnsi="Times New Roman"/>
          <w:lang w:val="pl-PL"/>
        </w:rPr>
      </w:pPr>
      <w:r w:rsidRPr="0081299B">
        <w:rPr>
          <w:rFonts w:ascii="Times New Roman" w:hAnsi="Times New Roman" w:cs="Times New Roman"/>
          <w:lang w:val="pl-PL"/>
        </w:rPr>
        <w:lastRenderedPageBreak/>
        <w:t>W odniesieniu do</w:t>
      </w:r>
      <w:r w:rsidRPr="0081299B">
        <w:rPr>
          <w:rFonts w:ascii="Times New Roman" w:hAnsi="Times New Roman"/>
          <w:lang w:val="pl-PL"/>
        </w:rPr>
        <w:t xml:space="preserve"> istnienia skutecznego środka odwoławczego w kwestii czasu trwania postępowania</w:t>
      </w:r>
    </w:p>
    <w:p w14:paraId="680EA87C" w14:textId="0100574F"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Trybunał przypomina, że art. 13 gwarantuje skuteczny środek odwoławczy przed instancją krajową, pozwalający skarżyć się na </w:t>
      </w:r>
      <w:r w:rsidRPr="0081299B">
        <w:rPr>
          <w:rFonts w:ascii="Times New Roman" w:hAnsi="Times New Roman" w:cs="Times New Roman"/>
          <w:szCs w:val="24"/>
          <w:lang w:val="pl-PL"/>
        </w:rPr>
        <w:t>naruszenie</w:t>
      </w:r>
      <w:r w:rsidRPr="0081299B">
        <w:rPr>
          <w:rFonts w:ascii="Times New Roman" w:hAnsi="Times New Roman"/>
          <w:lang w:val="pl-PL"/>
        </w:rPr>
        <w:t xml:space="preserve"> obowiązku, nałożonego przez art. 6 ust. 1, rozp</w:t>
      </w:r>
      <w:r w:rsidR="00C26BB0" w:rsidRPr="0081299B">
        <w:rPr>
          <w:rFonts w:ascii="Times New Roman" w:hAnsi="Times New Roman"/>
          <w:lang w:val="pl-PL"/>
        </w:rPr>
        <w:t>atrzenia</w:t>
      </w:r>
      <w:r w:rsidRPr="0081299B">
        <w:rPr>
          <w:rFonts w:ascii="Times New Roman" w:hAnsi="Times New Roman"/>
          <w:lang w:val="pl-PL"/>
        </w:rPr>
        <w:t xml:space="preserve"> sprawy w rozsądnym terminie (</w:t>
      </w:r>
      <w:r w:rsidRPr="0081299B">
        <w:rPr>
          <w:rFonts w:ascii="Times New Roman" w:hAnsi="Times New Roman" w:cs="Times New Roman"/>
          <w:szCs w:val="24"/>
          <w:lang w:val="pl-PL"/>
        </w:rPr>
        <w:t>zob.</w:t>
      </w:r>
      <w:r w:rsidRPr="0081299B">
        <w:rPr>
          <w:rFonts w:ascii="Times New Roman" w:hAnsi="Times New Roman"/>
          <w:lang w:val="pl-PL"/>
        </w:rPr>
        <w:t xml:space="preserve"> </w:t>
      </w:r>
      <w:r w:rsidRPr="0081299B">
        <w:rPr>
          <w:rFonts w:ascii="Times New Roman" w:hAnsi="Times New Roman"/>
          <w:i/>
          <w:lang w:val="pl-PL"/>
        </w:rPr>
        <w:t>Kudła</w:t>
      </w:r>
      <w:r w:rsidRPr="0081299B">
        <w:rPr>
          <w:rFonts w:ascii="Times New Roman" w:hAnsi="Times New Roman"/>
          <w:lang w:val="pl-PL"/>
        </w:rPr>
        <w:t xml:space="preserve"> </w:t>
      </w:r>
      <w:r w:rsidRPr="0081299B">
        <w:rPr>
          <w:rFonts w:ascii="Times New Roman" w:hAnsi="Times New Roman"/>
          <w:i/>
          <w:lang w:val="pl-PL"/>
        </w:rPr>
        <w:t>przeciwko Polsce</w:t>
      </w:r>
      <w:r w:rsidRPr="0081299B">
        <w:rPr>
          <w:rFonts w:ascii="Times New Roman" w:hAnsi="Times New Roman"/>
          <w:lang w:val="pl-PL"/>
        </w:rPr>
        <w:t xml:space="preserve"> [WI], nr 30210/96, § 156, ETPCz 2000-XI).</w:t>
      </w:r>
    </w:p>
    <w:p w14:paraId="156290AA" w14:textId="78972050" w:rsidR="00311E3A" w:rsidRPr="0081299B" w:rsidRDefault="00311E3A" w:rsidP="00C32C2D">
      <w:pPr>
        <w:pStyle w:val="ECHRPara"/>
        <w:numPr>
          <w:ilvl w:val="0"/>
          <w:numId w:val="19"/>
        </w:numPr>
        <w:tabs>
          <w:tab w:val="left" w:pos="709"/>
        </w:tabs>
        <w:ind w:left="0" w:firstLine="284"/>
        <w:rPr>
          <w:rFonts w:ascii="Times New Roman" w:hAnsi="Times New Roman"/>
          <w:lang w:val="pl-PL"/>
        </w:rPr>
      </w:pPr>
      <w:r w:rsidRPr="0081299B">
        <w:rPr>
          <w:rFonts w:ascii="Times New Roman" w:hAnsi="Times New Roman"/>
          <w:lang w:val="pl-PL"/>
        </w:rPr>
        <w:t xml:space="preserve"> Ponadto, Trybunał miał już okazję stwierdzić, że grecki porządek prawny nie oferował zainteresowanej, w czasie kiedy zdarzenia miały miejsce, skutecznego środka odwoławczego w rozumieniu art. 13 Konwencji, umożliwiającego skarżenie się na przewlekłość postępowania (zob. między wieloma innymi, </w:t>
      </w:r>
      <w:proofErr w:type="spellStart"/>
      <w:r w:rsidRPr="0081299B">
        <w:rPr>
          <w:rFonts w:ascii="Times New Roman" w:hAnsi="Times New Roman"/>
          <w:i/>
          <w:lang w:val="pl-PL"/>
        </w:rPr>
        <w:t>Glykantzi</w:t>
      </w:r>
      <w:proofErr w:type="spellEnd"/>
      <w:r w:rsidRPr="0081299B">
        <w:rPr>
          <w:rFonts w:ascii="Times New Roman" w:hAnsi="Times New Roman"/>
          <w:i/>
          <w:lang w:val="pl-PL"/>
        </w:rPr>
        <w:t xml:space="preserve">, </w:t>
      </w:r>
      <w:r w:rsidRPr="0081299B">
        <w:rPr>
          <w:rFonts w:ascii="Times New Roman" w:hAnsi="Times New Roman" w:cs="Times New Roman"/>
          <w:szCs w:val="24"/>
          <w:lang w:val="pl-PL"/>
        </w:rPr>
        <w:t>wyżej wymieniony</w:t>
      </w:r>
      <w:r w:rsidRPr="0081299B">
        <w:rPr>
          <w:rFonts w:ascii="Times New Roman" w:hAnsi="Times New Roman"/>
          <w:lang w:val="pl-PL"/>
        </w:rPr>
        <w:t xml:space="preserve">, § 57). </w:t>
      </w:r>
      <w:r w:rsidRPr="0081299B">
        <w:rPr>
          <w:rFonts w:ascii="Times New Roman" w:hAnsi="Times New Roman" w:cs="Times New Roman"/>
          <w:szCs w:val="24"/>
          <w:lang w:val="pl-PL"/>
        </w:rPr>
        <w:t>W świetle</w:t>
      </w:r>
      <w:r w:rsidRPr="0081299B">
        <w:rPr>
          <w:rFonts w:ascii="Times New Roman" w:hAnsi="Times New Roman"/>
          <w:lang w:val="pl-PL"/>
        </w:rPr>
        <w:t xml:space="preserve"> wcześniejszych rozważań, Trybunał uważa, że </w:t>
      </w:r>
      <w:r w:rsidRPr="0081299B">
        <w:rPr>
          <w:rFonts w:ascii="Times New Roman" w:hAnsi="Times New Roman" w:cs="Times New Roman"/>
          <w:szCs w:val="24"/>
          <w:lang w:val="pl-PL"/>
        </w:rPr>
        <w:t xml:space="preserve">doszło do naruszenia art. 13 Konwencji </w:t>
      </w:r>
      <w:r w:rsidRPr="0081299B">
        <w:rPr>
          <w:rFonts w:ascii="Times New Roman" w:hAnsi="Times New Roman"/>
          <w:lang w:val="pl-PL"/>
        </w:rPr>
        <w:t xml:space="preserve">wobec braku w prawie krajowym – </w:t>
      </w:r>
      <w:r w:rsidRPr="0081299B">
        <w:rPr>
          <w:rFonts w:ascii="Times New Roman" w:hAnsi="Times New Roman" w:cs="Times New Roman"/>
          <w:szCs w:val="24"/>
          <w:lang w:val="pl-PL"/>
        </w:rPr>
        <w:t>w czasie</w:t>
      </w:r>
      <w:r w:rsidRPr="0081299B">
        <w:rPr>
          <w:rFonts w:ascii="Times New Roman" w:hAnsi="Times New Roman"/>
          <w:lang w:val="pl-PL"/>
        </w:rPr>
        <w:t xml:space="preserve">, kiedy fakty sprawy miały miejsce – środka odwoławczego, który pozwoliłby skarżącej wyegzekwować jej prawo do rozpatrzenia sprawy w rozsądnym terminie w rozumieniu art. 6 ust. 1 Konwencji. </w:t>
      </w:r>
    </w:p>
    <w:p w14:paraId="015487A7" w14:textId="569F3271" w:rsidR="00311E3A" w:rsidRPr="0081299B" w:rsidRDefault="00311E3A" w:rsidP="00C32C2D">
      <w:pPr>
        <w:pStyle w:val="ECHRHeading1"/>
        <w:rPr>
          <w:rFonts w:ascii="Times New Roman" w:hAnsi="Times New Roman"/>
          <w:lang w:val="pl-PL"/>
        </w:rPr>
      </w:pPr>
      <w:r w:rsidRPr="0081299B">
        <w:rPr>
          <w:rFonts w:ascii="Times New Roman" w:hAnsi="Times New Roman"/>
          <w:lang w:val="pl-PL"/>
        </w:rPr>
        <w:t xml:space="preserve">III. </w:t>
      </w:r>
      <w:r w:rsidRPr="0081299B">
        <w:rPr>
          <w:rFonts w:ascii="Times New Roman" w:hAnsi="Times New Roman" w:cs="Times New Roman"/>
          <w:lang w:val="pl-PL"/>
        </w:rPr>
        <w:t>ZASTOSOWANIE</w:t>
      </w:r>
      <w:r w:rsidRPr="0081299B">
        <w:rPr>
          <w:rFonts w:ascii="Times New Roman" w:hAnsi="Times New Roman"/>
          <w:lang w:val="pl-PL"/>
        </w:rPr>
        <w:t xml:space="preserve"> ART. 41 KONWENCJI</w:t>
      </w:r>
    </w:p>
    <w:p w14:paraId="22E4C67F" w14:textId="552ABD6D"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 Na mocy art. 41 Konwencji</w:t>
      </w:r>
    </w:p>
    <w:p w14:paraId="3D9FABC9" w14:textId="37B23EE8" w:rsidR="00311E3A" w:rsidRPr="0081299B" w:rsidRDefault="00311E3A" w:rsidP="00C32C2D">
      <w:pPr>
        <w:pStyle w:val="ECHRParaQuote"/>
        <w:rPr>
          <w:rFonts w:ascii="Times New Roman" w:hAnsi="Times New Roman"/>
          <w:lang w:val="pl-PL"/>
        </w:rPr>
      </w:pPr>
      <w:r w:rsidRPr="0081299B">
        <w:rPr>
          <w:rFonts w:ascii="Times New Roman" w:hAnsi="Times New Roman"/>
          <w:sz w:val="24"/>
          <w:lang w:val="pl-PL"/>
        </w:rPr>
        <w:t xml:space="preserve"> </w:t>
      </w:r>
      <w:r w:rsidRPr="0081299B">
        <w:rPr>
          <w:rFonts w:ascii="Times New Roman" w:hAnsi="Times New Roman"/>
          <w:lang w:val="pl-PL"/>
        </w:rPr>
        <w:t>„Jeżeli Trybunał stwierdzi, że nastąpiło naruszenie Konwencji lub jej Protokołów, oraz jeżeli prawo wewnętrzne zainteresowanej Wysokiej Układającej się Strony pozwala tylko na częściowe usunięcie konsekwencji tego naruszenia, Trybunał orzeka, gdy zachodzi taka potrzeba, o przyznaniu słusznego zadośćuczynienia pokrzywdzonej stronie</w:t>
      </w:r>
      <w:r w:rsidRPr="0081299B">
        <w:rPr>
          <w:rFonts w:ascii="Times New Roman" w:eastAsia="MS Mincho" w:hAnsi="Times New Roman" w:cs="Times New Roman"/>
          <w:lang w:val="pl-PL"/>
        </w:rPr>
        <w:t>.”.</w:t>
      </w:r>
    </w:p>
    <w:p w14:paraId="318E2576" w14:textId="4C240D6B" w:rsidR="00311E3A" w:rsidRPr="0081299B" w:rsidRDefault="00311E3A" w:rsidP="00C32C2D">
      <w:pPr>
        <w:pStyle w:val="ECHRHeading2"/>
        <w:rPr>
          <w:rFonts w:ascii="Times New Roman" w:hAnsi="Times New Roman"/>
          <w:lang w:val="pl-PL"/>
        </w:rPr>
      </w:pPr>
      <w:r w:rsidRPr="0081299B">
        <w:rPr>
          <w:rFonts w:ascii="Times New Roman" w:hAnsi="Times New Roman"/>
          <w:lang w:val="pl-PL"/>
        </w:rPr>
        <w:t>A. Szkoda</w:t>
      </w:r>
    </w:p>
    <w:p w14:paraId="353FDD29" w14:textId="55A97757"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b/>
          <w:lang w:val="pl-PL"/>
        </w:rPr>
        <w:t xml:space="preserve"> </w:t>
      </w:r>
      <w:r w:rsidRPr="0081299B">
        <w:rPr>
          <w:rFonts w:ascii="Times New Roman" w:hAnsi="Times New Roman"/>
          <w:lang w:val="pl-PL"/>
        </w:rPr>
        <w:t>Skarżąca żąda 12 000 euro (EUR) z tytułu szkody niemajątkowej, jakiej miała doznać z tytułu naruszenia art. 4, 6 ust. 1 i 13.</w:t>
      </w:r>
    </w:p>
    <w:p w14:paraId="6E1437B2" w14:textId="775F5C33"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 Rząd twierdzi, że żądana kwota jest wygórowana.</w:t>
      </w:r>
    </w:p>
    <w:p w14:paraId="18A9A4A6" w14:textId="433F508C"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 Trybunał uważa, że skarżąca musiała doznać szkody niemajątkowej z powodu naruszenia praw zagwarantowanych w wyżej wymienionych przepisach, i że samo stwierdzenie naruszenia nie stanowi dostatecznego zadośćuczynienia. Orzekając na zasadzie sprawiedliwości, jak na to pozwala art. 41 Konwencji, Trybunał przyznaje skarżącej pełną dochodzoną kwotę</w:t>
      </w:r>
      <w:r w:rsidRPr="0081299B">
        <w:rPr>
          <w:rFonts w:ascii="Times New Roman" w:hAnsi="Times New Roman" w:cs="Times New Roman"/>
          <w:szCs w:val="24"/>
          <w:lang w:val="pl-PL"/>
        </w:rPr>
        <w:t>,</w:t>
      </w:r>
      <w:r w:rsidRPr="0081299B">
        <w:rPr>
          <w:rFonts w:ascii="Times New Roman" w:hAnsi="Times New Roman"/>
          <w:lang w:val="pl-PL"/>
        </w:rPr>
        <w:t xml:space="preserve"> tj. 12 000 EUR</w:t>
      </w:r>
      <w:r w:rsidRPr="0081299B">
        <w:rPr>
          <w:rFonts w:ascii="Times New Roman" w:hAnsi="Times New Roman" w:cs="Times New Roman"/>
          <w:szCs w:val="24"/>
          <w:lang w:val="pl-PL"/>
        </w:rPr>
        <w:t>,</w:t>
      </w:r>
      <w:r w:rsidRPr="0081299B">
        <w:rPr>
          <w:rFonts w:ascii="Times New Roman" w:hAnsi="Times New Roman"/>
          <w:lang w:val="pl-PL"/>
        </w:rPr>
        <w:t xml:space="preserve"> z tytułu doznanej szkody niemajątkowej, powiększoną o wszelką kwotę, jaka może być należna z tytułu podatku.</w:t>
      </w:r>
      <w:r w:rsidRPr="0081299B">
        <w:rPr>
          <w:rFonts w:ascii="Times New Roman" w:hAnsi="Times New Roman" w:cs="Times New Roman"/>
          <w:lang w:val="pl-PL"/>
        </w:rPr>
        <w:t xml:space="preserve"> </w:t>
      </w:r>
    </w:p>
    <w:p w14:paraId="3F1E26E2" w14:textId="37591112" w:rsidR="00311E3A" w:rsidRPr="0081299B" w:rsidRDefault="00311E3A" w:rsidP="00C32C2D">
      <w:pPr>
        <w:pStyle w:val="ECHRHeading2"/>
        <w:rPr>
          <w:rFonts w:ascii="Times New Roman" w:hAnsi="Times New Roman"/>
          <w:lang w:val="pl-PL"/>
        </w:rPr>
      </w:pPr>
      <w:r w:rsidRPr="0081299B">
        <w:rPr>
          <w:rFonts w:ascii="Times New Roman" w:hAnsi="Times New Roman"/>
          <w:lang w:val="pl-PL"/>
        </w:rPr>
        <w:lastRenderedPageBreak/>
        <w:t>B. Koszty i wydatki</w:t>
      </w:r>
    </w:p>
    <w:p w14:paraId="02C676E2" w14:textId="2204E6EF"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 Skarżąca domaga się kwoty 5 000 EUR z tytułu kosztów i wydatków związanych z postępowaniem przed Trybunałem. Na poparcie powyższego przedstawia szczegółowy wykaz wynagrodzeń. Prosi Trybunał o zarządzenie przelewu przedmiotowej kwoty bezpośrednio na rachunek jej przedstawiciela, greckiego Monitora Helsińskiego.</w:t>
      </w:r>
    </w:p>
    <w:p w14:paraId="12CB7A38" w14:textId="1D97DE68"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 Rząd uważa, że żądana kwota jest zbyt wygórowana i nieuzasadniona.</w:t>
      </w:r>
    </w:p>
    <w:p w14:paraId="231C8014" w14:textId="3833BB63"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lang w:val="pl-PL"/>
        </w:rPr>
        <w:t xml:space="preserve"> Zgodnie z orzecznictwem Trybunału, skarżący może otrzymać zwrot kosztów i wydatków tylko w takim stopniu, w jakim ustalono</w:t>
      </w:r>
      <w:r w:rsidRPr="0081299B">
        <w:rPr>
          <w:rFonts w:ascii="Times New Roman" w:hAnsi="Times New Roman" w:cs="Times New Roman"/>
          <w:szCs w:val="24"/>
          <w:lang w:val="pl-PL"/>
        </w:rPr>
        <w:t>, że były one rzeczywi</w:t>
      </w:r>
      <w:r w:rsidR="006B441D" w:rsidRPr="0081299B">
        <w:rPr>
          <w:rFonts w:ascii="Times New Roman" w:hAnsi="Times New Roman" w:cs="Times New Roman"/>
          <w:szCs w:val="24"/>
          <w:lang w:val="pl-PL"/>
        </w:rPr>
        <w:t>ście poniesione</w:t>
      </w:r>
      <w:r w:rsidRPr="0081299B">
        <w:rPr>
          <w:rFonts w:ascii="Times New Roman" w:hAnsi="Times New Roman" w:cs="Times New Roman"/>
          <w:szCs w:val="24"/>
          <w:lang w:val="pl-PL"/>
        </w:rPr>
        <w:t>, konieczne i na rozsądnym poziomie.</w:t>
      </w:r>
      <w:r w:rsidRPr="0081299B">
        <w:rPr>
          <w:rFonts w:ascii="Times New Roman" w:hAnsi="Times New Roman"/>
          <w:lang w:val="pl-PL"/>
        </w:rPr>
        <w:t xml:space="preserve"> Wziąwszy pod uwagę dokument będący w jego posiadaniu oraz wyżej wymienione kryteria, Trybunał przyznaje skarżącej kwotę 3 000 EUR tytułem kosztów i wydatków </w:t>
      </w:r>
      <w:r w:rsidRPr="0081299B">
        <w:rPr>
          <w:rFonts w:ascii="Times New Roman" w:hAnsi="Times New Roman" w:cs="Times New Roman"/>
          <w:szCs w:val="24"/>
          <w:lang w:val="pl-PL"/>
        </w:rPr>
        <w:t>oraz</w:t>
      </w:r>
      <w:r w:rsidRPr="0081299B">
        <w:rPr>
          <w:rFonts w:ascii="Times New Roman" w:hAnsi="Times New Roman"/>
          <w:lang w:val="pl-PL"/>
        </w:rPr>
        <w:t xml:space="preserve"> dodatkowo wszelką kwotę, jaką może musieć zapłacić tytułem podatku. Kwota ta zostanie przelana na rachunek bankowy jej przedstawiciela, greckiego Monitora Helsińskiego (zob. </w:t>
      </w:r>
      <w:proofErr w:type="spellStart"/>
      <w:r w:rsidRPr="0081299B">
        <w:rPr>
          <w:rFonts w:ascii="Times New Roman" w:hAnsi="Times New Roman"/>
          <w:i/>
          <w:lang w:val="pl-PL"/>
        </w:rPr>
        <w:t>Vallianatos</w:t>
      </w:r>
      <w:proofErr w:type="spellEnd"/>
      <w:r w:rsidRPr="0081299B">
        <w:rPr>
          <w:rFonts w:ascii="Times New Roman" w:hAnsi="Times New Roman"/>
          <w:i/>
          <w:lang w:val="pl-PL"/>
        </w:rPr>
        <w:t xml:space="preserve"> i inni przeciwko Grecji </w:t>
      </w:r>
      <w:r w:rsidRPr="0081299B">
        <w:rPr>
          <w:rFonts w:ascii="Times New Roman" w:hAnsi="Times New Roman"/>
          <w:lang w:val="pl-PL"/>
        </w:rPr>
        <w:t>[WI], nr 29381/09 i nr 32684/09, § 103, ETPCz 2013 r. (fragmenty).</w:t>
      </w:r>
    </w:p>
    <w:p w14:paraId="176A3F8F" w14:textId="77777777" w:rsidR="00311E3A" w:rsidRPr="0081299B" w:rsidRDefault="00311E3A" w:rsidP="00C32C2D">
      <w:pPr>
        <w:pStyle w:val="ECHRHeading2"/>
        <w:rPr>
          <w:rFonts w:ascii="Times New Roman" w:hAnsi="Times New Roman"/>
          <w:b w:val="0"/>
          <w:lang w:val="pl-PL"/>
        </w:rPr>
      </w:pPr>
      <w:r w:rsidRPr="0081299B">
        <w:rPr>
          <w:rFonts w:ascii="Times New Roman" w:hAnsi="Times New Roman"/>
          <w:lang w:val="pl-PL"/>
        </w:rPr>
        <w:t xml:space="preserve"> C. Odsetki za zwłokę </w:t>
      </w:r>
    </w:p>
    <w:p w14:paraId="6214FE94" w14:textId="63E4C570" w:rsidR="00311E3A" w:rsidRPr="0081299B" w:rsidRDefault="00311E3A" w:rsidP="00C32C2D">
      <w:pPr>
        <w:pStyle w:val="ECHRPara"/>
        <w:numPr>
          <w:ilvl w:val="0"/>
          <w:numId w:val="19"/>
        </w:numPr>
        <w:ind w:left="0" w:firstLine="284"/>
        <w:rPr>
          <w:rFonts w:ascii="Times New Roman" w:hAnsi="Times New Roman"/>
          <w:lang w:val="pl-PL"/>
        </w:rPr>
      </w:pPr>
      <w:r w:rsidRPr="0081299B">
        <w:rPr>
          <w:rFonts w:ascii="Times New Roman" w:hAnsi="Times New Roman"/>
          <w:b/>
          <w:lang w:val="pl-PL"/>
        </w:rPr>
        <w:t xml:space="preserve"> </w:t>
      </w:r>
      <w:r w:rsidRPr="0081299B">
        <w:rPr>
          <w:rFonts w:ascii="Times New Roman" w:hAnsi="Times New Roman"/>
          <w:lang w:val="pl-PL"/>
        </w:rPr>
        <w:t xml:space="preserve">Trybunał uznaje za właściwe, aby odsetki za zwłokę były naliczone według </w:t>
      </w:r>
      <w:r w:rsidRPr="0081299B">
        <w:rPr>
          <w:rFonts w:ascii="Times New Roman" w:hAnsi="Times New Roman" w:cs="Times New Roman"/>
          <w:szCs w:val="24"/>
          <w:lang w:val="pl-PL"/>
        </w:rPr>
        <w:t>krańcowej</w:t>
      </w:r>
      <w:r w:rsidRPr="0081299B">
        <w:rPr>
          <w:rFonts w:ascii="Times New Roman" w:hAnsi="Times New Roman"/>
          <w:lang w:val="pl-PL"/>
        </w:rPr>
        <w:t xml:space="preserve"> stopy procentowej Europejskiego Banku Centralnego powiększonej o trzy punkty procentowe.</w:t>
      </w:r>
    </w:p>
    <w:p w14:paraId="5A77655B" w14:textId="2EDD3BB8" w:rsidR="00311E3A" w:rsidRPr="0081299B" w:rsidRDefault="00311E3A" w:rsidP="00C32C2D">
      <w:pPr>
        <w:pStyle w:val="Nagwek4"/>
        <w:spacing w:before="720" w:after="240" w:line="240" w:lineRule="auto"/>
        <w:jc w:val="both"/>
        <w:rPr>
          <w:rFonts w:ascii="Times New Roman" w:hAnsi="Times New Roman"/>
          <w:i w:val="0"/>
          <w:color w:val="auto"/>
          <w:sz w:val="28"/>
        </w:rPr>
      </w:pPr>
      <w:r w:rsidRPr="0081299B">
        <w:rPr>
          <w:rFonts w:ascii="Times New Roman" w:hAnsi="Times New Roman"/>
          <w:i w:val="0"/>
          <w:color w:val="auto"/>
          <w:sz w:val="28"/>
        </w:rPr>
        <w:t xml:space="preserve">Z TYCH WZGLĘDÓW, TRYBUNAŁ, JEDNOGŁOŚNIE </w:t>
      </w:r>
    </w:p>
    <w:p w14:paraId="31783BFC" w14:textId="1B1B5D0A" w:rsidR="00311E3A" w:rsidRPr="0081299B" w:rsidRDefault="00311E3A" w:rsidP="00C32C2D">
      <w:pPr>
        <w:pStyle w:val="JuList"/>
        <w:suppressAutoHyphens w:val="0"/>
        <w:rPr>
          <w:lang w:val="pl-PL"/>
        </w:rPr>
      </w:pPr>
      <w:r w:rsidRPr="0081299B">
        <w:rPr>
          <w:lang w:val="pl-PL"/>
        </w:rPr>
        <w:t xml:space="preserve">1. </w:t>
      </w:r>
      <w:r w:rsidRPr="0081299B">
        <w:rPr>
          <w:i/>
          <w:szCs w:val="24"/>
          <w:lang w:val="pl-PL"/>
        </w:rPr>
        <w:t>Uznaje</w:t>
      </w:r>
      <w:r w:rsidRPr="0081299B">
        <w:rPr>
          <w:i/>
          <w:lang w:val="pl-PL"/>
        </w:rPr>
        <w:t xml:space="preserve">, </w:t>
      </w:r>
      <w:r w:rsidRPr="0081299B">
        <w:rPr>
          <w:lang w:val="pl-PL"/>
        </w:rPr>
        <w:t>że skarga jest dopuszczalna;</w:t>
      </w:r>
    </w:p>
    <w:p w14:paraId="6CA209E9" w14:textId="03CCF7C4" w:rsidR="00311E3A" w:rsidRPr="0081299B" w:rsidRDefault="00311E3A" w:rsidP="00311E3A">
      <w:pPr>
        <w:pStyle w:val="JuList"/>
        <w:suppressAutoHyphens w:val="0"/>
        <w:rPr>
          <w:szCs w:val="24"/>
          <w:lang w:val="pl-PL"/>
        </w:rPr>
      </w:pPr>
    </w:p>
    <w:p w14:paraId="1F6327E8" w14:textId="77777777" w:rsidR="00311E3A" w:rsidRPr="0081299B" w:rsidRDefault="00311E3A" w:rsidP="00C32C2D">
      <w:pPr>
        <w:pStyle w:val="JuList"/>
        <w:suppressAutoHyphens w:val="0"/>
        <w:rPr>
          <w:lang w:val="pl-PL"/>
        </w:rPr>
      </w:pPr>
      <w:r w:rsidRPr="0081299B">
        <w:rPr>
          <w:szCs w:val="24"/>
          <w:lang w:val="pl-PL"/>
        </w:rPr>
        <w:t xml:space="preserve">2.  </w:t>
      </w:r>
      <w:r w:rsidRPr="0081299B">
        <w:rPr>
          <w:i/>
          <w:szCs w:val="24"/>
          <w:lang w:val="pl-PL"/>
        </w:rPr>
        <w:t xml:space="preserve">Stwierdza, </w:t>
      </w:r>
      <w:r w:rsidRPr="0081299B">
        <w:rPr>
          <w:szCs w:val="24"/>
          <w:lang w:val="pl-PL"/>
        </w:rPr>
        <w:t xml:space="preserve">że doszło do </w:t>
      </w:r>
      <w:r w:rsidRPr="0081299B">
        <w:rPr>
          <w:lang w:val="pl-PL"/>
        </w:rPr>
        <w:t>naruszenia art. 4 Konwencji;</w:t>
      </w:r>
    </w:p>
    <w:p w14:paraId="39FEB74A" w14:textId="6949D758" w:rsidR="00311E3A" w:rsidRPr="0081299B" w:rsidRDefault="00311E3A" w:rsidP="00311E3A">
      <w:pPr>
        <w:pStyle w:val="JuList"/>
        <w:suppressAutoHyphens w:val="0"/>
        <w:rPr>
          <w:lang w:val="pl-PL"/>
        </w:rPr>
      </w:pPr>
    </w:p>
    <w:p w14:paraId="7BCA5AB6" w14:textId="77777777" w:rsidR="00311E3A" w:rsidRPr="0081299B" w:rsidRDefault="00311E3A" w:rsidP="00C32C2D">
      <w:pPr>
        <w:pStyle w:val="JuList"/>
        <w:suppressAutoHyphens w:val="0"/>
        <w:rPr>
          <w:szCs w:val="24"/>
          <w:lang w:val="pl-PL"/>
        </w:rPr>
      </w:pPr>
      <w:r w:rsidRPr="0081299B">
        <w:rPr>
          <w:szCs w:val="24"/>
          <w:lang w:val="pl-PL"/>
        </w:rPr>
        <w:t xml:space="preserve">3.  </w:t>
      </w:r>
      <w:r w:rsidRPr="0081299B">
        <w:rPr>
          <w:i/>
          <w:szCs w:val="24"/>
          <w:lang w:val="pl-PL"/>
        </w:rPr>
        <w:t>Stwierdza,</w:t>
      </w:r>
      <w:r w:rsidRPr="0081299B">
        <w:rPr>
          <w:szCs w:val="24"/>
          <w:lang w:val="pl-PL"/>
        </w:rPr>
        <w:t xml:space="preserve"> że doszło do naruszenia art. 6 ust. 1 Konwencji;</w:t>
      </w:r>
    </w:p>
    <w:p w14:paraId="1D06E73D" w14:textId="50D72D33" w:rsidR="00311E3A" w:rsidRPr="0081299B" w:rsidRDefault="00311E3A" w:rsidP="00311E3A">
      <w:pPr>
        <w:pStyle w:val="JuList"/>
        <w:suppressAutoHyphens w:val="0"/>
        <w:rPr>
          <w:szCs w:val="24"/>
          <w:lang w:val="pl-PL"/>
        </w:rPr>
      </w:pPr>
    </w:p>
    <w:p w14:paraId="2CE1D106" w14:textId="77777777" w:rsidR="00311E3A" w:rsidRPr="0081299B" w:rsidRDefault="00311E3A" w:rsidP="00C32C2D">
      <w:pPr>
        <w:pStyle w:val="JuList"/>
        <w:suppressAutoHyphens w:val="0"/>
        <w:rPr>
          <w:szCs w:val="24"/>
          <w:lang w:val="pl-PL"/>
        </w:rPr>
      </w:pPr>
      <w:r w:rsidRPr="0081299B">
        <w:rPr>
          <w:szCs w:val="24"/>
          <w:lang w:val="pl-PL"/>
        </w:rPr>
        <w:t xml:space="preserve">4.  </w:t>
      </w:r>
      <w:r w:rsidRPr="0081299B">
        <w:rPr>
          <w:i/>
          <w:szCs w:val="24"/>
          <w:lang w:val="pl-PL"/>
        </w:rPr>
        <w:t>Stwierdza</w:t>
      </w:r>
      <w:r w:rsidRPr="0081299B">
        <w:rPr>
          <w:szCs w:val="24"/>
          <w:lang w:val="pl-PL"/>
        </w:rPr>
        <w:t>, że doszło do naruszenia art. 13 Konwencji;</w:t>
      </w:r>
    </w:p>
    <w:p w14:paraId="6E1CA00E" w14:textId="69EDDC62" w:rsidR="00311E3A" w:rsidRPr="0081299B" w:rsidRDefault="00311E3A" w:rsidP="00311E3A">
      <w:pPr>
        <w:pStyle w:val="JuList"/>
        <w:suppressAutoHyphens w:val="0"/>
        <w:rPr>
          <w:szCs w:val="24"/>
          <w:lang w:val="pl-PL"/>
        </w:rPr>
      </w:pPr>
    </w:p>
    <w:p w14:paraId="5B3520DC" w14:textId="77777777" w:rsidR="00311E3A" w:rsidRPr="0081299B" w:rsidRDefault="00311E3A" w:rsidP="00C32C2D">
      <w:pPr>
        <w:pStyle w:val="JuList"/>
        <w:suppressAutoHyphens w:val="0"/>
        <w:rPr>
          <w:i/>
          <w:szCs w:val="24"/>
          <w:lang w:val="pl-PL"/>
        </w:rPr>
      </w:pPr>
      <w:r w:rsidRPr="0081299B">
        <w:rPr>
          <w:szCs w:val="24"/>
          <w:lang w:val="pl-PL"/>
        </w:rPr>
        <w:t xml:space="preserve">5.  </w:t>
      </w:r>
      <w:r w:rsidRPr="0081299B">
        <w:rPr>
          <w:i/>
          <w:szCs w:val="24"/>
          <w:lang w:val="pl-PL"/>
        </w:rPr>
        <w:t>Stwierdza, że</w:t>
      </w:r>
    </w:p>
    <w:p w14:paraId="203A87CB" w14:textId="652C9A27" w:rsidR="00311E3A" w:rsidRPr="0081299B" w:rsidRDefault="00311E3A" w:rsidP="00C32C2D">
      <w:pPr>
        <w:pStyle w:val="JuLista"/>
      </w:pPr>
      <w:r w:rsidRPr="0081299B">
        <w:t xml:space="preserve">a) pozwane Państwo ma zapłacić, w terminie trzech miesięcy od dnia, w którym wyrok stanie się ostateczny zgodnie z art. 44 ust. 2 Konwencji, następujące kwoty: </w:t>
      </w:r>
    </w:p>
    <w:p w14:paraId="0078317E" w14:textId="7B22C25A" w:rsidR="00311E3A" w:rsidRPr="0081299B" w:rsidRDefault="00311E3A" w:rsidP="00C32C2D">
      <w:pPr>
        <w:pStyle w:val="JuListi"/>
        <w:rPr>
          <w:lang w:val="pl-PL"/>
        </w:rPr>
      </w:pPr>
      <w:r w:rsidRPr="0081299B">
        <w:rPr>
          <w:rFonts w:eastAsia="MS Mincho"/>
          <w:lang w:val="pl-PL"/>
        </w:rPr>
        <w:lastRenderedPageBreak/>
        <w:t xml:space="preserve">i) 12 000 EUR (dwanaście tysięcy euro) dla skarżącej z tytułu </w:t>
      </w:r>
      <w:r w:rsidRPr="0081299B">
        <w:rPr>
          <w:lang w:val="pl-PL"/>
        </w:rPr>
        <w:t>szkody niemajątkowej i dodatkowo wszelką kwotę, jaka może być należna z tytułu podatku;</w:t>
      </w:r>
    </w:p>
    <w:p w14:paraId="1E0F71D6" w14:textId="30FB003C" w:rsidR="00311E3A" w:rsidRPr="0081299B" w:rsidRDefault="00311E3A" w:rsidP="00C32C2D">
      <w:pPr>
        <w:pStyle w:val="JuListi"/>
        <w:rPr>
          <w:lang w:val="pl-PL"/>
        </w:rPr>
      </w:pPr>
      <w:r w:rsidRPr="0081299B">
        <w:rPr>
          <w:lang w:val="pl-PL"/>
        </w:rPr>
        <w:t>ii) 3 000 EUR (trzy tysiące euro) dla skarżącej</w:t>
      </w:r>
      <w:r w:rsidRPr="0081299B">
        <w:rPr>
          <w:szCs w:val="24"/>
          <w:lang w:val="pl-PL"/>
        </w:rPr>
        <w:t xml:space="preserve"> z tytułu kosztów i wydatków</w:t>
      </w:r>
      <w:r w:rsidRPr="0081299B">
        <w:rPr>
          <w:lang w:val="pl-PL"/>
        </w:rPr>
        <w:t xml:space="preserve"> i dodatkowo wszelką kwotę, jaka może być należna z tytułu podatku, do przelania bezpośrednio na rachunek bankowy jej przedstawiciela;</w:t>
      </w:r>
    </w:p>
    <w:p w14:paraId="518EE806" w14:textId="7A9BD254" w:rsidR="00311E3A" w:rsidRPr="0081299B" w:rsidRDefault="00311E3A" w:rsidP="00C32C2D">
      <w:pPr>
        <w:pStyle w:val="JuLista"/>
      </w:pPr>
      <w:r w:rsidRPr="0081299B">
        <w:t xml:space="preserve">b) za okres od dnia </w:t>
      </w:r>
      <w:r w:rsidRPr="0081299B">
        <w:rPr>
          <w:szCs w:val="24"/>
        </w:rPr>
        <w:t>upływu</w:t>
      </w:r>
      <w:r w:rsidRPr="0081299B">
        <w:t xml:space="preserve"> tego terminu  do dnia zapłaty, kwoty te będą powiększone o odsetki zwykłe obliczone według stopy równej krańcowej stopie procentowej Europejskiego Banku Centralnego, obowiązującej w tym okresie, powiększonej o trzy punkty procentowe;</w:t>
      </w:r>
    </w:p>
    <w:p w14:paraId="726805E1" w14:textId="77777777" w:rsidR="00311E3A" w:rsidRPr="0081299B" w:rsidRDefault="00311E3A" w:rsidP="00C32C2D">
      <w:pPr>
        <w:spacing w:after="0" w:line="240" w:lineRule="auto"/>
        <w:ind w:firstLine="284"/>
        <w:jc w:val="both"/>
        <w:rPr>
          <w:rFonts w:ascii="Times New Roman" w:hAnsi="Times New Roman" w:cs="Times New Roman"/>
          <w:sz w:val="24"/>
          <w:szCs w:val="24"/>
        </w:rPr>
      </w:pPr>
      <w:r w:rsidRPr="0081299B">
        <w:rPr>
          <w:rFonts w:ascii="Times New Roman" w:hAnsi="Times New Roman" w:cs="Times New Roman"/>
          <w:sz w:val="24"/>
          <w:szCs w:val="24"/>
        </w:rPr>
        <w:t xml:space="preserve"> </w:t>
      </w:r>
    </w:p>
    <w:p w14:paraId="1BB68D37" w14:textId="77777777" w:rsidR="00311E3A" w:rsidRPr="0081299B" w:rsidRDefault="00311E3A" w:rsidP="00C32C2D">
      <w:pPr>
        <w:pStyle w:val="JuList"/>
        <w:suppressAutoHyphens w:val="0"/>
        <w:rPr>
          <w:lang w:val="pl-PL"/>
        </w:rPr>
      </w:pPr>
      <w:r w:rsidRPr="0081299B">
        <w:rPr>
          <w:rFonts w:eastAsia="MS Mincho"/>
          <w:lang w:val="pl-PL"/>
        </w:rPr>
        <w:t xml:space="preserve"> </w:t>
      </w:r>
      <w:r w:rsidRPr="0081299B">
        <w:rPr>
          <w:lang w:val="pl-PL"/>
        </w:rPr>
        <w:t>6.</w:t>
      </w:r>
      <w:r w:rsidRPr="0081299B">
        <w:rPr>
          <w:szCs w:val="24"/>
          <w:lang w:val="pl-PL"/>
        </w:rPr>
        <w:t xml:space="preserve"> </w:t>
      </w:r>
      <w:r w:rsidRPr="0081299B">
        <w:rPr>
          <w:lang w:val="pl-PL"/>
        </w:rPr>
        <w:t xml:space="preserve"> </w:t>
      </w:r>
      <w:r w:rsidRPr="0081299B">
        <w:rPr>
          <w:i/>
          <w:lang w:val="pl-PL"/>
        </w:rPr>
        <w:t xml:space="preserve">Oddala </w:t>
      </w:r>
      <w:r w:rsidRPr="0081299B">
        <w:rPr>
          <w:lang w:val="pl-PL"/>
        </w:rPr>
        <w:t>pozostałą część</w:t>
      </w:r>
      <w:r w:rsidRPr="0081299B">
        <w:rPr>
          <w:i/>
          <w:lang w:val="pl-PL"/>
        </w:rPr>
        <w:t xml:space="preserve"> </w:t>
      </w:r>
      <w:r w:rsidRPr="0081299B">
        <w:rPr>
          <w:lang w:val="pl-PL"/>
        </w:rPr>
        <w:t>wniosku o słuszne zadośćuczynienie.</w:t>
      </w:r>
    </w:p>
    <w:p w14:paraId="45542FDA" w14:textId="77777777" w:rsidR="00311E3A" w:rsidRPr="0081299B" w:rsidRDefault="00311E3A" w:rsidP="00C32C2D">
      <w:pPr>
        <w:spacing w:after="0" w:line="240" w:lineRule="auto"/>
        <w:ind w:firstLine="284"/>
        <w:jc w:val="both"/>
        <w:rPr>
          <w:rFonts w:ascii="Times New Roman" w:hAnsi="Times New Roman" w:cs="Times New Roman"/>
          <w:sz w:val="24"/>
          <w:szCs w:val="24"/>
        </w:rPr>
      </w:pPr>
    </w:p>
    <w:p w14:paraId="49BC92DD" w14:textId="77777777" w:rsidR="00311E3A" w:rsidRPr="0081299B" w:rsidRDefault="00311E3A" w:rsidP="00C32C2D">
      <w:pPr>
        <w:pStyle w:val="Akapitzlist"/>
        <w:spacing w:line="240" w:lineRule="auto"/>
        <w:ind w:left="0" w:firstLine="284"/>
        <w:jc w:val="both"/>
        <w:rPr>
          <w:rFonts w:ascii="Times New Roman" w:eastAsia="Times New Roman" w:hAnsi="Times New Roman" w:cs="Times New Roman"/>
          <w:sz w:val="24"/>
          <w:szCs w:val="20"/>
          <w:lang w:eastAsia="ar-SA"/>
        </w:rPr>
      </w:pPr>
      <w:r w:rsidRPr="0081299B">
        <w:rPr>
          <w:rFonts w:ascii="Times New Roman" w:hAnsi="Times New Roman" w:cs="Times New Roman"/>
          <w:sz w:val="24"/>
          <w:szCs w:val="24"/>
        </w:rPr>
        <w:t xml:space="preserve"> </w:t>
      </w:r>
      <w:r w:rsidRPr="0081299B">
        <w:rPr>
          <w:rFonts w:ascii="Times New Roman" w:eastAsia="Times New Roman" w:hAnsi="Times New Roman" w:cs="Times New Roman"/>
          <w:sz w:val="24"/>
          <w:szCs w:val="20"/>
          <w:lang w:eastAsia="ar-SA"/>
        </w:rPr>
        <w:t xml:space="preserve">Sporządzono w języku francuskim i obwieszczono pisemnie dnia 21 stycznia 2016 r., zgodnie z Regułą 77 §§ 2 i 3 Regulaminu Trybunału. </w:t>
      </w:r>
    </w:p>
    <w:p w14:paraId="625B0BDD" w14:textId="77777777" w:rsidR="00311E3A" w:rsidRPr="0081299B" w:rsidRDefault="00311E3A" w:rsidP="00C32C2D">
      <w:pPr>
        <w:spacing w:after="0" w:line="240" w:lineRule="auto"/>
        <w:ind w:firstLine="284"/>
        <w:jc w:val="both"/>
        <w:rPr>
          <w:rFonts w:ascii="Times New Roman" w:eastAsia="MS Mincho" w:hAnsi="Times New Roman" w:cs="Times New Roman"/>
          <w:sz w:val="24"/>
          <w:szCs w:val="24"/>
        </w:rPr>
      </w:pPr>
    </w:p>
    <w:p w14:paraId="59E3067C" w14:textId="77777777" w:rsidR="00311E3A" w:rsidRPr="0081299B" w:rsidRDefault="00311E3A" w:rsidP="00311E3A">
      <w:pPr>
        <w:pStyle w:val="JuList"/>
        <w:ind w:firstLine="284"/>
        <w:rPr>
          <w:szCs w:val="24"/>
          <w:lang w:val="pl-PL"/>
        </w:rPr>
      </w:pPr>
      <w:r w:rsidRPr="0081299B">
        <w:rPr>
          <w:szCs w:val="24"/>
          <w:lang w:val="pl-PL"/>
        </w:rPr>
        <w:t xml:space="preserve">   </w:t>
      </w:r>
      <w:proofErr w:type="spellStart"/>
      <w:r w:rsidRPr="0081299B">
        <w:rPr>
          <w:szCs w:val="24"/>
          <w:lang w:val="pl-PL"/>
        </w:rPr>
        <w:t>Andr</w:t>
      </w:r>
      <w:r w:rsidRPr="0081299B">
        <w:rPr>
          <w:lang w:val="pl-PL"/>
        </w:rPr>
        <w:t>é</w:t>
      </w:r>
      <w:proofErr w:type="spellEnd"/>
      <w:r w:rsidRPr="0081299B">
        <w:rPr>
          <w:szCs w:val="24"/>
          <w:lang w:val="pl-PL"/>
        </w:rPr>
        <w:t xml:space="preserve"> Wampach </w:t>
      </w:r>
      <w:r w:rsidRPr="0081299B">
        <w:rPr>
          <w:szCs w:val="24"/>
          <w:lang w:val="pl-PL"/>
        </w:rPr>
        <w:tab/>
      </w:r>
      <w:r w:rsidRPr="0081299B">
        <w:rPr>
          <w:szCs w:val="24"/>
          <w:lang w:val="pl-PL"/>
        </w:rPr>
        <w:tab/>
      </w:r>
      <w:r w:rsidRPr="0081299B">
        <w:rPr>
          <w:szCs w:val="24"/>
          <w:lang w:val="pl-PL"/>
        </w:rPr>
        <w:tab/>
      </w:r>
      <w:proofErr w:type="spellStart"/>
      <w:r w:rsidRPr="0081299B">
        <w:rPr>
          <w:szCs w:val="24"/>
          <w:lang w:val="pl-PL"/>
        </w:rPr>
        <w:t>Mirjana</w:t>
      </w:r>
      <w:proofErr w:type="spellEnd"/>
      <w:r w:rsidRPr="0081299B">
        <w:rPr>
          <w:szCs w:val="24"/>
          <w:lang w:val="pl-PL"/>
        </w:rPr>
        <w:t xml:space="preserve"> </w:t>
      </w:r>
      <w:proofErr w:type="spellStart"/>
      <w:r w:rsidRPr="0081299B">
        <w:rPr>
          <w:szCs w:val="24"/>
          <w:lang w:val="pl-PL"/>
        </w:rPr>
        <w:t>Lazarova</w:t>
      </w:r>
      <w:proofErr w:type="spellEnd"/>
      <w:r w:rsidRPr="0081299B">
        <w:rPr>
          <w:szCs w:val="24"/>
          <w:lang w:val="pl-PL"/>
        </w:rPr>
        <w:t xml:space="preserve"> </w:t>
      </w:r>
      <w:proofErr w:type="spellStart"/>
      <w:r w:rsidRPr="0081299B">
        <w:rPr>
          <w:szCs w:val="24"/>
          <w:lang w:val="pl-PL"/>
        </w:rPr>
        <w:t>Trajkovska</w:t>
      </w:r>
      <w:proofErr w:type="spellEnd"/>
      <w:r w:rsidRPr="0081299B">
        <w:rPr>
          <w:szCs w:val="24"/>
          <w:lang w:val="pl-PL"/>
        </w:rPr>
        <w:t xml:space="preserve"> </w:t>
      </w:r>
    </w:p>
    <w:p w14:paraId="757C9DC8" w14:textId="77777777" w:rsidR="00311E3A" w:rsidRPr="00A56847" w:rsidRDefault="00311E3A" w:rsidP="00311E3A">
      <w:pPr>
        <w:pStyle w:val="JuList"/>
        <w:ind w:firstLine="284"/>
        <w:rPr>
          <w:szCs w:val="24"/>
          <w:lang w:val="pl-PL"/>
        </w:rPr>
      </w:pPr>
      <w:r w:rsidRPr="0081299B">
        <w:rPr>
          <w:szCs w:val="24"/>
          <w:lang w:val="pl-PL"/>
        </w:rPr>
        <w:t xml:space="preserve"> Zastępca Kanclerza </w:t>
      </w:r>
      <w:r w:rsidRPr="0081299B">
        <w:rPr>
          <w:szCs w:val="24"/>
          <w:lang w:val="pl-PL"/>
        </w:rPr>
        <w:tab/>
      </w:r>
      <w:r w:rsidRPr="0081299B">
        <w:rPr>
          <w:szCs w:val="24"/>
          <w:lang w:val="pl-PL"/>
        </w:rPr>
        <w:tab/>
      </w:r>
      <w:r w:rsidRPr="0081299B">
        <w:rPr>
          <w:szCs w:val="24"/>
          <w:lang w:val="pl-PL"/>
        </w:rPr>
        <w:tab/>
      </w:r>
      <w:r w:rsidRPr="0081299B">
        <w:rPr>
          <w:szCs w:val="24"/>
          <w:lang w:val="pl-PL"/>
        </w:rPr>
        <w:tab/>
        <w:t>Przewodnicząca</w:t>
      </w:r>
      <w:r w:rsidRPr="00A56847">
        <w:rPr>
          <w:szCs w:val="24"/>
          <w:lang w:val="pl-PL"/>
        </w:rPr>
        <w:t xml:space="preserve"> </w:t>
      </w:r>
    </w:p>
    <w:p w14:paraId="48BE0096" w14:textId="77777777" w:rsidR="00311E3A" w:rsidRPr="00A56847" w:rsidRDefault="00311E3A" w:rsidP="00311E3A">
      <w:pPr>
        <w:pStyle w:val="ECHRTitle1"/>
        <w:keepNext w:val="0"/>
        <w:keepLines w:val="0"/>
        <w:ind w:firstLine="284"/>
        <w:rPr>
          <w:rFonts w:ascii="Times New Roman" w:hAnsi="Times New Roman" w:cs="Times New Roman"/>
          <w:sz w:val="24"/>
          <w:szCs w:val="24"/>
        </w:rPr>
      </w:pPr>
      <w:r w:rsidRPr="00A56847">
        <w:rPr>
          <w:rFonts w:ascii="Times New Roman" w:hAnsi="Times New Roman" w:cs="Times New Roman"/>
          <w:sz w:val="24"/>
          <w:szCs w:val="24"/>
        </w:rPr>
        <w:t xml:space="preserve"> </w:t>
      </w:r>
    </w:p>
    <w:p w14:paraId="3C2948F1" w14:textId="77777777" w:rsidR="004B7DF7" w:rsidRPr="00A56847" w:rsidRDefault="004B7DF7" w:rsidP="00C32C2D">
      <w:pPr>
        <w:pStyle w:val="Tekstpodstawowyzwciciem"/>
        <w:spacing w:after="0" w:line="240" w:lineRule="auto"/>
        <w:ind w:firstLine="284"/>
        <w:jc w:val="both"/>
        <w:rPr>
          <w:rFonts w:ascii="Times New Roman" w:hAnsi="Times New Roman" w:cs="Times New Roman"/>
          <w:sz w:val="24"/>
          <w:szCs w:val="24"/>
        </w:rPr>
      </w:pPr>
    </w:p>
    <w:sectPr w:rsidR="004B7DF7" w:rsidRPr="00A56847" w:rsidSect="00C32C2D">
      <w:headerReference w:type="even" r:id="rId9"/>
      <w:headerReference w:type="default" r:id="rId10"/>
      <w:footerReference w:type="even" r:id="rId11"/>
      <w:footerReference w:type="default" r:id="rId12"/>
      <w:headerReference w:type="first" r:id="rId13"/>
      <w:footerReference w:type="first" r:id="rId14"/>
      <w:pgSz w:w="11906" w:h="16838"/>
      <w:pgMar w:top="2274" w:right="2274" w:bottom="2410" w:left="22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B2EB8" w14:textId="77777777" w:rsidR="003030CD" w:rsidRDefault="003030CD" w:rsidP="00DA0235">
      <w:pPr>
        <w:spacing w:after="0" w:line="240" w:lineRule="auto"/>
      </w:pPr>
      <w:r>
        <w:separator/>
      </w:r>
    </w:p>
  </w:endnote>
  <w:endnote w:type="continuationSeparator" w:id="0">
    <w:p w14:paraId="28D356D2" w14:textId="77777777" w:rsidR="003030CD" w:rsidRDefault="003030CD" w:rsidP="00DA0235">
      <w:pPr>
        <w:spacing w:after="0" w:line="240" w:lineRule="auto"/>
      </w:pPr>
      <w:r>
        <w:continuationSeparator/>
      </w:r>
    </w:p>
  </w:endnote>
  <w:endnote w:type="continuationNotice" w:id="1">
    <w:p w14:paraId="497419D0" w14:textId="77777777" w:rsidR="003030CD" w:rsidRDefault="003030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32C3D" w14:textId="77777777" w:rsidR="009655C0" w:rsidRDefault="009655C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A02E9" w14:textId="77777777" w:rsidR="009655C0" w:rsidRDefault="009655C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B3B0C" w14:textId="77777777" w:rsidR="00B32098" w:rsidRDefault="00B32098" w:rsidP="00C32C2D">
    <w:pPr>
      <w:pStyle w:val="Stopka"/>
      <w:jc w:val="center"/>
    </w:pPr>
    <w:r w:rsidRPr="00C12390">
      <w:rPr>
        <w:noProof/>
        <w:lang w:eastAsia="pl-PL"/>
      </w:rPr>
      <w:drawing>
        <wp:inline distT="0" distB="0" distL="0" distR="0" wp14:anchorId="39CF6FC9" wp14:editId="660047E3">
          <wp:extent cx="771525" cy="619125"/>
          <wp:effectExtent l="0" t="0" r="9525" b="9525"/>
          <wp:docPr id="4"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9C717" w14:textId="77777777" w:rsidR="003030CD" w:rsidRDefault="003030CD" w:rsidP="00DA0235">
      <w:pPr>
        <w:spacing w:after="0" w:line="240" w:lineRule="auto"/>
      </w:pPr>
      <w:r>
        <w:separator/>
      </w:r>
    </w:p>
  </w:footnote>
  <w:footnote w:type="continuationSeparator" w:id="0">
    <w:p w14:paraId="3CB4FC39" w14:textId="77777777" w:rsidR="003030CD" w:rsidRDefault="003030CD" w:rsidP="00DA0235">
      <w:pPr>
        <w:spacing w:after="0" w:line="240" w:lineRule="auto"/>
      </w:pPr>
      <w:r>
        <w:continuationSeparator/>
      </w:r>
    </w:p>
  </w:footnote>
  <w:footnote w:type="continuationNotice" w:id="1">
    <w:p w14:paraId="6A07A67D" w14:textId="77777777" w:rsidR="003030CD" w:rsidRDefault="003030C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88DC2" w14:textId="77777777" w:rsidR="009655C0" w:rsidRDefault="009655C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02636" w14:textId="77777777" w:rsidR="00B32098" w:rsidRDefault="00B32098" w:rsidP="00D91A72">
    <w:pPr>
      <w:pStyle w:val="ECHRHeader"/>
      <w:tabs>
        <w:tab w:val="clear" w:pos="7371"/>
        <w:tab w:val="right" w:pos="8505"/>
      </w:tabs>
      <w:jc w:val="center"/>
      <w:rPr>
        <w:rFonts w:ascii="Times New Roman" w:hAnsi="Times New Roman" w:cs="Times New Roman"/>
        <w:lang w:val="pl-PL"/>
      </w:rPr>
    </w:pPr>
    <w:r>
      <w:rPr>
        <w:rFonts w:ascii="Times New Roman" w:hAnsi="Times New Roman" w:cs="Times New Roman"/>
        <w:lang w:val="pl-PL"/>
      </w:rPr>
      <w:tab/>
      <w:t xml:space="preserve">                   </w:t>
    </w:r>
  </w:p>
  <w:p w14:paraId="3026A53C" w14:textId="77777777" w:rsidR="00B32098" w:rsidRDefault="00B32098" w:rsidP="00D91A72">
    <w:pPr>
      <w:pStyle w:val="ECHRHeader"/>
      <w:tabs>
        <w:tab w:val="clear" w:pos="7371"/>
        <w:tab w:val="right" w:pos="8505"/>
      </w:tabs>
      <w:jc w:val="center"/>
      <w:rPr>
        <w:rFonts w:ascii="Times New Roman" w:hAnsi="Times New Roman" w:cs="Times New Roman"/>
        <w:lang w:val="pl-PL"/>
      </w:rPr>
    </w:pPr>
    <w:r>
      <w:rPr>
        <w:rFonts w:ascii="Times New Roman" w:hAnsi="Times New Roman" w:cs="Times New Roman"/>
        <w:lang w:val="pl-PL"/>
      </w:rPr>
      <w:tab/>
    </w:r>
  </w:p>
  <w:p w14:paraId="559DAA70" w14:textId="77777777" w:rsidR="00B32098" w:rsidRDefault="00B32098" w:rsidP="00D91A72">
    <w:pPr>
      <w:pStyle w:val="ECHRHeader"/>
      <w:tabs>
        <w:tab w:val="clear" w:pos="7371"/>
        <w:tab w:val="right" w:pos="8505"/>
      </w:tabs>
      <w:jc w:val="center"/>
      <w:rPr>
        <w:rFonts w:ascii="Times New Roman" w:hAnsi="Times New Roman" w:cs="Times New Roman"/>
        <w:lang w:val="pl-PL"/>
      </w:rPr>
    </w:pPr>
  </w:p>
  <w:p w14:paraId="1CA07B02" w14:textId="77777777" w:rsidR="00B32098" w:rsidRDefault="00B32098" w:rsidP="00D91A72">
    <w:pPr>
      <w:pStyle w:val="ECHRHeader"/>
      <w:tabs>
        <w:tab w:val="clear" w:pos="7371"/>
        <w:tab w:val="right" w:pos="8505"/>
      </w:tabs>
      <w:jc w:val="center"/>
      <w:rPr>
        <w:rFonts w:ascii="Times New Roman" w:hAnsi="Times New Roman" w:cs="Times New Roman"/>
        <w:lang w:val="pl-PL"/>
      </w:rPr>
    </w:pPr>
  </w:p>
  <w:p w14:paraId="539BB9EB" w14:textId="46E0CA8A" w:rsidR="00B32098" w:rsidRPr="00D91A72" w:rsidRDefault="00B32098" w:rsidP="00915BE4">
    <w:pPr>
      <w:pStyle w:val="ECHRHeader"/>
      <w:tabs>
        <w:tab w:val="clear" w:pos="3686"/>
        <w:tab w:val="clear" w:pos="7371"/>
        <w:tab w:val="center" w:pos="3402"/>
        <w:tab w:val="right" w:pos="7088"/>
      </w:tabs>
      <w:jc w:val="center"/>
      <w:rPr>
        <w:lang w:val="pl-PL"/>
      </w:rPr>
    </w:pPr>
    <w:r>
      <w:rPr>
        <w:rFonts w:ascii="Times New Roman" w:hAnsi="Times New Roman" w:cs="Times New Roman"/>
        <w:lang w:val="pl-PL"/>
      </w:rPr>
      <w:tab/>
    </w:r>
    <w:r w:rsidRPr="00C32C2D">
      <w:rPr>
        <w:rFonts w:ascii="Times New Roman" w:hAnsi="Times New Roman"/>
        <w:lang w:val="pl-PL"/>
      </w:rPr>
      <w:t xml:space="preserve">WYROK </w:t>
    </w:r>
    <w:r w:rsidRPr="00D91A72">
      <w:rPr>
        <w:rFonts w:ascii="Times New Roman" w:hAnsi="Times New Roman" w:cs="Times New Roman"/>
        <w:lang w:val="pl-PL"/>
      </w:rPr>
      <w:t xml:space="preserve">w sprawie </w:t>
    </w:r>
    <w:r w:rsidRPr="00C32C2D">
      <w:rPr>
        <w:rFonts w:ascii="Times New Roman" w:hAnsi="Times New Roman"/>
        <w:lang w:val="pl-PL"/>
      </w:rPr>
      <w:t xml:space="preserve">L.E. </w:t>
    </w:r>
    <w:r w:rsidRPr="00D91A72">
      <w:rPr>
        <w:rFonts w:ascii="Times New Roman" w:hAnsi="Times New Roman" w:cs="Times New Roman"/>
        <w:lang w:val="pl-PL"/>
      </w:rPr>
      <w:t>przeciwko</w:t>
    </w:r>
    <w:r w:rsidRPr="00C32C2D">
      <w:rPr>
        <w:rFonts w:ascii="Times New Roman" w:hAnsi="Times New Roman"/>
        <w:lang w:val="pl-PL"/>
      </w:rPr>
      <w:t xml:space="preserve"> GRECJI</w:t>
    </w:r>
    <w:r>
      <w:rPr>
        <w:rFonts w:ascii="Times New Roman" w:hAnsi="Times New Roman" w:cs="Times New Roman"/>
        <w:lang w:val="pl-PL"/>
      </w:rPr>
      <w:tab/>
    </w:r>
    <w:r>
      <w:rPr>
        <w:rStyle w:val="Numerstrony"/>
      </w:rPr>
      <w:fldChar w:fldCharType="begin"/>
    </w:r>
    <w:r w:rsidRPr="00D91A72">
      <w:rPr>
        <w:rStyle w:val="Numerstrony"/>
        <w:lang w:val="pl-PL"/>
      </w:rPr>
      <w:instrText xml:space="preserve"> PAGE </w:instrText>
    </w:r>
    <w:r>
      <w:rPr>
        <w:rStyle w:val="Numerstrony"/>
      </w:rPr>
      <w:fldChar w:fldCharType="separate"/>
    </w:r>
    <w:r w:rsidR="009F3E90">
      <w:rPr>
        <w:rStyle w:val="Numerstrony"/>
        <w:noProof/>
        <w:lang w:val="pl-PL"/>
      </w:rPr>
      <w:t>2</w:t>
    </w:r>
    <w:r>
      <w:rPr>
        <w:rStyle w:val="Numerstrony"/>
      </w:rPr>
      <w:fldChar w:fldCharType="end"/>
    </w:r>
  </w:p>
  <w:p w14:paraId="18383D12" w14:textId="77777777" w:rsidR="00B32098" w:rsidRPr="00A71CD9" w:rsidRDefault="00B32098" w:rsidP="00A71CD9">
    <w:pPr>
      <w:pStyle w:val="Nagwek"/>
      <w:jc w:val="cent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5149C" w14:textId="77777777" w:rsidR="00B32098" w:rsidRDefault="00B32098" w:rsidP="00457C50">
    <w:pPr>
      <w:pStyle w:val="Nagwek"/>
      <w:jc w:val="center"/>
    </w:pPr>
  </w:p>
  <w:p w14:paraId="1A4491EC" w14:textId="77777777" w:rsidR="00B32098" w:rsidRDefault="00B32098" w:rsidP="00457C50">
    <w:pPr>
      <w:pStyle w:val="Nagwek"/>
      <w:jc w:val="center"/>
    </w:pPr>
  </w:p>
  <w:p w14:paraId="539EB7C4" w14:textId="77777777" w:rsidR="00B32098" w:rsidRDefault="00B32098" w:rsidP="00457C50">
    <w:pPr>
      <w:pStyle w:val="Nagwek"/>
      <w:jc w:val="center"/>
    </w:pPr>
  </w:p>
  <w:p w14:paraId="0AFCBA6A" w14:textId="77777777" w:rsidR="00B32098" w:rsidRDefault="00B32098" w:rsidP="00457C50">
    <w:pPr>
      <w:pStyle w:val="Nagwek"/>
      <w:jc w:val="center"/>
    </w:pPr>
  </w:p>
  <w:p w14:paraId="1C8830AD" w14:textId="77777777" w:rsidR="00B32098" w:rsidRDefault="00B32098" w:rsidP="00457C50">
    <w:pPr>
      <w:pStyle w:val="Nagwek"/>
      <w:jc w:val="center"/>
    </w:pPr>
  </w:p>
  <w:p w14:paraId="2FC03138" w14:textId="77777777" w:rsidR="00B32098" w:rsidRDefault="00B32098" w:rsidP="00C32C2D">
    <w:pPr>
      <w:pStyle w:val="Nagwek"/>
      <w:jc w:val="center"/>
    </w:pPr>
    <w:r w:rsidRPr="00C12390">
      <w:rPr>
        <w:noProof/>
        <w:lang w:eastAsia="pl-PL"/>
      </w:rPr>
      <w:drawing>
        <wp:inline distT="0" distB="0" distL="0" distR="0" wp14:anchorId="73C6A654" wp14:editId="26E7CB05">
          <wp:extent cx="2962275" cy="1219200"/>
          <wp:effectExtent l="0" t="0" r="9525" b="0"/>
          <wp:docPr id="2" name="Picture 28"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D57"/>
    <w:multiLevelType w:val="hybridMultilevel"/>
    <w:tmpl w:val="BD1458E6"/>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
    <w:nsid w:val="01CE7D5A"/>
    <w:multiLevelType w:val="hybridMultilevel"/>
    <w:tmpl w:val="BD1458E6"/>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12685A43"/>
    <w:multiLevelType w:val="multilevel"/>
    <w:tmpl w:val="340C068C"/>
    <w:numStyleLink w:val="Styl1"/>
  </w:abstractNum>
  <w:abstractNum w:abstractNumId="3">
    <w:nsid w:val="13D5136C"/>
    <w:multiLevelType w:val="hybridMultilevel"/>
    <w:tmpl w:val="AD0EA828"/>
    <w:lvl w:ilvl="0" w:tplc="57C46D96">
      <w:start w:val="1"/>
      <w:numFmt w:val="lowerLetter"/>
      <w:lvlText w:val="%1)"/>
      <w:lvlJc w:val="left"/>
      <w:pPr>
        <w:ind w:left="2136" w:hanging="360"/>
      </w:pPr>
      <w:rPr>
        <w:rFonts w:hint="default"/>
        <w:b/>
        <w:i w:val="0"/>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
    <w:nsid w:val="14EE1B7F"/>
    <w:multiLevelType w:val="hybridMultilevel"/>
    <w:tmpl w:val="DB06FE30"/>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nsid w:val="1F0C35FE"/>
    <w:multiLevelType w:val="hybridMultilevel"/>
    <w:tmpl w:val="AD0EA828"/>
    <w:lvl w:ilvl="0" w:tplc="57C46D96">
      <w:start w:val="1"/>
      <w:numFmt w:val="lowerLetter"/>
      <w:lvlText w:val="%1)"/>
      <w:lvlJc w:val="left"/>
      <w:pPr>
        <w:ind w:left="2136" w:hanging="360"/>
      </w:pPr>
      <w:rPr>
        <w:rFonts w:hint="default"/>
        <w:b/>
        <w:i w:val="0"/>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
    <w:nsid w:val="30892756"/>
    <w:multiLevelType w:val="hybridMultilevel"/>
    <w:tmpl w:val="413CE746"/>
    <w:lvl w:ilvl="0" w:tplc="27ECF50A">
      <w:start w:val="1"/>
      <w:numFmt w:val="upp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7">
    <w:nsid w:val="39313B89"/>
    <w:multiLevelType w:val="multilevel"/>
    <w:tmpl w:val="340C068C"/>
    <w:styleLink w:val="Styl1"/>
    <w:lvl w:ilvl="0">
      <w:start w:val="1"/>
      <w:numFmt w:val="upperRoman"/>
      <w:lvlText w:val="%1."/>
      <w:lvlJc w:val="left"/>
      <w:pPr>
        <w:ind w:left="2136" w:hanging="720"/>
      </w:pPr>
      <w:rPr>
        <w:rFonts w:ascii="Times New Roman" w:hAnsi="Times New Roman" w:hint="default"/>
        <w:color w:val="auto"/>
        <w:sz w:val="24"/>
      </w:rPr>
    </w:lvl>
    <w:lvl w:ilvl="1">
      <w:start w:val="1"/>
      <w:numFmt w:val="lowerLetter"/>
      <w:lvlText w:val="%2."/>
      <w:lvlJc w:val="left"/>
      <w:pPr>
        <w:ind w:left="2505" w:hanging="360"/>
      </w:pPr>
      <w:rPr>
        <w:rFonts w:hint="default"/>
      </w:rPr>
    </w:lvl>
    <w:lvl w:ilvl="2">
      <w:start w:val="1"/>
      <w:numFmt w:val="lowerRoman"/>
      <w:lvlText w:val="%3."/>
      <w:lvlJc w:val="right"/>
      <w:pPr>
        <w:ind w:left="3225" w:hanging="180"/>
      </w:pPr>
      <w:rPr>
        <w:rFonts w:hint="default"/>
      </w:rPr>
    </w:lvl>
    <w:lvl w:ilvl="3">
      <w:start w:val="1"/>
      <w:numFmt w:val="decimal"/>
      <w:lvlText w:val="%4."/>
      <w:lvlJc w:val="left"/>
      <w:pPr>
        <w:ind w:left="3629" w:hanging="44"/>
      </w:pPr>
      <w:rPr>
        <w:rFonts w:hint="default"/>
      </w:rPr>
    </w:lvl>
    <w:lvl w:ilvl="4">
      <w:start w:val="1"/>
      <w:numFmt w:val="lowerLetter"/>
      <w:lvlText w:val="%5."/>
      <w:lvlJc w:val="left"/>
      <w:pPr>
        <w:ind w:left="4665" w:hanging="360"/>
      </w:pPr>
      <w:rPr>
        <w:rFonts w:hint="default"/>
      </w:rPr>
    </w:lvl>
    <w:lvl w:ilvl="5">
      <w:start w:val="1"/>
      <w:numFmt w:val="lowerRoman"/>
      <w:lvlText w:val="%6."/>
      <w:lvlJc w:val="right"/>
      <w:pPr>
        <w:ind w:left="5385" w:hanging="180"/>
      </w:pPr>
      <w:rPr>
        <w:rFonts w:hint="default"/>
      </w:rPr>
    </w:lvl>
    <w:lvl w:ilvl="6">
      <w:start w:val="1"/>
      <w:numFmt w:val="decimal"/>
      <w:lvlText w:val="%7."/>
      <w:lvlJc w:val="left"/>
      <w:pPr>
        <w:ind w:left="6105" w:hanging="360"/>
      </w:pPr>
      <w:rPr>
        <w:rFonts w:hint="default"/>
      </w:rPr>
    </w:lvl>
    <w:lvl w:ilvl="7">
      <w:start w:val="1"/>
      <w:numFmt w:val="lowerLetter"/>
      <w:lvlText w:val="%8."/>
      <w:lvlJc w:val="left"/>
      <w:pPr>
        <w:ind w:left="6825" w:hanging="360"/>
      </w:pPr>
      <w:rPr>
        <w:rFonts w:hint="default"/>
      </w:rPr>
    </w:lvl>
    <w:lvl w:ilvl="8">
      <w:start w:val="1"/>
      <w:numFmt w:val="lowerRoman"/>
      <w:lvlText w:val="%9."/>
      <w:lvlJc w:val="right"/>
      <w:pPr>
        <w:ind w:left="7545" w:hanging="180"/>
      </w:pPr>
      <w:rPr>
        <w:rFonts w:hint="default"/>
      </w:rPr>
    </w:lvl>
  </w:abstractNum>
  <w:abstractNum w:abstractNumId="8">
    <w:nsid w:val="39E66CC8"/>
    <w:multiLevelType w:val="hybridMultilevel"/>
    <w:tmpl w:val="AD0EA828"/>
    <w:lvl w:ilvl="0" w:tplc="57C46D96">
      <w:start w:val="1"/>
      <w:numFmt w:val="lowerLetter"/>
      <w:lvlText w:val="%1)"/>
      <w:lvlJc w:val="left"/>
      <w:pPr>
        <w:ind w:left="2136" w:hanging="360"/>
      </w:pPr>
      <w:rPr>
        <w:rFonts w:hint="default"/>
        <w:b/>
        <w:i w:val="0"/>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9">
    <w:nsid w:val="3DE533FB"/>
    <w:multiLevelType w:val="hybridMultilevel"/>
    <w:tmpl w:val="BD1458E6"/>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
    <w:nsid w:val="41D67B87"/>
    <w:multiLevelType w:val="hybridMultilevel"/>
    <w:tmpl w:val="8AE2770E"/>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1">
    <w:nsid w:val="423B18D2"/>
    <w:multiLevelType w:val="hybridMultilevel"/>
    <w:tmpl w:val="E9F04A42"/>
    <w:lvl w:ilvl="0" w:tplc="32B49C9C">
      <w:start w:val="1"/>
      <w:numFmt w:val="decimal"/>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44634DBE"/>
    <w:multiLevelType w:val="hybridMultilevel"/>
    <w:tmpl w:val="AD0EA828"/>
    <w:lvl w:ilvl="0" w:tplc="57C46D96">
      <w:start w:val="1"/>
      <w:numFmt w:val="lowerLetter"/>
      <w:lvlText w:val="%1)"/>
      <w:lvlJc w:val="left"/>
      <w:pPr>
        <w:ind w:left="2136" w:hanging="360"/>
      </w:pPr>
      <w:rPr>
        <w:rFonts w:hint="default"/>
        <w:b/>
        <w:i w:val="0"/>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3">
    <w:nsid w:val="4DF45D0F"/>
    <w:multiLevelType w:val="hybridMultilevel"/>
    <w:tmpl w:val="AD0EA828"/>
    <w:lvl w:ilvl="0" w:tplc="57C46D96">
      <w:start w:val="1"/>
      <w:numFmt w:val="lowerLetter"/>
      <w:lvlText w:val="%1)"/>
      <w:lvlJc w:val="left"/>
      <w:pPr>
        <w:ind w:left="2136" w:hanging="360"/>
      </w:pPr>
      <w:rPr>
        <w:rFonts w:hint="default"/>
        <w:b/>
        <w:i w:val="0"/>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4">
    <w:nsid w:val="527764B8"/>
    <w:multiLevelType w:val="hybridMultilevel"/>
    <w:tmpl w:val="1B60A3A2"/>
    <w:lvl w:ilvl="0" w:tplc="0415000F">
      <w:start w:val="1"/>
      <w:numFmt w:val="decimal"/>
      <w:lvlText w:val="%1."/>
      <w:lvlJc w:val="left"/>
      <w:pPr>
        <w:ind w:left="720" w:hanging="720"/>
      </w:pPr>
      <w:rPr>
        <w:rFonts w:hint="default"/>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nsid w:val="55A73C3E"/>
    <w:multiLevelType w:val="hybridMultilevel"/>
    <w:tmpl w:val="AD0EA828"/>
    <w:lvl w:ilvl="0" w:tplc="57C46D96">
      <w:start w:val="1"/>
      <w:numFmt w:val="lowerLetter"/>
      <w:lvlText w:val="%1)"/>
      <w:lvlJc w:val="left"/>
      <w:pPr>
        <w:ind w:left="2136" w:hanging="360"/>
      </w:pPr>
      <w:rPr>
        <w:rFonts w:hint="default"/>
        <w:b/>
        <w:i w:val="0"/>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6">
    <w:nsid w:val="572037EC"/>
    <w:multiLevelType w:val="hybridMultilevel"/>
    <w:tmpl w:val="BD1458E6"/>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nsid w:val="58766996"/>
    <w:multiLevelType w:val="hybridMultilevel"/>
    <w:tmpl w:val="68D6411A"/>
    <w:lvl w:ilvl="0" w:tplc="CA9EB380">
      <w:start w:val="1"/>
      <w:numFmt w:val="decimal"/>
      <w:lvlText w:val="%1."/>
      <w:lvlJc w:val="left"/>
      <w:pPr>
        <w:ind w:left="1069"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8">
    <w:nsid w:val="59350AC1"/>
    <w:multiLevelType w:val="hybridMultilevel"/>
    <w:tmpl w:val="9C18C562"/>
    <w:lvl w:ilvl="0" w:tplc="3268302E">
      <w:start w:val="1"/>
      <w:numFmt w:val="decimal"/>
      <w:lvlText w:val="%1)"/>
      <w:lvlJc w:val="left"/>
      <w:pPr>
        <w:ind w:left="144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9">
    <w:nsid w:val="5D2C398D"/>
    <w:multiLevelType w:val="hybridMultilevel"/>
    <w:tmpl w:val="BD1458E6"/>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0">
    <w:nsid w:val="600F77F4"/>
    <w:multiLevelType w:val="hybridMultilevel"/>
    <w:tmpl w:val="27847D44"/>
    <w:lvl w:ilvl="0" w:tplc="66B24520">
      <w:start w:val="2"/>
      <w:numFmt w:val="decimal"/>
      <w:lvlText w:val="%1)"/>
      <w:lvlJc w:val="left"/>
      <w:pPr>
        <w:ind w:left="1605" w:hanging="360"/>
      </w:pPr>
      <w:rPr>
        <w:rFonts w:hint="default"/>
      </w:r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1">
    <w:nsid w:val="6A7C5D3E"/>
    <w:multiLevelType w:val="hybridMultilevel"/>
    <w:tmpl w:val="550AECC6"/>
    <w:lvl w:ilvl="0" w:tplc="B0F40A60">
      <w:start w:val="1"/>
      <w:numFmt w:val="upperRoman"/>
      <w:lvlText w:val="%1."/>
      <w:lvlJc w:val="left"/>
      <w:pPr>
        <w:ind w:left="2100" w:hanging="720"/>
      </w:pPr>
      <w:rPr>
        <w:rFonts w:hint="default"/>
      </w:r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22">
    <w:nsid w:val="6DC56FEF"/>
    <w:multiLevelType w:val="hybridMultilevel"/>
    <w:tmpl w:val="E8C0936C"/>
    <w:lvl w:ilvl="0" w:tplc="FC7A6BAE">
      <w:start w:val="1"/>
      <w:numFmt w:val="decimal"/>
      <w:lvlText w:val="%1."/>
      <w:lvlJc w:val="left"/>
      <w:pPr>
        <w:ind w:left="1776" w:hanging="360"/>
      </w:pPr>
      <w:rPr>
        <w:rFonts w:hint="default"/>
        <w:sz w:val="24"/>
        <w:szCs w:val="24"/>
      </w:rPr>
    </w:lvl>
    <w:lvl w:ilvl="1" w:tplc="04150019">
      <w:start w:val="1"/>
      <w:numFmt w:val="lowerLetter"/>
      <w:lvlText w:val="%2."/>
      <w:lvlJc w:val="left"/>
      <w:pPr>
        <w:ind w:left="2616" w:hanging="360"/>
      </w:pPr>
    </w:lvl>
    <w:lvl w:ilvl="2" w:tplc="0415001B" w:tentative="1">
      <w:start w:val="1"/>
      <w:numFmt w:val="lowerRoman"/>
      <w:lvlText w:val="%3."/>
      <w:lvlJc w:val="right"/>
      <w:pPr>
        <w:ind w:left="3336" w:hanging="180"/>
      </w:pPr>
    </w:lvl>
    <w:lvl w:ilvl="3" w:tplc="0415000F" w:tentative="1">
      <w:start w:val="1"/>
      <w:numFmt w:val="decimal"/>
      <w:lvlText w:val="%4."/>
      <w:lvlJc w:val="left"/>
      <w:pPr>
        <w:ind w:left="4056" w:hanging="360"/>
      </w:pPr>
    </w:lvl>
    <w:lvl w:ilvl="4" w:tplc="04150019" w:tentative="1">
      <w:start w:val="1"/>
      <w:numFmt w:val="lowerLetter"/>
      <w:lvlText w:val="%5."/>
      <w:lvlJc w:val="left"/>
      <w:pPr>
        <w:ind w:left="4776" w:hanging="360"/>
      </w:pPr>
    </w:lvl>
    <w:lvl w:ilvl="5" w:tplc="0415001B" w:tentative="1">
      <w:start w:val="1"/>
      <w:numFmt w:val="lowerRoman"/>
      <w:lvlText w:val="%6."/>
      <w:lvlJc w:val="right"/>
      <w:pPr>
        <w:ind w:left="5496" w:hanging="180"/>
      </w:pPr>
    </w:lvl>
    <w:lvl w:ilvl="6" w:tplc="0415000F" w:tentative="1">
      <w:start w:val="1"/>
      <w:numFmt w:val="decimal"/>
      <w:lvlText w:val="%7."/>
      <w:lvlJc w:val="left"/>
      <w:pPr>
        <w:ind w:left="6216" w:hanging="360"/>
      </w:pPr>
    </w:lvl>
    <w:lvl w:ilvl="7" w:tplc="04150019" w:tentative="1">
      <w:start w:val="1"/>
      <w:numFmt w:val="lowerLetter"/>
      <w:lvlText w:val="%8."/>
      <w:lvlJc w:val="left"/>
      <w:pPr>
        <w:ind w:left="6936" w:hanging="360"/>
      </w:pPr>
    </w:lvl>
    <w:lvl w:ilvl="8" w:tplc="0415001B" w:tentative="1">
      <w:start w:val="1"/>
      <w:numFmt w:val="lowerRoman"/>
      <w:lvlText w:val="%9."/>
      <w:lvlJc w:val="right"/>
      <w:pPr>
        <w:ind w:left="7656" w:hanging="180"/>
      </w:pPr>
    </w:lvl>
  </w:abstractNum>
  <w:abstractNum w:abstractNumId="23">
    <w:nsid w:val="6F2827E1"/>
    <w:multiLevelType w:val="hybridMultilevel"/>
    <w:tmpl w:val="3864DF1C"/>
    <w:lvl w:ilvl="0" w:tplc="760298B0">
      <w:start w:val="1"/>
      <w:numFmt w:val="decimal"/>
      <w:lvlText w:val="%1)"/>
      <w:lvlJc w:val="left"/>
      <w:pPr>
        <w:ind w:left="1398" w:hanging="360"/>
      </w:pPr>
      <w:rPr>
        <w:rFonts w:hint="default"/>
      </w:rPr>
    </w:lvl>
    <w:lvl w:ilvl="1" w:tplc="04150019" w:tentative="1">
      <w:start w:val="1"/>
      <w:numFmt w:val="lowerLetter"/>
      <w:lvlText w:val="%2."/>
      <w:lvlJc w:val="left"/>
      <w:pPr>
        <w:ind w:left="2118" w:hanging="360"/>
      </w:pPr>
    </w:lvl>
    <w:lvl w:ilvl="2" w:tplc="0415001B" w:tentative="1">
      <w:start w:val="1"/>
      <w:numFmt w:val="lowerRoman"/>
      <w:lvlText w:val="%3."/>
      <w:lvlJc w:val="right"/>
      <w:pPr>
        <w:ind w:left="2838" w:hanging="180"/>
      </w:pPr>
    </w:lvl>
    <w:lvl w:ilvl="3" w:tplc="0415000F" w:tentative="1">
      <w:start w:val="1"/>
      <w:numFmt w:val="decimal"/>
      <w:lvlText w:val="%4."/>
      <w:lvlJc w:val="left"/>
      <w:pPr>
        <w:ind w:left="3558" w:hanging="360"/>
      </w:pPr>
    </w:lvl>
    <w:lvl w:ilvl="4" w:tplc="04150019" w:tentative="1">
      <w:start w:val="1"/>
      <w:numFmt w:val="lowerLetter"/>
      <w:lvlText w:val="%5."/>
      <w:lvlJc w:val="left"/>
      <w:pPr>
        <w:ind w:left="4278" w:hanging="360"/>
      </w:pPr>
    </w:lvl>
    <w:lvl w:ilvl="5" w:tplc="0415001B" w:tentative="1">
      <w:start w:val="1"/>
      <w:numFmt w:val="lowerRoman"/>
      <w:lvlText w:val="%6."/>
      <w:lvlJc w:val="right"/>
      <w:pPr>
        <w:ind w:left="4998" w:hanging="180"/>
      </w:pPr>
    </w:lvl>
    <w:lvl w:ilvl="6" w:tplc="0415000F" w:tentative="1">
      <w:start w:val="1"/>
      <w:numFmt w:val="decimal"/>
      <w:lvlText w:val="%7."/>
      <w:lvlJc w:val="left"/>
      <w:pPr>
        <w:ind w:left="5718" w:hanging="360"/>
      </w:pPr>
    </w:lvl>
    <w:lvl w:ilvl="7" w:tplc="04150019" w:tentative="1">
      <w:start w:val="1"/>
      <w:numFmt w:val="lowerLetter"/>
      <w:lvlText w:val="%8."/>
      <w:lvlJc w:val="left"/>
      <w:pPr>
        <w:ind w:left="6438" w:hanging="360"/>
      </w:pPr>
    </w:lvl>
    <w:lvl w:ilvl="8" w:tplc="0415001B" w:tentative="1">
      <w:start w:val="1"/>
      <w:numFmt w:val="lowerRoman"/>
      <w:lvlText w:val="%9."/>
      <w:lvlJc w:val="right"/>
      <w:pPr>
        <w:ind w:left="7158" w:hanging="180"/>
      </w:pPr>
    </w:lvl>
  </w:abstractNum>
  <w:abstractNum w:abstractNumId="24">
    <w:nsid w:val="70F24E24"/>
    <w:multiLevelType w:val="hybridMultilevel"/>
    <w:tmpl w:val="C2FE1BC4"/>
    <w:lvl w:ilvl="0" w:tplc="00726FCE">
      <w:start w:val="1"/>
      <w:numFmt w:val="decimal"/>
      <w:lvlText w:val="%1)"/>
      <w:lvlJc w:val="left"/>
      <w:pPr>
        <w:ind w:left="1620" w:hanging="360"/>
      </w:pPr>
      <w:rPr>
        <w:rFonts w:hint="default"/>
        <w:b w:val="0"/>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5">
    <w:nsid w:val="71255645"/>
    <w:multiLevelType w:val="hybridMultilevel"/>
    <w:tmpl w:val="3612D04C"/>
    <w:lvl w:ilvl="0" w:tplc="1A56D7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33B7316"/>
    <w:multiLevelType w:val="hybridMultilevel"/>
    <w:tmpl w:val="C428D0B4"/>
    <w:lvl w:ilvl="0" w:tplc="CA9EB38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nsid w:val="7A9E440F"/>
    <w:multiLevelType w:val="hybridMultilevel"/>
    <w:tmpl w:val="0F663B18"/>
    <w:lvl w:ilvl="0" w:tplc="D0FE30E4">
      <w:start w:val="4"/>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26"/>
  </w:num>
  <w:num w:numId="2">
    <w:abstractNumId w:val="17"/>
  </w:num>
  <w:num w:numId="3">
    <w:abstractNumId w:val="4"/>
  </w:num>
  <w:num w:numId="4">
    <w:abstractNumId w:val="14"/>
  </w:num>
  <w:num w:numId="5">
    <w:abstractNumId w:val="25"/>
  </w:num>
  <w:num w:numId="6">
    <w:abstractNumId w:val="6"/>
  </w:num>
  <w:num w:numId="7">
    <w:abstractNumId w:val="21"/>
  </w:num>
  <w:num w:numId="8">
    <w:abstractNumId w:val="2"/>
  </w:num>
  <w:num w:numId="9">
    <w:abstractNumId w:val="7"/>
  </w:num>
  <w:num w:numId="10">
    <w:abstractNumId w:val="9"/>
  </w:num>
  <w:num w:numId="11">
    <w:abstractNumId w:val="10"/>
  </w:num>
  <w:num w:numId="12">
    <w:abstractNumId w:val="12"/>
  </w:num>
  <w:num w:numId="13">
    <w:abstractNumId w:val="23"/>
  </w:num>
  <w:num w:numId="14">
    <w:abstractNumId w:val="24"/>
  </w:num>
  <w:num w:numId="15">
    <w:abstractNumId w:val="18"/>
  </w:num>
  <w:num w:numId="16">
    <w:abstractNumId w:val="27"/>
  </w:num>
  <w:num w:numId="17">
    <w:abstractNumId w:val="20"/>
  </w:num>
  <w:num w:numId="18">
    <w:abstractNumId w:val="22"/>
  </w:num>
  <w:num w:numId="19">
    <w:abstractNumId w:val="11"/>
  </w:num>
  <w:num w:numId="20">
    <w:abstractNumId w:val="19"/>
  </w:num>
  <w:num w:numId="21">
    <w:abstractNumId w:val="1"/>
  </w:num>
  <w:num w:numId="22">
    <w:abstractNumId w:val="13"/>
  </w:num>
  <w:num w:numId="23">
    <w:abstractNumId w:val="15"/>
  </w:num>
  <w:num w:numId="24">
    <w:abstractNumId w:val="3"/>
  </w:num>
  <w:num w:numId="25">
    <w:abstractNumId w:val="0"/>
  </w:num>
  <w:num w:numId="26">
    <w:abstractNumId w:val="8"/>
  </w:num>
  <w:num w:numId="27">
    <w:abstractNumId w:val="1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pl-PL"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97F"/>
    <w:rsid w:val="000004D9"/>
    <w:rsid w:val="00003DAB"/>
    <w:rsid w:val="000072AF"/>
    <w:rsid w:val="00010110"/>
    <w:rsid w:val="000129FC"/>
    <w:rsid w:val="00015A49"/>
    <w:rsid w:val="00017A12"/>
    <w:rsid w:val="000201E1"/>
    <w:rsid w:val="000302A0"/>
    <w:rsid w:val="00034DDD"/>
    <w:rsid w:val="000362E6"/>
    <w:rsid w:val="000369E8"/>
    <w:rsid w:val="0004071C"/>
    <w:rsid w:val="000547FB"/>
    <w:rsid w:val="00060F84"/>
    <w:rsid w:val="00065141"/>
    <w:rsid w:val="0006580B"/>
    <w:rsid w:val="00066826"/>
    <w:rsid w:val="00074C29"/>
    <w:rsid w:val="00080468"/>
    <w:rsid w:val="000869CB"/>
    <w:rsid w:val="00086EE2"/>
    <w:rsid w:val="0009216B"/>
    <w:rsid w:val="000A0DDF"/>
    <w:rsid w:val="000A63CB"/>
    <w:rsid w:val="000A686F"/>
    <w:rsid w:val="000B4D9C"/>
    <w:rsid w:val="000B5572"/>
    <w:rsid w:val="000B5D54"/>
    <w:rsid w:val="000C1EEA"/>
    <w:rsid w:val="000C1EF0"/>
    <w:rsid w:val="000C766D"/>
    <w:rsid w:val="000D2051"/>
    <w:rsid w:val="000D5C80"/>
    <w:rsid w:val="000E33B0"/>
    <w:rsid w:val="000E40E7"/>
    <w:rsid w:val="000F1C87"/>
    <w:rsid w:val="000F57A1"/>
    <w:rsid w:val="000F6185"/>
    <w:rsid w:val="000F7360"/>
    <w:rsid w:val="000F7DF3"/>
    <w:rsid w:val="00101F8D"/>
    <w:rsid w:val="001026E8"/>
    <w:rsid w:val="001047B5"/>
    <w:rsid w:val="00105CBC"/>
    <w:rsid w:val="001064A2"/>
    <w:rsid w:val="00106ACB"/>
    <w:rsid w:val="00114AAF"/>
    <w:rsid w:val="001222F9"/>
    <w:rsid w:val="0012789E"/>
    <w:rsid w:val="00131F6A"/>
    <w:rsid w:val="00136E39"/>
    <w:rsid w:val="00142C7B"/>
    <w:rsid w:val="00150BDF"/>
    <w:rsid w:val="001531AE"/>
    <w:rsid w:val="00153DF4"/>
    <w:rsid w:val="00160C11"/>
    <w:rsid w:val="00161224"/>
    <w:rsid w:val="00162D97"/>
    <w:rsid w:val="00164766"/>
    <w:rsid w:val="00164882"/>
    <w:rsid w:val="001717E8"/>
    <w:rsid w:val="00184BA6"/>
    <w:rsid w:val="00194EC8"/>
    <w:rsid w:val="001956DE"/>
    <w:rsid w:val="001979C7"/>
    <w:rsid w:val="001A22AD"/>
    <w:rsid w:val="001A7F8C"/>
    <w:rsid w:val="001B07C0"/>
    <w:rsid w:val="001B33F2"/>
    <w:rsid w:val="001B419E"/>
    <w:rsid w:val="001C1A39"/>
    <w:rsid w:val="001C3D94"/>
    <w:rsid w:val="001C62B4"/>
    <w:rsid w:val="001C7F7B"/>
    <w:rsid w:val="001D1BB1"/>
    <w:rsid w:val="001D348E"/>
    <w:rsid w:val="001E0273"/>
    <w:rsid w:val="001E05A7"/>
    <w:rsid w:val="001E1262"/>
    <w:rsid w:val="001E3357"/>
    <w:rsid w:val="001F0435"/>
    <w:rsid w:val="001F36C9"/>
    <w:rsid w:val="001F4C7B"/>
    <w:rsid w:val="002012CE"/>
    <w:rsid w:val="00221B4F"/>
    <w:rsid w:val="002221BF"/>
    <w:rsid w:val="00225F4F"/>
    <w:rsid w:val="002342B2"/>
    <w:rsid w:val="00234932"/>
    <w:rsid w:val="00234CFD"/>
    <w:rsid w:val="0024253C"/>
    <w:rsid w:val="002435A8"/>
    <w:rsid w:val="0024539D"/>
    <w:rsid w:val="00246C95"/>
    <w:rsid w:val="00246CAC"/>
    <w:rsid w:val="0025354A"/>
    <w:rsid w:val="0025442A"/>
    <w:rsid w:val="002550E5"/>
    <w:rsid w:val="00256076"/>
    <w:rsid w:val="00256509"/>
    <w:rsid w:val="00256F0B"/>
    <w:rsid w:val="0026236E"/>
    <w:rsid w:val="0026243C"/>
    <w:rsid w:val="00262ACE"/>
    <w:rsid w:val="0026356D"/>
    <w:rsid w:val="00267D3B"/>
    <w:rsid w:val="00270255"/>
    <w:rsid w:val="00273CBE"/>
    <w:rsid w:val="0027785D"/>
    <w:rsid w:val="00280D66"/>
    <w:rsid w:val="002843B7"/>
    <w:rsid w:val="00286AA8"/>
    <w:rsid w:val="0029133E"/>
    <w:rsid w:val="00291B35"/>
    <w:rsid w:val="002931B7"/>
    <w:rsid w:val="00295F22"/>
    <w:rsid w:val="002A0AAD"/>
    <w:rsid w:val="002A2E74"/>
    <w:rsid w:val="002A3CAE"/>
    <w:rsid w:val="002B0F6C"/>
    <w:rsid w:val="002B1F48"/>
    <w:rsid w:val="002B7DEB"/>
    <w:rsid w:val="002C7C77"/>
    <w:rsid w:val="002D0AE8"/>
    <w:rsid w:val="002D40AF"/>
    <w:rsid w:val="002D5452"/>
    <w:rsid w:val="002D5C60"/>
    <w:rsid w:val="002D713A"/>
    <w:rsid w:val="002D72D5"/>
    <w:rsid w:val="002E04EC"/>
    <w:rsid w:val="002E2861"/>
    <w:rsid w:val="002F1FFE"/>
    <w:rsid w:val="002F2959"/>
    <w:rsid w:val="002F35A0"/>
    <w:rsid w:val="002F35A3"/>
    <w:rsid w:val="003030CD"/>
    <w:rsid w:val="003055EB"/>
    <w:rsid w:val="00305D55"/>
    <w:rsid w:val="003061F6"/>
    <w:rsid w:val="00307247"/>
    <w:rsid w:val="00310CED"/>
    <w:rsid w:val="00311A6F"/>
    <w:rsid w:val="00311D8D"/>
    <w:rsid w:val="00311E3A"/>
    <w:rsid w:val="00314E9C"/>
    <w:rsid w:val="00316959"/>
    <w:rsid w:val="00317872"/>
    <w:rsid w:val="003203BD"/>
    <w:rsid w:val="00320536"/>
    <w:rsid w:val="0032152A"/>
    <w:rsid w:val="00322CD2"/>
    <w:rsid w:val="00322EFB"/>
    <w:rsid w:val="0032381A"/>
    <w:rsid w:val="00324338"/>
    <w:rsid w:val="00327F83"/>
    <w:rsid w:val="00331F33"/>
    <w:rsid w:val="00332ED7"/>
    <w:rsid w:val="0033323F"/>
    <w:rsid w:val="00333BFB"/>
    <w:rsid w:val="0033701B"/>
    <w:rsid w:val="00340D35"/>
    <w:rsid w:val="00341D92"/>
    <w:rsid w:val="003421E8"/>
    <w:rsid w:val="0034509C"/>
    <w:rsid w:val="00345E5A"/>
    <w:rsid w:val="00347DCC"/>
    <w:rsid w:val="0035577B"/>
    <w:rsid w:val="00355940"/>
    <w:rsid w:val="003601DC"/>
    <w:rsid w:val="003605BB"/>
    <w:rsid w:val="0036083E"/>
    <w:rsid w:val="0036091C"/>
    <w:rsid w:val="00362461"/>
    <w:rsid w:val="0036262C"/>
    <w:rsid w:val="003635AE"/>
    <w:rsid w:val="00367106"/>
    <w:rsid w:val="003700A4"/>
    <w:rsid w:val="0037015F"/>
    <w:rsid w:val="00370677"/>
    <w:rsid w:val="0037238B"/>
    <w:rsid w:val="00373CE5"/>
    <w:rsid w:val="00376795"/>
    <w:rsid w:val="00376E2D"/>
    <w:rsid w:val="0038176C"/>
    <w:rsid w:val="0038251E"/>
    <w:rsid w:val="0039038A"/>
    <w:rsid w:val="00393B43"/>
    <w:rsid w:val="00394080"/>
    <w:rsid w:val="003941B8"/>
    <w:rsid w:val="003945BA"/>
    <w:rsid w:val="003A0E4A"/>
    <w:rsid w:val="003A25C7"/>
    <w:rsid w:val="003A58B5"/>
    <w:rsid w:val="003A7732"/>
    <w:rsid w:val="003B2FB9"/>
    <w:rsid w:val="003B7813"/>
    <w:rsid w:val="003C1DB3"/>
    <w:rsid w:val="003C2F2F"/>
    <w:rsid w:val="003C4246"/>
    <w:rsid w:val="003D501C"/>
    <w:rsid w:val="003E1D74"/>
    <w:rsid w:val="003E3BF9"/>
    <w:rsid w:val="003E50AD"/>
    <w:rsid w:val="003F4CCC"/>
    <w:rsid w:val="004014C3"/>
    <w:rsid w:val="00405F4B"/>
    <w:rsid w:val="00412C8B"/>
    <w:rsid w:val="00414B8F"/>
    <w:rsid w:val="00416639"/>
    <w:rsid w:val="004172D5"/>
    <w:rsid w:val="00421E1A"/>
    <w:rsid w:val="004222C0"/>
    <w:rsid w:val="004235C0"/>
    <w:rsid w:val="00424A3C"/>
    <w:rsid w:val="00424BF7"/>
    <w:rsid w:val="00424CD9"/>
    <w:rsid w:val="00424D47"/>
    <w:rsid w:val="00425578"/>
    <w:rsid w:val="00427CCC"/>
    <w:rsid w:val="0043080C"/>
    <w:rsid w:val="00431383"/>
    <w:rsid w:val="00436056"/>
    <w:rsid w:val="004369DA"/>
    <w:rsid w:val="00452480"/>
    <w:rsid w:val="00455E27"/>
    <w:rsid w:val="004572F2"/>
    <w:rsid w:val="00457C50"/>
    <w:rsid w:val="00470521"/>
    <w:rsid w:val="0047174B"/>
    <w:rsid w:val="004734AF"/>
    <w:rsid w:val="00480DE7"/>
    <w:rsid w:val="00481032"/>
    <w:rsid w:val="00481469"/>
    <w:rsid w:val="00491874"/>
    <w:rsid w:val="00496344"/>
    <w:rsid w:val="004A1FE3"/>
    <w:rsid w:val="004A4B24"/>
    <w:rsid w:val="004A530F"/>
    <w:rsid w:val="004B327C"/>
    <w:rsid w:val="004B7DF7"/>
    <w:rsid w:val="004C47D4"/>
    <w:rsid w:val="004C6D5F"/>
    <w:rsid w:val="004C6FCA"/>
    <w:rsid w:val="004D1562"/>
    <w:rsid w:val="004D1FB1"/>
    <w:rsid w:val="004D7634"/>
    <w:rsid w:val="004E108E"/>
    <w:rsid w:val="004E2387"/>
    <w:rsid w:val="004E3AFB"/>
    <w:rsid w:val="004E7B7B"/>
    <w:rsid w:val="004F1A19"/>
    <w:rsid w:val="004F1F77"/>
    <w:rsid w:val="0050132C"/>
    <w:rsid w:val="005074B4"/>
    <w:rsid w:val="00510A2A"/>
    <w:rsid w:val="00510AE0"/>
    <w:rsid w:val="00512162"/>
    <w:rsid w:val="0051297F"/>
    <w:rsid w:val="005147A6"/>
    <w:rsid w:val="005204A6"/>
    <w:rsid w:val="00522688"/>
    <w:rsid w:val="00522EBA"/>
    <w:rsid w:val="005317B7"/>
    <w:rsid w:val="00531EC7"/>
    <w:rsid w:val="005323D8"/>
    <w:rsid w:val="00532A34"/>
    <w:rsid w:val="005624D8"/>
    <w:rsid w:val="00562B5B"/>
    <w:rsid w:val="0056368D"/>
    <w:rsid w:val="00563D43"/>
    <w:rsid w:val="0056459C"/>
    <w:rsid w:val="005707F0"/>
    <w:rsid w:val="005756F5"/>
    <w:rsid w:val="0058193A"/>
    <w:rsid w:val="0058199C"/>
    <w:rsid w:val="00583880"/>
    <w:rsid w:val="00591DC8"/>
    <w:rsid w:val="005968F7"/>
    <w:rsid w:val="00597720"/>
    <w:rsid w:val="005A0D50"/>
    <w:rsid w:val="005B25A9"/>
    <w:rsid w:val="005B537A"/>
    <w:rsid w:val="005B7BED"/>
    <w:rsid w:val="005C352B"/>
    <w:rsid w:val="005C7E5C"/>
    <w:rsid w:val="005E23CD"/>
    <w:rsid w:val="005E72F8"/>
    <w:rsid w:val="005F0E29"/>
    <w:rsid w:val="005F1797"/>
    <w:rsid w:val="005F4662"/>
    <w:rsid w:val="00600DEC"/>
    <w:rsid w:val="00601082"/>
    <w:rsid w:val="006029F9"/>
    <w:rsid w:val="00614BBC"/>
    <w:rsid w:val="00622269"/>
    <w:rsid w:val="006226B7"/>
    <w:rsid w:val="006247B2"/>
    <w:rsid w:val="006250B1"/>
    <w:rsid w:val="006262B6"/>
    <w:rsid w:val="00626678"/>
    <w:rsid w:val="00630A23"/>
    <w:rsid w:val="00631194"/>
    <w:rsid w:val="0063346D"/>
    <w:rsid w:val="00635C7C"/>
    <w:rsid w:val="00637CF2"/>
    <w:rsid w:val="00640547"/>
    <w:rsid w:val="006420BB"/>
    <w:rsid w:val="006432A4"/>
    <w:rsid w:val="00643483"/>
    <w:rsid w:val="00643B61"/>
    <w:rsid w:val="006503D6"/>
    <w:rsid w:val="00650D2E"/>
    <w:rsid w:val="00652004"/>
    <w:rsid w:val="00653C63"/>
    <w:rsid w:val="00657F64"/>
    <w:rsid w:val="006634DD"/>
    <w:rsid w:val="00664F88"/>
    <w:rsid w:val="0067432A"/>
    <w:rsid w:val="00675379"/>
    <w:rsid w:val="00675AC8"/>
    <w:rsid w:val="00676F7F"/>
    <w:rsid w:val="00680E1A"/>
    <w:rsid w:val="00683653"/>
    <w:rsid w:val="006848D7"/>
    <w:rsid w:val="006876CF"/>
    <w:rsid w:val="00691837"/>
    <w:rsid w:val="00697AFF"/>
    <w:rsid w:val="006A0F15"/>
    <w:rsid w:val="006A0FAD"/>
    <w:rsid w:val="006A3798"/>
    <w:rsid w:val="006A3E1D"/>
    <w:rsid w:val="006B1DCA"/>
    <w:rsid w:val="006B441D"/>
    <w:rsid w:val="006B4F54"/>
    <w:rsid w:val="006B591B"/>
    <w:rsid w:val="006B74B9"/>
    <w:rsid w:val="006C1100"/>
    <w:rsid w:val="006C1B40"/>
    <w:rsid w:val="006C2EAE"/>
    <w:rsid w:val="006C43A4"/>
    <w:rsid w:val="006C46E9"/>
    <w:rsid w:val="006D1179"/>
    <w:rsid w:val="006D1DF2"/>
    <w:rsid w:val="006D2476"/>
    <w:rsid w:val="006D32F3"/>
    <w:rsid w:val="006D58CB"/>
    <w:rsid w:val="006E15E3"/>
    <w:rsid w:val="006E300E"/>
    <w:rsid w:val="006E3EC5"/>
    <w:rsid w:val="006E6049"/>
    <w:rsid w:val="006F112D"/>
    <w:rsid w:val="006F6116"/>
    <w:rsid w:val="006F6F36"/>
    <w:rsid w:val="006F704F"/>
    <w:rsid w:val="00702976"/>
    <w:rsid w:val="007029AB"/>
    <w:rsid w:val="007042B2"/>
    <w:rsid w:val="007068BE"/>
    <w:rsid w:val="007127E0"/>
    <w:rsid w:val="00713647"/>
    <w:rsid w:val="00714449"/>
    <w:rsid w:val="00714A58"/>
    <w:rsid w:val="00715659"/>
    <w:rsid w:val="0072042C"/>
    <w:rsid w:val="007207E7"/>
    <w:rsid w:val="0072306F"/>
    <w:rsid w:val="00723ED7"/>
    <w:rsid w:val="00726F92"/>
    <w:rsid w:val="00730762"/>
    <w:rsid w:val="00731A2A"/>
    <w:rsid w:val="00733124"/>
    <w:rsid w:val="0073402B"/>
    <w:rsid w:val="00734F15"/>
    <w:rsid w:val="00735964"/>
    <w:rsid w:val="00737EFC"/>
    <w:rsid w:val="00740174"/>
    <w:rsid w:val="00742753"/>
    <w:rsid w:val="0074300F"/>
    <w:rsid w:val="007452D2"/>
    <w:rsid w:val="0074719D"/>
    <w:rsid w:val="007478CA"/>
    <w:rsid w:val="007509C0"/>
    <w:rsid w:val="00752F86"/>
    <w:rsid w:val="00756613"/>
    <w:rsid w:val="007612BA"/>
    <w:rsid w:val="00763321"/>
    <w:rsid w:val="0078089B"/>
    <w:rsid w:val="007808D6"/>
    <w:rsid w:val="00782AF2"/>
    <w:rsid w:val="00782EDE"/>
    <w:rsid w:val="007865AB"/>
    <w:rsid w:val="007A2E20"/>
    <w:rsid w:val="007A5EF8"/>
    <w:rsid w:val="007B0321"/>
    <w:rsid w:val="007B29DB"/>
    <w:rsid w:val="007B411F"/>
    <w:rsid w:val="007B4F50"/>
    <w:rsid w:val="007C05D3"/>
    <w:rsid w:val="007C1D23"/>
    <w:rsid w:val="007C3360"/>
    <w:rsid w:val="007C3A1B"/>
    <w:rsid w:val="007C3BD5"/>
    <w:rsid w:val="007C5B3A"/>
    <w:rsid w:val="007D373E"/>
    <w:rsid w:val="007D6CEF"/>
    <w:rsid w:val="007D7FA8"/>
    <w:rsid w:val="007E044B"/>
    <w:rsid w:val="007E104E"/>
    <w:rsid w:val="007E136F"/>
    <w:rsid w:val="007E2F7F"/>
    <w:rsid w:val="007E6E93"/>
    <w:rsid w:val="007F0D7B"/>
    <w:rsid w:val="007F3502"/>
    <w:rsid w:val="007F3E25"/>
    <w:rsid w:val="007F440E"/>
    <w:rsid w:val="008044D2"/>
    <w:rsid w:val="008116ED"/>
    <w:rsid w:val="008124C6"/>
    <w:rsid w:val="0081299B"/>
    <w:rsid w:val="00816AFA"/>
    <w:rsid w:val="00821007"/>
    <w:rsid w:val="008247B2"/>
    <w:rsid w:val="0082491E"/>
    <w:rsid w:val="00824C15"/>
    <w:rsid w:val="0082726E"/>
    <w:rsid w:val="008306A9"/>
    <w:rsid w:val="008339F9"/>
    <w:rsid w:val="00835C2E"/>
    <w:rsid w:val="00835D8D"/>
    <w:rsid w:val="008375D2"/>
    <w:rsid w:val="00847139"/>
    <w:rsid w:val="0084780F"/>
    <w:rsid w:val="00847DA4"/>
    <w:rsid w:val="00850C38"/>
    <w:rsid w:val="00851416"/>
    <w:rsid w:val="0085769D"/>
    <w:rsid w:val="00857F2A"/>
    <w:rsid w:val="0086025E"/>
    <w:rsid w:val="008602BA"/>
    <w:rsid w:val="00864C1F"/>
    <w:rsid w:val="0086539A"/>
    <w:rsid w:val="00871945"/>
    <w:rsid w:val="00871C33"/>
    <w:rsid w:val="00876448"/>
    <w:rsid w:val="008810C2"/>
    <w:rsid w:val="008810CA"/>
    <w:rsid w:val="008828CA"/>
    <w:rsid w:val="008845EC"/>
    <w:rsid w:val="0088557B"/>
    <w:rsid w:val="00890726"/>
    <w:rsid w:val="00891595"/>
    <w:rsid w:val="00893F84"/>
    <w:rsid w:val="00896644"/>
    <w:rsid w:val="0089785E"/>
    <w:rsid w:val="008A160F"/>
    <w:rsid w:val="008A5D8C"/>
    <w:rsid w:val="008A5FA4"/>
    <w:rsid w:val="008C302F"/>
    <w:rsid w:val="008C3E2F"/>
    <w:rsid w:val="008C463A"/>
    <w:rsid w:val="008C7A77"/>
    <w:rsid w:val="008D09E9"/>
    <w:rsid w:val="008D294E"/>
    <w:rsid w:val="008D3572"/>
    <w:rsid w:val="008D72A4"/>
    <w:rsid w:val="008E2B2A"/>
    <w:rsid w:val="008E3956"/>
    <w:rsid w:val="008F1A05"/>
    <w:rsid w:val="008F1BD2"/>
    <w:rsid w:val="008F56DC"/>
    <w:rsid w:val="008F7A7F"/>
    <w:rsid w:val="00900ED0"/>
    <w:rsid w:val="00912F9B"/>
    <w:rsid w:val="0091488C"/>
    <w:rsid w:val="00915BE4"/>
    <w:rsid w:val="009161F3"/>
    <w:rsid w:val="00922D20"/>
    <w:rsid w:val="009234DC"/>
    <w:rsid w:val="00927818"/>
    <w:rsid w:val="0093219F"/>
    <w:rsid w:val="009339F0"/>
    <w:rsid w:val="009357C2"/>
    <w:rsid w:val="00945581"/>
    <w:rsid w:val="00945720"/>
    <w:rsid w:val="00945DE5"/>
    <w:rsid w:val="00947E07"/>
    <w:rsid w:val="00954803"/>
    <w:rsid w:val="0096097C"/>
    <w:rsid w:val="00963A7C"/>
    <w:rsid w:val="009655C0"/>
    <w:rsid w:val="00970672"/>
    <w:rsid w:val="00971558"/>
    <w:rsid w:val="00971820"/>
    <w:rsid w:val="00971E05"/>
    <w:rsid w:val="00972695"/>
    <w:rsid w:val="00973E58"/>
    <w:rsid w:val="00975472"/>
    <w:rsid w:val="009778DD"/>
    <w:rsid w:val="00984A12"/>
    <w:rsid w:val="009855CD"/>
    <w:rsid w:val="009870B9"/>
    <w:rsid w:val="009900E9"/>
    <w:rsid w:val="00990CC9"/>
    <w:rsid w:val="00991AB2"/>
    <w:rsid w:val="00992CFD"/>
    <w:rsid w:val="0099300D"/>
    <w:rsid w:val="00995AE6"/>
    <w:rsid w:val="009979EF"/>
    <w:rsid w:val="009A4323"/>
    <w:rsid w:val="009A4DB4"/>
    <w:rsid w:val="009A6760"/>
    <w:rsid w:val="009A68A8"/>
    <w:rsid w:val="009B196D"/>
    <w:rsid w:val="009B21A1"/>
    <w:rsid w:val="009B618A"/>
    <w:rsid w:val="009B7D52"/>
    <w:rsid w:val="009C316C"/>
    <w:rsid w:val="009C4FA9"/>
    <w:rsid w:val="009D1E09"/>
    <w:rsid w:val="009D4402"/>
    <w:rsid w:val="009D4A99"/>
    <w:rsid w:val="009E3162"/>
    <w:rsid w:val="009E4AA0"/>
    <w:rsid w:val="009E54E7"/>
    <w:rsid w:val="009E5DB2"/>
    <w:rsid w:val="009F3E90"/>
    <w:rsid w:val="009F549C"/>
    <w:rsid w:val="009F6073"/>
    <w:rsid w:val="009F71E7"/>
    <w:rsid w:val="00A00E4B"/>
    <w:rsid w:val="00A01962"/>
    <w:rsid w:val="00A02B24"/>
    <w:rsid w:val="00A05701"/>
    <w:rsid w:val="00A155DD"/>
    <w:rsid w:val="00A25BA4"/>
    <w:rsid w:val="00A305FD"/>
    <w:rsid w:val="00A314C8"/>
    <w:rsid w:val="00A345D0"/>
    <w:rsid w:val="00A36C03"/>
    <w:rsid w:val="00A40F33"/>
    <w:rsid w:val="00A4332D"/>
    <w:rsid w:val="00A44276"/>
    <w:rsid w:val="00A479E9"/>
    <w:rsid w:val="00A502FD"/>
    <w:rsid w:val="00A50868"/>
    <w:rsid w:val="00A50C6B"/>
    <w:rsid w:val="00A510FC"/>
    <w:rsid w:val="00A52AC4"/>
    <w:rsid w:val="00A544D0"/>
    <w:rsid w:val="00A5469A"/>
    <w:rsid w:val="00A5660C"/>
    <w:rsid w:val="00A56847"/>
    <w:rsid w:val="00A60E07"/>
    <w:rsid w:val="00A62D48"/>
    <w:rsid w:val="00A64B13"/>
    <w:rsid w:val="00A71B96"/>
    <w:rsid w:val="00A71C60"/>
    <w:rsid w:val="00A71CD9"/>
    <w:rsid w:val="00A71D82"/>
    <w:rsid w:val="00A75CBE"/>
    <w:rsid w:val="00A76EA1"/>
    <w:rsid w:val="00A81C04"/>
    <w:rsid w:val="00A81E1F"/>
    <w:rsid w:val="00A90AF7"/>
    <w:rsid w:val="00A9140B"/>
    <w:rsid w:val="00A92222"/>
    <w:rsid w:val="00A92D44"/>
    <w:rsid w:val="00A945F9"/>
    <w:rsid w:val="00A96D88"/>
    <w:rsid w:val="00AA2CB2"/>
    <w:rsid w:val="00AB2789"/>
    <w:rsid w:val="00AB3916"/>
    <w:rsid w:val="00AB4061"/>
    <w:rsid w:val="00AB516D"/>
    <w:rsid w:val="00AC2324"/>
    <w:rsid w:val="00AD41F4"/>
    <w:rsid w:val="00AD4589"/>
    <w:rsid w:val="00AD6EB5"/>
    <w:rsid w:val="00AD76AD"/>
    <w:rsid w:val="00AE0283"/>
    <w:rsid w:val="00AE2C1A"/>
    <w:rsid w:val="00AE727B"/>
    <w:rsid w:val="00AF24A6"/>
    <w:rsid w:val="00AF4CF0"/>
    <w:rsid w:val="00AF4D73"/>
    <w:rsid w:val="00AF7446"/>
    <w:rsid w:val="00B00216"/>
    <w:rsid w:val="00B006C7"/>
    <w:rsid w:val="00B0144C"/>
    <w:rsid w:val="00B022D6"/>
    <w:rsid w:val="00B025F8"/>
    <w:rsid w:val="00B02E5D"/>
    <w:rsid w:val="00B07D3D"/>
    <w:rsid w:val="00B109F4"/>
    <w:rsid w:val="00B11D49"/>
    <w:rsid w:val="00B13300"/>
    <w:rsid w:val="00B147FE"/>
    <w:rsid w:val="00B158D7"/>
    <w:rsid w:val="00B1596F"/>
    <w:rsid w:val="00B1623F"/>
    <w:rsid w:val="00B1759D"/>
    <w:rsid w:val="00B20C76"/>
    <w:rsid w:val="00B21FA7"/>
    <w:rsid w:val="00B22DC8"/>
    <w:rsid w:val="00B24C62"/>
    <w:rsid w:val="00B32098"/>
    <w:rsid w:val="00B347D2"/>
    <w:rsid w:val="00B3521B"/>
    <w:rsid w:val="00B35CD4"/>
    <w:rsid w:val="00B37FB6"/>
    <w:rsid w:val="00B425A8"/>
    <w:rsid w:val="00B43224"/>
    <w:rsid w:val="00B4471E"/>
    <w:rsid w:val="00B460C1"/>
    <w:rsid w:val="00B53458"/>
    <w:rsid w:val="00B55193"/>
    <w:rsid w:val="00B55875"/>
    <w:rsid w:val="00B55882"/>
    <w:rsid w:val="00B56183"/>
    <w:rsid w:val="00B60D9F"/>
    <w:rsid w:val="00B61559"/>
    <w:rsid w:val="00B6348E"/>
    <w:rsid w:val="00B64C18"/>
    <w:rsid w:val="00B64EF6"/>
    <w:rsid w:val="00B66547"/>
    <w:rsid w:val="00B70A8E"/>
    <w:rsid w:val="00B75CBD"/>
    <w:rsid w:val="00B76A7A"/>
    <w:rsid w:val="00B82773"/>
    <w:rsid w:val="00B83CEA"/>
    <w:rsid w:val="00B84B12"/>
    <w:rsid w:val="00B9065D"/>
    <w:rsid w:val="00B911F4"/>
    <w:rsid w:val="00B9677F"/>
    <w:rsid w:val="00B968A7"/>
    <w:rsid w:val="00BA6210"/>
    <w:rsid w:val="00BA676F"/>
    <w:rsid w:val="00BA6CAA"/>
    <w:rsid w:val="00BB073F"/>
    <w:rsid w:val="00BB1BCF"/>
    <w:rsid w:val="00BB3ED6"/>
    <w:rsid w:val="00BB6DE4"/>
    <w:rsid w:val="00BC37B0"/>
    <w:rsid w:val="00BE19DB"/>
    <w:rsid w:val="00BE2DFA"/>
    <w:rsid w:val="00BE5A0C"/>
    <w:rsid w:val="00BE5E8F"/>
    <w:rsid w:val="00BF0CAE"/>
    <w:rsid w:val="00BF252C"/>
    <w:rsid w:val="00BF41FE"/>
    <w:rsid w:val="00BF5E77"/>
    <w:rsid w:val="00C03A92"/>
    <w:rsid w:val="00C061BD"/>
    <w:rsid w:val="00C0669A"/>
    <w:rsid w:val="00C12390"/>
    <w:rsid w:val="00C12569"/>
    <w:rsid w:val="00C1399A"/>
    <w:rsid w:val="00C2005F"/>
    <w:rsid w:val="00C216A4"/>
    <w:rsid w:val="00C21E0B"/>
    <w:rsid w:val="00C26BB0"/>
    <w:rsid w:val="00C26E11"/>
    <w:rsid w:val="00C270B3"/>
    <w:rsid w:val="00C305EE"/>
    <w:rsid w:val="00C310BC"/>
    <w:rsid w:val="00C32C2D"/>
    <w:rsid w:val="00C35ADC"/>
    <w:rsid w:val="00C41827"/>
    <w:rsid w:val="00C43B9B"/>
    <w:rsid w:val="00C442CC"/>
    <w:rsid w:val="00C4490E"/>
    <w:rsid w:val="00C4536F"/>
    <w:rsid w:val="00C45F6C"/>
    <w:rsid w:val="00C471C4"/>
    <w:rsid w:val="00C47353"/>
    <w:rsid w:val="00C54606"/>
    <w:rsid w:val="00C55841"/>
    <w:rsid w:val="00C575BC"/>
    <w:rsid w:val="00C61AF8"/>
    <w:rsid w:val="00C624C7"/>
    <w:rsid w:val="00C66470"/>
    <w:rsid w:val="00C6796F"/>
    <w:rsid w:val="00C74DEC"/>
    <w:rsid w:val="00C7531F"/>
    <w:rsid w:val="00C8286D"/>
    <w:rsid w:val="00C9224E"/>
    <w:rsid w:val="00C960AF"/>
    <w:rsid w:val="00CA5C3D"/>
    <w:rsid w:val="00CA6D81"/>
    <w:rsid w:val="00CA7348"/>
    <w:rsid w:val="00CB4F0C"/>
    <w:rsid w:val="00CB5203"/>
    <w:rsid w:val="00CC11ED"/>
    <w:rsid w:val="00CC2B51"/>
    <w:rsid w:val="00CC7B88"/>
    <w:rsid w:val="00CD1F86"/>
    <w:rsid w:val="00CD37CA"/>
    <w:rsid w:val="00CD55FC"/>
    <w:rsid w:val="00CD7157"/>
    <w:rsid w:val="00CE005C"/>
    <w:rsid w:val="00CE104A"/>
    <w:rsid w:val="00CE13F6"/>
    <w:rsid w:val="00CE3F50"/>
    <w:rsid w:val="00CE7756"/>
    <w:rsid w:val="00CF1870"/>
    <w:rsid w:val="00CF73A0"/>
    <w:rsid w:val="00D01074"/>
    <w:rsid w:val="00D017F8"/>
    <w:rsid w:val="00D11785"/>
    <w:rsid w:val="00D14EF3"/>
    <w:rsid w:val="00D15B73"/>
    <w:rsid w:val="00D1681B"/>
    <w:rsid w:val="00D20341"/>
    <w:rsid w:val="00D20BB4"/>
    <w:rsid w:val="00D23D76"/>
    <w:rsid w:val="00D2715C"/>
    <w:rsid w:val="00D312D5"/>
    <w:rsid w:val="00D34A56"/>
    <w:rsid w:val="00D41678"/>
    <w:rsid w:val="00D43BA9"/>
    <w:rsid w:val="00D4483C"/>
    <w:rsid w:val="00D50C60"/>
    <w:rsid w:val="00D53CFC"/>
    <w:rsid w:val="00D55579"/>
    <w:rsid w:val="00D63A8E"/>
    <w:rsid w:val="00D6532A"/>
    <w:rsid w:val="00D65E2A"/>
    <w:rsid w:val="00D67B34"/>
    <w:rsid w:val="00D73906"/>
    <w:rsid w:val="00D73B6F"/>
    <w:rsid w:val="00D75A35"/>
    <w:rsid w:val="00D8064F"/>
    <w:rsid w:val="00D8110F"/>
    <w:rsid w:val="00D85AC3"/>
    <w:rsid w:val="00D90D73"/>
    <w:rsid w:val="00D91A72"/>
    <w:rsid w:val="00D930EE"/>
    <w:rsid w:val="00D939AE"/>
    <w:rsid w:val="00D93B30"/>
    <w:rsid w:val="00D97576"/>
    <w:rsid w:val="00D9784F"/>
    <w:rsid w:val="00DA0235"/>
    <w:rsid w:val="00DA28C9"/>
    <w:rsid w:val="00DA29B5"/>
    <w:rsid w:val="00DA60FC"/>
    <w:rsid w:val="00DA7CED"/>
    <w:rsid w:val="00DB00B4"/>
    <w:rsid w:val="00DB7D8A"/>
    <w:rsid w:val="00DC2647"/>
    <w:rsid w:val="00DC3678"/>
    <w:rsid w:val="00DC7802"/>
    <w:rsid w:val="00DD2467"/>
    <w:rsid w:val="00DD328A"/>
    <w:rsid w:val="00DD3D2F"/>
    <w:rsid w:val="00DD59A5"/>
    <w:rsid w:val="00DD5A81"/>
    <w:rsid w:val="00DD5AE9"/>
    <w:rsid w:val="00DD6C41"/>
    <w:rsid w:val="00DF006D"/>
    <w:rsid w:val="00DF155E"/>
    <w:rsid w:val="00DF1B1C"/>
    <w:rsid w:val="00DF28FD"/>
    <w:rsid w:val="00DF2F85"/>
    <w:rsid w:val="00DF3158"/>
    <w:rsid w:val="00DF35C8"/>
    <w:rsid w:val="00DF639C"/>
    <w:rsid w:val="00E0242E"/>
    <w:rsid w:val="00E028F5"/>
    <w:rsid w:val="00E02F26"/>
    <w:rsid w:val="00E0430F"/>
    <w:rsid w:val="00E04A36"/>
    <w:rsid w:val="00E05110"/>
    <w:rsid w:val="00E05127"/>
    <w:rsid w:val="00E119F4"/>
    <w:rsid w:val="00E12532"/>
    <w:rsid w:val="00E14C9B"/>
    <w:rsid w:val="00E1570B"/>
    <w:rsid w:val="00E1594C"/>
    <w:rsid w:val="00E179E5"/>
    <w:rsid w:val="00E2266C"/>
    <w:rsid w:val="00E241ED"/>
    <w:rsid w:val="00E33FC0"/>
    <w:rsid w:val="00E340D3"/>
    <w:rsid w:val="00E34E35"/>
    <w:rsid w:val="00E4419E"/>
    <w:rsid w:val="00E505A3"/>
    <w:rsid w:val="00E53806"/>
    <w:rsid w:val="00E54418"/>
    <w:rsid w:val="00E56141"/>
    <w:rsid w:val="00E601C4"/>
    <w:rsid w:val="00E6161E"/>
    <w:rsid w:val="00E62E27"/>
    <w:rsid w:val="00E635B7"/>
    <w:rsid w:val="00E64E94"/>
    <w:rsid w:val="00E67518"/>
    <w:rsid w:val="00E67ED6"/>
    <w:rsid w:val="00E71FD4"/>
    <w:rsid w:val="00E76B70"/>
    <w:rsid w:val="00E77BCD"/>
    <w:rsid w:val="00E81EB6"/>
    <w:rsid w:val="00E8280C"/>
    <w:rsid w:val="00E82FB7"/>
    <w:rsid w:val="00E8642E"/>
    <w:rsid w:val="00E86A58"/>
    <w:rsid w:val="00E86E66"/>
    <w:rsid w:val="00E93912"/>
    <w:rsid w:val="00EA015D"/>
    <w:rsid w:val="00EA27A8"/>
    <w:rsid w:val="00EA49C1"/>
    <w:rsid w:val="00EA5831"/>
    <w:rsid w:val="00EA6621"/>
    <w:rsid w:val="00EB0805"/>
    <w:rsid w:val="00EB2136"/>
    <w:rsid w:val="00EB279A"/>
    <w:rsid w:val="00EB38D3"/>
    <w:rsid w:val="00EC0673"/>
    <w:rsid w:val="00EC1114"/>
    <w:rsid w:val="00EC2604"/>
    <w:rsid w:val="00EC50AE"/>
    <w:rsid w:val="00ED1994"/>
    <w:rsid w:val="00ED1C6D"/>
    <w:rsid w:val="00ED2A20"/>
    <w:rsid w:val="00ED7738"/>
    <w:rsid w:val="00EE0688"/>
    <w:rsid w:val="00EE211D"/>
    <w:rsid w:val="00EE5EDE"/>
    <w:rsid w:val="00EE6E21"/>
    <w:rsid w:val="00EF43BC"/>
    <w:rsid w:val="00EF4E38"/>
    <w:rsid w:val="00EF61BB"/>
    <w:rsid w:val="00EF6317"/>
    <w:rsid w:val="00EF7630"/>
    <w:rsid w:val="00F01296"/>
    <w:rsid w:val="00F038D9"/>
    <w:rsid w:val="00F0440D"/>
    <w:rsid w:val="00F0552F"/>
    <w:rsid w:val="00F1698B"/>
    <w:rsid w:val="00F20E90"/>
    <w:rsid w:val="00F21CCA"/>
    <w:rsid w:val="00F239AF"/>
    <w:rsid w:val="00F2406E"/>
    <w:rsid w:val="00F24264"/>
    <w:rsid w:val="00F26DDF"/>
    <w:rsid w:val="00F27745"/>
    <w:rsid w:val="00F34110"/>
    <w:rsid w:val="00F36A38"/>
    <w:rsid w:val="00F441F4"/>
    <w:rsid w:val="00F47DA3"/>
    <w:rsid w:val="00F530EE"/>
    <w:rsid w:val="00F541FD"/>
    <w:rsid w:val="00F557F7"/>
    <w:rsid w:val="00F5582C"/>
    <w:rsid w:val="00F56FAC"/>
    <w:rsid w:val="00F60DC0"/>
    <w:rsid w:val="00F61653"/>
    <w:rsid w:val="00F632CB"/>
    <w:rsid w:val="00F70FB3"/>
    <w:rsid w:val="00F74B3A"/>
    <w:rsid w:val="00F74DF4"/>
    <w:rsid w:val="00F7524F"/>
    <w:rsid w:val="00F753D5"/>
    <w:rsid w:val="00F75752"/>
    <w:rsid w:val="00F82475"/>
    <w:rsid w:val="00F82F4B"/>
    <w:rsid w:val="00F839FA"/>
    <w:rsid w:val="00F872FD"/>
    <w:rsid w:val="00F9092B"/>
    <w:rsid w:val="00F91968"/>
    <w:rsid w:val="00F93E72"/>
    <w:rsid w:val="00F95EF7"/>
    <w:rsid w:val="00F96D3F"/>
    <w:rsid w:val="00FA2075"/>
    <w:rsid w:val="00FA257D"/>
    <w:rsid w:val="00FB0081"/>
    <w:rsid w:val="00FB36C5"/>
    <w:rsid w:val="00FB56F2"/>
    <w:rsid w:val="00FB58FE"/>
    <w:rsid w:val="00FC077E"/>
    <w:rsid w:val="00FD315F"/>
    <w:rsid w:val="00FD4619"/>
    <w:rsid w:val="00FD7455"/>
    <w:rsid w:val="00FD7E32"/>
    <w:rsid w:val="00FE06B6"/>
    <w:rsid w:val="00FE1E16"/>
    <w:rsid w:val="00FE45E2"/>
    <w:rsid w:val="00FE6611"/>
    <w:rsid w:val="00FE6E2E"/>
    <w:rsid w:val="00FF15B9"/>
    <w:rsid w:val="00FF3C38"/>
    <w:rsid w:val="00FF6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0A8E"/>
  </w:style>
  <w:style w:type="paragraph" w:styleId="Nagwek1">
    <w:name w:val="heading 1"/>
    <w:basedOn w:val="Normalny"/>
    <w:next w:val="Normalny"/>
    <w:link w:val="Nagwek1Znak"/>
    <w:uiPriority w:val="9"/>
    <w:qFormat/>
    <w:rsid w:val="006250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F63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250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250B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6250B1"/>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6250B1"/>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6250B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6250B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3C38"/>
    <w:pPr>
      <w:ind w:left="720"/>
      <w:contextualSpacing/>
    </w:pPr>
  </w:style>
  <w:style w:type="paragraph" w:customStyle="1" w:styleId="i">
    <w:name w:val="i"/>
    <w:basedOn w:val="Normalny"/>
    <w:rsid w:val="00C74DEC"/>
    <w:pPr>
      <w:spacing w:before="120" w:after="0" w:line="240" w:lineRule="auto"/>
      <w:ind w:left="540" w:hanging="540"/>
    </w:pPr>
    <w:rPr>
      <w:rFonts w:ascii="Arial" w:eastAsia="Batang" w:hAnsi="Arial" w:cs="Times New Roman"/>
      <w:lang w:eastAsia="ko-KR"/>
    </w:rPr>
  </w:style>
  <w:style w:type="paragraph" w:styleId="Nagwek">
    <w:name w:val="header"/>
    <w:basedOn w:val="Normalny"/>
    <w:link w:val="NagwekZnak"/>
    <w:uiPriority w:val="99"/>
    <w:unhideWhenUsed/>
    <w:rsid w:val="00DA02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0235"/>
    <w:rPr>
      <w:lang w:val="fr-FR"/>
    </w:rPr>
  </w:style>
  <w:style w:type="paragraph" w:styleId="Stopka">
    <w:name w:val="footer"/>
    <w:basedOn w:val="Normalny"/>
    <w:link w:val="StopkaZnak"/>
    <w:uiPriority w:val="99"/>
    <w:unhideWhenUsed/>
    <w:rsid w:val="00DA02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0235"/>
    <w:rPr>
      <w:lang w:val="fr-FR"/>
    </w:rPr>
  </w:style>
  <w:style w:type="character" w:customStyle="1" w:styleId="Nagwek2Znak">
    <w:name w:val="Nagłówek 2 Znak"/>
    <w:basedOn w:val="Domylnaczcionkaakapitu"/>
    <w:link w:val="Nagwek2"/>
    <w:uiPriority w:val="9"/>
    <w:rsid w:val="00EF6317"/>
    <w:rPr>
      <w:rFonts w:asciiTheme="majorHAnsi" w:eastAsiaTheme="majorEastAsia" w:hAnsiTheme="majorHAnsi" w:cstheme="majorBidi"/>
      <w:color w:val="2F5496" w:themeColor="accent1" w:themeShade="BF"/>
      <w:sz w:val="26"/>
      <w:szCs w:val="26"/>
      <w:lang w:val="fr-FR"/>
    </w:rPr>
  </w:style>
  <w:style w:type="paragraph" w:customStyle="1" w:styleId="H2">
    <w:name w:val="H2"/>
    <w:basedOn w:val="Normalny"/>
    <w:rsid w:val="00591DC8"/>
    <w:pPr>
      <w:keepNext/>
      <w:keepLines/>
      <w:spacing w:before="300" w:after="120" w:line="240" w:lineRule="auto"/>
      <w:ind w:hanging="540"/>
      <w:outlineLvl w:val="1"/>
    </w:pPr>
    <w:rPr>
      <w:rFonts w:ascii="Arial Narrow" w:eastAsia="Batang" w:hAnsi="Arial Narrow" w:cs="Times New Roman"/>
      <w:sz w:val="38"/>
      <w:szCs w:val="38"/>
      <w:lang w:eastAsia="ko-KR"/>
    </w:rPr>
  </w:style>
  <w:style w:type="numbering" w:customStyle="1" w:styleId="Styl1">
    <w:name w:val="Styl1"/>
    <w:uiPriority w:val="99"/>
    <w:rsid w:val="00D312D5"/>
    <w:pPr>
      <w:numPr>
        <w:numId w:val="9"/>
      </w:numPr>
    </w:pPr>
  </w:style>
  <w:style w:type="paragraph" w:styleId="Tekstprzypisukocowego">
    <w:name w:val="endnote text"/>
    <w:basedOn w:val="Normalny"/>
    <w:link w:val="TekstprzypisukocowegoZnak"/>
    <w:uiPriority w:val="99"/>
    <w:semiHidden/>
    <w:unhideWhenUsed/>
    <w:rsid w:val="007042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42B2"/>
    <w:rPr>
      <w:sz w:val="20"/>
      <w:szCs w:val="20"/>
      <w:lang w:val="fr-FR"/>
    </w:rPr>
  </w:style>
  <w:style w:type="character" w:styleId="Odwoanieprzypisukocowego">
    <w:name w:val="endnote reference"/>
    <w:basedOn w:val="Domylnaczcionkaakapitu"/>
    <w:uiPriority w:val="99"/>
    <w:semiHidden/>
    <w:unhideWhenUsed/>
    <w:rsid w:val="007042B2"/>
    <w:rPr>
      <w:vertAlign w:val="superscript"/>
    </w:rPr>
  </w:style>
  <w:style w:type="paragraph" w:styleId="Tekstpodstawowy3">
    <w:name w:val="Body Text 3"/>
    <w:basedOn w:val="Normalny"/>
    <w:link w:val="Tekstpodstawowy3Znak"/>
    <w:semiHidden/>
    <w:unhideWhenUsed/>
    <w:rsid w:val="00256F0B"/>
    <w:pPr>
      <w:spacing w:before="120" w:after="120" w:line="360" w:lineRule="auto"/>
      <w:jc w:val="center"/>
    </w:pPr>
    <w:rPr>
      <w:rFonts w:ascii="Verdana" w:eastAsia="Times New Roman" w:hAnsi="Verdana" w:cs="Times New Roman"/>
      <w:b/>
      <w:sz w:val="20"/>
      <w:szCs w:val="20"/>
      <w:lang w:eastAsia="pl-PL"/>
    </w:rPr>
  </w:style>
  <w:style w:type="character" w:customStyle="1" w:styleId="Tekstpodstawowy3Znak">
    <w:name w:val="Tekst podstawowy 3 Znak"/>
    <w:basedOn w:val="Domylnaczcionkaakapitu"/>
    <w:link w:val="Tekstpodstawowy3"/>
    <w:semiHidden/>
    <w:rsid w:val="00256F0B"/>
    <w:rPr>
      <w:rFonts w:ascii="Verdana" w:eastAsia="Times New Roman" w:hAnsi="Verdana" w:cs="Times New Roman"/>
      <w:b/>
      <w:sz w:val="20"/>
      <w:szCs w:val="20"/>
      <w:lang w:eastAsia="pl-PL"/>
    </w:rPr>
  </w:style>
  <w:style w:type="character" w:customStyle="1" w:styleId="h20">
    <w:name w:val="h2"/>
    <w:basedOn w:val="Domylnaczcionkaakapitu"/>
    <w:rsid w:val="00481469"/>
  </w:style>
  <w:style w:type="paragraph" w:styleId="Poprawka">
    <w:name w:val="Revision"/>
    <w:hidden/>
    <w:uiPriority w:val="99"/>
    <w:semiHidden/>
    <w:rsid w:val="00C41827"/>
    <w:pPr>
      <w:spacing w:after="0" w:line="240" w:lineRule="auto"/>
    </w:pPr>
    <w:rPr>
      <w:lang w:val="fr-FR"/>
    </w:rPr>
  </w:style>
  <w:style w:type="character" w:customStyle="1" w:styleId="shorttext">
    <w:name w:val="short_text"/>
    <w:basedOn w:val="Domylnaczcionkaakapitu"/>
    <w:rsid w:val="00BB073F"/>
  </w:style>
  <w:style w:type="character" w:customStyle="1" w:styleId="Nagwek1Znak">
    <w:name w:val="Nagłówek 1 Znak"/>
    <w:basedOn w:val="Domylnaczcionkaakapitu"/>
    <w:link w:val="Nagwek1"/>
    <w:uiPriority w:val="9"/>
    <w:rsid w:val="006250B1"/>
    <w:rPr>
      <w:rFonts w:asciiTheme="majorHAnsi" w:eastAsiaTheme="majorEastAsia" w:hAnsiTheme="majorHAnsi" w:cstheme="majorBidi"/>
      <w:color w:val="2F5496" w:themeColor="accent1" w:themeShade="BF"/>
      <w:sz w:val="32"/>
      <w:szCs w:val="32"/>
      <w:lang w:val="fr-FR"/>
    </w:rPr>
  </w:style>
  <w:style w:type="character" w:customStyle="1" w:styleId="Nagwek3Znak">
    <w:name w:val="Nagłówek 3 Znak"/>
    <w:basedOn w:val="Domylnaczcionkaakapitu"/>
    <w:link w:val="Nagwek3"/>
    <w:uiPriority w:val="9"/>
    <w:rsid w:val="006250B1"/>
    <w:rPr>
      <w:rFonts w:asciiTheme="majorHAnsi" w:eastAsiaTheme="majorEastAsia" w:hAnsiTheme="majorHAnsi" w:cstheme="majorBidi"/>
      <w:color w:val="1F3763" w:themeColor="accent1" w:themeShade="7F"/>
      <w:sz w:val="24"/>
      <w:szCs w:val="24"/>
      <w:lang w:val="fr-FR"/>
    </w:rPr>
  </w:style>
  <w:style w:type="character" w:customStyle="1" w:styleId="Nagwek4Znak">
    <w:name w:val="Nagłówek 4 Znak"/>
    <w:basedOn w:val="Domylnaczcionkaakapitu"/>
    <w:link w:val="Nagwek4"/>
    <w:uiPriority w:val="9"/>
    <w:rsid w:val="006250B1"/>
    <w:rPr>
      <w:rFonts w:asciiTheme="majorHAnsi" w:eastAsiaTheme="majorEastAsia" w:hAnsiTheme="majorHAnsi" w:cstheme="majorBidi"/>
      <w:i/>
      <w:iCs/>
      <w:color w:val="2F5496" w:themeColor="accent1" w:themeShade="BF"/>
      <w:lang w:val="fr-FR"/>
    </w:rPr>
  </w:style>
  <w:style w:type="character" w:customStyle="1" w:styleId="Nagwek5Znak">
    <w:name w:val="Nagłówek 5 Znak"/>
    <w:basedOn w:val="Domylnaczcionkaakapitu"/>
    <w:link w:val="Nagwek5"/>
    <w:uiPriority w:val="9"/>
    <w:rsid w:val="006250B1"/>
    <w:rPr>
      <w:rFonts w:asciiTheme="majorHAnsi" w:eastAsiaTheme="majorEastAsia" w:hAnsiTheme="majorHAnsi" w:cstheme="majorBidi"/>
      <w:color w:val="2F5496" w:themeColor="accent1" w:themeShade="BF"/>
      <w:lang w:val="fr-FR"/>
    </w:rPr>
  </w:style>
  <w:style w:type="character" w:customStyle="1" w:styleId="Nagwek6Znak">
    <w:name w:val="Nagłówek 6 Znak"/>
    <w:basedOn w:val="Domylnaczcionkaakapitu"/>
    <w:link w:val="Nagwek6"/>
    <w:uiPriority w:val="9"/>
    <w:rsid w:val="006250B1"/>
    <w:rPr>
      <w:rFonts w:asciiTheme="majorHAnsi" w:eastAsiaTheme="majorEastAsia" w:hAnsiTheme="majorHAnsi" w:cstheme="majorBidi"/>
      <w:color w:val="1F3763" w:themeColor="accent1" w:themeShade="7F"/>
      <w:lang w:val="fr-FR"/>
    </w:rPr>
  </w:style>
  <w:style w:type="character" w:customStyle="1" w:styleId="Nagwek7Znak">
    <w:name w:val="Nagłówek 7 Znak"/>
    <w:basedOn w:val="Domylnaczcionkaakapitu"/>
    <w:link w:val="Nagwek7"/>
    <w:uiPriority w:val="9"/>
    <w:rsid w:val="006250B1"/>
    <w:rPr>
      <w:rFonts w:asciiTheme="majorHAnsi" w:eastAsiaTheme="majorEastAsia" w:hAnsiTheme="majorHAnsi" w:cstheme="majorBidi"/>
      <w:i/>
      <w:iCs/>
      <w:color w:val="1F3763" w:themeColor="accent1" w:themeShade="7F"/>
      <w:lang w:val="fr-FR"/>
    </w:rPr>
  </w:style>
  <w:style w:type="character" w:customStyle="1" w:styleId="Nagwek8Znak">
    <w:name w:val="Nagłówek 8 Znak"/>
    <w:basedOn w:val="Domylnaczcionkaakapitu"/>
    <w:link w:val="Nagwek8"/>
    <w:uiPriority w:val="9"/>
    <w:rsid w:val="006250B1"/>
    <w:rPr>
      <w:rFonts w:asciiTheme="majorHAnsi" w:eastAsiaTheme="majorEastAsia" w:hAnsiTheme="majorHAnsi" w:cstheme="majorBidi"/>
      <w:color w:val="272727" w:themeColor="text1" w:themeTint="D8"/>
      <w:sz w:val="21"/>
      <w:szCs w:val="21"/>
      <w:lang w:val="fr-FR"/>
    </w:rPr>
  </w:style>
  <w:style w:type="paragraph" w:styleId="Lista">
    <w:name w:val="List"/>
    <w:basedOn w:val="Normalny"/>
    <w:uiPriority w:val="99"/>
    <w:unhideWhenUsed/>
    <w:rsid w:val="006250B1"/>
    <w:pPr>
      <w:ind w:left="283" w:hanging="283"/>
      <w:contextualSpacing/>
    </w:pPr>
  </w:style>
  <w:style w:type="paragraph" w:styleId="Lista2">
    <w:name w:val="List 2"/>
    <w:basedOn w:val="Normalny"/>
    <w:uiPriority w:val="99"/>
    <w:unhideWhenUsed/>
    <w:rsid w:val="006250B1"/>
    <w:pPr>
      <w:ind w:left="566" w:hanging="283"/>
      <w:contextualSpacing/>
    </w:pPr>
  </w:style>
  <w:style w:type="paragraph" w:styleId="Lista3">
    <w:name w:val="List 3"/>
    <w:basedOn w:val="Normalny"/>
    <w:uiPriority w:val="99"/>
    <w:unhideWhenUsed/>
    <w:rsid w:val="006250B1"/>
    <w:pPr>
      <w:ind w:left="849" w:hanging="283"/>
      <w:contextualSpacing/>
    </w:pPr>
  </w:style>
  <w:style w:type="paragraph" w:styleId="Lista4">
    <w:name w:val="List 4"/>
    <w:basedOn w:val="Normalny"/>
    <w:uiPriority w:val="99"/>
    <w:unhideWhenUsed/>
    <w:rsid w:val="006250B1"/>
    <w:pPr>
      <w:ind w:left="1132" w:hanging="283"/>
      <w:contextualSpacing/>
    </w:pPr>
  </w:style>
  <w:style w:type="paragraph" w:styleId="Lista5">
    <w:name w:val="List 5"/>
    <w:basedOn w:val="Normalny"/>
    <w:uiPriority w:val="99"/>
    <w:unhideWhenUsed/>
    <w:rsid w:val="006250B1"/>
    <w:pPr>
      <w:ind w:left="1415" w:hanging="283"/>
      <w:contextualSpacing/>
    </w:pPr>
  </w:style>
  <w:style w:type="paragraph" w:styleId="Data">
    <w:name w:val="Date"/>
    <w:basedOn w:val="Normalny"/>
    <w:next w:val="Normalny"/>
    <w:link w:val="DataZnak"/>
    <w:uiPriority w:val="99"/>
    <w:unhideWhenUsed/>
    <w:rsid w:val="006250B1"/>
  </w:style>
  <w:style w:type="character" w:customStyle="1" w:styleId="DataZnak">
    <w:name w:val="Data Znak"/>
    <w:basedOn w:val="Domylnaczcionkaakapitu"/>
    <w:link w:val="Data"/>
    <w:uiPriority w:val="99"/>
    <w:rsid w:val="006250B1"/>
    <w:rPr>
      <w:lang w:val="fr-FR"/>
    </w:rPr>
  </w:style>
  <w:style w:type="paragraph" w:styleId="Tekstpodstawowy">
    <w:name w:val="Body Text"/>
    <w:basedOn w:val="Normalny"/>
    <w:link w:val="TekstpodstawowyZnak"/>
    <w:uiPriority w:val="99"/>
    <w:unhideWhenUsed/>
    <w:rsid w:val="006250B1"/>
    <w:pPr>
      <w:spacing w:after="120"/>
    </w:pPr>
  </w:style>
  <w:style w:type="character" w:customStyle="1" w:styleId="TekstpodstawowyZnak">
    <w:name w:val="Tekst podstawowy Znak"/>
    <w:basedOn w:val="Domylnaczcionkaakapitu"/>
    <w:link w:val="Tekstpodstawowy"/>
    <w:uiPriority w:val="99"/>
    <w:rsid w:val="006250B1"/>
    <w:rPr>
      <w:lang w:val="fr-FR"/>
    </w:rPr>
  </w:style>
  <w:style w:type="paragraph" w:styleId="Tekstpodstawowywcity">
    <w:name w:val="Body Text Indent"/>
    <w:basedOn w:val="Normalny"/>
    <w:link w:val="TekstpodstawowywcityZnak"/>
    <w:uiPriority w:val="99"/>
    <w:unhideWhenUsed/>
    <w:rsid w:val="006250B1"/>
    <w:pPr>
      <w:spacing w:after="120"/>
      <w:ind w:left="283"/>
    </w:pPr>
  </w:style>
  <w:style w:type="character" w:customStyle="1" w:styleId="TekstpodstawowywcityZnak">
    <w:name w:val="Tekst podstawowy wcięty Znak"/>
    <w:basedOn w:val="Domylnaczcionkaakapitu"/>
    <w:link w:val="Tekstpodstawowywcity"/>
    <w:uiPriority w:val="99"/>
    <w:rsid w:val="006250B1"/>
    <w:rPr>
      <w:lang w:val="fr-FR"/>
    </w:rPr>
  </w:style>
  <w:style w:type="paragraph" w:styleId="Tekstpodstawowyzwciciem">
    <w:name w:val="Body Text First Indent"/>
    <w:basedOn w:val="Tekstpodstawowy"/>
    <w:link w:val="TekstpodstawowyzwciciemZnak"/>
    <w:uiPriority w:val="99"/>
    <w:unhideWhenUsed/>
    <w:rsid w:val="006250B1"/>
    <w:pPr>
      <w:spacing w:after="160"/>
      <w:ind w:firstLine="360"/>
    </w:pPr>
  </w:style>
  <w:style w:type="character" w:customStyle="1" w:styleId="TekstpodstawowyzwciciemZnak">
    <w:name w:val="Tekst podstawowy z wcięciem Znak"/>
    <w:basedOn w:val="TekstpodstawowyZnak"/>
    <w:link w:val="Tekstpodstawowyzwciciem"/>
    <w:uiPriority w:val="99"/>
    <w:rsid w:val="006250B1"/>
    <w:rPr>
      <w:lang w:val="fr-FR"/>
    </w:rPr>
  </w:style>
  <w:style w:type="paragraph" w:styleId="Tekstpodstawowyzwciciem2">
    <w:name w:val="Body Text First Indent 2"/>
    <w:basedOn w:val="Tekstpodstawowywcity"/>
    <w:link w:val="Tekstpodstawowyzwciciem2Znak"/>
    <w:uiPriority w:val="99"/>
    <w:unhideWhenUsed/>
    <w:rsid w:val="006250B1"/>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6250B1"/>
    <w:rPr>
      <w:lang w:val="fr-FR"/>
    </w:rPr>
  </w:style>
  <w:style w:type="paragraph" w:customStyle="1" w:styleId="JuLista">
    <w:name w:val="Ju_List_a"/>
    <w:basedOn w:val="Normalny"/>
    <w:qFormat/>
    <w:rsid w:val="00A64B13"/>
    <w:pPr>
      <w:spacing w:after="0" w:line="240" w:lineRule="auto"/>
      <w:ind w:left="346"/>
      <w:jc w:val="both"/>
    </w:pPr>
    <w:rPr>
      <w:rFonts w:ascii="Times New Roman" w:eastAsia="MS Mincho" w:hAnsi="Times New Roman" w:cs="Times New Roman"/>
      <w:sz w:val="24"/>
      <w:szCs w:val="20"/>
    </w:rPr>
  </w:style>
  <w:style w:type="character" w:customStyle="1" w:styleId="JuHHeadChar">
    <w:name w:val="Ju_H_Head Char"/>
    <w:link w:val="ECHRTitle1"/>
    <w:locked/>
    <w:rsid w:val="00E93912"/>
    <w:rPr>
      <w:rFonts w:ascii="MS Mincho" w:eastAsia="MS Mincho" w:hAnsi="MS Mincho"/>
      <w:sz w:val="28"/>
    </w:rPr>
  </w:style>
  <w:style w:type="paragraph" w:customStyle="1" w:styleId="ECHRTitle1">
    <w:name w:val="ECHR_Title_1"/>
    <w:aliases w:val="Ju_H_Head"/>
    <w:basedOn w:val="Normalny"/>
    <w:next w:val="Normalny"/>
    <w:link w:val="JuHHeadChar"/>
    <w:qFormat/>
    <w:rsid w:val="00E93912"/>
    <w:pPr>
      <w:keepNext/>
      <w:keepLines/>
      <w:spacing w:before="720" w:after="240" w:line="240" w:lineRule="auto"/>
      <w:jc w:val="both"/>
      <w:outlineLvl w:val="0"/>
    </w:pPr>
    <w:rPr>
      <w:rFonts w:ascii="MS Mincho" w:eastAsia="MS Mincho" w:hAnsi="MS Mincho"/>
      <w:sz w:val="28"/>
    </w:rPr>
  </w:style>
  <w:style w:type="paragraph" w:customStyle="1" w:styleId="JuList">
    <w:name w:val="Ju_List"/>
    <w:basedOn w:val="Normalny"/>
    <w:uiPriority w:val="99"/>
    <w:qFormat/>
    <w:rsid w:val="0026236E"/>
    <w:pPr>
      <w:suppressAutoHyphens/>
      <w:spacing w:after="0" w:line="240" w:lineRule="auto"/>
      <w:ind w:left="340" w:hanging="340"/>
      <w:jc w:val="both"/>
    </w:pPr>
    <w:rPr>
      <w:rFonts w:ascii="Times New Roman" w:eastAsia="Times New Roman" w:hAnsi="Times New Roman" w:cs="Times New Roman"/>
      <w:sz w:val="24"/>
      <w:szCs w:val="20"/>
      <w:lang w:val="en-GB" w:eastAsia="fr-FR"/>
    </w:rPr>
  </w:style>
  <w:style w:type="paragraph" w:customStyle="1" w:styleId="JuListi">
    <w:name w:val="Ju_List_i"/>
    <w:basedOn w:val="Normalny"/>
    <w:next w:val="Normalny"/>
    <w:uiPriority w:val="28"/>
    <w:qFormat/>
    <w:rsid w:val="00E241ED"/>
    <w:pPr>
      <w:spacing w:after="0" w:line="240" w:lineRule="auto"/>
      <w:ind w:left="794"/>
      <w:jc w:val="both"/>
    </w:pPr>
    <w:rPr>
      <w:rFonts w:ascii="Times New Roman" w:eastAsia="Times New Roman" w:hAnsi="Times New Roman" w:cs="Times New Roman"/>
      <w:sz w:val="24"/>
      <w:lang w:val="en-US"/>
    </w:rPr>
  </w:style>
  <w:style w:type="character" w:styleId="Odwoaniedokomentarza">
    <w:name w:val="annotation reference"/>
    <w:basedOn w:val="Domylnaczcionkaakapitu"/>
    <w:uiPriority w:val="99"/>
    <w:semiHidden/>
    <w:unhideWhenUsed/>
    <w:rsid w:val="007E2F7F"/>
    <w:rPr>
      <w:sz w:val="16"/>
      <w:szCs w:val="16"/>
    </w:rPr>
  </w:style>
  <w:style w:type="paragraph" w:styleId="Tekstkomentarza">
    <w:name w:val="annotation text"/>
    <w:basedOn w:val="Normalny"/>
    <w:link w:val="TekstkomentarzaZnak"/>
    <w:uiPriority w:val="99"/>
    <w:semiHidden/>
    <w:unhideWhenUsed/>
    <w:rsid w:val="007E2F7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2F7F"/>
    <w:rPr>
      <w:sz w:val="20"/>
      <w:szCs w:val="20"/>
      <w:lang w:val="fr-FR"/>
    </w:rPr>
  </w:style>
  <w:style w:type="paragraph" w:styleId="Tematkomentarza">
    <w:name w:val="annotation subject"/>
    <w:basedOn w:val="Tekstkomentarza"/>
    <w:next w:val="Tekstkomentarza"/>
    <w:link w:val="TematkomentarzaZnak"/>
    <w:uiPriority w:val="99"/>
    <w:semiHidden/>
    <w:unhideWhenUsed/>
    <w:rsid w:val="007E2F7F"/>
    <w:rPr>
      <w:b/>
      <w:bCs/>
    </w:rPr>
  </w:style>
  <w:style w:type="character" w:customStyle="1" w:styleId="TematkomentarzaZnak">
    <w:name w:val="Temat komentarza Znak"/>
    <w:basedOn w:val="TekstkomentarzaZnak"/>
    <w:link w:val="Tematkomentarza"/>
    <w:uiPriority w:val="99"/>
    <w:semiHidden/>
    <w:rsid w:val="007E2F7F"/>
    <w:rPr>
      <w:b/>
      <w:bCs/>
      <w:sz w:val="20"/>
      <w:szCs w:val="20"/>
      <w:lang w:val="fr-FR"/>
    </w:rPr>
  </w:style>
  <w:style w:type="paragraph" w:styleId="Tekstdymka">
    <w:name w:val="Balloon Text"/>
    <w:basedOn w:val="Normalny"/>
    <w:link w:val="TekstdymkaZnak"/>
    <w:uiPriority w:val="99"/>
    <w:semiHidden/>
    <w:unhideWhenUsed/>
    <w:rsid w:val="007E2F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2F7F"/>
    <w:rPr>
      <w:rFonts w:ascii="Segoe UI" w:hAnsi="Segoe UI" w:cs="Segoe UI"/>
      <w:sz w:val="18"/>
      <w:szCs w:val="18"/>
      <w:lang w:val="fr-FR"/>
    </w:rPr>
  </w:style>
  <w:style w:type="paragraph" w:customStyle="1" w:styleId="ECHRHeader">
    <w:name w:val="ECHR_Header"/>
    <w:aliases w:val="Ju_Header"/>
    <w:basedOn w:val="Nagwek"/>
    <w:uiPriority w:val="4"/>
    <w:qFormat/>
    <w:rsid w:val="00D91A72"/>
    <w:pPr>
      <w:tabs>
        <w:tab w:val="clear" w:pos="4536"/>
        <w:tab w:val="clear" w:pos="9072"/>
        <w:tab w:val="center" w:pos="3686"/>
        <w:tab w:val="right" w:pos="7371"/>
      </w:tabs>
    </w:pPr>
    <w:rPr>
      <w:sz w:val="18"/>
      <w:lang w:val="en-US"/>
    </w:rPr>
  </w:style>
  <w:style w:type="character" w:styleId="Numerstrony">
    <w:name w:val="page number"/>
    <w:semiHidden/>
    <w:rsid w:val="00D91A72"/>
    <w:rPr>
      <w:rFonts w:ascii="Times New Roman" w:hAnsi="Times New Roman" w:cs="Times New Roman"/>
      <w:sz w:val="18"/>
    </w:rPr>
  </w:style>
  <w:style w:type="paragraph" w:customStyle="1" w:styleId="ECHRPara">
    <w:name w:val="ECHR_Para"/>
    <w:aliases w:val="Ju_Para"/>
    <w:basedOn w:val="Normalny"/>
    <w:link w:val="ECHRParaChar"/>
    <w:uiPriority w:val="12"/>
    <w:qFormat/>
    <w:rsid w:val="00A345D0"/>
    <w:pPr>
      <w:spacing w:after="0" w:line="240" w:lineRule="auto"/>
      <w:ind w:firstLine="284"/>
      <w:jc w:val="both"/>
    </w:pPr>
    <w:rPr>
      <w:rFonts w:eastAsiaTheme="minorEastAsia"/>
      <w:sz w:val="24"/>
      <w:lang w:val="en-US"/>
    </w:rPr>
  </w:style>
  <w:style w:type="character" w:customStyle="1" w:styleId="ECHRParaChar">
    <w:name w:val="ECHR_Para Char"/>
    <w:aliases w:val="Ju_Para Char"/>
    <w:basedOn w:val="Domylnaczcionkaakapitu"/>
    <w:link w:val="ECHRPara"/>
    <w:uiPriority w:val="12"/>
    <w:rsid w:val="00A345D0"/>
    <w:rPr>
      <w:rFonts w:eastAsiaTheme="minorEastAsia"/>
      <w:sz w:val="24"/>
      <w:lang w:val="en-US"/>
    </w:rPr>
  </w:style>
  <w:style w:type="paragraph" w:customStyle="1" w:styleId="ECHRHeading1">
    <w:name w:val="ECHR_Heading_1"/>
    <w:aliases w:val="Ju_H_I_Roman"/>
    <w:basedOn w:val="Nagwek1"/>
    <w:next w:val="ECHRPara"/>
    <w:link w:val="JuHIRomanChar"/>
    <w:uiPriority w:val="19"/>
    <w:qFormat/>
    <w:rsid w:val="005F4662"/>
    <w:pPr>
      <w:tabs>
        <w:tab w:val="left" w:pos="357"/>
      </w:tabs>
      <w:spacing w:before="360" w:after="240" w:line="240" w:lineRule="auto"/>
      <w:ind w:left="357" w:hanging="357"/>
      <w:jc w:val="both"/>
    </w:pPr>
    <w:rPr>
      <w:bCs/>
      <w:color w:val="auto"/>
      <w:sz w:val="24"/>
      <w:szCs w:val="28"/>
      <w:lang w:val="en-US"/>
    </w:rPr>
  </w:style>
  <w:style w:type="character" w:customStyle="1" w:styleId="JuHIRomanChar">
    <w:name w:val="Ju_H_I_Roman Char"/>
    <w:basedOn w:val="Domylnaczcionkaakapitu"/>
    <w:link w:val="ECHRHeading1"/>
    <w:uiPriority w:val="19"/>
    <w:rsid w:val="005F4662"/>
    <w:rPr>
      <w:rFonts w:asciiTheme="majorHAnsi" w:eastAsiaTheme="majorEastAsia" w:hAnsiTheme="majorHAnsi" w:cstheme="majorBidi"/>
      <w:bCs/>
      <w:sz w:val="24"/>
      <w:szCs w:val="28"/>
      <w:lang w:val="en-US"/>
    </w:rPr>
  </w:style>
  <w:style w:type="paragraph" w:customStyle="1" w:styleId="ECHRHeading2">
    <w:name w:val="ECHR_Heading_2"/>
    <w:aliases w:val="Ju_H_A,Head_2"/>
    <w:basedOn w:val="Nagwek2"/>
    <w:next w:val="ECHRPara"/>
    <w:uiPriority w:val="20"/>
    <w:qFormat/>
    <w:rsid w:val="005F4662"/>
    <w:pPr>
      <w:tabs>
        <w:tab w:val="left" w:pos="584"/>
      </w:tabs>
      <w:spacing w:before="360" w:after="240" w:line="240" w:lineRule="auto"/>
      <w:ind w:left="584" w:hanging="352"/>
      <w:jc w:val="both"/>
    </w:pPr>
    <w:rPr>
      <w:b/>
      <w:bCs/>
      <w:color w:val="auto"/>
      <w:sz w:val="24"/>
      <w:lang w:val="en-US"/>
    </w:rPr>
  </w:style>
  <w:style w:type="paragraph" w:customStyle="1" w:styleId="ECHRHeading3">
    <w:name w:val="ECHR_Heading_3"/>
    <w:aliases w:val="Ju_H_1."/>
    <w:basedOn w:val="Nagwek3"/>
    <w:next w:val="ECHRPara"/>
    <w:link w:val="JuH1Char"/>
    <w:uiPriority w:val="21"/>
    <w:qFormat/>
    <w:rsid w:val="005F4662"/>
    <w:pPr>
      <w:tabs>
        <w:tab w:val="left" w:pos="731"/>
      </w:tabs>
      <w:spacing w:before="240" w:after="120" w:line="240" w:lineRule="auto"/>
      <w:ind w:left="732" w:hanging="301"/>
      <w:jc w:val="both"/>
    </w:pPr>
    <w:rPr>
      <w:bCs/>
      <w:i/>
      <w:color w:val="auto"/>
      <w:szCs w:val="22"/>
      <w:lang w:val="en-US"/>
    </w:rPr>
  </w:style>
  <w:style w:type="character" w:customStyle="1" w:styleId="JuH1Char">
    <w:name w:val="Ju_H_1. Char"/>
    <w:link w:val="ECHRHeading3"/>
    <w:uiPriority w:val="21"/>
    <w:rsid w:val="005F4662"/>
    <w:rPr>
      <w:rFonts w:asciiTheme="majorHAnsi" w:eastAsiaTheme="majorEastAsia" w:hAnsiTheme="majorHAnsi" w:cstheme="majorBidi"/>
      <w:bCs/>
      <w:i/>
      <w:sz w:val="24"/>
      <w:lang w:val="en-US"/>
    </w:rPr>
  </w:style>
  <w:style w:type="paragraph" w:customStyle="1" w:styleId="ECHRHeading4">
    <w:name w:val="ECHR_Heading_4"/>
    <w:aliases w:val="Ju_H_a"/>
    <w:basedOn w:val="Nagwek4"/>
    <w:next w:val="ECHRPara"/>
    <w:link w:val="JuHaChar"/>
    <w:uiPriority w:val="22"/>
    <w:qFormat/>
    <w:rsid w:val="005F4662"/>
    <w:pPr>
      <w:tabs>
        <w:tab w:val="left" w:pos="975"/>
      </w:tabs>
      <w:spacing w:before="240" w:after="120" w:line="240" w:lineRule="auto"/>
      <w:ind w:left="975" w:hanging="340"/>
      <w:jc w:val="both"/>
    </w:pPr>
    <w:rPr>
      <w:b/>
      <w:bCs/>
      <w:i w:val="0"/>
      <w:color w:val="auto"/>
      <w:sz w:val="20"/>
      <w:lang w:val="en-US"/>
    </w:rPr>
  </w:style>
  <w:style w:type="character" w:customStyle="1" w:styleId="JuHaChar">
    <w:name w:val="Ju_H_a Char"/>
    <w:basedOn w:val="Domylnaczcionkaakapitu"/>
    <w:link w:val="ECHRHeading4"/>
    <w:uiPriority w:val="22"/>
    <w:rsid w:val="005F4662"/>
    <w:rPr>
      <w:rFonts w:asciiTheme="majorHAnsi" w:eastAsiaTheme="majorEastAsia" w:hAnsiTheme="majorHAnsi" w:cstheme="majorBidi"/>
      <w:b/>
      <w:bCs/>
      <w:iCs/>
      <w:sz w:val="20"/>
      <w:lang w:val="en-US"/>
    </w:rPr>
  </w:style>
  <w:style w:type="paragraph" w:customStyle="1" w:styleId="ECHRHeading5">
    <w:name w:val="ECHR_Heading_5"/>
    <w:aliases w:val="Ju_H_i"/>
    <w:basedOn w:val="Nagwek5"/>
    <w:next w:val="ECHRPara"/>
    <w:uiPriority w:val="23"/>
    <w:qFormat/>
    <w:rsid w:val="005F4662"/>
    <w:pPr>
      <w:tabs>
        <w:tab w:val="left" w:pos="1191"/>
      </w:tabs>
      <w:spacing w:before="240" w:after="120" w:line="240" w:lineRule="auto"/>
      <w:ind w:left="1190" w:hanging="357"/>
      <w:jc w:val="both"/>
    </w:pPr>
    <w:rPr>
      <w:bCs/>
      <w:i/>
      <w:color w:val="auto"/>
      <w:sz w:val="20"/>
      <w:lang w:val="en-US"/>
    </w:rPr>
  </w:style>
  <w:style w:type="paragraph" w:customStyle="1" w:styleId="ECHRParaQuote">
    <w:name w:val="ECHR_Para_Quote"/>
    <w:aliases w:val="Ju_Quot,Para_Quote"/>
    <w:basedOn w:val="Normalny"/>
    <w:link w:val="JuQuotChar"/>
    <w:uiPriority w:val="14"/>
    <w:qFormat/>
    <w:rsid w:val="005F4662"/>
    <w:pPr>
      <w:spacing w:before="120" w:after="120" w:line="240" w:lineRule="auto"/>
      <w:ind w:left="425" w:firstLine="142"/>
      <w:jc w:val="both"/>
    </w:pPr>
    <w:rPr>
      <w:rFonts w:eastAsiaTheme="minorEastAsia"/>
      <w:sz w:val="20"/>
      <w:lang w:val="en-US"/>
    </w:rPr>
  </w:style>
  <w:style w:type="character" w:customStyle="1" w:styleId="JuQuotChar">
    <w:name w:val="Ju_Quot Char"/>
    <w:link w:val="ECHRParaQuote"/>
    <w:uiPriority w:val="14"/>
    <w:rsid w:val="005F4662"/>
    <w:rPr>
      <w:rFonts w:eastAsiaTheme="minorEastAsia"/>
      <w:sz w:val="20"/>
      <w:lang w:val="en-US"/>
    </w:rPr>
  </w:style>
  <w:style w:type="paragraph" w:customStyle="1" w:styleId="ECHRTitleCentre3">
    <w:name w:val="ECHR_Title_Centre_3"/>
    <w:aliases w:val="Ju_H_Article"/>
    <w:basedOn w:val="Normalny"/>
    <w:next w:val="ECHRParaQuote"/>
    <w:uiPriority w:val="27"/>
    <w:qFormat/>
    <w:rsid w:val="00355940"/>
    <w:pPr>
      <w:keepNext/>
      <w:keepLines/>
      <w:spacing w:before="240" w:after="120" w:line="240" w:lineRule="auto"/>
      <w:jc w:val="center"/>
      <w:outlineLvl w:val="3"/>
    </w:pPr>
    <w:rPr>
      <w:rFonts w:asciiTheme="majorHAnsi" w:eastAsiaTheme="minorEastAsia" w:hAnsiTheme="majorHAnsi"/>
      <w:b/>
      <w:sz w:val="20"/>
      <w:lang w:val="en-US" w:bidi="en-US"/>
    </w:rPr>
  </w:style>
  <w:style w:type="character" w:customStyle="1" w:styleId="sb8d990e2">
    <w:name w:val="sb8d990e2"/>
    <w:basedOn w:val="Domylnaczcionkaakapitu"/>
    <w:rsid w:val="00DB00B4"/>
  </w:style>
  <w:style w:type="paragraph" w:customStyle="1" w:styleId="ECHRDecisionBody">
    <w:name w:val="ECHR_Decision_Body"/>
    <w:aliases w:val="Ju_Judges"/>
    <w:basedOn w:val="Normalny"/>
    <w:uiPriority w:val="11"/>
    <w:qFormat/>
    <w:rsid w:val="009F3E90"/>
    <w:pPr>
      <w:tabs>
        <w:tab w:val="left" w:pos="567"/>
        <w:tab w:val="left" w:pos="1134"/>
      </w:tabs>
      <w:spacing w:after="0" w:line="240" w:lineRule="auto"/>
    </w:pPr>
    <w:rPr>
      <w:rFonts w:eastAsiaTheme="minorEastAsia"/>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0A8E"/>
  </w:style>
  <w:style w:type="paragraph" w:styleId="Nagwek1">
    <w:name w:val="heading 1"/>
    <w:basedOn w:val="Normalny"/>
    <w:next w:val="Normalny"/>
    <w:link w:val="Nagwek1Znak"/>
    <w:uiPriority w:val="9"/>
    <w:qFormat/>
    <w:rsid w:val="006250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F63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250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250B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6250B1"/>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6250B1"/>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6250B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6250B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3C38"/>
    <w:pPr>
      <w:ind w:left="720"/>
      <w:contextualSpacing/>
    </w:pPr>
  </w:style>
  <w:style w:type="paragraph" w:customStyle="1" w:styleId="i">
    <w:name w:val="i"/>
    <w:basedOn w:val="Normalny"/>
    <w:rsid w:val="00C74DEC"/>
    <w:pPr>
      <w:spacing w:before="120" w:after="0" w:line="240" w:lineRule="auto"/>
      <w:ind w:left="540" w:hanging="540"/>
    </w:pPr>
    <w:rPr>
      <w:rFonts w:ascii="Arial" w:eastAsia="Batang" w:hAnsi="Arial" w:cs="Times New Roman"/>
      <w:lang w:eastAsia="ko-KR"/>
    </w:rPr>
  </w:style>
  <w:style w:type="paragraph" w:styleId="Nagwek">
    <w:name w:val="header"/>
    <w:basedOn w:val="Normalny"/>
    <w:link w:val="NagwekZnak"/>
    <w:uiPriority w:val="99"/>
    <w:unhideWhenUsed/>
    <w:rsid w:val="00DA02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0235"/>
    <w:rPr>
      <w:lang w:val="fr-FR"/>
    </w:rPr>
  </w:style>
  <w:style w:type="paragraph" w:styleId="Stopka">
    <w:name w:val="footer"/>
    <w:basedOn w:val="Normalny"/>
    <w:link w:val="StopkaZnak"/>
    <w:uiPriority w:val="99"/>
    <w:unhideWhenUsed/>
    <w:rsid w:val="00DA02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0235"/>
    <w:rPr>
      <w:lang w:val="fr-FR"/>
    </w:rPr>
  </w:style>
  <w:style w:type="character" w:customStyle="1" w:styleId="Nagwek2Znak">
    <w:name w:val="Nagłówek 2 Znak"/>
    <w:basedOn w:val="Domylnaczcionkaakapitu"/>
    <w:link w:val="Nagwek2"/>
    <w:uiPriority w:val="9"/>
    <w:rsid w:val="00EF6317"/>
    <w:rPr>
      <w:rFonts w:asciiTheme="majorHAnsi" w:eastAsiaTheme="majorEastAsia" w:hAnsiTheme="majorHAnsi" w:cstheme="majorBidi"/>
      <w:color w:val="2F5496" w:themeColor="accent1" w:themeShade="BF"/>
      <w:sz w:val="26"/>
      <w:szCs w:val="26"/>
      <w:lang w:val="fr-FR"/>
    </w:rPr>
  </w:style>
  <w:style w:type="paragraph" w:customStyle="1" w:styleId="H2">
    <w:name w:val="H2"/>
    <w:basedOn w:val="Normalny"/>
    <w:rsid w:val="00591DC8"/>
    <w:pPr>
      <w:keepNext/>
      <w:keepLines/>
      <w:spacing w:before="300" w:after="120" w:line="240" w:lineRule="auto"/>
      <w:ind w:hanging="540"/>
      <w:outlineLvl w:val="1"/>
    </w:pPr>
    <w:rPr>
      <w:rFonts w:ascii="Arial Narrow" w:eastAsia="Batang" w:hAnsi="Arial Narrow" w:cs="Times New Roman"/>
      <w:sz w:val="38"/>
      <w:szCs w:val="38"/>
      <w:lang w:eastAsia="ko-KR"/>
    </w:rPr>
  </w:style>
  <w:style w:type="numbering" w:customStyle="1" w:styleId="Styl1">
    <w:name w:val="Styl1"/>
    <w:uiPriority w:val="99"/>
    <w:rsid w:val="00D312D5"/>
    <w:pPr>
      <w:numPr>
        <w:numId w:val="9"/>
      </w:numPr>
    </w:pPr>
  </w:style>
  <w:style w:type="paragraph" w:styleId="Tekstprzypisukocowego">
    <w:name w:val="endnote text"/>
    <w:basedOn w:val="Normalny"/>
    <w:link w:val="TekstprzypisukocowegoZnak"/>
    <w:uiPriority w:val="99"/>
    <w:semiHidden/>
    <w:unhideWhenUsed/>
    <w:rsid w:val="007042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42B2"/>
    <w:rPr>
      <w:sz w:val="20"/>
      <w:szCs w:val="20"/>
      <w:lang w:val="fr-FR"/>
    </w:rPr>
  </w:style>
  <w:style w:type="character" w:styleId="Odwoanieprzypisukocowego">
    <w:name w:val="endnote reference"/>
    <w:basedOn w:val="Domylnaczcionkaakapitu"/>
    <w:uiPriority w:val="99"/>
    <w:semiHidden/>
    <w:unhideWhenUsed/>
    <w:rsid w:val="007042B2"/>
    <w:rPr>
      <w:vertAlign w:val="superscript"/>
    </w:rPr>
  </w:style>
  <w:style w:type="paragraph" w:styleId="Tekstpodstawowy3">
    <w:name w:val="Body Text 3"/>
    <w:basedOn w:val="Normalny"/>
    <w:link w:val="Tekstpodstawowy3Znak"/>
    <w:semiHidden/>
    <w:unhideWhenUsed/>
    <w:rsid w:val="00256F0B"/>
    <w:pPr>
      <w:spacing w:before="120" w:after="120" w:line="360" w:lineRule="auto"/>
      <w:jc w:val="center"/>
    </w:pPr>
    <w:rPr>
      <w:rFonts w:ascii="Verdana" w:eastAsia="Times New Roman" w:hAnsi="Verdana" w:cs="Times New Roman"/>
      <w:b/>
      <w:sz w:val="20"/>
      <w:szCs w:val="20"/>
      <w:lang w:eastAsia="pl-PL"/>
    </w:rPr>
  </w:style>
  <w:style w:type="character" w:customStyle="1" w:styleId="Tekstpodstawowy3Znak">
    <w:name w:val="Tekst podstawowy 3 Znak"/>
    <w:basedOn w:val="Domylnaczcionkaakapitu"/>
    <w:link w:val="Tekstpodstawowy3"/>
    <w:semiHidden/>
    <w:rsid w:val="00256F0B"/>
    <w:rPr>
      <w:rFonts w:ascii="Verdana" w:eastAsia="Times New Roman" w:hAnsi="Verdana" w:cs="Times New Roman"/>
      <w:b/>
      <w:sz w:val="20"/>
      <w:szCs w:val="20"/>
      <w:lang w:eastAsia="pl-PL"/>
    </w:rPr>
  </w:style>
  <w:style w:type="character" w:customStyle="1" w:styleId="h20">
    <w:name w:val="h2"/>
    <w:basedOn w:val="Domylnaczcionkaakapitu"/>
    <w:rsid w:val="00481469"/>
  </w:style>
  <w:style w:type="paragraph" w:styleId="Poprawka">
    <w:name w:val="Revision"/>
    <w:hidden/>
    <w:uiPriority w:val="99"/>
    <w:semiHidden/>
    <w:rsid w:val="00C41827"/>
    <w:pPr>
      <w:spacing w:after="0" w:line="240" w:lineRule="auto"/>
    </w:pPr>
    <w:rPr>
      <w:lang w:val="fr-FR"/>
    </w:rPr>
  </w:style>
  <w:style w:type="character" w:customStyle="1" w:styleId="shorttext">
    <w:name w:val="short_text"/>
    <w:basedOn w:val="Domylnaczcionkaakapitu"/>
    <w:rsid w:val="00BB073F"/>
  </w:style>
  <w:style w:type="character" w:customStyle="1" w:styleId="Nagwek1Znak">
    <w:name w:val="Nagłówek 1 Znak"/>
    <w:basedOn w:val="Domylnaczcionkaakapitu"/>
    <w:link w:val="Nagwek1"/>
    <w:uiPriority w:val="9"/>
    <w:rsid w:val="006250B1"/>
    <w:rPr>
      <w:rFonts w:asciiTheme="majorHAnsi" w:eastAsiaTheme="majorEastAsia" w:hAnsiTheme="majorHAnsi" w:cstheme="majorBidi"/>
      <w:color w:val="2F5496" w:themeColor="accent1" w:themeShade="BF"/>
      <w:sz w:val="32"/>
      <w:szCs w:val="32"/>
      <w:lang w:val="fr-FR"/>
    </w:rPr>
  </w:style>
  <w:style w:type="character" w:customStyle="1" w:styleId="Nagwek3Znak">
    <w:name w:val="Nagłówek 3 Znak"/>
    <w:basedOn w:val="Domylnaczcionkaakapitu"/>
    <w:link w:val="Nagwek3"/>
    <w:uiPriority w:val="9"/>
    <w:rsid w:val="006250B1"/>
    <w:rPr>
      <w:rFonts w:asciiTheme="majorHAnsi" w:eastAsiaTheme="majorEastAsia" w:hAnsiTheme="majorHAnsi" w:cstheme="majorBidi"/>
      <w:color w:val="1F3763" w:themeColor="accent1" w:themeShade="7F"/>
      <w:sz w:val="24"/>
      <w:szCs w:val="24"/>
      <w:lang w:val="fr-FR"/>
    </w:rPr>
  </w:style>
  <w:style w:type="character" w:customStyle="1" w:styleId="Nagwek4Znak">
    <w:name w:val="Nagłówek 4 Znak"/>
    <w:basedOn w:val="Domylnaczcionkaakapitu"/>
    <w:link w:val="Nagwek4"/>
    <w:uiPriority w:val="9"/>
    <w:rsid w:val="006250B1"/>
    <w:rPr>
      <w:rFonts w:asciiTheme="majorHAnsi" w:eastAsiaTheme="majorEastAsia" w:hAnsiTheme="majorHAnsi" w:cstheme="majorBidi"/>
      <w:i/>
      <w:iCs/>
      <w:color w:val="2F5496" w:themeColor="accent1" w:themeShade="BF"/>
      <w:lang w:val="fr-FR"/>
    </w:rPr>
  </w:style>
  <w:style w:type="character" w:customStyle="1" w:styleId="Nagwek5Znak">
    <w:name w:val="Nagłówek 5 Znak"/>
    <w:basedOn w:val="Domylnaczcionkaakapitu"/>
    <w:link w:val="Nagwek5"/>
    <w:uiPriority w:val="9"/>
    <w:rsid w:val="006250B1"/>
    <w:rPr>
      <w:rFonts w:asciiTheme="majorHAnsi" w:eastAsiaTheme="majorEastAsia" w:hAnsiTheme="majorHAnsi" w:cstheme="majorBidi"/>
      <w:color w:val="2F5496" w:themeColor="accent1" w:themeShade="BF"/>
      <w:lang w:val="fr-FR"/>
    </w:rPr>
  </w:style>
  <w:style w:type="character" w:customStyle="1" w:styleId="Nagwek6Znak">
    <w:name w:val="Nagłówek 6 Znak"/>
    <w:basedOn w:val="Domylnaczcionkaakapitu"/>
    <w:link w:val="Nagwek6"/>
    <w:uiPriority w:val="9"/>
    <w:rsid w:val="006250B1"/>
    <w:rPr>
      <w:rFonts w:asciiTheme="majorHAnsi" w:eastAsiaTheme="majorEastAsia" w:hAnsiTheme="majorHAnsi" w:cstheme="majorBidi"/>
      <w:color w:val="1F3763" w:themeColor="accent1" w:themeShade="7F"/>
      <w:lang w:val="fr-FR"/>
    </w:rPr>
  </w:style>
  <w:style w:type="character" w:customStyle="1" w:styleId="Nagwek7Znak">
    <w:name w:val="Nagłówek 7 Znak"/>
    <w:basedOn w:val="Domylnaczcionkaakapitu"/>
    <w:link w:val="Nagwek7"/>
    <w:uiPriority w:val="9"/>
    <w:rsid w:val="006250B1"/>
    <w:rPr>
      <w:rFonts w:asciiTheme="majorHAnsi" w:eastAsiaTheme="majorEastAsia" w:hAnsiTheme="majorHAnsi" w:cstheme="majorBidi"/>
      <w:i/>
      <w:iCs/>
      <w:color w:val="1F3763" w:themeColor="accent1" w:themeShade="7F"/>
      <w:lang w:val="fr-FR"/>
    </w:rPr>
  </w:style>
  <w:style w:type="character" w:customStyle="1" w:styleId="Nagwek8Znak">
    <w:name w:val="Nagłówek 8 Znak"/>
    <w:basedOn w:val="Domylnaczcionkaakapitu"/>
    <w:link w:val="Nagwek8"/>
    <w:uiPriority w:val="9"/>
    <w:rsid w:val="006250B1"/>
    <w:rPr>
      <w:rFonts w:asciiTheme="majorHAnsi" w:eastAsiaTheme="majorEastAsia" w:hAnsiTheme="majorHAnsi" w:cstheme="majorBidi"/>
      <w:color w:val="272727" w:themeColor="text1" w:themeTint="D8"/>
      <w:sz w:val="21"/>
      <w:szCs w:val="21"/>
      <w:lang w:val="fr-FR"/>
    </w:rPr>
  </w:style>
  <w:style w:type="paragraph" w:styleId="Lista">
    <w:name w:val="List"/>
    <w:basedOn w:val="Normalny"/>
    <w:uiPriority w:val="99"/>
    <w:unhideWhenUsed/>
    <w:rsid w:val="006250B1"/>
    <w:pPr>
      <w:ind w:left="283" w:hanging="283"/>
      <w:contextualSpacing/>
    </w:pPr>
  </w:style>
  <w:style w:type="paragraph" w:styleId="Lista2">
    <w:name w:val="List 2"/>
    <w:basedOn w:val="Normalny"/>
    <w:uiPriority w:val="99"/>
    <w:unhideWhenUsed/>
    <w:rsid w:val="006250B1"/>
    <w:pPr>
      <w:ind w:left="566" w:hanging="283"/>
      <w:contextualSpacing/>
    </w:pPr>
  </w:style>
  <w:style w:type="paragraph" w:styleId="Lista3">
    <w:name w:val="List 3"/>
    <w:basedOn w:val="Normalny"/>
    <w:uiPriority w:val="99"/>
    <w:unhideWhenUsed/>
    <w:rsid w:val="006250B1"/>
    <w:pPr>
      <w:ind w:left="849" w:hanging="283"/>
      <w:contextualSpacing/>
    </w:pPr>
  </w:style>
  <w:style w:type="paragraph" w:styleId="Lista4">
    <w:name w:val="List 4"/>
    <w:basedOn w:val="Normalny"/>
    <w:uiPriority w:val="99"/>
    <w:unhideWhenUsed/>
    <w:rsid w:val="006250B1"/>
    <w:pPr>
      <w:ind w:left="1132" w:hanging="283"/>
      <w:contextualSpacing/>
    </w:pPr>
  </w:style>
  <w:style w:type="paragraph" w:styleId="Lista5">
    <w:name w:val="List 5"/>
    <w:basedOn w:val="Normalny"/>
    <w:uiPriority w:val="99"/>
    <w:unhideWhenUsed/>
    <w:rsid w:val="006250B1"/>
    <w:pPr>
      <w:ind w:left="1415" w:hanging="283"/>
      <w:contextualSpacing/>
    </w:pPr>
  </w:style>
  <w:style w:type="paragraph" w:styleId="Data">
    <w:name w:val="Date"/>
    <w:basedOn w:val="Normalny"/>
    <w:next w:val="Normalny"/>
    <w:link w:val="DataZnak"/>
    <w:uiPriority w:val="99"/>
    <w:unhideWhenUsed/>
    <w:rsid w:val="006250B1"/>
  </w:style>
  <w:style w:type="character" w:customStyle="1" w:styleId="DataZnak">
    <w:name w:val="Data Znak"/>
    <w:basedOn w:val="Domylnaczcionkaakapitu"/>
    <w:link w:val="Data"/>
    <w:uiPriority w:val="99"/>
    <w:rsid w:val="006250B1"/>
    <w:rPr>
      <w:lang w:val="fr-FR"/>
    </w:rPr>
  </w:style>
  <w:style w:type="paragraph" w:styleId="Tekstpodstawowy">
    <w:name w:val="Body Text"/>
    <w:basedOn w:val="Normalny"/>
    <w:link w:val="TekstpodstawowyZnak"/>
    <w:uiPriority w:val="99"/>
    <w:unhideWhenUsed/>
    <w:rsid w:val="006250B1"/>
    <w:pPr>
      <w:spacing w:after="120"/>
    </w:pPr>
  </w:style>
  <w:style w:type="character" w:customStyle="1" w:styleId="TekstpodstawowyZnak">
    <w:name w:val="Tekst podstawowy Znak"/>
    <w:basedOn w:val="Domylnaczcionkaakapitu"/>
    <w:link w:val="Tekstpodstawowy"/>
    <w:uiPriority w:val="99"/>
    <w:rsid w:val="006250B1"/>
    <w:rPr>
      <w:lang w:val="fr-FR"/>
    </w:rPr>
  </w:style>
  <w:style w:type="paragraph" w:styleId="Tekstpodstawowywcity">
    <w:name w:val="Body Text Indent"/>
    <w:basedOn w:val="Normalny"/>
    <w:link w:val="TekstpodstawowywcityZnak"/>
    <w:uiPriority w:val="99"/>
    <w:unhideWhenUsed/>
    <w:rsid w:val="006250B1"/>
    <w:pPr>
      <w:spacing w:after="120"/>
      <w:ind w:left="283"/>
    </w:pPr>
  </w:style>
  <w:style w:type="character" w:customStyle="1" w:styleId="TekstpodstawowywcityZnak">
    <w:name w:val="Tekst podstawowy wcięty Znak"/>
    <w:basedOn w:val="Domylnaczcionkaakapitu"/>
    <w:link w:val="Tekstpodstawowywcity"/>
    <w:uiPriority w:val="99"/>
    <w:rsid w:val="006250B1"/>
    <w:rPr>
      <w:lang w:val="fr-FR"/>
    </w:rPr>
  </w:style>
  <w:style w:type="paragraph" w:styleId="Tekstpodstawowyzwciciem">
    <w:name w:val="Body Text First Indent"/>
    <w:basedOn w:val="Tekstpodstawowy"/>
    <w:link w:val="TekstpodstawowyzwciciemZnak"/>
    <w:uiPriority w:val="99"/>
    <w:unhideWhenUsed/>
    <w:rsid w:val="006250B1"/>
    <w:pPr>
      <w:spacing w:after="160"/>
      <w:ind w:firstLine="360"/>
    </w:pPr>
  </w:style>
  <w:style w:type="character" w:customStyle="1" w:styleId="TekstpodstawowyzwciciemZnak">
    <w:name w:val="Tekst podstawowy z wcięciem Znak"/>
    <w:basedOn w:val="TekstpodstawowyZnak"/>
    <w:link w:val="Tekstpodstawowyzwciciem"/>
    <w:uiPriority w:val="99"/>
    <w:rsid w:val="006250B1"/>
    <w:rPr>
      <w:lang w:val="fr-FR"/>
    </w:rPr>
  </w:style>
  <w:style w:type="paragraph" w:styleId="Tekstpodstawowyzwciciem2">
    <w:name w:val="Body Text First Indent 2"/>
    <w:basedOn w:val="Tekstpodstawowywcity"/>
    <w:link w:val="Tekstpodstawowyzwciciem2Znak"/>
    <w:uiPriority w:val="99"/>
    <w:unhideWhenUsed/>
    <w:rsid w:val="006250B1"/>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6250B1"/>
    <w:rPr>
      <w:lang w:val="fr-FR"/>
    </w:rPr>
  </w:style>
  <w:style w:type="paragraph" w:customStyle="1" w:styleId="JuLista">
    <w:name w:val="Ju_List_a"/>
    <w:basedOn w:val="Normalny"/>
    <w:qFormat/>
    <w:rsid w:val="00A64B13"/>
    <w:pPr>
      <w:spacing w:after="0" w:line="240" w:lineRule="auto"/>
      <w:ind w:left="346"/>
      <w:jc w:val="both"/>
    </w:pPr>
    <w:rPr>
      <w:rFonts w:ascii="Times New Roman" w:eastAsia="MS Mincho" w:hAnsi="Times New Roman" w:cs="Times New Roman"/>
      <w:sz w:val="24"/>
      <w:szCs w:val="20"/>
    </w:rPr>
  </w:style>
  <w:style w:type="character" w:customStyle="1" w:styleId="JuHHeadChar">
    <w:name w:val="Ju_H_Head Char"/>
    <w:link w:val="ECHRTitle1"/>
    <w:locked/>
    <w:rsid w:val="00E93912"/>
    <w:rPr>
      <w:rFonts w:ascii="MS Mincho" w:eastAsia="MS Mincho" w:hAnsi="MS Mincho"/>
      <w:sz w:val="28"/>
    </w:rPr>
  </w:style>
  <w:style w:type="paragraph" w:customStyle="1" w:styleId="ECHRTitle1">
    <w:name w:val="ECHR_Title_1"/>
    <w:aliases w:val="Ju_H_Head"/>
    <w:basedOn w:val="Normalny"/>
    <w:next w:val="Normalny"/>
    <w:link w:val="JuHHeadChar"/>
    <w:qFormat/>
    <w:rsid w:val="00E93912"/>
    <w:pPr>
      <w:keepNext/>
      <w:keepLines/>
      <w:spacing w:before="720" w:after="240" w:line="240" w:lineRule="auto"/>
      <w:jc w:val="both"/>
      <w:outlineLvl w:val="0"/>
    </w:pPr>
    <w:rPr>
      <w:rFonts w:ascii="MS Mincho" w:eastAsia="MS Mincho" w:hAnsi="MS Mincho"/>
      <w:sz w:val="28"/>
    </w:rPr>
  </w:style>
  <w:style w:type="paragraph" w:customStyle="1" w:styleId="JuList">
    <w:name w:val="Ju_List"/>
    <w:basedOn w:val="Normalny"/>
    <w:uiPriority w:val="99"/>
    <w:qFormat/>
    <w:rsid w:val="0026236E"/>
    <w:pPr>
      <w:suppressAutoHyphens/>
      <w:spacing w:after="0" w:line="240" w:lineRule="auto"/>
      <w:ind w:left="340" w:hanging="340"/>
      <w:jc w:val="both"/>
    </w:pPr>
    <w:rPr>
      <w:rFonts w:ascii="Times New Roman" w:eastAsia="Times New Roman" w:hAnsi="Times New Roman" w:cs="Times New Roman"/>
      <w:sz w:val="24"/>
      <w:szCs w:val="20"/>
      <w:lang w:val="en-GB" w:eastAsia="fr-FR"/>
    </w:rPr>
  </w:style>
  <w:style w:type="paragraph" w:customStyle="1" w:styleId="JuListi">
    <w:name w:val="Ju_List_i"/>
    <w:basedOn w:val="Normalny"/>
    <w:next w:val="Normalny"/>
    <w:uiPriority w:val="28"/>
    <w:qFormat/>
    <w:rsid w:val="00E241ED"/>
    <w:pPr>
      <w:spacing w:after="0" w:line="240" w:lineRule="auto"/>
      <w:ind w:left="794"/>
      <w:jc w:val="both"/>
    </w:pPr>
    <w:rPr>
      <w:rFonts w:ascii="Times New Roman" w:eastAsia="Times New Roman" w:hAnsi="Times New Roman" w:cs="Times New Roman"/>
      <w:sz w:val="24"/>
      <w:lang w:val="en-US"/>
    </w:rPr>
  </w:style>
  <w:style w:type="character" w:styleId="Odwoaniedokomentarza">
    <w:name w:val="annotation reference"/>
    <w:basedOn w:val="Domylnaczcionkaakapitu"/>
    <w:uiPriority w:val="99"/>
    <w:semiHidden/>
    <w:unhideWhenUsed/>
    <w:rsid w:val="007E2F7F"/>
    <w:rPr>
      <w:sz w:val="16"/>
      <w:szCs w:val="16"/>
    </w:rPr>
  </w:style>
  <w:style w:type="paragraph" w:styleId="Tekstkomentarza">
    <w:name w:val="annotation text"/>
    <w:basedOn w:val="Normalny"/>
    <w:link w:val="TekstkomentarzaZnak"/>
    <w:uiPriority w:val="99"/>
    <w:semiHidden/>
    <w:unhideWhenUsed/>
    <w:rsid w:val="007E2F7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2F7F"/>
    <w:rPr>
      <w:sz w:val="20"/>
      <w:szCs w:val="20"/>
      <w:lang w:val="fr-FR"/>
    </w:rPr>
  </w:style>
  <w:style w:type="paragraph" w:styleId="Tematkomentarza">
    <w:name w:val="annotation subject"/>
    <w:basedOn w:val="Tekstkomentarza"/>
    <w:next w:val="Tekstkomentarza"/>
    <w:link w:val="TematkomentarzaZnak"/>
    <w:uiPriority w:val="99"/>
    <w:semiHidden/>
    <w:unhideWhenUsed/>
    <w:rsid w:val="007E2F7F"/>
    <w:rPr>
      <w:b/>
      <w:bCs/>
    </w:rPr>
  </w:style>
  <w:style w:type="character" w:customStyle="1" w:styleId="TematkomentarzaZnak">
    <w:name w:val="Temat komentarza Znak"/>
    <w:basedOn w:val="TekstkomentarzaZnak"/>
    <w:link w:val="Tematkomentarza"/>
    <w:uiPriority w:val="99"/>
    <w:semiHidden/>
    <w:rsid w:val="007E2F7F"/>
    <w:rPr>
      <w:b/>
      <w:bCs/>
      <w:sz w:val="20"/>
      <w:szCs w:val="20"/>
      <w:lang w:val="fr-FR"/>
    </w:rPr>
  </w:style>
  <w:style w:type="paragraph" w:styleId="Tekstdymka">
    <w:name w:val="Balloon Text"/>
    <w:basedOn w:val="Normalny"/>
    <w:link w:val="TekstdymkaZnak"/>
    <w:uiPriority w:val="99"/>
    <w:semiHidden/>
    <w:unhideWhenUsed/>
    <w:rsid w:val="007E2F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2F7F"/>
    <w:rPr>
      <w:rFonts w:ascii="Segoe UI" w:hAnsi="Segoe UI" w:cs="Segoe UI"/>
      <w:sz w:val="18"/>
      <w:szCs w:val="18"/>
      <w:lang w:val="fr-FR"/>
    </w:rPr>
  </w:style>
  <w:style w:type="paragraph" w:customStyle="1" w:styleId="ECHRHeader">
    <w:name w:val="ECHR_Header"/>
    <w:aliases w:val="Ju_Header"/>
    <w:basedOn w:val="Nagwek"/>
    <w:uiPriority w:val="4"/>
    <w:qFormat/>
    <w:rsid w:val="00D91A72"/>
    <w:pPr>
      <w:tabs>
        <w:tab w:val="clear" w:pos="4536"/>
        <w:tab w:val="clear" w:pos="9072"/>
        <w:tab w:val="center" w:pos="3686"/>
        <w:tab w:val="right" w:pos="7371"/>
      </w:tabs>
    </w:pPr>
    <w:rPr>
      <w:sz w:val="18"/>
      <w:lang w:val="en-US"/>
    </w:rPr>
  </w:style>
  <w:style w:type="character" w:styleId="Numerstrony">
    <w:name w:val="page number"/>
    <w:semiHidden/>
    <w:rsid w:val="00D91A72"/>
    <w:rPr>
      <w:rFonts w:ascii="Times New Roman" w:hAnsi="Times New Roman" w:cs="Times New Roman"/>
      <w:sz w:val="18"/>
    </w:rPr>
  </w:style>
  <w:style w:type="paragraph" w:customStyle="1" w:styleId="ECHRPara">
    <w:name w:val="ECHR_Para"/>
    <w:aliases w:val="Ju_Para"/>
    <w:basedOn w:val="Normalny"/>
    <w:link w:val="ECHRParaChar"/>
    <w:uiPriority w:val="12"/>
    <w:qFormat/>
    <w:rsid w:val="00A345D0"/>
    <w:pPr>
      <w:spacing w:after="0" w:line="240" w:lineRule="auto"/>
      <w:ind w:firstLine="284"/>
      <w:jc w:val="both"/>
    </w:pPr>
    <w:rPr>
      <w:rFonts w:eastAsiaTheme="minorEastAsia"/>
      <w:sz w:val="24"/>
      <w:lang w:val="en-US"/>
    </w:rPr>
  </w:style>
  <w:style w:type="character" w:customStyle="1" w:styleId="ECHRParaChar">
    <w:name w:val="ECHR_Para Char"/>
    <w:aliases w:val="Ju_Para Char"/>
    <w:basedOn w:val="Domylnaczcionkaakapitu"/>
    <w:link w:val="ECHRPara"/>
    <w:uiPriority w:val="12"/>
    <w:rsid w:val="00A345D0"/>
    <w:rPr>
      <w:rFonts w:eastAsiaTheme="minorEastAsia"/>
      <w:sz w:val="24"/>
      <w:lang w:val="en-US"/>
    </w:rPr>
  </w:style>
  <w:style w:type="paragraph" w:customStyle="1" w:styleId="ECHRHeading1">
    <w:name w:val="ECHR_Heading_1"/>
    <w:aliases w:val="Ju_H_I_Roman"/>
    <w:basedOn w:val="Nagwek1"/>
    <w:next w:val="ECHRPara"/>
    <w:link w:val="JuHIRomanChar"/>
    <w:uiPriority w:val="19"/>
    <w:qFormat/>
    <w:rsid w:val="005F4662"/>
    <w:pPr>
      <w:tabs>
        <w:tab w:val="left" w:pos="357"/>
      </w:tabs>
      <w:spacing w:before="360" w:after="240" w:line="240" w:lineRule="auto"/>
      <w:ind w:left="357" w:hanging="357"/>
      <w:jc w:val="both"/>
    </w:pPr>
    <w:rPr>
      <w:bCs/>
      <w:color w:val="auto"/>
      <w:sz w:val="24"/>
      <w:szCs w:val="28"/>
      <w:lang w:val="en-US"/>
    </w:rPr>
  </w:style>
  <w:style w:type="character" w:customStyle="1" w:styleId="JuHIRomanChar">
    <w:name w:val="Ju_H_I_Roman Char"/>
    <w:basedOn w:val="Domylnaczcionkaakapitu"/>
    <w:link w:val="ECHRHeading1"/>
    <w:uiPriority w:val="19"/>
    <w:rsid w:val="005F4662"/>
    <w:rPr>
      <w:rFonts w:asciiTheme="majorHAnsi" w:eastAsiaTheme="majorEastAsia" w:hAnsiTheme="majorHAnsi" w:cstheme="majorBidi"/>
      <w:bCs/>
      <w:sz w:val="24"/>
      <w:szCs w:val="28"/>
      <w:lang w:val="en-US"/>
    </w:rPr>
  </w:style>
  <w:style w:type="paragraph" w:customStyle="1" w:styleId="ECHRHeading2">
    <w:name w:val="ECHR_Heading_2"/>
    <w:aliases w:val="Ju_H_A,Head_2"/>
    <w:basedOn w:val="Nagwek2"/>
    <w:next w:val="ECHRPara"/>
    <w:uiPriority w:val="20"/>
    <w:qFormat/>
    <w:rsid w:val="005F4662"/>
    <w:pPr>
      <w:tabs>
        <w:tab w:val="left" w:pos="584"/>
      </w:tabs>
      <w:spacing w:before="360" w:after="240" w:line="240" w:lineRule="auto"/>
      <w:ind w:left="584" w:hanging="352"/>
      <w:jc w:val="both"/>
    </w:pPr>
    <w:rPr>
      <w:b/>
      <w:bCs/>
      <w:color w:val="auto"/>
      <w:sz w:val="24"/>
      <w:lang w:val="en-US"/>
    </w:rPr>
  </w:style>
  <w:style w:type="paragraph" w:customStyle="1" w:styleId="ECHRHeading3">
    <w:name w:val="ECHR_Heading_3"/>
    <w:aliases w:val="Ju_H_1."/>
    <w:basedOn w:val="Nagwek3"/>
    <w:next w:val="ECHRPara"/>
    <w:link w:val="JuH1Char"/>
    <w:uiPriority w:val="21"/>
    <w:qFormat/>
    <w:rsid w:val="005F4662"/>
    <w:pPr>
      <w:tabs>
        <w:tab w:val="left" w:pos="731"/>
      </w:tabs>
      <w:spacing w:before="240" w:after="120" w:line="240" w:lineRule="auto"/>
      <w:ind w:left="732" w:hanging="301"/>
      <w:jc w:val="both"/>
    </w:pPr>
    <w:rPr>
      <w:bCs/>
      <w:i/>
      <w:color w:val="auto"/>
      <w:szCs w:val="22"/>
      <w:lang w:val="en-US"/>
    </w:rPr>
  </w:style>
  <w:style w:type="character" w:customStyle="1" w:styleId="JuH1Char">
    <w:name w:val="Ju_H_1. Char"/>
    <w:link w:val="ECHRHeading3"/>
    <w:uiPriority w:val="21"/>
    <w:rsid w:val="005F4662"/>
    <w:rPr>
      <w:rFonts w:asciiTheme="majorHAnsi" w:eastAsiaTheme="majorEastAsia" w:hAnsiTheme="majorHAnsi" w:cstheme="majorBidi"/>
      <w:bCs/>
      <w:i/>
      <w:sz w:val="24"/>
      <w:lang w:val="en-US"/>
    </w:rPr>
  </w:style>
  <w:style w:type="paragraph" w:customStyle="1" w:styleId="ECHRHeading4">
    <w:name w:val="ECHR_Heading_4"/>
    <w:aliases w:val="Ju_H_a"/>
    <w:basedOn w:val="Nagwek4"/>
    <w:next w:val="ECHRPara"/>
    <w:link w:val="JuHaChar"/>
    <w:uiPriority w:val="22"/>
    <w:qFormat/>
    <w:rsid w:val="005F4662"/>
    <w:pPr>
      <w:tabs>
        <w:tab w:val="left" w:pos="975"/>
      </w:tabs>
      <w:spacing w:before="240" w:after="120" w:line="240" w:lineRule="auto"/>
      <w:ind w:left="975" w:hanging="340"/>
      <w:jc w:val="both"/>
    </w:pPr>
    <w:rPr>
      <w:b/>
      <w:bCs/>
      <w:i w:val="0"/>
      <w:color w:val="auto"/>
      <w:sz w:val="20"/>
      <w:lang w:val="en-US"/>
    </w:rPr>
  </w:style>
  <w:style w:type="character" w:customStyle="1" w:styleId="JuHaChar">
    <w:name w:val="Ju_H_a Char"/>
    <w:basedOn w:val="Domylnaczcionkaakapitu"/>
    <w:link w:val="ECHRHeading4"/>
    <w:uiPriority w:val="22"/>
    <w:rsid w:val="005F4662"/>
    <w:rPr>
      <w:rFonts w:asciiTheme="majorHAnsi" w:eastAsiaTheme="majorEastAsia" w:hAnsiTheme="majorHAnsi" w:cstheme="majorBidi"/>
      <w:b/>
      <w:bCs/>
      <w:iCs/>
      <w:sz w:val="20"/>
      <w:lang w:val="en-US"/>
    </w:rPr>
  </w:style>
  <w:style w:type="paragraph" w:customStyle="1" w:styleId="ECHRHeading5">
    <w:name w:val="ECHR_Heading_5"/>
    <w:aliases w:val="Ju_H_i"/>
    <w:basedOn w:val="Nagwek5"/>
    <w:next w:val="ECHRPara"/>
    <w:uiPriority w:val="23"/>
    <w:qFormat/>
    <w:rsid w:val="005F4662"/>
    <w:pPr>
      <w:tabs>
        <w:tab w:val="left" w:pos="1191"/>
      </w:tabs>
      <w:spacing w:before="240" w:after="120" w:line="240" w:lineRule="auto"/>
      <w:ind w:left="1190" w:hanging="357"/>
      <w:jc w:val="both"/>
    </w:pPr>
    <w:rPr>
      <w:bCs/>
      <w:i/>
      <w:color w:val="auto"/>
      <w:sz w:val="20"/>
      <w:lang w:val="en-US"/>
    </w:rPr>
  </w:style>
  <w:style w:type="paragraph" w:customStyle="1" w:styleId="ECHRParaQuote">
    <w:name w:val="ECHR_Para_Quote"/>
    <w:aliases w:val="Ju_Quot,Para_Quote"/>
    <w:basedOn w:val="Normalny"/>
    <w:link w:val="JuQuotChar"/>
    <w:uiPriority w:val="14"/>
    <w:qFormat/>
    <w:rsid w:val="005F4662"/>
    <w:pPr>
      <w:spacing w:before="120" w:after="120" w:line="240" w:lineRule="auto"/>
      <w:ind w:left="425" w:firstLine="142"/>
      <w:jc w:val="both"/>
    </w:pPr>
    <w:rPr>
      <w:rFonts w:eastAsiaTheme="minorEastAsia"/>
      <w:sz w:val="20"/>
      <w:lang w:val="en-US"/>
    </w:rPr>
  </w:style>
  <w:style w:type="character" w:customStyle="1" w:styleId="JuQuotChar">
    <w:name w:val="Ju_Quot Char"/>
    <w:link w:val="ECHRParaQuote"/>
    <w:uiPriority w:val="14"/>
    <w:rsid w:val="005F4662"/>
    <w:rPr>
      <w:rFonts w:eastAsiaTheme="minorEastAsia"/>
      <w:sz w:val="20"/>
      <w:lang w:val="en-US"/>
    </w:rPr>
  </w:style>
  <w:style w:type="paragraph" w:customStyle="1" w:styleId="ECHRTitleCentre3">
    <w:name w:val="ECHR_Title_Centre_3"/>
    <w:aliases w:val="Ju_H_Article"/>
    <w:basedOn w:val="Normalny"/>
    <w:next w:val="ECHRParaQuote"/>
    <w:uiPriority w:val="27"/>
    <w:qFormat/>
    <w:rsid w:val="00355940"/>
    <w:pPr>
      <w:keepNext/>
      <w:keepLines/>
      <w:spacing w:before="240" w:after="120" w:line="240" w:lineRule="auto"/>
      <w:jc w:val="center"/>
      <w:outlineLvl w:val="3"/>
    </w:pPr>
    <w:rPr>
      <w:rFonts w:asciiTheme="majorHAnsi" w:eastAsiaTheme="minorEastAsia" w:hAnsiTheme="majorHAnsi"/>
      <w:b/>
      <w:sz w:val="20"/>
      <w:lang w:val="en-US" w:bidi="en-US"/>
    </w:rPr>
  </w:style>
  <w:style w:type="character" w:customStyle="1" w:styleId="sb8d990e2">
    <w:name w:val="sb8d990e2"/>
    <w:basedOn w:val="Domylnaczcionkaakapitu"/>
    <w:rsid w:val="00DB00B4"/>
  </w:style>
  <w:style w:type="paragraph" w:customStyle="1" w:styleId="ECHRDecisionBody">
    <w:name w:val="ECHR_Decision_Body"/>
    <w:aliases w:val="Ju_Judges"/>
    <w:basedOn w:val="Normalny"/>
    <w:uiPriority w:val="11"/>
    <w:qFormat/>
    <w:rsid w:val="009F3E90"/>
    <w:pPr>
      <w:tabs>
        <w:tab w:val="left" w:pos="567"/>
        <w:tab w:val="left" w:pos="1134"/>
      </w:tabs>
      <w:spacing w:after="0" w:line="240" w:lineRule="auto"/>
    </w:pPr>
    <w:rPr>
      <w:rFonts w:eastAsiaTheme="minorEastAsi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5244">
      <w:bodyDiv w:val="1"/>
      <w:marLeft w:val="0"/>
      <w:marRight w:val="0"/>
      <w:marTop w:val="0"/>
      <w:marBottom w:val="0"/>
      <w:divBdr>
        <w:top w:val="none" w:sz="0" w:space="0" w:color="auto"/>
        <w:left w:val="none" w:sz="0" w:space="0" w:color="auto"/>
        <w:bottom w:val="none" w:sz="0" w:space="0" w:color="auto"/>
        <w:right w:val="none" w:sz="0" w:space="0" w:color="auto"/>
      </w:divBdr>
    </w:div>
    <w:div w:id="131605648">
      <w:bodyDiv w:val="1"/>
      <w:marLeft w:val="0"/>
      <w:marRight w:val="0"/>
      <w:marTop w:val="0"/>
      <w:marBottom w:val="0"/>
      <w:divBdr>
        <w:top w:val="none" w:sz="0" w:space="0" w:color="auto"/>
        <w:left w:val="none" w:sz="0" w:space="0" w:color="auto"/>
        <w:bottom w:val="none" w:sz="0" w:space="0" w:color="auto"/>
        <w:right w:val="none" w:sz="0" w:space="0" w:color="auto"/>
      </w:divBdr>
      <w:divsChild>
        <w:div w:id="555896764">
          <w:marLeft w:val="0"/>
          <w:marRight w:val="0"/>
          <w:marTop w:val="0"/>
          <w:marBottom w:val="0"/>
          <w:divBdr>
            <w:top w:val="none" w:sz="0" w:space="0" w:color="auto"/>
            <w:left w:val="none" w:sz="0" w:space="0" w:color="auto"/>
            <w:bottom w:val="none" w:sz="0" w:space="0" w:color="auto"/>
            <w:right w:val="none" w:sz="0" w:space="0" w:color="auto"/>
          </w:divBdr>
        </w:div>
        <w:div w:id="297225130">
          <w:marLeft w:val="0"/>
          <w:marRight w:val="0"/>
          <w:marTop w:val="0"/>
          <w:marBottom w:val="0"/>
          <w:divBdr>
            <w:top w:val="none" w:sz="0" w:space="0" w:color="auto"/>
            <w:left w:val="none" w:sz="0" w:space="0" w:color="auto"/>
            <w:bottom w:val="none" w:sz="0" w:space="0" w:color="auto"/>
            <w:right w:val="none" w:sz="0" w:space="0" w:color="auto"/>
          </w:divBdr>
        </w:div>
        <w:div w:id="1755513687">
          <w:marLeft w:val="0"/>
          <w:marRight w:val="0"/>
          <w:marTop w:val="0"/>
          <w:marBottom w:val="0"/>
          <w:divBdr>
            <w:top w:val="none" w:sz="0" w:space="0" w:color="auto"/>
            <w:left w:val="none" w:sz="0" w:space="0" w:color="auto"/>
            <w:bottom w:val="none" w:sz="0" w:space="0" w:color="auto"/>
            <w:right w:val="none" w:sz="0" w:space="0" w:color="auto"/>
          </w:divBdr>
        </w:div>
        <w:div w:id="957685629">
          <w:marLeft w:val="0"/>
          <w:marRight w:val="0"/>
          <w:marTop w:val="0"/>
          <w:marBottom w:val="0"/>
          <w:divBdr>
            <w:top w:val="none" w:sz="0" w:space="0" w:color="auto"/>
            <w:left w:val="none" w:sz="0" w:space="0" w:color="auto"/>
            <w:bottom w:val="none" w:sz="0" w:space="0" w:color="auto"/>
            <w:right w:val="none" w:sz="0" w:space="0" w:color="auto"/>
          </w:divBdr>
        </w:div>
        <w:div w:id="129712726">
          <w:marLeft w:val="0"/>
          <w:marRight w:val="0"/>
          <w:marTop w:val="0"/>
          <w:marBottom w:val="0"/>
          <w:divBdr>
            <w:top w:val="none" w:sz="0" w:space="0" w:color="auto"/>
            <w:left w:val="none" w:sz="0" w:space="0" w:color="auto"/>
            <w:bottom w:val="none" w:sz="0" w:space="0" w:color="auto"/>
            <w:right w:val="none" w:sz="0" w:space="0" w:color="auto"/>
          </w:divBdr>
        </w:div>
        <w:div w:id="2034188589">
          <w:marLeft w:val="0"/>
          <w:marRight w:val="0"/>
          <w:marTop w:val="0"/>
          <w:marBottom w:val="0"/>
          <w:divBdr>
            <w:top w:val="none" w:sz="0" w:space="0" w:color="auto"/>
            <w:left w:val="none" w:sz="0" w:space="0" w:color="auto"/>
            <w:bottom w:val="none" w:sz="0" w:space="0" w:color="auto"/>
            <w:right w:val="none" w:sz="0" w:space="0" w:color="auto"/>
          </w:divBdr>
        </w:div>
      </w:divsChild>
    </w:div>
    <w:div w:id="204490674">
      <w:bodyDiv w:val="1"/>
      <w:marLeft w:val="0"/>
      <w:marRight w:val="0"/>
      <w:marTop w:val="0"/>
      <w:marBottom w:val="0"/>
      <w:divBdr>
        <w:top w:val="none" w:sz="0" w:space="0" w:color="auto"/>
        <w:left w:val="none" w:sz="0" w:space="0" w:color="auto"/>
        <w:bottom w:val="none" w:sz="0" w:space="0" w:color="auto"/>
        <w:right w:val="none" w:sz="0" w:space="0" w:color="auto"/>
      </w:divBdr>
    </w:div>
    <w:div w:id="398016285">
      <w:bodyDiv w:val="1"/>
      <w:marLeft w:val="0"/>
      <w:marRight w:val="0"/>
      <w:marTop w:val="0"/>
      <w:marBottom w:val="0"/>
      <w:divBdr>
        <w:top w:val="none" w:sz="0" w:space="0" w:color="auto"/>
        <w:left w:val="none" w:sz="0" w:space="0" w:color="auto"/>
        <w:bottom w:val="none" w:sz="0" w:space="0" w:color="auto"/>
        <w:right w:val="none" w:sz="0" w:space="0" w:color="auto"/>
      </w:divBdr>
    </w:div>
    <w:div w:id="401299045">
      <w:bodyDiv w:val="1"/>
      <w:marLeft w:val="0"/>
      <w:marRight w:val="0"/>
      <w:marTop w:val="0"/>
      <w:marBottom w:val="0"/>
      <w:divBdr>
        <w:top w:val="none" w:sz="0" w:space="0" w:color="auto"/>
        <w:left w:val="none" w:sz="0" w:space="0" w:color="auto"/>
        <w:bottom w:val="none" w:sz="0" w:space="0" w:color="auto"/>
        <w:right w:val="none" w:sz="0" w:space="0" w:color="auto"/>
      </w:divBdr>
    </w:div>
    <w:div w:id="548683481">
      <w:bodyDiv w:val="1"/>
      <w:marLeft w:val="0"/>
      <w:marRight w:val="0"/>
      <w:marTop w:val="0"/>
      <w:marBottom w:val="0"/>
      <w:divBdr>
        <w:top w:val="none" w:sz="0" w:space="0" w:color="auto"/>
        <w:left w:val="none" w:sz="0" w:space="0" w:color="auto"/>
        <w:bottom w:val="none" w:sz="0" w:space="0" w:color="auto"/>
        <w:right w:val="none" w:sz="0" w:space="0" w:color="auto"/>
      </w:divBdr>
      <w:divsChild>
        <w:div w:id="495727528">
          <w:marLeft w:val="0"/>
          <w:marRight w:val="0"/>
          <w:marTop w:val="0"/>
          <w:marBottom w:val="0"/>
          <w:divBdr>
            <w:top w:val="none" w:sz="0" w:space="0" w:color="auto"/>
            <w:left w:val="none" w:sz="0" w:space="0" w:color="auto"/>
            <w:bottom w:val="none" w:sz="0" w:space="0" w:color="auto"/>
            <w:right w:val="none" w:sz="0" w:space="0" w:color="auto"/>
          </w:divBdr>
        </w:div>
        <w:div w:id="1111628967">
          <w:marLeft w:val="0"/>
          <w:marRight w:val="0"/>
          <w:marTop w:val="0"/>
          <w:marBottom w:val="0"/>
          <w:divBdr>
            <w:top w:val="none" w:sz="0" w:space="0" w:color="auto"/>
            <w:left w:val="none" w:sz="0" w:space="0" w:color="auto"/>
            <w:bottom w:val="none" w:sz="0" w:space="0" w:color="auto"/>
            <w:right w:val="none" w:sz="0" w:space="0" w:color="auto"/>
          </w:divBdr>
        </w:div>
        <w:div w:id="1032144409">
          <w:marLeft w:val="0"/>
          <w:marRight w:val="0"/>
          <w:marTop w:val="0"/>
          <w:marBottom w:val="0"/>
          <w:divBdr>
            <w:top w:val="none" w:sz="0" w:space="0" w:color="auto"/>
            <w:left w:val="none" w:sz="0" w:space="0" w:color="auto"/>
            <w:bottom w:val="none" w:sz="0" w:space="0" w:color="auto"/>
            <w:right w:val="none" w:sz="0" w:space="0" w:color="auto"/>
          </w:divBdr>
        </w:div>
        <w:div w:id="1404986576">
          <w:marLeft w:val="0"/>
          <w:marRight w:val="0"/>
          <w:marTop w:val="0"/>
          <w:marBottom w:val="0"/>
          <w:divBdr>
            <w:top w:val="none" w:sz="0" w:space="0" w:color="auto"/>
            <w:left w:val="none" w:sz="0" w:space="0" w:color="auto"/>
            <w:bottom w:val="none" w:sz="0" w:space="0" w:color="auto"/>
            <w:right w:val="none" w:sz="0" w:space="0" w:color="auto"/>
          </w:divBdr>
        </w:div>
        <w:div w:id="898172422">
          <w:marLeft w:val="0"/>
          <w:marRight w:val="0"/>
          <w:marTop w:val="0"/>
          <w:marBottom w:val="0"/>
          <w:divBdr>
            <w:top w:val="none" w:sz="0" w:space="0" w:color="auto"/>
            <w:left w:val="none" w:sz="0" w:space="0" w:color="auto"/>
            <w:bottom w:val="none" w:sz="0" w:space="0" w:color="auto"/>
            <w:right w:val="none" w:sz="0" w:space="0" w:color="auto"/>
          </w:divBdr>
        </w:div>
        <w:div w:id="721171290">
          <w:marLeft w:val="0"/>
          <w:marRight w:val="0"/>
          <w:marTop w:val="0"/>
          <w:marBottom w:val="0"/>
          <w:divBdr>
            <w:top w:val="none" w:sz="0" w:space="0" w:color="auto"/>
            <w:left w:val="none" w:sz="0" w:space="0" w:color="auto"/>
            <w:bottom w:val="none" w:sz="0" w:space="0" w:color="auto"/>
            <w:right w:val="none" w:sz="0" w:space="0" w:color="auto"/>
          </w:divBdr>
        </w:div>
      </w:divsChild>
    </w:div>
    <w:div w:id="726418690">
      <w:bodyDiv w:val="1"/>
      <w:marLeft w:val="0"/>
      <w:marRight w:val="0"/>
      <w:marTop w:val="0"/>
      <w:marBottom w:val="0"/>
      <w:divBdr>
        <w:top w:val="none" w:sz="0" w:space="0" w:color="auto"/>
        <w:left w:val="none" w:sz="0" w:space="0" w:color="auto"/>
        <w:bottom w:val="none" w:sz="0" w:space="0" w:color="auto"/>
        <w:right w:val="none" w:sz="0" w:space="0" w:color="auto"/>
      </w:divBdr>
    </w:div>
    <w:div w:id="875898319">
      <w:bodyDiv w:val="1"/>
      <w:marLeft w:val="0"/>
      <w:marRight w:val="0"/>
      <w:marTop w:val="0"/>
      <w:marBottom w:val="0"/>
      <w:divBdr>
        <w:top w:val="none" w:sz="0" w:space="0" w:color="auto"/>
        <w:left w:val="none" w:sz="0" w:space="0" w:color="auto"/>
        <w:bottom w:val="none" w:sz="0" w:space="0" w:color="auto"/>
        <w:right w:val="none" w:sz="0" w:space="0" w:color="auto"/>
      </w:divBdr>
      <w:divsChild>
        <w:div w:id="1478839333">
          <w:marLeft w:val="0"/>
          <w:marRight w:val="0"/>
          <w:marTop w:val="0"/>
          <w:marBottom w:val="0"/>
          <w:divBdr>
            <w:top w:val="none" w:sz="0" w:space="0" w:color="auto"/>
            <w:left w:val="none" w:sz="0" w:space="0" w:color="auto"/>
            <w:bottom w:val="none" w:sz="0" w:space="0" w:color="auto"/>
            <w:right w:val="none" w:sz="0" w:space="0" w:color="auto"/>
          </w:divBdr>
        </w:div>
        <w:div w:id="1030642970">
          <w:marLeft w:val="0"/>
          <w:marRight w:val="0"/>
          <w:marTop w:val="0"/>
          <w:marBottom w:val="0"/>
          <w:divBdr>
            <w:top w:val="none" w:sz="0" w:space="0" w:color="auto"/>
            <w:left w:val="none" w:sz="0" w:space="0" w:color="auto"/>
            <w:bottom w:val="none" w:sz="0" w:space="0" w:color="auto"/>
            <w:right w:val="none" w:sz="0" w:space="0" w:color="auto"/>
          </w:divBdr>
        </w:div>
        <w:div w:id="1197036364">
          <w:marLeft w:val="0"/>
          <w:marRight w:val="0"/>
          <w:marTop w:val="0"/>
          <w:marBottom w:val="0"/>
          <w:divBdr>
            <w:top w:val="none" w:sz="0" w:space="0" w:color="auto"/>
            <w:left w:val="none" w:sz="0" w:space="0" w:color="auto"/>
            <w:bottom w:val="none" w:sz="0" w:space="0" w:color="auto"/>
            <w:right w:val="none" w:sz="0" w:space="0" w:color="auto"/>
          </w:divBdr>
        </w:div>
      </w:divsChild>
    </w:div>
    <w:div w:id="904922458">
      <w:bodyDiv w:val="1"/>
      <w:marLeft w:val="0"/>
      <w:marRight w:val="0"/>
      <w:marTop w:val="0"/>
      <w:marBottom w:val="0"/>
      <w:divBdr>
        <w:top w:val="none" w:sz="0" w:space="0" w:color="auto"/>
        <w:left w:val="none" w:sz="0" w:space="0" w:color="auto"/>
        <w:bottom w:val="none" w:sz="0" w:space="0" w:color="auto"/>
        <w:right w:val="none" w:sz="0" w:space="0" w:color="auto"/>
      </w:divBdr>
    </w:div>
    <w:div w:id="944536857">
      <w:bodyDiv w:val="1"/>
      <w:marLeft w:val="0"/>
      <w:marRight w:val="0"/>
      <w:marTop w:val="0"/>
      <w:marBottom w:val="0"/>
      <w:divBdr>
        <w:top w:val="none" w:sz="0" w:space="0" w:color="auto"/>
        <w:left w:val="none" w:sz="0" w:space="0" w:color="auto"/>
        <w:bottom w:val="none" w:sz="0" w:space="0" w:color="auto"/>
        <w:right w:val="none" w:sz="0" w:space="0" w:color="auto"/>
      </w:divBdr>
    </w:div>
    <w:div w:id="1081558982">
      <w:bodyDiv w:val="1"/>
      <w:marLeft w:val="0"/>
      <w:marRight w:val="0"/>
      <w:marTop w:val="0"/>
      <w:marBottom w:val="0"/>
      <w:divBdr>
        <w:top w:val="none" w:sz="0" w:space="0" w:color="auto"/>
        <w:left w:val="none" w:sz="0" w:space="0" w:color="auto"/>
        <w:bottom w:val="none" w:sz="0" w:space="0" w:color="auto"/>
        <w:right w:val="none" w:sz="0" w:space="0" w:color="auto"/>
      </w:divBdr>
      <w:divsChild>
        <w:div w:id="339351209">
          <w:marLeft w:val="0"/>
          <w:marRight w:val="0"/>
          <w:marTop w:val="0"/>
          <w:marBottom w:val="0"/>
          <w:divBdr>
            <w:top w:val="none" w:sz="0" w:space="0" w:color="auto"/>
            <w:left w:val="none" w:sz="0" w:space="0" w:color="auto"/>
            <w:bottom w:val="none" w:sz="0" w:space="0" w:color="auto"/>
            <w:right w:val="none" w:sz="0" w:space="0" w:color="auto"/>
          </w:divBdr>
        </w:div>
        <w:div w:id="1534809234">
          <w:marLeft w:val="0"/>
          <w:marRight w:val="0"/>
          <w:marTop w:val="0"/>
          <w:marBottom w:val="0"/>
          <w:divBdr>
            <w:top w:val="none" w:sz="0" w:space="0" w:color="auto"/>
            <w:left w:val="none" w:sz="0" w:space="0" w:color="auto"/>
            <w:bottom w:val="none" w:sz="0" w:space="0" w:color="auto"/>
            <w:right w:val="none" w:sz="0" w:space="0" w:color="auto"/>
          </w:divBdr>
        </w:div>
        <w:div w:id="29428277">
          <w:marLeft w:val="0"/>
          <w:marRight w:val="0"/>
          <w:marTop w:val="0"/>
          <w:marBottom w:val="0"/>
          <w:divBdr>
            <w:top w:val="none" w:sz="0" w:space="0" w:color="auto"/>
            <w:left w:val="none" w:sz="0" w:space="0" w:color="auto"/>
            <w:bottom w:val="none" w:sz="0" w:space="0" w:color="auto"/>
            <w:right w:val="none" w:sz="0" w:space="0" w:color="auto"/>
          </w:divBdr>
        </w:div>
        <w:div w:id="456534057">
          <w:marLeft w:val="0"/>
          <w:marRight w:val="0"/>
          <w:marTop w:val="0"/>
          <w:marBottom w:val="0"/>
          <w:divBdr>
            <w:top w:val="none" w:sz="0" w:space="0" w:color="auto"/>
            <w:left w:val="none" w:sz="0" w:space="0" w:color="auto"/>
            <w:bottom w:val="none" w:sz="0" w:space="0" w:color="auto"/>
            <w:right w:val="none" w:sz="0" w:space="0" w:color="auto"/>
          </w:divBdr>
        </w:div>
        <w:div w:id="1374963585">
          <w:marLeft w:val="0"/>
          <w:marRight w:val="0"/>
          <w:marTop w:val="0"/>
          <w:marBottom w:val="0"/>
          <w:divBdr>
            <w:top w:val="none" w:sz="0" w:space="0" w:color="auto"/>
            <w:left w:val="none" w:sz="0" w:space="0" w:color="auto"/>
            <w:bottom w:val="none" w:sz="0" w:space="0" w:color="auto"/>
            <w:right w:val="none" w:sz="0" w:space="0" w:color="auto"/>
          </w:divBdr>
        </w:div>
        <w:div w:id="952514969">
          <w:marLeft w:val="0"/>
          <w:marRight w:val="0"/>
          <w:marTop w:val="0"/>
          <w:marBottom w:val="0"/>
          <w:divBdr>
            <w:top w:val="none" w:sz="0" w:space="0" w:color="auto"/>
            <w:left w:val="none" w:sz="0" w:space="0" w:color="auto"/>
            <w:bottom w:val="none" w:sz="0" w:space="0" w:color="auto"/>
            <w:right w:val="none" w:sz="0" w:space="0" w:color="auto"/>
          </w:divBdr>
        </w:div>
        <w:div w:id="1282227502">
          <w:marLeft w:val="0"/>
          <w:marRight w:val="0"/>
          <w:marTop w:val="0"/>
          <w:marBottom w:val="0"/>
          <w:divBdr>
            <w:top w:val="none" w:sz="0" w:space="0" w:color="auto"/>
            <w:left w:val="none" w:sz="0" w:space="0" w:color="auto"/>
            <w:bottom w:val="none" w:sz="0" w:space="0" w:color="auto"/>
            <w:right w:val="none" w:sz="0" w:space="0" w:color="auto"/>
          </w:divBdr>
        </w:div>
        <w:div w:id="658194590">
          <w:marLeft w:val="0"/>
          <w:marRight w:val="0"/>
          <w:marTop w:val="0"/>
          <w:marBottom w:val="0"/>
          <w:divBdr>
            <w:top w:val="none" w:sz="0" w:space="0" w:color="auto"/>
            <w:left w:val="none" w:sz="0" w:space="0" w:color="auto"/>
            <w:bottom w:val="none" w:sz="0" w:space="0" w:color="auto"/>
            <w:right w:val="none" w:sz="0" w:space="0" w:color="auto"/>
          </w:divBdr>
        </w:div>
        <w:div w:id="300960782">
          <w:marLeft w:val="0"/>
          <w:marRight w:val="0"/>
          <w:marTop w:val="0"/>
          <w:marBottom w:val="0"/>
          <w:divBdr>
            <w:top w:val="none" w:sz="0" w:space="0" w:color="auto"/>
            <w:left w:val="none" w:sz="0" w:space="0" w:color="auto"/>
            <w:bottom w:val="none" w:sz="0" w:space="0" w:color="auto"/>
            <w:right w:val="none" w:sz="0" w:space="0" w:color="auto"/>
          </w:divBdr>
        </w:div>
        <w:div w:id="1324239012">
          <w:marLeft w:val="0"/>
          <w:marRight w:val="0"/>
          <w:marTop w:val="0"/>
          <w:marBottom w:val="0"/>
          <w:divBdr>
            <w:top w:val="none" w:sz="0" w:space="0" w:color="auto"/>
            <w:left w:val="none" w:sz="0" w:space="0" w:color="auto"/>
            <w:bottom w:val="none" w:sz="0" w:space="0" w:color="auto"/>
            <w:right w:val="none" w:sz="0" w:space="0" w:color="auto"/>
          </w:divBdr>
        </w:div>
        <w:div w:id="1479109759">
          <w:marLeft w:val="0"/>
          <w:marRight w:val="0"/>
          <w:marTop w:val="0"/>
          <w:marBottom w:val="0"/>
          <w:divBdr>
            <w:top w:val="none" w:sz="0" w:space="0" w:color="auto"/>
            <w:left w:val="none" w:sz="0" w:space="0" w:color="auto"/>
            <w:bottom w:val="none" w:sz="0" w:space="0" w:color="auto"/>
            <w:right w:val="none" w:sz="0" w:space="0" w:color="auto"/>
          </w:divBdr>
        </w:div>
        <w:div w:id="1940143527">
          <w:marLeft w:val="0"/>
          <w:marRight w:val="0"/>
          <w:marTop w:val="0"/>
          <w:marBottom w:val="0"/>
          <w:divBdr>
            <w:top w:val="none" w:sz="0" w:space="0" w:color="auto"/>
            <w:left w:val="none" w:sz="0" w:space="0" w:color="auto"/>
            <w:bottom w:val="none" w:sz="0" w:space="0" w:color="auto"/>
            <w:right w:val="none" w:sz="0" w:space="0" w:color="auto"/>
          </w:divBdr>
        </w:div>
        <w:div w:id="1051880084">
          <w:marLeft w:val="0"/>
          <w:marRight w:val="0"/>
          <w:marTop w:val="0"/>
          <w:marBottom w:val="0"/>
          <w:divBdr>
            <w:top w:val="none" w:sz="0" w:space="0" w:color="auto"/>
            <w:left w:val="none" w:sz="0" w:space="0" w:color="auto"/>
            <w:bottom w:val="none" w:sz="0" w:space="0" w:color="auto"/>
            <w:right w:val="none" w:sz="0" w:space="0" w:color="auto"/>
          </w:divBdr>
        </w:div>
        <w:div w:id="1208759582">
          <w:marLeft w:val="0"/>
          <w:marRight w:val="0"/>
          <w:marTop w:val="0"/>
          <w:marBottom w:val="0"/>
          <w:divBdr>
            <w:top w:val="none" w:sz="0" w:space="0" w:color="auto"/>
            <w:left w:val="none" w:sz="0" w:space="0" w:color="auto"/>
            <w:bottom w:val="none" w:sz="0" w:space="0" w:color="auto"/>
            <w:right w:val="none" w:sz="0" w:space="0" w:color="auto"/>
          </w:divBdr>
        </w:div>
        <w:div w:id="1781337117">
          <w:marLeft w:val="0"/>
          <w:marRight w:val="0"/>
          <w:marTop w:val="0"/>
          <w:marBottom w:val="0"/>
          <w:divBdr>
            <w:top w:val="none" w:sz="0" w:space="0" w:color="auto"/>
            <w:left w:val="none" w:sz="0" w:space="0" w:color="auto"/>
            <w:bottom w:val="none" w:sz="0" w:space="0" w:color="auto"/>
            <w:right w:val="none" w:sz="0" w:space="0" w:color="auto"/>
          </w:divBdr>
        </w:div>
        <w:div w:id="1329671386">
          <w:marLeft w:val="0"/>
          <w:marRight w:val="0"/>
          <w:marTop w:val="0"/>
          <w:marBottom w:val="0"/>
          <w:divBdr>
            <w:top w:val="none" w:sz="0" w:space="0" w:color="auto"/>
            <w:left w:val="none" w:sz="0" w:space="0" w:color="auto"/>
            <w:bottom w:val="none" w:sz="0" w:space="0" w:color="auto"/>
            <w:right w:val="none" w:sz="0" w:space="0" w:color="auto"/>
          </w:divBdr>
        </w:div>
        <w:div w:id="1162432061">
          <w:marLeft w:val="0"/>
          <w:marRight w:val="0"/>
          <w:marTop w:val="0"/>
          <w:marBottom w:val="0"/>
          <w:divBdr>
            <w:top w:val="none" w:sz="0" w:space="0" w:color="auto"/>
            <w:left w:val="none" w:sz="0" w:space="0" w:color="auto"/>
            <w:bottom w:val="none" w:sz="0" w:space="0" w:color="auto"/>
            <w:right w:val="none" w:sz="0" w:space="0" w:color="auto"/>
          </w:divBdr>
        </w:div>
        <w:div w:id="712273716">
          <w:marLeft w:val="0"/>
          <w:marRight w:val="0"/>
          <w:marTop w:val="0"/>
          <w:marBottom w:val="0"/>
          <w:divBdr>
            <w:top w:val="none" w:sz="0" w:space="0" w:color="auto"/>
            <w:left w:val="none" w:sz="0" w:space="0" w:color="auto"/>
            <w:bottom w:val="none" w:sz="0" w:space="0" w:color="auto"/>
            <w:right w:val="none" w:sz="0" w:space="0" w:color="auto"/>
          </w:divBdr>
        </w:div>
        <w:div w:id="1109860756">
          <w:marLeft w:val="0"/>
          <w:marRight w:val="0"/>
          <w:marTop w:val="0"/>
          <w:marBottom w:val="0"/>
          <w:divBdr>
            <w:top w:val="none" w:sz="0" w:space="0" w:color="auto"/>
            <w:left w:val="none" w:sz="0" w:space="0" w:color="auto"/>
            <w:bottom w:val="none" w:sz="0" w:space="0" w:color="auto"/>
            <w:right w:val="none" w:sz="0" w:space="0" w:color="auto"/>
          </w:divBdr>
        </w:div>
      </w:divsChild>
    </w:div>
    <w:div w:id="1117481200">
      <w:bodyDiv w:val="1"/>
      <w:marLeft w:val="0"/>
      <w:marRight w:val="0"/>
      <w:marTop w:val="0"/>
      <w:marBottom w:val="0"/>
      <w:divBdr>
        <w:top w:val="none" w:sz="0" w:space="0" w:color="auto"/>
        <w:left w:val="none" w:sz="0" w:space="0" w:color="auto"/>
        <w:bottom w:val="none" w:sz="0" w:space="0" w:color="auto"/>
        <w:right w:val="none" w:sz="0" w:space="0" w:color="auto"/>
      </w:divBdr>
      <w:divsChild>
        <w:div w:id="130514815">
          <w:marLeft w:val="0"/>
          <w:marRight w:val="0"/>
          <w:marTop w:val="0"/>
          <w:marBottom w:val="0"/>
          <w:divBdr>
            <w:top w:val="none" w:sz="0" w:space="0" w:color="auto"/>
            <w:left w:val="none" w:sz="0" w:space="0" w:color="auto"/>
            <w:bottom w:val="none" w:sz="0" w:space="0" w:color="auto"/>
            <w:right w:val="none" w:sz="0" w:space="0" w:color="auto"/>
          </w:divBdr>
        </w:div>
        <w:div w:id="1720666913">
          <w:marLeft w:val="0"/>
          <w:marRight w:val="0"/>
          <w:marTop w:val="0"/>
          <w:marBottom w:val="0"/>
          <w:divBdr>
            <w:top w:val="none" w:sz="0" w:space="0" w:color="auto"/>
            <w:left w:val="none" w:sz="0" w:space="0" w:color="auto"/>
            <w:bottom w:val="none" w:sz="0" w:space="0" w:color="auto"/>
            <w:right w:val="none" w:sz="0" w:space="0" w:color="auto"/>
          </w:divBdr>
        </w:div>
        <w:div w:id="1320693121">
          <w:marLeft w:val="0"/>
          <w:marRight w:val="0"/>
          <w:marTop w:val="0"/>
          <w:marBottom w:val="0"/>
          <w:divBdr>
            <w:top w:val="none" w:sz="0" w:space="0" w:color="auto"/>
            <w:left w:val="none" w:sz="0" w:space="0" w:color="auto"/>
            <w:bottom w:val="none" w:sz="0" w:space="0" w:color="auto"/>
            <w:right w:val="none" w:sz="0" w:space="0" w:color="auto"/>
          </w:divBdr>
        </w:div>
        <w:div w:id="1437560482">
          <w:marLeft w:val="0"/>
          <w:marRight w:val="0"/>
          <w:marTop w:val="0"/>
          <w:marBottom w:val="0"/>
          <w:divBdr>
            <w:top w:val="none" w:sz="0" w:space="0" w:color="auto"/>
            <w:left w:val="none" w:sz="0" w:space="0" w:color="auto"/>
            <w:bottom w:val="none" w:sz="0" w:space="0" w:color="auto"/>
            <w:right w:val="none" w:sz="0" w:space="0" w:color="auto"/>
          </w:divBdr>
        </w:div>
        <w:div w:id="1567573795">
          <w:marLeft w:val="0"/>
          <w:marRight w:val="0"/>
          <w:marTop w:val="0"/>
          <w:marBottom w:val="0"/>
          <w:divBdr>
            <w:top w:val="none" w:sz="0" w:space="0" w:color="auto"/>
            <w:left w:val="none" w:sz="0" w:space="0" w:color="auto"/>
            <w:bottom w:val="none" w:sz="0" w:space="0" w:color="auto"/>
            <w:right w:val="none" w:sz="0" w:space="0" w:color="auto"/>
          </w:divBdr>
        </w:div>
        <w:div w:id="498038465">
          <w:marLeft w:val="0"/>
          <w:marRight w:val="0"/>
          <w:marTop w:val="0"/>
          <w:marBottom w:val="0"/>
          <w:divBdr>
            <w:top w:val="none" w:sz="0" w:space="0" w:color="auto"/>
            <w:left w:val="none" w:sz="0" w:space="0" w:color="auto"/>
            <w:bottom w:val="none" w:sz="0" w:space="0" w:color="auto"/>
            <w:right w:val="none" w:sz="0" w:space="0" w:color="auto"/>
          </w:divBdr>
        </w:div>
        <w:div w:id="1913928726">
          <w:marLeft w:val="0"/>
          <w:marRight w:val="0"/>
          <w:marTop w:val="0"/>
          <w:marBottom w:val="0"/>
          <w:divBdr>
            <w:top w:val="none" w:sz="0" w:space="0" w:color="auto"/>
            <w:left w:val="none" w:sz="0" w:space="0" w:color="auto"/>
            <w:bottom w:val="none" w:sz="0" w:space="0" w:color="auto"/>
            <w:right w:val="none" w:sz="0" w:space="0" w:color="auto"/>
          </w:divBdr>
        </w:div>
        <w:div w:id="1073940344">
          <w:marLeft w:val="0"/>
          <w:marRight w:val="0"/>
          <w:marTop w:val="0"/>
          <w:marBottom w:val="0"/>
          <w:divBdr>
            <w:top w:val="none" w:sz="0" w:space="0" w:color="auto"/>
            <w:left w:val="none" w:sz="0" w:space="0" w:color="auto"/>
            <w:bottom w:val="none" w:sz="0" w:space="0" w:color="auto"/>
            <w:right w:val="none" w:sz="0" w:space="0" w:color="auto"/>
          </w:divBdr>
        </w:div>
        <w:div w:id="390158835">
          <w:marLeft w:val="0"/>
          <w:marRight w:val="0"/>
          <w:marTop w:val="0"/>
          <w:marBottom w:val="0"/>
          <w:divBdr>
            <w:top w:val="none" w:sz="0" w:space="0" w:color="auto"/>
            <w:left w:val="none" w:sz="0" w:space="0" w:color="auto"/>
            <w:bottom w:val="none" w:sz="0" w:space="0" w:color="auto"/>
            <w:right w:val="none" w:sz="0" w:space="0" w:color="auto"/>
          </w:divBdr>
        </w:div>
        <w:div w:id="1378967135">
          <w:marLeft w:val="0"/>
          <w:marRight w:val="0"/>
          <w:marTop w:val="0"/>
          <w:marBottom w:val="0"/>
          <w:divBdr>
            <w:top w:val="none" w:sz="0" w:space="0" w:color="auto"/>
            <w:left w:val="none" w:sz="0" w:space="0" w:color="auto"/>
            <w:bottom w:val="none" w:sz="0" w:space="0" w:color="auto"/>
            <w:right w:val="none" w:sz="0" w:space="0" w:color="auto"/>
          </w:divBdr>
        </w:div>
        <w:div w:id="2011980494">
          <w:marLeft w:val="0"/>
          <w:marRight w:val="0"/>
          <w:marTop w:val="0"/>
          <w:marBottom w:val="0"/>
          <w:divBdr>
            <w:top w:val="none" w:sz="0" w:space="0" w:color="auto"/>
            <w:left w:val="none" w:sz="0" w:space="0" w:color="auto"/>
            <w:bottom w:val="none" w:sz="0" w:space="0" w:color="auto"/>
            <w:right w:val="none" w:sz="0" w:space="0" w:color="auto"/>
          </w:divBdr>
        </w:div>
        <w:div w:id="388113145">
          <w:marLeft w:val="0"/>
          <w:marRight w:val="0"/>
          <w:marTop w:val="0"/>
          <w:marBottom w:val="0"/>
          <w:divBdr>
            <w:top w:val="none" w:sz="0" w:space="0" w:color="auto"/>
            <w:left w:val="none" w:sz="0" w:space="0" w:color="auto"/>
            <w:bottom w:val="none" w:sz="0" w:space="0" w:color="auto"/>
            <w:right w:val="none" w:sz="0" w:space="0" w:color="auto"/>
          </w:divBdr>
        </w:div>
        <w:div w:id="770516599">
          <w:marLeft w:val="0"/>
          <w:marRight w:val="0"/>
          <w:marTop w:val="0"/>
          <w:marBottom w:val="0"/>
          <w:divBdr>
            <w:top w:val="none" w:sz="0" w:space="0" w:color="auto"/>
            <w:left w:val="none" w:sz="0" w:space="0" w:color="auto"/>
            <w:bottom w:val="none" w:sz="0" w:space="0" w:color="auto"/>
            <w:right w:val="none" w:sz="0" w:space="0" w:color="auto"/>
          </w:divBdr>
        </w:div>
      </w:divsChild>
    </w:div>
    <w:div w:id="1134642256">
      <w:bodyDiv w:val="1"/>
      <w:marLeft w:val="0"/>
      <w:marRight w:val="0"/>
      <w:marTop w:val="0"/>
      <w:marBottom w:val="0"/>
      <w:divBdr>
        <w:top w:val="none" w:sz="0" w:space="0" w:color="auto"/>
        <w:left w:val="none" w:sz="0" w:space="0" w:color="auto"/>
        <w:bottom w:val="none" w:sz="0" w:space="0" w:color="auto"/>
        <w:right w:val="none" w:sz="0" w:space="0" w:color="auto"/>
      </w:divBdr>
    </w:div>
    <w:div w:id="1169056393">
      <w:bodyDiv w:val="1"/>
      <w:marLeft w:val="0"/>
      <w:marRight w:val="0"/>
      <w:marTop w:val="0"/>
      <w:marBottom w:val="0"/>
      <w:divBdr>
        <w:top w:val="none" w:sz="0" w:space="0" w:color="auto"/>
        <w:left w:val="none" w:sz="0" w:space="0" w:color="auto"/>
        <w:bottom w:val="none" w:sz="0" w:space="0" w:color="auto"/>
        <w:right w:val="none" w:sz="0" w:space="0" w:color="auto"/>
      </w:divBdr>
    </w:div>
    <w:div w:id="1370227711">
      <w:bodyDiv w:val="1"/>
      <w:marLeft w:val="0"/>
      <w:marRight w:val="0"/>
      <w:marTop w:val="0"/>
      <w:marBottom w:val="0"/>
      <w:divBdr>
        <w:top w:val="none" w:sz="0" w:space="0" w:color="auto"/>
        <w:left w:val="none" w:sz="0" w:space="0" w:color="auto"/>
        <w:bottom w:val="none" w:sz="0" w:space="0" w:color="auto"/>
        <w:right w:val="none" w:sz="0" w:space="0" w:color="auto"/>
      </w:divBdr>
    </w:div>
    <w:div w:id="1512135937">
      <w:bodyDiv w:val="1"/>
      <w:marLeft w:val="0"/>
      <w:marRight w:val="0"/>
      <w:marTop w:val="0"/>
      <w:marBottom w:val="0"/>
      <w:divBdr>
        <w:top w:val="none" w:sz="0" w:space="0" w:color="auto"/>
        <w:left w:val="none" w:sz="0" w:space="0" w:color="auto"/>
        <w:bottom w:val="none" w:sz="0" w:space="0" w:color="auto"/>
        <w:right w:val="none" w:sz="0" w:space="0" w:color="auto"/>
      </w:divBdr>
    </w:div>
    <w:div w:id="1516532775">
      <w:bodyDiv w:val="1"/>
      <w:marLeft w:val="0"/>
      <w:marRight w:val="0"/>
      <w:marTop w:val="0"/>
      <w:marBottom w:val="0"/>
      <w:divBdr>
        <w:top w:val="none" w:sz="0" w:space="0" w:color="auto"/>
        <w:left w:val="none" w:sz="0" w:space="0" w:color="auto"/>
        <w:bottom w:val="none" w:sz="0" w:space="0" w:color="auto"/>
        <w:right w:val="none" w:sz="0" w:space="0" w:color="auto"/>
      </w:divBdr>
      <w:divsChild>
        <w:div w:id="635645294">
          <w:marLeft w:val="0"/>
          <w:marRight w:val="0"/>
          <w:marTop w:val="0"/>
          <w:marBottom w:val="0"/>
          <w:divBdr>
            <w:top w:val="none" w:sz="0" w:space="0" w:color="auto"/>
            <w:left w:val="none" w:sz="0" w:space="0" w:color="auto"/>
            <w:bottom w:val="none" w:sz="0" w:space="0" w:color="auto"/>
            <w:right w:val="none" w:sz="0" w:space="0" w:color="auto"/>
          </w:divBdr>
        </w:div>
        <w:div w:id="2070375087">
          <w:marLeft w:val="0"/>
          <w:marRight w:val="0"/>
          <w:marTop w:val="0"/>
          <w:marBottom w:val="0"/>
          <w:divBdr>
            <w:top w:val="none" w:sz="0" w:space="0" w:color="auto"/>
            <w:left w:val="none" w:sz="0" w:space="0" w:color="auto"/>
            <w:bottom w:val="none" w:sz="0" w:space="0" w:color="auto"/>
            <w:right w:val="none" w:sz="0" w:space="0" w:color="auto"/>
          </w:divBdr>
        </w:div>
        <w:div w:id="1466972344">
          <w:marLeft w:val="0"/>
          <w:marRight w:val="0"/>
          <w:marTop w:val="0"/>
          <w:marBottom w:val="0"/>
          <w:divBdr>
            <w:top w:val="none" w:sz="0" w:space="0" w:color="auto"/>
            <w:left w:val="none" w:sz="0" w:space="0" w:color="auto"/>
            <w:bottom w:val="none" w:sz="0" w:space="0" w:color="auto"/>
            <w:right w:val="none" w:sz="0" w:space="0" w:color="auto"/>
          </w:divBdr>
        </w:div>
        <w:div w:id="257956765">
          <w:marLeft w:val="0"/>
          <w:marRight w:val="0"/>
          <w:marTop w:val="0"/>
          <w:marBottom w:val="0"/>
          <w:divBdr>
            <w:top w:val="none" w:sz="0" w:space="0" w:color="auto"/>
            <w:left w:val="none" w:sz="0" w:space="0" w:color="auto"/>
            <w:bottom w:val="none" w:sz="0" w:space="0" w:color="auto"/>
            <w:right w:val="none" w:sz="0" w:space="0" w:color="auto"/>
          </w:divBdr>
        </w:div>
        <w:div w:id="1705248999">
          <w:marLeft w:val="0"/>
          <w:marRight w:val="0"/>
          <w:marTop w:val="0"/>
          <w:marBottom w:val="0"/>
          <w:divBdr>
            <w:top w:val="none" w:sz="0" w:space="0" w:color="auto"/>
            <w:left w:val="none" w:sz="0" w:space="0" w:color="auto"/>
            <w:bottom w:val="none" w:sz="0" w:space="0" w:color="auto"/>
            <w:right w:val="none" w:sz="0" w:space="0" w:color="auto"/>
          </w:divBdr>
        </w:div>
        <w:div w:id="342170649">
          <w:marLeft w:val="0"/>
          <w:marRight w:val="0"/>
          <w:marTop w:val="0"/>
          <w:marBottom w:val="0"/>
          <w:divBdr>
            <w:top w:val="none" w:sz="0" w:space="0" w:color="auto"/>
            <w:left w:val="none" w:sz="0" w:space="0" w:color="auto"/>
            <w:bottom w:val="none" w:sz="0" w:space="0" w:color="auto"/>
            <w:right w:val="none" w:sz="0" w:space="0" w:color="auto"/>
          </w:divBdr>
        </w:div>
        <w:div w:id="42411899">
          <w:marLeft w:val="0"/>
          <w:marRight w:val="0"/>
          <w:marTop w:val="0"/>
          <w:marBottom w:val="0"/>
          <w:divBdr>
            <w:top w:val="none" w:sz="0" w:space="0" w:color="auto"/>
            <w:left w:val="none" w:sz="0" w:space="0" w:color="auto"/>
            <w:bottom w:val="none" w:sz="0" w:space="0" w:color="auto"/>
            <w:right w:val="none" w:sz="0" w:space="0" w:color="auto"/>
          </w:divBdr>
        </w:div>
        <w:div w:id="823163082">
          <w:marLeft w:val="0"/>
          <w:marRight w:val="0"/>
          <w:marTop w:val="0"/>
          <w:marBottom w:val="0"/>
          <w:divBdr>
            <w:top w:val="none" w:sz="0" w:space="0" w:color="auto"/>
            <w:left w:val="none" w:sz="0" w:space="0" w:color="auto"/>
            <w:bottom w:val="none" w:sz="0" w:space="0" w:color="auto"/>
            <w:right w:val="none" w:sz="0" w:space="0" w:color="auto"/>
          </w:divBdr>
        </w:div>
        <w:div w:id="6296258">
          <w:marLeft w:val="0"/>
          <w:marRight w:val="0"/>
          <w:marTop w:val="0"/>
          <w:marBottom w:val="0"/>
          <w:divBdr>
            <w:top w:val="none" w:sz="0" w:space="0" w:color="auto"/>
            <w:left w:val="none" w:sz="0" w:space="0" w:color="auto"/>
            <w:bottom w:val="none" w:sz="0" w:space="0" w:color="auto"/>
            <w:right w:val="none" w:sz="0" w:space="0" w:color="auto"/>
          </w:divBdr>
        </w:div>
        <w:div w:id="675572091">
          <w:marLeft w:val="0"/>
          <w:marRight w:val="0"/>
          <w:marTop w:val="0"/>
          <w:marBottom w:val="0"/>
          <w:divBdr>
            <w:top w:val="none" w:sz="0" w:space="0" w:color="auto"/>
            <w:left w:val="none" w:sz="0" w:space="0" w:color="auto"/>
            <w:bottom w:val="none" w:sz="0" w:space="0" w:color="auto"/>
            <w:right w:val="none" w:sz="0" w:space="0" w:color="auto"/>
          </w:divBdr>
        </w:div>
        <w:div w:id="1286084201">
          <w:marLeft w:val="0"/>
          <w:marRight w:val="0"/>
          <w:marTop w:val="0"/>
          <w:marBottom w:val="0"/>
          <w:divBdr>
            <w:top w:val="none" w:sz="0" w:space="0" w:color="auto"/>
            <w:left w:val="none" w:sz="0" w:space="0" w:color="auto"/>
            <w:bottom w:val="none" w:sz="0" w:space="0" w:color="auto"/>
            <w:right w:val="none" w:sz="0" w:space="0" w:color="auto"/>
          </w:divBdr>
        </w:div>
        <w:div w:id="1091119889">
          <w:marLeft w:val="0"/>
          <w:marRight w:val="0"/>
          <w:marTop w:val="0"/>
          <w:marBottom w:val="0"/>
          <w:divBdr>
            <w:top w:val="none" w:sz="0" w:space="0" w:color="auto"/>
            <w:left w:val="none" w:sz="0" w:space="0" w:color="auto"/>
            <w:bottom w:val="none" w:sz="0" w:space="0" w:color="auto"/>
            <w:right w:val="none" w:sz="0" w:space="0" w:color="auto"/>
          </w:divBdr>
        </w:div>
        <w:div w:id="1381779371">
          <w:marLeft w:val="0"/>
          <w:marRight w:val="0"/>
          <w:marTop w:val="0"/>
          <w:marBottom w:val="0"/>
          <w:divBdr>
            <w:top w:val="none" w:sz="0" w:space="0" w:color="auto"/>
            <w:left w:val="none" w:sz="0" w:space="0" w:color="auto"/>
            <w:bottom w:val="none" w:sz="0" w:space="0" w:color="auto"/>
            <w:right w:val="none" w:sz="0" w:space="0" w:color="auto"/>
          </w:divBdr>
        </w:div>
        <w:div w:id="288784173">
          <w:marLeft w:val="0"/>
          <w:marRight w:val="0"/>
          <w:marTop w:val="0"/>
          <w:marBottom w:val="0"/>
          <w:divBdr>
            <w:top w:val="none" w:sz="0" w:space="0" w:color="auto"/>
            <w:left w:val="none" w:sz="0" w:space="0" w:color="auto"/>
            <w:bottom w:val="none" w:sz="0" w:space="0" w:color="auto"/>
            <w:right w:val="none" w:sz="0" w:space="0" w:color="auto"/>
          </w:divBdr>
        </w:div>
        <w:div w:id="2107923665">
          <w:marLeft w:val="0"/>
          <w:marRight w:val="0"/>
          <w:marTop w:val="0"/>
          <w:marBottom w:val="0"/>
          <w:divBdr>
            <w:top w:val="none" w:sz="0" w:space="0" w:color="auto"/>
            <w:left w:val="none" w:sz="0" w:space="0" w:color="auto"/>
            <w:bottom w:val="none" w:sz="0" w:space="0" w:color="auto"/>
            <w:right w:val="none" w:sz="0" w:space="0" w:color="auto"/>
          </w:divBdr>
        </w:div>
        <w:div w:id="1418013068">
          <w:marLeft w:val="0"/>
          <w:marRight w:val="0"/>
          <w:marTop w:val="0"/>
          <w:marBottom w:val="0"/>
          <w:divBdr>
            <w:top w:val="none" w:sz="0" w:space="0" w:color="auto"/>
            <w:left w:val="none" w:sz="0" w:space="0" w:color="auto"/>
            <w:bottom w:val="none" w:sz="0" w:space="0" w:color="auto"/>
            <w:right w:val="none" w:sz="0" w:space="0" w:color="auto"/>
          </w:divBdr>
        </w:div>
        <w:div w:id="2033528998">
          <w:marLeft w:val="0"/>
          <w:marRight w:val="0"/>
          <w:marTop w:val="0"/>
          <w:marBottom w:val="0"/>
          <w:divBdr>
            <w:top w:val="none" w:sz="0" w:space="0" w:color="auto"/>
            <w:left w:val="none" w:sz="0" w:space="0" w:color="auto"/>
            <w:bottom w:val="none" w:sz="0" w:space="0" w:color="auto"/>
            <w:right w:val="none" w:sz="0" w:space="0" w:color="auto"/>
          </w:divBdr>
        </w:div>
        <w:div w:id="1811897513">
          <w:marLeft w:val="0"/>
          <w:marRight w:val="0"/>
          <w:marTop w:val="0"/>
          <w:marBottom w:val="0"/>
          <w:divBdr>
            <w:top w:val="none" w:sz="0" w:space="0" w:color="auto"/>
            <w:left w:val="none" w:sz="0" w:space="0" w:color="auto"/>
            <w:bottom w:val="none" w:sz="0" w:space="0" w:color="auto"/>
            <w:right w:val="none" w:sz="0" w:space="0" w:color="auto"/>
          </w:divBdr>
        </w:div>
        <w:div w:id="1563249681">
          <w:marLeft w:val="0"/>
          <w:marRight w:val="0"/>
          <w:marTop w:val="0"/>
          <w:marBottom w:val="0"/>
          <w:divBdr>
            <w:top w:val="none" w:sz="0" w:space="0" w:color="auto"/>
            <w:left w:val="none" w:sz="0" w:space="0" w:color="auto"/>
            <w:bottom w:val="none" w:sz="0" w:space="0" w:color="auto"/>
            <w:right w:val="none" w:sz="0" w:space="0" w:color="auto"/>
          </w:divBdr>
        </w:div>
        <w:div w:id="1299922819">
          <w:marLeft w:val="0"/>
          <w:marRight w:val="0"/>
          <w:marTop w:val="0"/>
          <w:marBottom w:val="0"/>
          <w:divBdr>
            <w:top w:val="none" w:sz="0" w:space="0" w:color="auto"/>
            <w:left w:val="none" w:sz="0" w:space="0" w:color="auto"/>
            <w:bottom w:val="none" w:sz="0" w:space="0" w:color="auto"/>
            <w:right w:val="none" w:sz="0" w:space="0" w:color="auto"/>
          </w:divBdr>
        </w:div>
        <w:div w:id="460535234">
          <w:marLeft w:val="0"/>
          <w:marRight w:val="0"/>
          <w:marTop w:val="0"/>
          <w:marBottom w:val="0"/>
          <w:divBdr>
            <w:top w:val="none" w:sz="0" w:space="0" w:color="auto"/>
            <w:left w:val="none" w:sz="0" w:space="0" w:color="auto"/>
            <w:bottom w:val="none" w:sz="0" w:space="0" w:color="auto"/>
            <w:right w:val="none" w:sz="0" w:space="0" w:color="auto"/>
          </w:divBdr>
        </w:div>
        <w:div w:id="2104719293">
          <w:marLeft w:val="0"/>
          <w:marRight w:val="0"/>
          <w:marTop w:val="0"/>
          <w:marBottom w:val="0"/>
          <w:divBdr>
            <w:top w:val="none" w:sz="0" w:space="0" w:color="auto"/>
            <w:left w:val="none" w:sz="0" w:space="0" w:color="auto"/>
            <w:bottom w:val="none" w:sz="0" w:space="0" w:color="auto"/>
            <w:right w:val="none" w:sz="0" w:space="0" w:color="auto"/>
          </w:divBdr>
        </w:div>
        <w:div w:id="712122876">
          <w:marLeft w:val="0"/>
          <w:marRight w:val="0"/>
          <w:marTop w:val="0"/>
          <w:marBottom w:val="0"/>
          <w:divBdr>
            <w:top w:val="none" w:sz="0" w:space="0" w:color="auto"/>
            <w:left w:val="none" w:sz="0" w:space="0" w:color="auto"/>
            <w:bottom w:val="none" w:sz="0" w:space="0" w:color="auto"/>
            <w:right w:val="none" w:sz="0" w:space="0" w:color="auto"/>
          </w:divBdr>
        </w:div>
        <w:div w:id="1622492906">
          <w:marLeft w:val="0"/>
          <w:marRight w:val="0"/>
          <w:marTop w:val="0"/>
          <w:marBottom w:val="0"/>
          <w:divBdr>
            <w:top w:val="none" w:sz="0" w:space="0" w:color="auto"/>
            <w:left w:val="none" w:sz="0" w:space="0" w:color="auto"/>
            <w:bottom w:val="none" w:sz="0" w:space="0" w:color="auto"/>
            <w:right w:val="none" w:sz="0" w:space="0" w:color="auto"/>
          </w:divBdr>
        </w:div>
        <w:div w:id="534658076">
          <w:marLeft w:val="0"/>
          <w:marRight w:val="0"/>
          <w:marTop w:val="0"/>
          <w:marBottom w:val="0"/>
          <w:divBdr>
            <w:top w:val="none" w:sz="0" w:space="0" w:color="auto"/>
            <w:left w:val="none" w:sz="0" w:space="0" w:color="auto"/>
            <w:bottom w:val="none" w:sz="0" w:space="0" w:color="auto"/>
            <w:right w:val="none" w:sz="0" w:space="0" w:color="auto"/>
          </w:divBdr>
        </w:div>
        <w:div w:id="287780521">
          <w:marLeft w:val="0"/>
          <w:marRight w:val="0"/>
          <w:marTop w:val="0"/>
          <w:marBottom w:val="0"/>
          <w:divBdr>
            <w:top w:val="none" w:sz="0" w:space="0" w:color="auto"/>
            <w:left w:val="none" w:sz="0" w:space="0" w:color="auto"/>
            <w:bottom w:val="none" w:sz="0" w:space="0" w:color="auto"/>
            <w:right w:val="none" w:sz="0" w:space="0" w:color="auto"/>
          </w:divBdr>
        </w:div>
        <w:div w:id="286157307">
          <w:marLeft w:val="0"/>
          <w:marRight w:val="0"/>
          <w:marTop w:val="0"/>
          <w:marBottom w:val="0"/>
          <w:divBdr>
            <w:top w:val="none" w:sz="0" w:space="0" w:color="auto"/>
            <w:left w:val="none" w:sz="0" w:space="0" w:color="auto"/>
            <w:bottom w:val="none" w:sz="0" w:space="0" w:color="auto"/>
            <w:right w:val="none" w:sz="0" w:space="0" w:color="auto"/>
          </w:divBdr>
        </w:div>
        <w:div w:id="1841314723">
          <w:marLeft w:val="0"/>
          <w:marRight w:val="0"/>
          <w:marTop w:val="0"/>
          <w:marBottom w:val="0"/>
          <w:divBdr>
            <w:top w:val="none" w:sz="0" w:space="0" w:color="auto"/>
            <w:left w:val="none" w:sz="0" w:space="0" w:color="auto"/>
            <w:bottom w:val="none" w:sz="0" w:space="0" w:color="auto"/>
            <w:right w:val="none" w:sz="0" w:space="0" w:color="auto"/>
          </w:divBdr>
        </w:div>
        <w:div w:id="25717689">
          <w:marLeft w:val="0"/>
          <w:marRight w:val="0"/>
          <w:marTop w:val="0"/>
          <w:marBottom w:val="0"/>
          <w:divBdr>
            <w:top w:val="none" w:sz="0" w:space="0" w:color="auto"/>
            <w:left w:val="none" w:sz="0" w:space="0" w:color="auto"/>
            <w:bottom w:val="none" w:sz="0" w:space="0" w:color="auto"/>
            <w:right w:val="none" w:sz="0" w:space="0" w:color="auto"/>
          </w:divBdr>
        </w:div>
        <w:div w:id="1262375133">
          <w:marLeft w:val="0"/>
          <w:marRight w:val="0"/>
          <w:marTop w:val="0"/>
          <w:marBottom w:val="0"/>
          <w:divBdr>
            <w:top w:val="none" w:sz="0" w:space="0" w:color="auto"/>
            <w:left w:val="none" w:sz="0" w:space="0" w:color="auto"/>
            <w:bottom w:val="none" w:sz="0" w:space="0" w:color="auto"/>
            <w:right w:val="none" w:sz="0" w:space="0" w:color="auto"/>
          </w:divBdr>
        </w:div>
        <w:div w:id="1587107770">
          <w:marLeft w:val="0"/>
          <w:marRight w:val="0"/>
          <w:marTop w:val="0"/>
          <w:marBottom w:val="0"/>
          <w:divBdr>
            <w:top w:val="none" w:sz="0" w:space="0" w:color="auto"/>
            <w:left w:val="none" w:sz="0" w:space="0" w:color="auto"/>
            <w:bottom w:val="none" w:sz="0" w:space="0" w:color="auto"/>
            <w:right w:val="none" w:sz="0" w:space="0" w:color="auto"/>
          </w:divBdr>
        </w:div>
        <w:div w:id="714427391">
          <w:marLeft w:val="0"/>
          <w:marRight w:val="0"/>
          <w:marTop w:val="0"/>
          <w:marBottom w:val="0"/>
          <w:divBdr>
            <w:top w:val="none" w:sz="0" w:space="0" w:color="auto"/>
            <w:left w:val="none" w:sz="0" w:space="0" w:color="auto"/>
            <w:bottom w:val="none" w:sz="0" w:space="0" w:color="auto"/>
            <w:right w:val="none" w:sz="0" w:space="0" w:color="auto"/>
          </w:divBdr>
        </w:div>
        <w:div w:id="177349889">
          <w:marLeft w:val="0"/>
          <w:marRight w:val="0"/>
          <w:marTop w:val="0"/>
          <w:marBottom w:val="0"/>
          <w:divBdr>
            <w:top w:val="none" w:sz="0" w:space="0" w:color="auto"/>
            <w:left w:val="none" w:sz="0" w:space="0" w:color="auto"/>
            <w:bottom w:val="none" w:sz="0" w:space="0" w:color="auto"/>
            <w:right w:val="none" w:sz="0" w:space="0" w:color="auto"/>
          </w:divBdr>
        </w:div>
        <w:div w:id="900821953">
          <w:marLeft w:val="0"/>
          <w:marRight w:val="0"/>
          <w:marTop w:val="0"/>
          <w:marBottom w:val="0"/>
          <w:divBdr>
            <w:top w:val="none" w:sz="0" w:space="0" w:color="auto"/>
            <w:left w:val="none" w:sz="0" w:space="0" w:color="auto"/>
            <w:bottom w:val="none" w:sz="0" w:space="0" w:color="auto"/>
            <w:right w:val="none" w:sz="0" w:space="0" w:color="auto"/>
          </w:divBdr>
        </w:div>
        <w:div w:id="1533229049">
          <w:marLeft w:val="0"/>
          <w:marRight w:val="0"/>
          <w:marTop w:val="0"/>
          <w:marBottom w:val="0"/>
          <w:divBdr>
            <w:top w:val="none" w:sz="0" w:space="0" w:color="auto"/>
            <w:left w:val="none" w:sz="0" w:space="0" w:color="auto"/>
            <w:bottom w:val="none" w:sz="0" w:space="0" w:color="auto"/>
            <w:right w:val="none" w:sz="0" w:space="0" w:color="auto"/>
          </w:divBdr>
        </w:div>
        <w:div w:id="1704402347">
          <w:marLeft w:val="0"/>
          <w:marRight w:val="0"/>
          <w:marTop w:val="0"/>
          <w:marBottom w:val="0"/>
          <w:divBdr>
            <w:top w:val="none" w:sz="0" w:space="0" w:color="auto"/>
            <w:left w:val="none" w:sz="0" w:space="0" w:color="auto"/>
            <w:bottom w:val="none" w:sz="0" w:space="0" w:color="auto"/>
            <w:right w:val="none" w:sz="0" w:space="0" w:color="auto"/>
          </w:divBdr>
        </w:div>
        <w:div w:id="1242135721">
          <w:marLeft w:val="0"/>
          <w:marRight w:val="0"/>
          <w:marTop w:val="0"/>
          <w:marBottom w:val="0"/>
          <w:divBdr>
            <w:top w:val="none" w:sz="0" w:space="0" w:color="auto"/>
            <w:left w:val="none" w:sz="0" w:space="0" w:color="auto"/>
            <w:bottom w:val="none" w:sz="0" w:space="0" w:color="auto"/>
            <w:right w:val="none" w:sz="0" w:space="0" w:color="auto"/>
          </w:divBdr>
        </w:div>
        <w:div w:id="2082487116">
          <w:marLeft w:val="0"/>
          <w:marRight w:val="0"/>
          <w:marTop w:val="0"/>
          <w:marBottom w:val="0"/>
          <w:divBdr>
            <w:top w:val="none" w:sz="0" w:space="0" w:color="auto"/>
            <w:left w:val="none" w:sz="0" w:space="0" w:color="auto"/>
            <w:bottom w:val="none" w:sz="0" w:space="0" w:color="auto"/>
            <w:right w:val="none" w:sz="0" w:space="0" w:color="auto"/>
          </w:divBdr>
        </w:div>
        <w:div w:id="1706638966">
          <w:marLeft w:val="0"/>
          <w:marRight w:val="0"/>
          <w:marTop w:val="0"/>
          <w:marBottom w:val="0"/>
          <w:divBdr>
            <w:top w:val="none" w:sz="0" w:space="0" w:color="auto"/>
            <w:left w:val="none" w:sz="0" w:space="0" w:color="auto"/>
            <w:bottom w:val="none" w:sz="0" w:space="0" w:color="auto"/>
            <w:right w:val="none" w:sz="0" w:space="0" w:color="auto"/>
          </w:divBdr>
        </w:div>
        <w:div w:id="1509176058">
          <w:marLeft w:val="0"/>
          <w:marRight w:val="0"/>
          <w:marTop w:val="0"/>
          <w:marBottom w:val="0"/>
          <w:divBdr>
            <w:top w:val="none" w:sz="0" w:space="0" w:color="auto"/>
            <w:left w:val="none" w:sz="0" w:space="0" w:color="auto"/>
            <w:bottom w:val="none" w:sz="0" w:space="0" w:color="auto"/>
            <w:right w:val="none" w:sz="0" w:space="0" w:color="auto"/>
          </w:divBdr>
        </w:div>
        <w:div w:id="1016349581">
          <w:marLeft w:val="0"/>
          <w:marRight w:val="0"/>
          <w:marTop w:val="0"/>
          <w:marBottom w:val="0"/>
          <w:divBdr>
            <w:top w:val="none" w:sz="0" w:space="0" w:color="auto"/>
            <w:left w:val="none" w:sz="0" w:space="0" w:color="auto"/>
            <w:bottom w:val="none" w:sz="0" w:space="0" w:color="auto"/>
            <w:right w:val="none" w:sz="0" w:space="0" w:color="auto"/>
          </w:divBdr>
        </w:div>
        <w:div w:id="69235233">
          <w:marLeft w:val="0"/>
          <w:marRight w:val="0"/>
          <w:marTop w:val="0"/>
          <w:marBottom w:val="0"/>
          <w:divBdr>
            <w:top w:val="none" w:sz="0" w:space="0" w:color="auto"/>
            <w:left w:val="none" w:sz="0" w:space="0" w:color="auto"/>
            <w:bottom w:val="none" w:sz="0" w:space="0" w:color="auto"/>
            <w:right w:val="none" w:sz="0" w:space="0" w:color="auto"/>
          </w:divBdr>
        </w:div>
        <w:div w:id="2137093818">
          <w:marLeft w:val="0"/>
          <w:marRight w:val="0"/>
          <w:marTop w:val="0"/>
          <w:marBottom w:val="0"/>
          <w:divBdr>
            <w:top w:val="none" w:sz="0" w:space="0" w:color="auto"/>
            <w:left w:val="none" w:sz="0" w:space="0" w:color="auto"/>
            <w:bottom w:val="none" w:sz="0" w:space="0" w:color="auto"/>
            <w:right w:val="none" w:sz="0" w:space="0" w:color="auto"/>
          </w:divBdr>
        </w:div>
        <w:div w:id="1794909603">
          <w:marLeft w:val="0"/>
          <w:marRight w:val="0"/>
          <w:marTop w:val="0"/>
          <w:marBottom w:val="0"/>
          <w:divBdr>
            <w:top w:val="none" w:sz="0" w:space="0" w:color="auto"/>
            <w:left w:val="none" w:sz="0" w:space="0" w:color="auto"/>
            <w:bottom w:val="none" w:sz="0" w:space="0" w:color="auto"/>
            <w:right w:val="none" w:sz="0" w:space="0" w:color="auto"/>
          </w:divBdr>
        </w:div>
        <w:div w:id="1778987533">
          <w:marLeft w:val="0"/>
          <w:marRight w:val="0"/>
          <w:marTop w:val="0"/>
          <w:marBottom w:val="0"/>
          <w:divBdr>
            <w:top w:val="none" w:sz="0" w:space="0" w:color="auto"/>
            <w:left w:val="none" w:sz="0" w:space="0" w:color="auto"/>
            <w:bottom w:val="none" w:sz="0" w:space="0" w:color="auto"/>
            <w:right w:val="none" w:sz="0" w:space="0" w:color="auto"/>
          </w:divBdr>
        </w:div>
        <w:div w:id="666249615">
          <w:marLeft w:val="0"/>
          <w:marRight w:val="0"/>
          <w:marTop w:val="0"/>
          <w:marBottom w:val="0"/>
          <w:divBdr>
            <w:top w:val="none" w:sz="0" w:space="0" w:color="auto"/>
            <w:left w:val="none" w:sz="0" w:space="0" w:color="auto"/>
            <w:bottom w:val="none" w:sz="0" w:space="0" w:color="auto"/>
            <w:right w:val="none" w:sz="0" w:space="0" w:color="auto"/>
          </w:divBdr>
        </w:div>
        <w:div w:id="1416434024">
          <w:marLeft w:val="0"/>
          <w:marRight w:val="0"/>
          <w:marTop w:val="0"/>
          <w:marBottom w:val="0"/>
          <w:divBdr>
            <w:top w:val="none" w:sz="0" w:space="0" w:color="auto"/>
            <w:left w:val="none" w:sz="0" w:space="0" w:color="auto"/>
            <w:bottom w:val="none" w:sz="0" w:space="0" w:color="auto"/>
            <w:right w:val="none" w:sz="0" w:space="0" w:color="auto"/>
          </w:divBdr>
        </w:div>
      </w:divsChild>
    </w:div>
    <w:div w:id="1522354293">
      <w:bodyDiv w:val="1"/>
      <w:marLeft w:val="0"/>
      <w:marRight w:val="0"/>
      <w:marTop w:val="0"/>
      <w:marBottom w:val="0"/>
      <w:divBdr>
        <w:top w:val="none" w:sz="0" w:space="0" w:color="auto"/>
        <w:left w:val="none" w:sz="0" w:space="0" w:color="auto"/>
        <w:bottom w:val="none" w:sz="0" w:space="0" w:color="auto"/>
        <w:right w:val="none" w:sz="0" w:space="0" w:color="auto"/>
      </w:divBdr>
    </w:div>
    <w:div w:id="1625388369">
      <w:bodyDiv w:val="1"/>
      <w:marLeft w:val="0"/>
      <w:marRight w:val="0"/>
      <w:marTop w:val="0"/>
      <w:marBottom w:val="0"/>
      <w:divBdr>
        <w:top w:val="none" w:sz="0" w:space="0" w:color="auto"/>
        <w:left w:val="none" w:sz="0" w:space="0" w:color="auto"/>
        <w:bottom w:val="none" w:sz="0" w:space="0" w:color="auto"/>
        <w:right w:val="none" w:sz="0" w:space="0" w:color="auto"/>
      </w:divBdr>
    </w:div>
    <w:div w:id="1697463085">
      <w:bodyDiv w:val="1"/>
      <w:marLeft w:val="0"/>
      <w:marRight w:val="0"/>
      <w:marTop w:val="0"/>
      <w:marBottom w:val="0"/>
      <w:divBdr>
        <w:top w:val="none" w:sz="0" w:space="0" w:color="auto"/>
        <w:left w:val="none" w:sz="0" w:space="0" w:color="auto"/>
        <w:bottom w:val="none" w:sz="0" w:space="0" w:color="auto"/>
        <w:right w:val="none" w:sz="0" w:space="0" w:color="auto"/>
      </w:divBdr>
    </w:div>
    <w:div w:id="1806119351">
      <w:bodyDiv w:val="1"/>
      <w:marLeft w:val="0"/>
      <w:marRight w:val="0"/>
      <w:marTop w:val="0"/>
      <w:marBottom w:val="0"/>
      <w:divBdr>
        <w:top w:val="none" w:sz="0" w:space="0" w:color="auto"/>
        <w:left w:val="none" w:sz="0" w:space="0" w:color="auto"/>
        <w:bottom w:val="none" w:sz="0" w:space="0" w:color="auto"/>
        <w:right w:val="none" w:sz="0" w:space="0" w:color="auto"/>
      </w:divBdr>
    </w:div>
    <w:div w:id="1917475757">
      <w:bodyDiv w:val="1"/>
      <w:marLeft w:val="0"/>
      <w:marRight w:val="0"/>
      <w:marTop w:val="0"/>
      <w:marBottom w:val="0"/>
      <w:divBdr>
        <w:top w:val="none" w:sz="0" w:space="0" w:color="auto"/>
        <w:left w:val="none" w:sz="0" w:space="0" w:color="auto"/>
        <w:bottom w:val="none" w:sz="0" w:space="0" w:color="auto"/>
        <w:right w:val="none" w:sz="0" w:space="0" w:color="auto"/>
      </w:divBdr>
    </w:div>
    <w:div w:id="1980382631">
      <w:bodyDiv w:val="1"/>
      <w:marLeft w:val="0"/>
      <w:marRight w:val="0"/>
      <w:marTop w:val="0"/>
      <w:marBottom w:val="0"/>
      <w:divBdr>
        <w:top w:val="none" w:sz="0" w:space="0" w:color="auto"/>
        <w:left w:val="none" w:sz="0" w:space="0" w:color="auto"/>
        <w:bottom w:val="none" w:sz="0" w:space="0" w:color="auto"/>
        <w:right w:val="none" w:sz="0" w:space="0" w:color="auto"/>
      </w:divBdr>
      <w:divsChild>
        <w:div w:id="1637682268">
          <w:marLeft w:val="0"/>
          <w:marRight w:val="0"/>
          <w:marTop w:val="0"/>
          <w:marBottom w:val="0"/>
          <w:divBdr>
            <w:top w:val="none" w:sz="0" w:space="0" w:color="auto"/>
            <w:left w:val="none" w:sz="0" w:space="0" w:color="auto"/>
            <w:bottom w:val="none" w:sz="0" w:space="0" w:color="auto"/>
            <w:right w:val="none" w:sz="0" w:space="0" w:color="auto"/>
          </w:divBdr>
        </w:div>
        <w:div w:id="856044948">
          <w:marLeft w:val="0"/>
          <w:marRight w:val="0"/>
          <w:marTop w:val="0"/>
          <w:marBottom w:val="0"/>
          <w:divBdr>
            <w:top w:val="none" w:sz="0" w:space="0" w:color="auto"/>
            <w:left w:val="none" w:sz="0" w:space="0" w:color="auto"/>
            <w:bottom w:val="none" w:sz="0" w:space="0" w:color="auto"/>
            <w:right w:val="none" w:sz="0" w:space="0" w:color="auto"/>
          </w:divBdr>
        </w:div>
        <w:div w:id="196548534">
          <w:marLeft w:val="0"/>
          <w:marRight w:val="0"/>
          <w:marTop w:val="0"/>
          <w:marBottom w:val="0"/>
          <w:divBdr>
            <w:top w:val="none" w:sz="0" w:space="0" w:color="auto"/>
            <w:left w:val="none" w:sz="0" w:space="0" w:color="auto"/>
            <w:bottom w:val="none" w:sz="0" w:space="0" w:color="auto"/>
            <w:right w:val="none" w:sz="0" w:space="0" w:color="auto"/>
          </w:divBdr>
        </w:div>
        <w:div w:id="772094461">
          <w:marLeft w:val="0"/>
          <w:marRight w:val="0"/>
          <w:marTop w:val="0"/>
          <w:marBottom w:val="0"/>
          <w:divBdr>
            <w:top w:val="none" w:sz="0" w:space="0" w:color="auto"/>
            <w:left w:val="none" w:sz="0" w:space="0" w:color="auto"/>
            <w:bottom w:val="none" w:sz="0" w:space="0" w:color="auto"/>
            <w:right w:val="none" w:sz="0" w:space="0" w:color="auto"/>
          </w:divBdr>
        </w:div>
        <w:div w:id="774715705">
          <w:marLeft w:val="0"/>
          <w:marRight w:val="0"/>
          <w:marTop w:val="0"/>
          <w:marBottom w:val="0"/>
          <w:divBdr>
            <w:top w:val="none" w:sz="0" w:space="0" w:color="auto"/>
            <w:left w:val="none" w:sz="0" w:space="0" w:color="auto"/>
            <w:bottom w:val="none" w:sz="0" w:space="0" w:color="auto"/>
            <w:right w:val="none" w:sz="0" w:space="0" w:color="auto"/>
          </w:divBdr>
        </w:div>
        <w:div w:id="1641035264">
          <w:marLeft w:val="0"/>
          <w:marRight w:val="0"/>
          <w:marTop w:val="0"/>
          <w:marBottom w:val="0"/>
          <w:divBdr>
            <w:top w:val="none" w:sz="0" w:space="0" w:color="auto"/>
            <w:left w:val="none" w:sz="0" w:space="0" w:color="auto"/>
            <w:bottom w:val="none" w:sz="0" w:space="0" w:color="auto"/>
            <w:right w:val="none" w:sz="0" w:space="0" w:color="auto"/>
          </w:divBdr>
        </w:div>
        <w:div w:id="1004358096">
          <w:marLeft w:val="0"/>
          <w:marRight w:val="0"/>
          <w:marTop w:val="0"/>
          <w:marBottom w:val="0"/>
          <w:divBdr>
            <w:top w:val="none" w:sz="0" w:space="0" w:color="auto"/>
            <w:left w:val="none" w:sz="0" w:space="0" w:color="auto"/>
            <w:bottom w:val="none" w:sz="0" w:space="0" w:color="auto"/>
            <w:right w:val="none" w:sz="0" w:space="0" w:color="auto"/>
          </w:divBdr>
        </w:div>
        <w:div w:id="1278223416">
          <w:marLeft w:val="0"/>
          <w:marRight w:val="0"/>
          <w:marTop w:val="0"/>
          <w:marBottom w:val="0"/>
          <w:divBdr>
            <w:top w:val="none" w:sz="0" w:space="0" w:color="auto"/>
            <w:left w:val="none" w:sz="0" w:space="0" w:color="auto"/>
            <w:bottom w:val="none" w:sz="0" w:space="0" w:color="auto"/>
            <w:right w:val="none" w:sz="0" w:space="0" w:color="auto"/>
          </w:divBdr>
        </w:div>
        <w:div w:id="54593637">
          <w:marLeft w:val="0"/>
          <w:marRight w:val="0"/>
          <w:marTop w:val="0"/>
          <w:marBottom w:val="0"/>
          <w:divBdr>
            <w:top w:val="none" w:sz="0" w:space="0" w:color="auto"/>
            <w:left w:val="none" w:sz="0" w:space="0" w:color="auto"/>
            <w:bottom w:val="none" w:sz="0" w:space="0" w:color="auto"/>
            <w:right w:val="none" w:sz="0" w:space="0" w:color="auto"/>
          </w:divBdr>
        </w:div>
        <w:div w:id="271475997">
          <w:marLeft w:val="0"/>
          <w:marRight w:val="0"/>
          <w:marTop w:val="0"/>
          <w:marBottom w:val="0"/>
          <w:divBdr>
            <w:top w:val="none" w:sz="0" w:space="0" w:color="auto"/>
            <w:left w:val="none" w:sz="0" w:space="0" w:color="auto"/>
            <w:bottom w:val="none" w:sz="0" w:space="0" w:color="auto"/>
            <w:right w:val="none" w:sz="0" w:space="0" w:color="auto"/>
          </w:divBdr>
        </w:div>
        <w:div w:id="685399410">
          <w:marLeft w:val="0"/>
          <w:marRight w:val="0"/>
          <w:marTop w:val="0"/>
          <w:marBottom w:val="0"/>
          <w:divBdr>
            <w:top w:val="none" w:sz="0" w:space="0" w:color="auto"/>
            <w:left w:val="none" w:sz="0" w:space="0" w:color="auto"/>
            <w:bottom w:val="none" w:sz="0" w:space="0" w:color="auto"/>
            <w:right w:val="none" w:sz="0" w:space="0" w:color="auto"/>
          </w:divBdr>
        </w:div>
        <w:div w:id="1928073272">
          <w:marLeft w:val="0"/>
          <w:marRight w:val="0"/>
          <w:marTop w:val="0"/>
          <w:marBottom w:val="0"/>
          <w:divBdr>
            <w:top w:val="none" w:sz="0" w:space="0" w:color="auto"/>
            <w:left w:val="none" w:sz="0" w:space="0" w:color="auto"/>
            <w:bottom w:val="none" w:sz="0" w:space="0" w:color="auto"/>
            <w:right w:val="none" w:sz="0" w:space="0" w:color="auto"/>
          </w:divBdr>
        </w:div>
        <w:div w:id="1242519154">
          <w:marLeft w:val="0"/>
          <w:marRight w:val="0"/>
          <w:marTop w:val="0"/>
          <w:marBottom w:val="0"/>
          <w:divBdr>
            <w:top w:val="none" w:sz="0" w:space="0" w:color="auto"/>
            <w:left w:val="none" w:sz="0" w:space="0" w:color="auto"/>
            <w:bottom w:val="none" w:sz="0" w:space="0" w:color="auto"/>
            <w:right w:val="none" w:sz="0" w:space="0" w:color="auto"/>
          </w:divBdr>
        </w:div>
        <w:div w:id="1953055856">
          <w:marLeft w:val="0"/>
          <w:marRight w:val="0"/>
          <w:marTop w:val="0"/>
          <w:marBottom w:val="0"/>
          <w:divBdr>
            <w:top w:val="none" w:sz="0" w:space="0" w:color="auto"/>
            <w:left w:val="none" w:sz="0" w:space="0" w:color="auto"/>
            <w:bottom w:val="none" w:sz="0" w:space="0" w:color="auto"/>
            <w:right w:val="none" w:sz="0" w:space="0" w:color="auto"/>
          </w:divBdr>
        </w:div>
        <w:div w:id="464391307">
          <w:marLeft w:val="0"/>
          <w:marRight w:val="0"/>
          <w:marTop w:val="0"/>
          <w:marBottom w:val="0"/>
          <w:divBdr>
            <w:top w:val="none" w:sz="0" w:space="0" w:color="auto"/>
            <w:left w:val="none" w:sz="0" w:space="0" w:color="auto"/>
            <w:bottom w:val="none" w:sz="0" w:space="0" w:color="auto"/>
            <w:right w:val="none" w:sz="0" w:space="0" w:color="auto"/>
          </w:divBdr>
        </w:div>
        <w:div w:id="1200583575">
          <w:marLeft w:val="0"/>
          <w:marRight w:val="0"/>
          <w:marTop w:val="0"/>
          <w:marBottom w:val="0"/>
          <w:divBdr>
            <w:top w:val="none" w:sz="0" w:space="0" w:color="auto"/>
            <w:left w:val="none" w:sz="0" w:space="0" w:color="auto"/>
            <w:bottom w:val="none" w:sz="0" w:space="0" w:color="auto"/>
            <w:right w:val="none" w:sz="0" w:space="0" w:color="auto"/>
          </w:divBdr>
        </w:div>
        <w:div w:id="488139326">
          <w:marLeft w:val="0"/>
          <w:marRight w:val="0"/>
          <w:marTop w:val="0"/>
          <w:marBottom w:val="0"/>
          <w:divBdr>
            <w:top w:val="none" w:sz="0" w:space="0" w:color="auto"/>
            <w:left w:val="none" w:sz="0" w:space="0" w:color="auto"/>
            <w:bottom w:val="none" w:sz="0" w:space="0" w:color="auto"/>
            <w:right w:val="none" w:sz="0" w:space="0" w:color="auto"/>
          </w:divBdr>
        </w:div>
        <w:div w:id="2055932996">
          <w:marLeft w:val="0"/>
          <w:marRight w:val="0"/>
          <w:marTop w:val="0"/>
          <w:marBottom w:val="0"/>
          <w:divBdr>
            <w:top w:val="none" w:sz="0" w:space="0" w:color="auto"/>
            <w:left w:val="none" w:sz="0" w:space="0" w:color="auto"/>
            <w:bottom w:val="none" w:sz="0" w:space="0" w:color="auto"/>
            <w:right w:val="none" w:sz="0" w:space="0" w:color="auto"/>
          </w:divBdr>
        </w:div>
        <w:div w:id="630213492">
          <w:marLeft w:val="0"/>
          <w:marRight w:val="0"/>
          <w:marTop w:val="0"/>
          <w:marBottom w:val="0"/>
          <w:divBdr>
            <w:top w:val="none" w:sz="0" w:space="0" w:color="auto"/>
            <w:left w:val="none" w:sz="0" w:space="0" w:color="auto"/>
            <w:bottom w:val="none" w:sz="0" w:space="0" w:color="auto"/>
            <w:right w:val="none" w:sz="0" w:space="0" w:color="auto"/>
          </w:divBdr>
        </w:div>
        <w:div w:id="821625686">
          <w:marLeft w:val="0"/>
          <w:marRight w:val="0"/>
          <w:marTop w:val="0"/>
          <w:marBottom w:val="0"/>
          <w:divBdr>
            <w:top w:val="none" w:sz="0" w:space="0" w:color="auto"/>
            <w:left w:val="none" w:sz="0" w:space="0" w:color="auto"/>
            <w:bottom w:val="none" w:sz="0" w:space="0" w:color="auto"/>
            <w:right w:val="none" w:sz="0" w:space="0" w:color="auto"/>
          </w:divBdr>
        </w:div>
        <w:div w:id="2105375570">
          <w:marLeft w:val="0"/>
          <w:marRight w:val="0"/>
          <w:marTop w:val="0"/>
          <w:marBottom w:val="0"/>
          <w:divBdr>
            <w:top w:val="none" w:sz="0" w:space="0" w:color="auto"/>
            <w:left w:val="none" w:sz="0" w:space="0" w:color="auto"/>
            <w:bottom w:val="none" w:sz="0" w:space="0" w:color="auto"/>
            <w:right w:val="none" w:sz="0" w:space="0" w:color="auto"/>
          </w:divBdr>
        </w:div>
        <w:div w:id="580720968">
          <w:marLeft w:val="0"/>
          <w:marRight w:val="0"/>
          <w:marTop w:val="0"/>
          <w:marBottom w:val="0"/>
          <w:divBdr>
            <w:top w:val="none" w:sz="0" w:space="0" w:color="auto"/>
            <w:left w:val="none" w:sz="0" w:space="0" w:color="auto"/>
            <w:bottom w:val="none" w:sz="0" w:space="0" w:color="auto"/>
            <w:right w:val="none" w:sz="0" w:space="0" w:color="auto"/>
          </w:divBdr>
        </w:div>
        <w:div w:id="2105147695">
          <w:marLeft w:val="0"/>
          <w:marRight w:val="0"/>
          <w:marTop w:val="0"/>
          <w:marBottom w:val="0"/>
          <w:divBdr>
            <w:top w:val="none" w:sz="0" w:space="0" w:color="auto"/>
            <w:left w:val="none" w:sz="0" w:space="0" w:color="auto"/>
            <w:bottom w:val="none" w:sz="0" w:space="0" w:color="auto"/>
            <w:right w:val="none" w:sz="0" w:space="0" w:color="auto"/>
          </w:divBdr>
        </w:div>
        <w:div w:id="1687440882">
          <w:marLeft w:val="0"/>
          <w:marRight w:val="0"/>
          <w:marTop w:val="0"/>
          <w:marBottom w:val="0"/>
          <w:divBdr>
            <w:top w:val="none" w:sz="0" w:space="0" w:color="auto"/>
            <w:left w:val="none" w:sz="0" w:space="0" w:color="auto"/>
            <w:bottom w:val="none" w:sz="0" w:space="0" w:color="auto"/>
            <w:right w:val="none" w:sz="0" w:space="0" w:color="auto"/>
          </w:divBdr>
        </w:div>
        <w:div w:id="1434546076">
          <w:marLeft w:val="0"/>
          <w:marRight w:val="0"/>
          <w:marTop w:val="0"/>
          <w:marBottom w:val="0"/>
          <w:divBdr>
            <w:top w:val="none" w:sz="0" w:space="0" w:color="auto"/>
            <w:left w:val="none" w:sz="0" w:space="0" w:color="auto"/>
            <w:bottom w:val="none" w:sz="0" w:space="0" w:color="auto"/>
            <w:right w:val="none" w:sz="0" w:space="0" w:color="auto"/>
          </w:divBdr>
        </w:div>
        <w:div w:id="1632126204">
          <w:marLeft w:val="0"/>
          <w:marRight w:val="0"/>
          <w:marTop w:val="0"/>
          <w:marBottom w:val="0"/>
          <w:divBdr>
            <w:top w:val="none" w:sz="0" w:space="0" w:color="auto"/>
            <w:left w:val="none" w:sz="0" w:space="0" w:color="auto"/>
            <w:bottom w:val="none" w:sz="0" w:space="0" w:color="auto"/>
            <w:right w:val="none" w:sz="0" w:space="0" w:color="auto"/>
          </w:divBdr>
        </w:div>
        <w:div w:id="614483594">
          <w:marLeft w:val="0"/>
          <w:marRight w:val="0"/>
          <w:marTop w:val="0"/>
          <w:marBottom w:val="0"/>
          <w:divBdr>
            <w:top w:val="none" w:sz="0" w:space="0" w:color="auto"/>
            <w:left w:val="none" w:sz="0" w:space="0" w:color="auto"/>
            <w:bottom w:val="none" w:sz="0" w:space="0" w:color="auto"/>
            <w:right w:val="none" w:sz="0" w:space="0" w:color="auto"/>
          </w:divBdr>
        </w:div>
        <w:div w:id="892616624">
          <w:marLeft w:val="0"/>
          <w:marRight w:val="0"/>
          <w:marTop w:val="0"/>
          <w:marBottom w:val="0"/>
          <w:divBdr>
            <w:top w:val="none" w:sz="0" w:space="0" w:color="auto"/>
            <w:left w:val="none" w:sz="0" w:space="0" w:color="auto"/>
            <w:bottom w:val="none" w:sz="0" w:space="0" w:color="auto"/>
            <w:right w:val="none" w:sz="0" w:space="0" w:color="auto"/>
          </w:divBdr>
        </w:div>
        <w:div w:id="1869028537">
          <w:marLeft w:val="0"/>
          <w:marRight w:val="0"/>
          <w:marTop w:val="0"/>
          <w:marBottom w:val="0"/>
          <w:divBdr>
            <w:top w:val="none" w:sz="0" w:space="0" w:color="auto"/>
            <w:left w:val="none" w:sz="0" w:space="0" w:color="auto"/>
            <w:bottom w:val="none" w:sz="0" w:space="0" w:color="auto"/>
            <w:right w:val="none" w:sz="0" w:space="0" w:color="auto"/>
          </w:divBdr>
        </w:div>
        <w:div w:id="2090539605">
          <w:marLeft w:val="0"/>
          <w:marRight w:val="0"/>
          <w:marTop w:val="0"/>
          <w:marBottom w:val="0"/>
          <w:divBdr>
            <w:top w:val="none" w:sz="0" w:space="0" w:color="auto"/>
            <w:left w:val="none" w:sz="0" w:space="0" w:color="auto"/>
            <w:bottom w:val="none" w:sz="0" w:space="0" w:color="auto"/>
            <w:right w:val="none" w:sz="0" w:space="0" w:color="auto"/>
          </w:divBdr>
        </w:div>
        <w:div w:id="1308045639">
          <w:marLeft w:val="0"/>
          <w:marRight w:val="0"/>
          <w:marTop w:val="0"/>
          <w:marBottom w:val="0"/>
          <w:divBdr>
            <w:top w:val="none" w:sz="0" w:space="0" w:color="auto"/>
            <w:left w:val="none" w:sz="0" w:space="0" w:color="auto"/>
            <w:bottom w:val="none" w:sz="0" w:space="0" w:color="auto"/>
            <w:right w:val="none" w:sz="0" w:space="0" w:color="auto"/>
          </w:divBdr>
        </w:div>
        <w:div w:id="2032489811">
          <w:marLeft w:val="0"/>
          <w:marRight w:val="0"/>
          <w:marTop w:val="0"/>
          <w:marBottom w:val="0"/>
          <w:divBdr>
            <w:top w:val="none" w:sz="0" w:space="0" w:color="auto"/>
            <w:left w:val="none" w:sz="0" w:space="0" w:color="auto"/>
            <w:bottom w:val="none" w:sz="0" w:space="0" w:color="auto"/>
            <w:right w:val="none" w:sz="0" w:space="0" w:color="auto"/>
          </w:divBdr>
        </w:div>
        <w:div w:id="1879972840">
          <w:marLeft w:val="0"/>
          <w:marRight w:val="0"/>
          <w:marTop w:val="0"/>
          <w:marBottom w:val="0"/>
          <w:divBdr>
            <w:top w:val="none" w:sz="0" w:space="0" w:color="auto"/>
            <w:left w:val="none" w:sz="0" w:space="0" w:color="auto"/>
            <w:bottom w:val="none" w:sz="0" w:space="0" w:color="auto"/>
            <w:right w:val="none" w:sz="0" w:space="0" w:color="auto"/>
          </w:divBdr>
        </w:div>
        <w:div w:id="630793135">
          <w:marLeft w:val="0"/>
          <w:marRight w:val="0"/>
          <w:marTop w:val="0"/>
          <w:marBottom w:val="0"/>
          <w:divBdr>
            <w:top w:val="none" w:sz="0" w:space="0" w:color="auto"/>
            <w:left w:val="none" w:sz="0" w:space="0" w:color="auto"/>
            <w:bottom w:val="none" w:sz="0" w:space="0" w:color="auto"/>
            <w:right w:val="none" w:sz="0" w:space="0" w:color="auto"/>
          </w:divBdr>
        </w:div>
        <w:div w:id="224921911">
          <w:marLeft w:val="0"/>
          <w:marRight w:val="0"/>
          <w:marTop w:val="0"/>
          <w:marBottom w:val="0"/>
          <w:divBdr>
            <w:top w:val="none" w:sz="0" w:space="0" w:color="auto"/>
            <w:left w:val="none" w:sz="0" w:space="0" w:color="auto"/>
            <w:bottom w:val="none" w:sz="0" w:space="0" w:color="auto"/>
            <w:right w:val="none" w:sz="0" w:space="0" w:color="auto"/>
          </w:divBdr>
        </w:div>
        <w:div w:id="437601944">
          <w:marLeft w:val="0"/>
          <w:marRight w:val="0"/>
          <w:marTop w:val="0"/>
          <w:marBottom w:val="0"/>
          <w:divBdr>
            <w:top w:val="none" w:sz="0" w:space="0" w:color="auto"/>
            <w:left w:val="none" w:sz="0" w:space="0" w:color="auto"/>
            <w:bottom w:val="none" w:sz="0" w:space="0" w:color="auto"/>
            <w:right w:val="none" w:sz="0" w:space="0" w:color="auto"/>
          </w:divBdr>
        </w:div>
        <w:div w:id="1474177917">
          <w:marLeft w:val="0"/>
          <w:marRight w:val="0"/>
          <w:marTop w:val="0"/>
          <w:marBottom w:val="0"/>
          <w:divBdr>
            <w:top w:val="none" w:sz="0" w:space="0" w:color="auto"/>
            <w:left w:val="none" w:sz="0" w:space="0" w:color="auto"/>
            <w:bottom w:val="none" w:sz="0" w:space="0" w:color="auto"/>
            <w:right w:val="none" w:sz="0" w:space="0" w:color="auto"/>
          </w:divBdr>
        </w:div>
        <w:div w:id="1717660479">
          <w:marLeft w:val="0"/>
          <w:marRight w:val="0"/>
          <w:marTop w:val="0"/>
          <w:marBottom w:val="0"/>
          <w:divBdr>
            <w:top w:val="none" w:sz="0" w:space="0" w:color="auto"/>
            <w:left w:val="none" w:sz="0" w:space="0" w:color="auto"/>
            <w:bottom w:val="none" w:sz="0" w:space="0" w:color="auto"/>
            <w:right w:val="none" w:sz="0" w:space="0" w:color="auto"/>
          </w:divBdr>
        </w:div>
        <w:div w:id="1870142302">
          <w:marLeft w:val="0"/>
          <w:marRight w:val="0"/>
          <w:marTop w:val="0"/>
          <w:marBottom w:val="0"/>
          <w:divBdr>
            <w:top w:val="none" w:sz="0" w:space="0" w:color="auto"/>
            <w:left w:val="none" w:sz="0" w:space="0" w:color="auto"/>
            <w:bottom w:val="none" w:sz="0" w:space="0" w:color="auto"/>
            <w:right w:val="none" w:sz="0" w:space="0" w:color="auto"/>
          </w:divBdr>
        </w:div>
        <w:div w:id="2132436326">
          <w:marLeft w:val="0"/>
          <w:marRight w:val="0"/>
          <w:marTop w:val="0"/>
          <w:marBottom w:val="0"/>
          <w:divBdr>
            <w:top w:val="none" w:sz="0" w:space="0" w:color="auto"/>
            <w:left w:val="none" w:sz="0" w:space="0" w:color="auto"/>
            <w:bottom w:val="none" w:sz="0" w:space="0" w:color="auto"/>
            <w:right w:val="none" w:sz="0" w:space="0" w:color="auto"/>
          </w:divBdr>
        </w:div>
        <w:div w:id="613100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54FD4-6A73-4525-972A-ACE16F4CA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9024</Words>
  <Characters>54145</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2018-01-03T14:39:00Z</dcterms:created>
  <dcterms:modified xsi:type="dcterms:W3CDTF">2018-01-18T10:27:00Z</dcterms:modified>
</cp:coreProperties>
</file>