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EA2F12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486E30" w:rsidRPr="009A221A" w:rsidRDefault="00373AA7" w:rsidP="00E34B1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65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bookmarkStart w:id="0" w:name="ezdDataPodpisu"/>
      <w:r w:rsidRPr="009A221A">
        <w:rPr>
          <w:rFonts w:ascii="Arial" w:hAnsi="Arial" w:cs="Arial"/>
          <w:sz w:val="20"/>
          <w:szCs w:val="20"/>
        </w:rPr>
        <w:t>13 maja 2020</w:t>
      </w:r>
      <w:bookmarkEnd w:id="0"/>
    </w:p>
    <w:p w:rsidR="00420AC6" w:rsidRDefault="00373AA7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bookmarkStart w:id="1" w:name="ezdSprawaZnak"/>
      <w:r>
        <w:rPr>
          <w:rFonts w:ascii="Arial" w:hAnsi="Arial" w:cs="Arial"/>
          <w:sz w:val="20"/>
          <w:szCs w:val="20"/>
        </w:rPr>
        <w:t>DDR-III.053.5.2020</w:t>
      </w:r>
      <w:bookmarkEnd w:id="1"/>
    </w:p>
    <w:p w:rsidR="00AC6F29" w:rsidRDefault="00EA2F12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EA2F12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EA2F12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EA2F12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7B5139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105410</wp:posOffset>
                </wp:positionV>
                <wp:extent cx="2200275" cy="8001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00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289.8pt;margin-top:8.3pt;width:173.2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" fillcolor="black [3213]" strokecolor="#1f4d78 [1604]" strokeweight="1pt"/>
            </w:pict>
          </mc:Fallback>
        </mc:AlternateContent>
      </w:r>
    </w:p>
    <w:p w:rsidR="002E6B51" w:rsidRDefault="00373AA7" w:rsidP="002E6B51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E6B51" w:rsidRDefault="002E6B51" w:rsidP="002E6B51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E6B51" w:rsidRDefault="002E6B51" w:rsidP="002E6B51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E6B51" w:rsidRDefault="002E6B51" w:rsidP="002E6B51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7178D8" w:rsidRDefault="00373AA7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90E66" w:rsidRPr="007178D8" w:rsidRDefault="00373AA7" w:rsidP="007178D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2D2733" w:rsidRDefault="00373AA7" w:rsidP="002D2733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9946A3">
        <w:rPr>
          <w:rFonts w:ascii="Arial" w:hAnsi="Arial" w:cs="Arial"/>
          <w:b/>
          <w:sz w:val="20"/>
          <w:szCs w:val="20"/>
        </w:rPr>
        <w:t>Szanowny Panie</w:t>
      </w:r>
      <w:r>
        <w:rPr>
          <w:rFonts w:ascii="Arial" w:hAnsi="Arial" w:cs="Arial"/>
          <w:b/>
          <w:sz w:val="20"/>
          <w:szCs w:val="20"/>
        </w:rPr>
        <w:t>,</w:t>
      </w:r>
    </w:p>
    <w:p w:rsidR="0052005C" w:rsidRDefault="00373AA7" w:rsidP="00CE58A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Pańskie pismo przekazujące do wiadomości petycję z 21 kwietnia 2020 r., dotyczącą uniemożliwienia przedsiębiorcom uzyskującym pomoc w ramach tzw. tarczy antykryzysowej dochodzenia od samodzielnego publicznego zakładu opieki zdrowotnej kosztów wynikających z opóźnienia w zapłacie w transakcji handlowej albo sfinansowania tych kosztów przez Skarb Państwa, uprzejmie proszę o przyjęcie następujących wyjaśnień w zakresie właściwości Ministra Rozwoju.</w:t>
      </w:r>
    </w:p>
    <w:p w:rsidR="00B13F24" w:rsidRDefault="00373AA7" w:rsidP="00B13F2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 pierwszej kolejności wskazuję, że</w:t>
      </w:r>
      <w:r w:rsidRPr="00B13F2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ustawa z dnia 8 marca 2013 r. </w:t>
      </w:r>
      <w:r w:rsidRPr="00BE3B2F">
        <w:rPr>
          <w:rFonts w:ascii="Arial" w:hAnsi="Arial" w:cs="Arial"/>
          <w:sz w:val="20"/>
          <w:szCs w:val="20"/>
          <w:lang w:eastAsia="en-US"/>
        </w:rPr>
        <w:t xml:space="preserve">o przeciwdziałaniu nadmiernym opóźnieniom w transakcjach handlowych </w:t>
      </w:r>
      <w:r>
        <w:rPr>
          <w:rFonts w:ascii="Arial" w:hAnsi="Arial" w:cs="Arial"/>
          <w:sz w:val="20"/>
          <w:szCs w:val="20"/>
          <w:lang w:eastAsia="en-US"/>
        </w:rPr>
        <w:t>(dalej: „</w:t>
      </w:r>
      <w:r w:rsidRPr="00B13F24">
        <w:rPr>
          <w:rFonts w:ascii="Arial" w:hAnsi="Arial" w:cs="Arial"/>
          <w:sz w:val="20"/>
          <w:szCs w:val="20"/>
          <w:lang w:eastAsia="en-US"/>
        </w:rPr>
        <w:t>ustawa o przeciwdziałaniu nadmiernym opóźnieniom</w:t>
      </w:r>
      <w:r>
        <w:rPr>
          <w:rFonts w:ascii="Arial" w:hAnsi="Arial" w:cs="Arial"/>
          <w:sz w:val="20"/>
          <w:szCs w:val="20"/>
          <w:lang w:eastAsia="en-US"/>
        </w:rPr>
        <w:t>”)</w:t>
      </w:r>
      <w:r w:rsidRPr="00B13F24">
        <w:rPr>
          <w:rFonts w:ascii="Arial" w:hAnsi="Arial" w:cs="Arial"/>
          <w:sz w:val="20"/>
          <w:szCs w:val="20"/>
          <w:lang w:eastAsia="en-US"/>
        </w:rPr>
        <w:t xml:space="preserve"> stanowi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13F24">
        <w:rPr>
          <w:rFonts w:ascii="Arial" w:hAnsi="Arial" w:cs="Arial"/>
          <w:sz w:val="20"/>
          <w:szCs w:val="20"/>
          <w:lang w:eastAsia="en-US"/>
        </w:rPr>
        <w:t>implementację dyrektywy Parlamentu Europejskiego i Rady 2011/7/UE z dnia 16 lutego 2011 r. w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13F24">
        <w:rPr>
          <w:rFonts w:ascii="Arial" w:hAnsi="Arial" w:cs="Arial"/>
          <w:sz w:val="20"/>
          <w:szCs w:val="20"/>
          <w:lang w:eastAsia="en-US"/>
        </w:rPr>
        <w:t>sprawie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13F24">
        <w:rPr>
          <w:rFonts w:ascii="Arial" w:hAnsi="Arial" w:cs="Arial"/>
          <w:sz w:val="20"/>
          <w:szCs w:val="20"/>
          <w:lang w:eastAsia="en-US"/>
        </w:rPr>
        <w:t>zwalczania opóźnień w płatnościach w transakcjach handlowych</w:t>
      </w:r>
      <w:r>
        <w:rPr>
          <w:rFonts w:ascii="Arial" w:hAnsi="Arial" w:cs="Arial"/>
          <w:sz w:val="20"/>
          <w:szCs w:val="20"/>
          <w:lang w:eastAsia="en-US"/>
        </w:rPr>
        <w:t xml:space="preserve"> (dalej: dyrektywa </w:t>
      </w:r>
      <w:r w:rsidRPr="00BE3B2F">
        <w:rPr>
          <w:rFonts w:ascii="Arial" w:hAnsi="Arial" w:cs="Arial"/>
          <w:sz w:val="20"/>
          <w:szCs w:val="20"/>
          <w:lang w:eastAsia="en-US"/>
        </w:rPr>
        <w:t>2011/7/UE</w:t>
      </w:r>
      <w:r>
        <w:rPr>
          <w:rFonts w:ascii="Arial" w:hAnsi="Arial" w:cs="Arial"/>
          <w:sz w:val="20"/>
          <w:szCs w:val="20"/>
          <w:lang w:eastAsia="en-US"/>
        </w:rPr>
        <w:t>)</w:t>
      </w:r>
      <w:r w:rsidRPr="00B13F24">
        <w:rPr>
          <w:rFonts w:ascii="Arial" w:hAnsi="Arial" w:cs="Arial"/>
          <w:sz w:val="20"/>
          <w:szCs w:val="20"/>
          <w:lang w:eastAsia="en-US"/>
        </w:rPr>
        <w:t>. Tym samym ewentualne ograniczenie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13F24">
        <w:rPr>
          <w:rFonts w:ascii="Arial" w:hAnsi="Arial" w:cs="Arial"/>
          <w:sz w:val="20"/>
          <w:szCs w:val="20"/>
          <w:lang w:eastAsia="en-US"/>
        </w:rPr>
        <w:t xml:space="preserve">instrumentów zwalczania zatorów płatniczych </w:t>
      </w:r>
      <w:r>
        <w:rPr>
          <w:rFonts w:ascii="Arial" w:hAnsi="Arial" w:cs="Arial"/>
          <w:sz w:val="20"/>
          <w:szCs w:val="20"/>
          <w:lang w:eastAsia="en-US"/>
        </w:rPr>
        <w:t>może</w:t>
      </w:r>
      <w:r w:rsidRPr="00B13F24">
        <w:rPr>
          <w:rFonts w:ascii="Arial" w:hAnsi="Arial" w:cs="Arial"/>
          <w:sz w:val="20"/>
          <w:szCs w:val="20"/>
          <w:lang w:eastAsia="en-US"/>
        </w:rPr>
        <w:t xml:space="preserve"> nastąpić jedynie w odniesieniu do tych regulacji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13F24">
        <w:rPr>
          <w:rFonts w:ascii="Arial" w:hAnsi="Arial" w:cs="Arial"/>
          <w:sz w:val="20"/>
          <w:szCs w:val="20"/>
          <w:lang w:eastAsia="en-US"/>
        </w:rPr>
        <w:t>ustawy o przeciwdziałaniu nadmiernym opóźnieniom,</w:t>
      </w:r>
      <w:r>
        <w:rPr>
          <w:rFonts w:ascii="Arial" w:hAnsi="Arial" w:cs="Arial"/>
          <w:sz w:val="20"/>
          <w:szCs w:val="20"/>
          <w:lang w:eastAsia="en-US"/>
        </w:rPr>
        <w:t xml:space="preserve"> które wykraczają poza zakres</w:t>
      </w:r>
      <w:r w:rsidRPr="00B13F24">
        <w:rPr>
          <w:rFonts w:ascii="Arial" w:hAnsi="Arial" w:cs="Arial"/>
          <w:sz w:val="20"/>
          <w:szCs w:val="20"/>
          <w:lang w:eastAsia="en-US"/>
        </w:rPr>
        <w:t xml:space="preserve"> dyrektywy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3B2F">
        <w:rPr>
          <w:rFonts w:ascii="Arial" w:hAnsi="Arial" w:cs="Arial"/>
          <w:sz w:val="20"/>
          <w:szCs w:val="20"/>
          <w:lang w:eastAsia="en-US"/>
        </w:rPr>
        <w:t>2011/7/UE</w:t>
      </w:r>
      <w:r w:rsidRPr="00B13F24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 xml:space="preserve"> W tym kontekście należy zauważyć, że dyrektywa </w:t>
      </w:r>
      <w:r w:rsidRPr="00BE3B2F">
        <w:rPr>
          <w:rFonts w:ascii="Arial" w:hAnsi="Arial" w:cs="Arial"/>
          <w:sz w:val="20"/>
          <w:szCs w:val="20"/>
          <w:lang w:eastAsia="en-US"/>
        </w:rPr>
        <w:t xml:space="preserve">2011/7/UE </w:t>
      </w:r>
      <w:r>
        <w:rPr>
          <w:rFonts w:ascii="Arial" w:hAnsi="Arial" w:cs="Arial"/>
          <w:sz w:val="20"/>
          <w:szCs w:val="20"/>
          <w:lang w:eastAsia="en-US"/>
        </w:rPr>
        <w:t>pozwala na uprzywilejowanie</w:t>
      </w:r>
      <w:r w:rsidRPr="00031353">
        <w:rPr>
          <w:rFonts w:ascii="Arial" w:hAnsi="Arial" w:cs="Arial"/>
          <w:sz w:val="20"/>
          <w:szCs w:val="20"/>
        </w:rPr>
        <w:t xml:space="preserve"> </w:t>
      </w:r>
      <w:r w:rsidRPr="00031353">
        <w:rPr>
          <w:rFonts w:ascii="Arial" w:hAnsi="Arial" w:cs="Arial"/>
          <w:sz w:val="20"/>
          <w:szCs w:val="20"/>
          <w:lang w:eastAsia="en-US"/>
        </w:rPr>
        <w:t>podmiot</w:t>
      </w:r>
      <w:r>
        <w:rPr>
          <w:rFonts w:ascii="Arial" w:hAnsi="Arial" w:cs="Arial"/>
          <w:sz w:val="20"/>
          <w:szCs w:val="20"/>
          <w:lang w:eastAsia="en-US"/>
        </w:rPr>
        <w:t>ów</w:t>
      </w:r>
      <w:r w:rsidRPr="00031353">
        <w:rPr>
          <w:rFonts w:ascii="Arial" w:hAnsi="Arial" w:cs="Arial"/>
          <w:sz w:val="20"/>
          <w:szCs w:val="20"/>
          <w:lang w:eastAsia="en-US"/>
        </w:rPr>
        <w:t xml:space="preserve"> publiczn</w:t>
      </w:r>
      <w:r>
        <w:rPr>
          <w:rFonts w:ascii="Arial" w:hAnsi="Arial" w:cs="Arial"/>
          <w:sz w:val="20"/>
          <w:szCs w:val="20"/>
          <w:lang w:eastAsia="en-US"/>
        </w:rPr>
        <w:t>ych</w:t>
      </w:r>
      <w:r w:rsidRPr="00031353">
        <w:rPr>
          <w:rFonts w:ascii="Arial" w:hAnsi="Arial" w:cs="Arial"/>
          <w:sz w:val="20"/>
          <w:szCs w:val="20"/>
          <w:lang w:eastAsia="en-US"/>
        </w:rPr>
        <w:t xml:space="preserve"> będąc</w:t>
      </w:r>
      <w:r>
        <w:rPr>
          <w:rFonts w:ascii="Arial" w:hAnsi="Arial" w:cs="Arial"/>
          <w:sz w:val="20"/>
          <w:szCs w:val="20"/>
          <w:lang w:eastAsia="en-US"/>
        </w:rPr>
        <w:t>ych</w:t>
      </w:r>
      <w:r w:rsidRPr="00031353">
        <w:rPr>
          <w:rFonts w:ascii="Arial" w:hAnsi="Arial" w:cs="Arial"/>
          <w:sz w:val="20"/>
          <w:szCs w:val="20"/>
          <w:lang w:eastAsia="en-US"/>
        </w:rPr>
        <w:t xml:space="preserve"> podmiotami leczniczymi</w:t>
      </w:r>
      <w:r>
        <w:rPr>
          <w:rFonts w:ascii="Arial" w:hAnsi="Arial" w:cs="Arial"/>
          <w:sz w:val="20"/>
          <w:szCs w:val="20"/>
          <w:lang w:eastAsia="en-US"/>
        </w:rPr>
        <w:t xml:space="preserve">, w tym samodzielnego publicznego zakładu opieki zdrowotnej (dalej: „sp zoz”), w zakresie terminów zapłaty za dostarczony towar lub wykonaną usługę. W motywie 25 dyrektywy </w:t>
      </w:r>
      <w:r w:rsidRPr="00BE3B2F">
        <w:rPr>
          <w:rFonts w:ascii="Arial" w:hAnsi="Arial" w:cs="Arial"/>
          <w:sz w:val="20"/>
          <w:szCs w:val="20"/>
          <w:lang w:eastAsia="en-US"/>
        </w:rPr>
        <w:t xml:space="preserve">2011/7/UE </w:t>
      </w:r>
      <w:r>
        <w:rPr>
          <w:rFonts w:ascii="Arial" w:hAnsi="Arial" w:cs="Arial"/>
          <w:sz w:val="20"/>
          <w:szCs w:val="20"/>
          <w:lang w:eastAsia="en-US"/>
        </w:rPr>
        <w:t xml:space="preserve">jest zawarte następujące sformułowanie: </w:t>
      </w:r>
      <w:r w:rsidRPr="00BE3B2F">
        <w:rPr>
          <w:rFonts w:ascii="Arial" w:hAnsi="Arial" w:cs="Arial"/>
          <w:i/>
          <w:sz w:val="20"/>
          <w:szCs w:val="20"/>
          <w:lang w:eastAsia="en-US"/>
        </w:rPr>
        <w:t>„Szczególnie niepokojąca, jeśli chodzi o opóźnienia w płatnościach, jest sytuacja ochrony zdrowia w wielu państwach członkowskich. (…</w:t>
      </w:r>
      <w:r>
        <w:rPr>
          <w:rFonts w:ascii="Arial" w:hAnsi="Arial" w:cs="Arial"/>
          <w:i/>
          <w:sz w:val="20"/>
          <w:szCs w:val="20"/>
          <w:lang w:eastAsia="en-US"/>
        </w:rPr>
        <w:t>)</w:t>
      </w:r>
      <w:r w:rsidRPr="00BE3B2F">
        <w:rPr>
          <w:rFonts w:ascii="Arial" w:hAnsi="Arial" w:cs="Arial"/>
          <w:i/>
          <w:sz w:val="20"/>
          <w:szCs w:val="20"/>
          <w:lang w:eastAsia="en-US"/>
        </w:rPr>
        <w:t>W związku z tym państwa członkowskie powinny móc zezwalać publicznym jednostkom udzielającym świadczeń zdrowotnych na pewną elastyczność w realizacji ich zobowiązań. W</w:t>
      </w:r>
      <w:r>
        <w:rPr>
          <w:rFonts w:ascii="Arial" w:hAnsi="Arial" w:cs="Arial"/>
          <w:i/>
          <w:sz w:val="20"/>
          <w:szCs w:val="20"/>
          <w:lang w:eastAsia="en-US"/>
        </w:rPr>
        <w:t> </w:t>
      </w:r>
      <w:r w:rsidRPr="00BE3B2F">
        <w:rPr>
          <w:rFonts w:ascii="Arial" w:hAnsi="Arial" w:cs="Arial"/>
          <w:i/>
          <w:sz w:val="20"/>
          <w:szCs w:val="20"/>
          <w:lang w:eastAsia="en-US"/>
        </w:rPr>
        <w:t>tym celu państwa członkowskie powinny mieć pod pewnymi warunkami możliwość wydłużania ustawowego terminu płatności do maksymalnie 60 dni kalendarzowych. Państwa członkowskie powinny jednak dołożyć wszelkich starań, aby płatności w sektorze opieki zdrowotnej były dokonywane zgodnie z</w:t>
      </w:r>
      <w:r>
        <w:rPr>
          <w:rFonts w:ascii="Arial" w:hAnsi="Arial" w:cs="Arial"/>
          <w:i/>
          <w:sz w:val="20"/>
          <w:szCs w:val="20"/>
          <w:lang w:eastAsia="en-US"/>
        </w:rPr>
        <w:t> </w:t>
      </w:r>
      <w:r w:rsidRPr="00BE3B2F">
        <w:rPr>
          <w:rFonts w:ascii="Arial" w:hAnsi="Arial" w:cs="Arial"/>
          <w:i/>
          <w:sz w:val="20"/>
          <w:szCs w:val="20"/>
          <w:lang w:eastAsia="en-US"/>
        </w:rPr>
        <w:t>ustawowymi terminami płatności.”.</w:t>
      </w:r>
      <w:r>
        <w:rPr>
          <w:rFonts w:ascii="Arial" w:hAnsi="Arial" w:cs="Arial"/>
          <w:sz w:val="20"/>
          <w:szCs w:val="20"/>
          <w:lang w:eastAsia="en-US"/>
        </w:rPr>
        <w:t xml:space="preserve"> Wyrazem tego motywu jest art. 4 ust. 4 lit. b dyrektywy</w:t>
      </w:r>
      <w:r w:rsidRPr="00BE3B2F">
        <w:rPr>
          <w:rFonts w:ascii="Arial" w:hAnsi="Arial" w:cs="Arial"/>
          <w:sz w:val="20"/>
          <w:szCs w:val="20"/>
          <w:lang w:eastAsia="en-US"/>
        </w:rPr>
        <w:t>2011/7/UE</w:t>
      </w:r>
      <w:r>
        <w:rPr>
          <w:rFonts w:ascii="Arial" w:hAnsi="Arial" w:cs="Arial"/>
          <w:sz w:val="20"/>
          <w:szCs w:val="20"/>
          <w:lang w:eastAsia="en-US"/>
        </w:rPr>
        <w:t>, który stanowi, że pa</w:t>
      </w:r>
      <w:r w:rsidRPr="00824115">
        <w:rPr>
          <w:rFonts w:ascii="Arial" w:hAnsi="Arial" w:cs="Arial"/>
          <w:sz w:val="20"/>
          <w:szCs w:val="20"/>
          <w:lang w:eastAsia="en-US"/>
        </w:rPr>
        <w:t>ństwa członkowskie mogą wydłużyć termin</w:t>
      </w:r>
      <w:r>
        <w:rPr>
          <w:rFonts w:ascii="Arial" w:hAnsi="Arial" w:cs="Arial"/>
          <w:sz w:val="20"/>
          <w:szCs w:val="20"/>
          <w:lang w:eastAsia="en-US"/>
        </w:rPr>
        <w:t xml:space="preserve"> zapłaty w transakcjach handlowych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 do maksymalnie 60 dni kalendarzowych w odniesieniu do</w:t>
      </w:r>
      <w:r w:rsidRPr="00824115">
        <w:t xml:space="preserve"> </w:t>
      </w:r>
      <w:r w:rsidRPr="00824115">
        <w:rPr>
          <w:rFonts w:ascii="Arial" w:hAnsi="Arial" w:cs="Arial"/>
          <w:sz w:val="20"/>
          <w:szCs w:val="20"/>
          <w:lang w:eastAsia="en-US"/>
        </w:rPr>
        <w:t>jednostek publicznych udzielających świadczeń zdrowotnych, należycie uznanych do tych celów.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824115" w:rsidRDefault="00373AA7" w:rsidP="0082411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Polski ustawodawca skorzystał z tej możliwości i w art. 8 ust. 2 ustawy o przeciwdziałaniu nadmiernym opóźnieniom przewidział, że m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aksymalny termin spełnienia świadczenia pieniężnego w przypadku podmiotów publicznych będących podmiotami leczniczymi wynosi 60 dni, podczas gdy dla pozostałych podmiotów publicznych </w:t>
      </w:r>
      <w:r>
        <w:rPr>
          <w:rFonts w:ascii="Arial" w:hAnsi="Arial" w:cs="Arial"/>
          <w:sz w:val="20"/>
          <w:szCs w:val="20"/>
          <w:lang w:eastAsia="en-US"/>
        </w:rPr>
        <w:t>termin ten nie może przekroczyć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 30 dni. </w:t>
      </w:r>
    </w:p>
    <w:p w:rsidR="00A562A6" w:rsidRDefault="00373AA7" w:rsidP="0082411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Jednocześnie podmioty publiczne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 będąc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 podmiotami leczniczymi</w:t>
      </w:r>
      <w:r>
        <w:rPr>
          <w:rFonts w:ascii="Arial" w:hAnsi="Arial" w:cs="Arial"/>
          <w:sz w:val="20"/>
          <w:szCs w:val="20"/>
          <w:lang w:eastAsia="en-US"/>
        </w:rPr>
        <w:t xml:space="preserve"> na gruncie ustawy o przeciwdziałaniu nadmiernym opóźnieniom zobowiązane są do zapłaty niższych odsetek ustawowych za opóźnienia w transakcjach handlowych, które w ich przypadku </w:t>
      </w:r>
      <w:r w:rsidRPr="00824115">
        <w:rPr>
          <w:rFonts w:ascii="Arial" w:hAnsi="Arial" w:cs="Arial"/>
          <w:sz w:val="20"/>
          <w:szCs w:val="20"/>
          <w:lang w:eastAsia="en-US"/>
        </w:rPr>
        <w:t>stanowią sumę stopy referencyjnej Narodowego Banku Polskiego i 8 punktów pro</w:t>
      </w:r>
      <w:r>
        <w:rPr>
          <w:rFonts w:ascii="Arial" w:hAnsi="Arial" w:cs="Arial"/>
          <w:sz w:val="20"/>
          <w:szCs w:val="20"/>
          <w:lang w:eastAsia="en-US"/>
        </w:rPr>
        <w:t>centowych</w:t>
      </w:r>
      <w:r w:rsidRPr="00824115">
        <w:rPr>
          <w:rFonts w:ascii="Arial" w:hAnsi="Arial" w:cs="Arial"/>
          <w:sz w:val="20"/>
          <w:szCs w:val="20"/>
          <w:lang w:eastAsia="en-US"/>
        </w:rPr>
        <w:t>. Pozostałe podmioty będące dłużnikami w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transakcji handlowej obowiązane są do zapłaty wyższych odsetek, </w:t>
      </w:r>
      <w:r>
        <w:rPr>
          <w:rFonts w:ascii="Arial" w:hAnsi="Arial" w:cs="Arial"/>
          <w:sz w:val="20"/>
          <w:szCs w:val="20"/>
          <w:lang w:eastAsia="en-US"/>
        </w:rPr>
        <w:t>będących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sumą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 stopy referencyjnej Narodowego Banku Polskiego i 10 punktów procentowych (obecnie jest to 11,5%). </w:t>
      </w:r>
      <w:r>
        <w:rPr>
          <w:rFonts w:ascii="Arial" w:hAnsi="Arial" w:cs="Arial"/>
          <w:sz w:val="20"/>
          <w:szCs w:val="20"/>
          <w:lang w:eastAsia="en-US"/>
        </w:rPr>
        <w:t xml:space="preserve">Uprzywilejowanie podmiotów </w:t>
      </w:r>
      <w:r w:rsidRPr="00824115">
        <w:rPr>
          <w:rFonts w:ascii="Arial" w:hAnsi="Arial" w:cs="Arial"/>
          <w:sz w:val="20"/>
          <w:szCs w:val="20"/>
          <w:lang w:eastAsia="en-US"/>
        </w:rPr>
        <w:t>publiczn</w:t>
      </w:r>
      <w:r>
        <w:rPr>
          <w:rFonts w:ascii="Arial" w:hAnsi="Arial" w:cs="Arial"/>
          <w:sz w:val="20"/>
          <w:szCs w:val="20"/>
          <w:lang w:eastAsia="en-US"/>
        </w:rPr>
        <w:t>ych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 będąc</w:t>
      </w:r>
      <w:r>
        <w:rPr>
          <w:rFonts w:ascii="Arial" w:hAnsi="Arial" w:cs="Arial"/>
          <w:sz w:val="20"/>
          <w:szCs w:val="20"/>
          <w:lang w:eastAsia="en-US"/>
        </w:rPr>
        <w:t>ych</w:t>
      </w:r>
      <w:r w:rsidRPr="00824115">
        <w:rPr>
          <w:rFonts w:ascii="Arial" w:hAnsi="Arial" w:cs="Arial"/>
          <w:sz w:val="20"/>
          <w:szCs w:val="20"/>
          <w:lang w:eastAsia="en-US"/>
        </w:rPr>
        <w:t xml:space="preserve"> podmiotami leczniczymi</w:t>
      </w:r>
      <w:r>
        <w:rPr>
          <w:rFonts w:ascii="Arial" w:hAnsi="Arial" w:cs="Arial"/>
          <w:sz w:val="20"/>
          <w:szCs w:val="20"/>
          <w:lang w:eastAsia="en-US"/>
        </w:rPr>
        <w:t xml:space="preserve"> w tym aspekcie wynika z faktu, że ustawą z dnia z dnia 19 lipca 2019 r. </w:t>
      </w:r>
      <w:r w:rsidRPr="00BE3B2F">
        <w:rPr>
          <w:rFonts w:ascii="Arial" w:hAnsi="Arial" w:cs="Arial"/>
          <w:sz w:val="20"/>
          <w:szCs w:val="20"/>
          <w:lang w:eastAsia="en-US"/>
        </w:rPr>
        <w:t xml:space="preserve">o </w:t>
      </w:r>
      <w:r w:rsidRPr="00BE3B2F">
        <w:rPr>
          <w:rFonts w:ascii="Arial" w:hAnsi="Arial" w:cs="Arial"/>
          <w:sz w:val="20"/>
          <w:szCs w:val="20"/>
          <w:lang w:eastAsia="en-US"/>
        </w:rPr>
        <w:lastRenderedPageBreak/>
        <w:t>zmianie niektórych ustaw w celu ograniczenia zatorów płatniczych</w:t>
      </w:r>
      <w:r>
        <w:rPr>
          <w:rFonts w:ascii="Arial" w:hAnsi="Arial" w:cs="Arial"/>
          <w:sz w:val="20"/>
          <w:szCs w:val="20"/>
          <w:lang w:eastAsia="en-US"/>
        </w:rPr>
        <w:t xml:space="preserve"> podniesiona została wysokość odsetek ustawowych za opóźnienia w transakcjach handlowych powyżej minimalnej stawki wymaganej prawem unijnym. Jako że polski ustawodawca ustanowił w tym zakresie bardziej rygorystyczną regulację niż przewiduje dyrektywa </w:t>
      </w:r>
      <w:r w:rsidRPr="0052005C">
        <w:rPr>
          <w:rFonts w:ascii="Arial" w:hAnsi="Arial" w:cs="Arial"/>
          <w:sz w:val="20"/>
          <w:szCs w:val="20"/>
          <w:lang w:eastAsia="en-US"/>
        </w:rPr>
        <w:t>2011/7/UE</w:t>
      </w:r>
      <w:r>
        <w:rPr>
          <w:rFonts w:ascii="Arial" w:hAnsi="Arial" w:cs="Arial"/>
          <w:sz w:val="20"/>
          <w:szCs w:val="20"/>
          <w:lang w:eastAsia="en-US"/>
        </w:rPr>
        <w:t xml:space="preserve">, możliwe było uprzywilejowanie </w:t>
      </w:r>
      <w:r w:rsidRPr="00A562A6">
        <w:rPr>
          <w:rFonts w:ascii="Arial" w:hAnsi="Arial" w:cs="Arial"/>
          <w:sz w:val="20"/>
          <w:szCs w:val="20"/>
          <w:lang w:eastAsia="en-US"/>
        </w:rPr>
        <w:t>podmiot</w:t>
      </w:r>
      <w:r>
        <w:rPr>
          <w:rFonts w:ascii="Arial" w:hAnsi="Arial" w:cs="Arial"/>
          <w:sz w:val="20"/>
          <w:szCs w:val="20"/>
          <w:lang w:eastAsia="en-US"/>
        </w:rPr>
        <w:t>ów</w:t>
      </w:r>
      <w:r w:rsidRPr="00A562A6">
        <w:rPr>
          <w:rFonts w:ascii="Arial" w:hAnsi="Arial" w:cs="Arial"/>
          <w:sz w:val="20"/>
          <w:szCs w:val="20"/>
          <w:lang w:eastAsia="en-US"/>
        </w:rPr>
        <w:t xml:space="preserve"> publiczn</w:t>
      </w:r>
      <w:r>
        <w:rPr>
          <w:rFonts w:ascii="Arial" w:hAnsi="Arial" w:cs="Arial"/>
          <w:sz w:val="20"/>
          <w:szCs w:val="20"/>
          <w:lang w:eastAsia="en-US"/>
        </w:rPr>
        <w:t>ych</w:t>
      </w:r>
      <w:r w:rsidRPr="00A562A6">
        <w:rPr>
          <w:rFonts w:ascii="Arial" w:hAnsi="Arial" w:cs="Arial"/>
          <w:sz w:val="20"/>
          <w:szCs w:val="20"/>
          <w:lang w:eastAsia="en-US"/>
        </w:rPr>
        <w:t xml:space="preserve"> będąc</w:t>
      </w:r>
      <w:r>
        <w:rPr>
          <w:rFonts w:ascii="Arial" w:hAnsi="Arial" w:cs="Arial"/>
          <w:sz w:val="20"/>
          <w:szCs w:val="20"/>
          <w:lang w:eastAsia="en-US"/>
        </w:rPr>
        <w:t>ych</w:t>
      </w:r>
      <w:r w:rsidRPr="00A562A6">
        <w:rPr>
          <w:rFonts w:ascii="Arial" w:hAnsi="Arial" w:cs="Arial"/>
          <w:sz w:val="20"/>
          <w:szCs w:val="20"/>
          <w:lang w:eastAsia="en-US"/>
        </w:rPr>
        <w:t xml:space="preserve"> podmiotami leczniczymi</w:t>
      </w:r>
      <w:r>
        <w:rPr>
          <w:rFonts w:ascii="Arial" w:hAnsi="Arial" w:cs="Arial"/>
          <w:sz w:val="20"/>
          <w:szCs w:val="20"/>
          <w:lang w:eastAsia="en-US"/>
        </w:rPr>
        <w:t xml:space="preserve"> poprzez odniesienie do nich dotychczasowej stawki odsetek ustawowych za opóźnienia w transakcjach handlowych.</w:t>
      </w:r>
    </w:p>
    <w:p w:rsidR="00625BEE" w:rsidRDefault="00373AA7" w:rsidP="0082411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W tym kontekście uprzejmie wyjaśniam, że postulaty zawarte w niniejszej petycji – sprowadzające się do dalszego uprzywilejowania sp zoz-ów jako </w:t>
      </w:r>
      <w:r w:rsidRPr="00A562A6">
        <w:rPr>
          <w:rFonts w:ascii="Arial" w:hAnsi="Arial" w:cs="Arial"/>
          <w:sz w:val="20"/>
          <w:szCs w:val="20"/>
          <w:lang w:eastAsia="en-US"/>
        </w:rPr>
        <w:t>podmiot</w:t>
      </w:r>
      <w:r>
        <w:rPr>
          <w:rFonts w:ascii="Arial" w:hAnsi="Arial" w:cs="Arial"/>
          <w:sz w:val="20"/>
          <w:szCs w:val="20"/>
          <w:lang w:eastAsia="en-US"/>
        </w:rPr>
        <w:t>ów</w:t>
      </w:r>
      <w:r w:rsidRPr="00A562A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publicznych</w:t>
      </w:r>
      <w:r w:rsidRPr="00A562A6">
        <w:rPr>
          <w:rFonts w:ascii="Arial" w:hAnsi="Arial" w:cs="Arial"/>
          <w:sz w:val="20"/>
          <w:szCs w:val="20"/>
          <w:lang w:eastAsia="en-US"/>
        </w:rPr>
        <w:t xml:space="preserve"> będąc</w:t>
      </w:r>
      <w:r>
        <w:rPr>
          <w:rFonts w:ascii="Arial" w:hAnsi="Arial" w:cs="Arial"/>
          <w:sz w:val="20"/>
          <w:szCs w:val="20"/>
          <w:lang w:eastAsia="en-US"/>
        </w:rPr>
        <w:t>ych</w:t>
      </w:r>
      <w:r w:rsidRPr="00A562A6">
        <w:rPr>
          <w:rFonts w:ascii="Arial" w:hAnsi="Arial" w:cs="Arial"/>
          <w:sz w:val="20"/>
          <w:szCs w:val="20"/>
          <w:lang w:eastAsia="en-US"/>
        </w:rPr>
        <w:t xml:space="preserve"> podmiotami leczniczymi</w:t>
      </w:r>
      <w:r>
        <w:rPr>
          <w:rFonts w:ascii="Arial" w:hAnsi="Arial" w:cs="Arial"/>
          <w:sz w:val="20"/>
          <w:szCs w:val="20"/>
          <w:lang w:eastAsia="en-US"/>
        </w:rPr>
        <w:t xml:space="preserve"> względem innych stron transakcji handlowej – nie mogą zostać zrealizowane ze względu na związanie polskiego ustawodawcy przepisami dyrektywy </w:t>
      </w:r>
      <w:r w:rsidRPr="0052005C">
        <w:rPr>
          <w:rFonts w:ascii="Arial" w:hAnsi="Arial" w:cs="Arial"/>
          <w:sz w:val="20"/>
          <w:szCs w:val="20"/>
          <w:lang w:eastAsia="en-US"/>
        </w:rPr>
        <w:t>2011/7/UE</w:t>
      </w:r>
      <w:r>
        <w:rPr>
          <w:rFonts w:ascii="Arial" w:hAnsi="Arial" w:cs="Arial"/>
          <w:sz w:val="20"/>
          <w:szCs w:val="20"/>
          <w:lang w:eastAsia="en-US"/>
        </w:rPr>
        <w:t>. Konkluzja ta dotyczy także rozwiązań tymczasowych stosowanych w okresie obowiązywania w Polsce stanu epidemii oraz alternatywnej propozycji finansowania sp zoz-om przez Skarb Państwa kosztów odsetek za opóźnienia w transakcjach handlowych oraz rekompensat za koszty odzyskiwania należności. Rozważenia wymaga natomiast możliwość finansowego wsparcia sp zoz-ów ze środków państwa pod innymi tytułami – w tym zakresie właściwy jest Minister Zdrowia, do którego również została zaadresowana niniejsza petycja.</w:t>
      </w:r>
    </w:p>
    <w:p w:rsidR="000614DE" w:rsidRDefault="00EA2F12" w:rsidP="000614D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B13F24" w:rsidRPr="00B13F24" w:rsidRDefault="00EA2F12" w:rsidP="00B13F2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23FC8" w:rsidRPr="009946A3" w:rsidRDefault="00373AA7" w:rsidP="00A47044">
      <w:pPr>
        <w:tabs>
          <w:tab w:val="left" w:pos="5670"/>
        </w:tabs>
        <w:spacing w:line="260" w:lineRule="exact"/>
        <w:ind w:left="5670"/>
        <w:rPr>
          <w:rFonts w:ascii="Arial" w:hAnsi="Arial" w:cs="Arial"/>
          <w:b/>
          <w:sz w:val="20"/>
          <w:szCs w:val="20"/>
        </w:rPr>
      </w:pPr>
      <w:r w:rsidRPr="009946A3">
        <w:rPr>
          <w:rFonts w:ascii="Arial" w:hAnsi="Arial" w:cs="Arial"/>
          <w:b/>
          <w:sz w:val="20"/>
          <w:szCs w:val="20"/>
        </w:rPr>
        <w:t xml:space="preserve">Z poważaniem </w:t>
      </w:r>
    </w:p>
    <w:p w:rsidR="00C23FC8" w:rsidRDefault="00373AA7" w:rsidP="00E34B19">
      <w:pPr>
        <w:spacing w:line="260" w:lineRule="exact"/>
        <w:ind w:left="5670"/>
        <w:rPr>
          <w:rFonts w:ascii="Arial" w:hAnsi="Arial" w:cs="Arial"/>
          <w:sz w:val="20"/>
          <w:szCs w:val="20"/>
        </w:rPr>
      </w:pPr>
      <w:bookmarkStart w:id="3" w:name="ezdPracownikNazwa"/>
      <w:r>
        <w:rPr>
          <w:rFonts w:ascii="Arial" w:hAnsi="Arial" w:cs="Arial"/>
          <w:sz w:val="20"/>
          <w:szCs w:val="20"/>
        </w:rPr>
        <w:t>Piotr Kudelski</w:t>
      </w:r>
      <w:bookmarkEnd w:id="3"/>
    </w:p>
    <w:p w:rsidR="00E34B19" w:rsidRPr="00C23FC8" w:rsidRDefault="00373AA7" w:rsidP="00E34B19">
      <w:pPr>
        <w:spacing w:line="260" w:lineRule="exact"/>
        <w:ind w:left="5670"/>
        <w:rPr>
          <w:rFonts w:ascii="Arial" w:hAnsi="Arial" w:cs="Arial"/>
          <w:sz w:val="20"/>
          <w:szCs w:val="20"/>
        </w:rPr>
      </w:pPr>
      <w:bookmarkStart w:id="4" w:name="ezdPracownikStanowisko"/>
      <w:r w:rsidRPr="00C23FC8">
        <w:rPr>
          <w:rFonts w:ascii="Arial" w:hAnsi="Arial" w:cs="Arial"/>
          <w:sz w:val="20"/>
          <w:szCs w:val="20"/>
        </w:rPr>
        <w:t>Zastępca Dyrektora Departamentu</w:t>
      </w:r>
      <w:bookmarkEnd w:id="4"/>
    </w:p>
    <w:p w:rsidR="004A0B59" w:rsidRDefault="00EA2F12" w:rsidP="00C23FC8">
      <w:pPr>
        <w:rPr>
          <w:rFonts w:ascii="Arial" w:hAnsi="Arial" w:cs="Arial"/>
          <w:b/>
          <w:sz w:val="20"/>
          <w:szCs w:val="20"/>
        </w:rPr>
      </w:pPr>
    </w:p>
    <w:p w:rsidR="002C7FC9" w:rsidRPr="007F6DAF" w:rsidRDefault="00EA2F12" w:rsidP="00C23FC8">
      <w:pPr>
        <w:rPr>
          <w:rFonts w:ascii="Arial" w:hAnsi="Arial" w:cs="Arial"/>
          <w:b/>
          <w:sz w:val="20"/>
          <w:szCs w:val="20"/>
        </w:rPr>
      </w:pPr>
    </w:p>
    <w:p w:rsidR="00A47044" w:rsidRPr="007F6DAF" w:rsidRDefault="00373AA7" w:rsidP="0089562A">
      <w:pPr>
        <w:ind w:left="5670"/>
        <w:rPr>
          <w:rFonts w:ascii="Arial" w:hAnsi="Arial" w:cs="Arial"/>
          <w:sz w:val="20"/>
          <w:szCs w:val="20"/>
        </w:rPr>
      </w:pPr>
      <w:r w:rsidRPr="007F6DAF">
        <w:rPr>
          <w:rFonts w:ascii="Arial" w:hAnsi="Arial" w:cs="Arial"/>
          <w:sz w:val="20"/>
          <w:szCs w:val="20"/>
        </w:rPr>
        <w:t>[podpisano elektronicznie]</w:t>
      </w:r>
    </w:p>
    <w:p w:rsidR="00A47044" w:rsidRDefault="00EA2F12" w:rsidP="00C23FC8">
      <w:pPr>
        <w:rPr>
          <w:rFonts w:ascii="Arial" w:hAnsi="Arial" w:cs="Arial"/>
          <w:sz w:val="20"/>
          <w:szCs w:val="20"/>
        </w:rPr>
      </w:pPr>
    </w:p>
    <w:p w:rsidR="002C7FC9" w:rsidRDefault="00EA2F12" w:rsidP="002C7FC9">
      <w:pPr>
        <w:rPr>
          <w:rFonts w:ascii="Arial" w:hAnsi="Arial" w:cs="Arial"/>
          <w:sz w:val="20"/>
          <w:szCs w:val="20"/>
        </w:rPr>
      </w:pPr>
    </w:p>
    <w:p w:rsidR="007F6DAF" w:rsidRDefault="00EA2F12" w:rsidP="002C7FC9">
      <w:pPr>
        <w:rPr>
          <w:rFonts w:ascii="Arial" w:hAnsi="Arial" w:cs="Arial"/>
          <w:sz w:val="20"/>
          <w:szCs w:val="20"/>
        </w:rPr>
      </w:pPr>
    </w:p>
    <w:p w:rsidR="007F6DAF" w:rsidRDefault="00EA2F12" w:rsidP="002C7FC9">
      <w:pPr>
        <w:rPr>
          <w:rFonts w:ascii="Arial" w:hAnsi="Arial" w:cs="Arial"/>
          <w:sz w:val="20"/>
          <w:szCs w:val="20"/>
        </w:rPr>
      </w:pPr>
    </w:p>
    <w:p w:rsidR="007F6DAF" w:rsidRDefault="00EA2F12" w:rsidP="002C7FC9">
      <w:pPr>
        <w:rPr>
          <w:rFonts w:ascii="Arial" w:hAnsi="Arial" w:cs="Arial"/>
          <w:sz w:val="20"/>
          <w:szCs w:val="20"/>
        </w:rPr>
      </w:pPr>
    </w:p>
    <w:p w:rsidR="00EB5A39" w:rsidRDefault="00EA2F12" w:rsidP="002C7FC9">
      <w:pPr>
        <w:rPr>
          <w:rFonts w:ascii="Arial" w:hAnsi="Arial" w:cs="Arial"/>
          <w:sz w:val="20"/>
          <w:szCs w:val="20"/>
        </w:rPr>
      </w:pPr>
    </w:p>
    <w:p w:rsidR="007F6DAF" w:rsidRDefault="00EA2F12" w:rsidP="002C7FC9">
      <w:pPr>
        <w:rPr>
          <w:rFonts w:ascii="Arial" w:hAnsi="Arial" w:cs="Arial"/>
          <w:sz w:val="20"/>
          <w:szCs w:val="20"/>
        </w:rPr>
      </w:pPr>
    </w:p>
    <w:p w:rsidR="007F6DAF" w:rsidRDefault="00EA2F12" w:rsidP="002C7FC9">
      <w:pPr>
        <w:rPr>
          <w:rFonts w:ascii="Arial" w:hAnsi="Arial" w:cs="Arial"/>
          <w:sz w:val="20"/>
          <w:szCs w:val="20"/>
        </w:rPr>
      </w:pPr>
    </w:p>
    <w:p w:rsidR="002C7FC9" w:rsidRDefault="00373AA7" w:rsidP="00EB5A3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wiadomości:</w:t>
      </w:r>
    </w:p>
    <w:p w:rsidR="002C7FC9" w:rsidRDefault="00373AA7" w:rsidP="00EB5A39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Zdrowia;</w:t>
      </w:r>
    </w:p>
    <w:p w:rsidR="002C7FC9" w:rsidRDefault="00373AA7" w:rsidP="00EB5A39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Kontroli MR.</w:t>
      </w:r>
    </w:p>
    <w:p w:rsidR="004A36F0" w:rsidRDefault="00EA2F12" w:rsidP="004A36F0">
      <w:pPr>
        <w:spacing w:line="360" w:lineRule="auto"/>
        <w:rPr>
          <w:rFonts w:ascii="Arial" w:hAnsi="Arial" w:cs="Arial"/>
          <w:sz w:val="20"/>
          <w:szCs w:val="20"/>
        </w:rPr>
      </w:pPr>
    </w:p>
    <w:p w:rsidR="00BC0D8D" w:rsidRPr="00697B2B" w:rsidRDefault="00EA2F12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7F6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446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12" w:rsidRDefault="00EA2F12">
      <w:r>
        <w:separator/>
      </w:r>
    </w:p>
  </w:endnote>
  <w:endnote w:type="continuationSeparator" w:id="0">
    <w:p w:rsidR="00EA2F12" w:rsidRDefault="00E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373AA7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EA2F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9946A3" w:rsidRDefault="00EA2F12" w:rsidP="0084388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66386522"/>
        <w:placeholder>
          <w:docPart w:val="CC37ADE27E7E4A1097156A08E3020A3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73AA7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373AA7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Default="00EA2F12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EA2F12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73AA7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373AA7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inisterstwo Rozwoju, Plac Trzech Krzyży 3/5, </w:t>
    </w:r>
    <w:r w:rsidR="00373AA7">
      <w:rPr>
        <w:rFonts w:ascii="Arial" w:hAnsi="Arial" w:cs="Arial"/>
        <w:iCs/>
        <w:color w:val="8C8C8C" w:themeColor="background1" w:themeShade="8C"/>
        <w:sz w:val="16"/>
        <w:szCs w:val="16"/>
      </w:rPr>
      <w:t>00-507 Warszawa, tel. +48 22 411</w:t>
    </w:r>
    <w:r w:rsidR="00373AA7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90 00, www.gov.pl/rozwoj</w:t>
    </w:r>
  </w:p>
  <w:p w:rsidR="00AD2F91" w:rsidRPr="001E25BD" w:rsidRDefault="00EA2F12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12" w:rsidRDefault="00EA2F12">
      <w:r>
        <w:separator/>
      </w:r>
    </w:p>
  </w:footnote>
  <w:footnote w:type="continuationSeparator" w:id="0">
    <w:p w:rsidR="00EA2F12" w:rsidRDefault="00EA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3F" w:rsidRDefault="00EA2F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3F" w:rsidRDefault="00EA2F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373AA7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136525</wp:posOffset>
              </wp:positionH>
              <wp:positionV relativeFrom="paragraph">
                <wp:posOffset>1497330</wp:posOffset>
              </wp:positionV>
              <wp:extent cx="1555115" cy="0"/>
              <wp:effectExtent l="0" t="0" r="26035" b="19050"/>
              <wp:wrapNone/>
              <wp:docPr id="2064220490" name="Łącznik prostoliniowy 20642204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551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oliniowy 2064220490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10.75pt,117.9pt" to="133.2pt,117.9pt" strokecolor="black" strokeweight="0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373AA7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784633547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373AA7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MINISTERSTWO</w:t>
                          </w:r>
                        </w:p>
                        <w:p w:rsidR="00290E66" w:rsidRPr="001D3444" w:rsidRDefault="00373AA7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EA2F12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373AA7" w:rsidP="00F44A1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DEPARTAMENT DOSKONALENIA REGULACJI GOSPODARCZYCH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2050" type="#_x0000_t202" style="height:133.3pt;margin-left:-31.55pt;margin-top:36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06.6pt;z-index:251661312" stroked="f">
              <v:textbox>
                <w:txbxContent>
                  <w:p w:rsidR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977820702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  <w:r>
                      <w:rPr>
                        <w:color w:val="000000"/>
                      </w:rPr>
                      <w:t>STWO</w:t>
                    </w:r>
                  </w:p>
                  <w:p w:rsidR="00290E66" w:rsidRPr="001D3444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P="00F44A1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DEPARTAMENT </w:t>
                    </w:r>
                    <w:r>
                      <w:rPr>
                        <w:color w:val="000000" w:themeColor="text1"/>
                      </w:rPr>
                      <w:t>DOSKONALENIA REGULACJI GOSPODARCZYCH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Łącznik prostoliniowy 4" o:spid="_x0000_s2051" style="flip:y;mso-wrap-distance-bottom:0;mso-wrap-distance-left:9pt;mso-wrap-distance-right:9pt;mso-wrap-distance-top:0;mso-wrap-style:square;position:absolute;visibility:visible;z-index:251659264" from="-12.45pt,110.95pt" to="142.9pt,111.5pt" strokecolor="#5b9bd5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6E624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32F714" w:tentative="1">
      <w:start w:val="1"/>
      <w:numFmt w:val="lowerLetter"/>
      <w:lvlText w:val="%2."/>
      <w:lvlJc w:val="left"/>
      <w:pPr>
        <w:ind w:left="1440" w:hanging="360"/>
      </w:pPr>
    </w:lvl>
    <w:lvl w:ilvl="2" w:tplc="3D0A0224" w:tentative="1">
      <w:start w:val="1"/>
      <w:numFmt w:val="lowerRoman"/>
      <w:lvlText w:val="%3."/>
      <w:lvlJc w:val="right"/>
      <w:pPr>
        <w:ind w:left="2160" w:hanging="180"/>
      </w:pPr>
    </w:lvl>
    <w:lvl w:ilvl="3" w:tplc="8DCEA47C" w:tentative="1">
      <w:start w:val="1"/>
      <w:numFmt w:val="decimal"/>
      <w:lvlText w:val="%4."/>
      <w:lvlJc w:val="left"/>
      <w:pPr>
        <w:ind w:left="2880" w:hanging="360"/>
      </w:pPr>
    </w:lvl>
    <w:lvl w:ilvl="4" w:tplc="C11868B8" w:tentative="1">
      <w:start w:val="1"/>
      <w:numFmt w:val="lowerLetter"/>
      <w:lvlText w:val="%5."/>
      <w:lvlJc w:val="left"/>
      <w:pPr>
        <w:ind w:left="3600" w:hanging="360"/>
      </w:pPr>
    </w:lvl>
    <w:lvl w:ilvl="5" w:tplc="F0D26BD8" w:tentative="1">
      <w:start w:val="1"/>
      <w:numFmt w:val="lowerRoman"/>
      <w:lvlText w:val="%6."/>
      <w:lvlJc w:val="right"/>
      <w:pPr>
        <w:ind w:left="4320" w:hanging="180"/>
      </w:pPr>
    </w:lvl>
    <w:lvl w:ilvl="6" w:tplc="C186E390" w:tentative="1">
      <w:start w:val="1"/>
      <w:numFmt w:val="decimal"/>
      <w:lvlText w:val="%7."/>
      <w:lvlJc w:val="left"/>
      <w:pPr>
        <w:ind w:left="5040" w:hanging="360"/>
      </w:pPr>
    </w:lvl>
    <w:lvl w:ilvl="7" w:tplc="A8C03CE2" w:tentative="1">
      <w:start w:val="1"/>
      <w:numFmt w:val="lowerLetter"/>
      <w:lvlText w:val="%8."/>
      <w:lvlJc w:val="left"/>
      <w:pPr>
        <w:ind w:left="5760" w:hanging="360"/>
      </w:pPr>
    </w:lvl>
    <w:lvl w:ilvl="8" w:tplc="20A80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CFAE0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56F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2891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C6A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4ED0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9C23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8F26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B844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2458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B89A5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ECA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882E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A89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4EC6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4C5C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56C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B483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68C5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A1"/>
    <w:rsid w:val="002E6B51"/>
    <w:rsid w:val="00373AA7"/>
    <w:rsid w:val="007B5139"/>
    <w:rsid w:val="00D14AA1"/>
    <w:rsid w:val="00E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BE3B2F"/>
    <w:rPr>
      <w:color w:val="0563C1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7178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BE3B2F"/>
    <w:rPr>
      <w:color w:val="0563C1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717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37ADE27E7E4A1097156A08E3020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2B2BE-8EA4-47A9-8AB6-FE2C5AD72AB1}"/>
      </w:docPartPr>
      <w:docPartBody>
        <w:p w:rsidR="00CD477B" w:rsidRDefault="00616A3D" w:rsidP="0048507E">
          <w:pPr>
            <w:pStyle w:val="CC37ADE27E7E4A1097156A08E3020A3E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616A3D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D"/>
    <w:rsid w:val="000376CA"/>
    <w:rsid w:val="0061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222-1B45-4315-AA3E-AFA0E11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Joanna Pohl</cp:lastModifiedBy>
  <cp:revision>2</cp:revision>
  <cp:lastPrinted>2015-11-16T13:16:00Z</cp:lastPrinted>
  <dcterms:created xsi:type="dcterms:W3CDTF">2020-05-14T12:25:00Z</dcterms:created>
  <dcterms:modified xsi:type="dcterms:W3CDTF">2020-05-14T12:25:00Z</dcterms:modified>
</cp:coreProperties>
</file>