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A8E4" w14:textId="5FC34EE1" w:rsidR="001979FE" w:rsidRDefault="001979FE" w:rsidP="003414F0">
      <w:pPr>
        <w:pStyle w:val="Akapitzlist"/>
        <w:numPr>
          <w:ilvl w:val="0"/>
          <w:numId w:val="1"/>
        </w:numPr>
        <w:spacing w:line="276" w:lineRule="auto"/>
        <w:rPr>
          <w:rFonts w:eastAsia="Times New Roman"/>
          <w:b/>
          <w:bCs/>
          <w:sz w:val="22"/>
          <w:szCs w:val="22"/>
          <w:lang w:eastAsia="en-US"/>
        </w:rPr>
      </w:pPr>
      <w:r>
        <w:rPr>
          <w:rFonts w:eastAsia="Times New Roman"/>
          <w:b/>
          <w:bCs/>
          <w:sz w:val="22"/>
          <w:szCs w:val="22"/>
          <w:lang w:eastAsia="en-US"/>
        </w:rPr>
        <w:t>Co należy rozumieć pod pojęciem „linia pilotażowa” i „prototyp”</w:t>
      </w:r>
      <w:r w:rsidR="0066249F">
        <w:rPr>
          <w:rFonts w:eastAsia="Times New Roman"/>
          <w:b/>
          <w:bCs/>
          <w:sz w:val="22"/>
          <w:szCs w:val="22"/>
          <w:lang w:eastAsia="en-US"/>
        </w:rPr>
        <w:t>?</w:t>
      </w:r>
    </w:p>
    <w:p w14:paraId="1196081A" w14:textId="77777777" w:rsidR="001979FE" w:rsidRDefault="001979FE" w:rsidP="003414F0">
      <w:pPr>
        <w:pStyle w:val="Akapitzlist"/>
        <w:spacing w:line="276" w:lineRule="auto"/>
        <w:rPr>
          <w:sz w:val="22"/>
          <w:szCs w:val="22"/>
          <w:lang w:eastAsia="en-US"/>
        </w:rPr>
      </w:pPr>
      <w:r>
        <w:rPr>
          <w:sz w:val="22"/>
          <w:szCs w:val="22"/>
          <w:lang w:eastAsia="en-US"/>
        </w:rPr>
        <w:t xml:space="preserve">Odp. Linia pilotażowa to przedkomercyjna linia produkcyjna, która </w:t>
      </w:r>
      <w:r w:rsidRPr="001979FE">
        <w:rPr>
          <w:b/>
          <w:bCs/>
          <w:sz w:val="22"/>
          <w:szCs w:val="22"/>
          <w:lang w:eastAsia="en-US"/>
        </w:rPr>
        <w:t>wytwarza niewielkie ilości produktów opartych na nowej technologii lub wykorzystuje nową technologię produkcji jako krok w kierunku komercjalizacji nowej technologii</w:t>
      </w:r>
      <w:r>
        <w:rPr>
          <w:sz w:val="22"/>
          <w:szCs w:val="22"/>
          <w:lang w:eastAsia="en-US"/>
        </w:rPr>
        <w:t>.</w:t>
      </w:r>
    </w:p>
    <w:p w14:paraId="43C175AF" w14:textId="77777777" w:rsidR="001979FE" w:rsidRDefault="001979FE" w:rsidP="003414F0">
      <w:pPr>
        <w:pStyle w:val="Akapitzlist"/>
        <w:spacing w:line="276" w:lineRule="auto"/>
        <w:rPr>
          <w:sz w:val="22"/>
          <w:szCs w:val="22"/>
          <w:lang w:eastAsia="en-US"/>
        </w:rPr>
      </w:pPr>
      <w:r>
        <w:rPr>
          <w:sz w:val="22"/>
          <w:szCs w:val="22"/>
          <w:lang w:eastAsia="en-US"/>
        </w:rPr>
        <w:t>Prototyp natomiast, zgodnie z Podręcznikiem Frascati OECD, jest to oryginalny model skonstruowany w sposób pozwalający na uwzględnienie w nim wszystkich danych technicznych i osiągów nowego produktu.</w:t>
      </w:r>
    </w:p>
    <w:p w14:paraId="6FCC82CD" w14:textId="77777777" w:rsidR="001979FE" w:rsidRDefault="001979FE" w:rsidP="003414F0">
      <w:pPr>
        <w:pStyle w:val="Akapitzlist"/>
        <w:spacing w:line="276" w:lineRule="auto"/>
        <w:rPr>
          <w:sz w:val="22"/>
          <w:szCs w:val="22"/>
          <w:lang w:eastAsia="en-US"/>
        </w:rPr>
      </w:pPr>
    </w:p>
    <w:p w14:paraId="13C2F693" w14:textId="3EAF05AD" w:rsidR="001979FE" w:rsidRDefault="001979FE" w:rsidP="003414F0">
      <w:pPr>
        <w:pStyle w:val="Akapitzlist"/>
        <w:numPr>
          <w:ilvl w:val="0"/>
          <w:numId w:val="1"/>
        </w:numPr>
        <w:spacing w:line="276" w:lineRule="auto"/>
        <w:rPr>
          <w:rFonts w:eastAsia="Times New Roman"/>
          <w:b/>
          <w:bCs/>
          <w:sz w:val="22"/>
          <w:szCs w:val="22"/>
          <w:lang w:eastAsia="en-US"/>
        </w:rPr>
      </w:pPr>
      <w:r>
        <w:rPr>
          <w:rFonts w:eastAsia="Times New Roman"/>
          <w:b/>
          <w:bCs/>
          <w:sz w:val="22"/>
          <w:szCs w:val="22"/>
          <w:lang w:eastAsia="en-US"/>
        </w:rPr>
        <w:t>Czy w ramach kosztów kwalifikowanych</w:t>
      </w:r>
      <w:r w:rsidR="0066249F">
        <w:rPr>
          <w:rFonts w:eastAsia="Times New Roman"/>
          <w:b/>
          <w:bCs/>
          <w:sz w:val="22"/>
          <w:szCs w:val="22"/>
          <w:lang w:eastAsia="en-US"/>
        </w:rPr>
        <w:t xml:space="preserve"> modułu B+R</w:t>
      </w:r>
      <w:r>
        <w:rPr>
          <w:rFonts w:eastAsia="Times New Roman"/>
          <w:b/>
          <w:bCs/>
          <w:sz w:val="22"/>
          <w:szCs w:val="22"/>
          <w:lang w:eastAsia="en-US"/>
        </w:rPr>
        <w:t xml:space="preserve"> można rozliczać elementy składowe linii pilotażowych</w:t>
      </w:r>
      <w:r w:rsidR="0066249F">
        <w:rPr>
          <w:rFonts w:eastAsia="Times New Roman"/>
          <w:b/>
          <w:bCs/>
          <w:sz w:val="22"/>
          <w:szCs w:val="22"/>
          <w:lang w:eastAsia="en-US"/>
        </w:rPr>
        <w:t>?</w:t>
      </w:r>
    </w:p>
    <w:p w14:paraId="397A21DF" w14:textId="76F421D8" w:rsidR="001979FE" w:rsidRDefault="001979FE" w:rsidP="003414F0">
      <w:pPr>
        <w:pStyle w:val="Akapitzlist"/>
        <w:spacing w:line="276" w:lineRule="auto"/>
        <w:rPr>
          <w:sz w:val="22"/>
          <w:szCs w:val="22"/>
          <w:lang w:eastAsia="en-US"/>
        </w:rPr>
      </w:pPr>
      <w:r>
        <w:rPr>
          <w:sz w:val="22"/>
          <w:szCs w:val="22"/>
          <w:lang w:eastAsia="en-US"/>
        </w:rPr>
        <w:t xml:space="preserve">Odp. Możliwość uznania kosztów linii pilotażowych/demonstracyjnych/prototypów oraz ich elementów składowych jako koszty kwalifikowane w projekcie zależy od: charakteru projektu, zakresu prac B+R określonych we wniosku o dofinansowanie i faktycznie realizowanych. </w:t>
      </w:r>
    </w:p>
    <w:p w14:paraId="1D7231E5" w14:textId="0B8DFF4E" w:rsidR="001979FE" w:rsidRDefault="001979FE" w:rsidP="003414F0">
      <w:pPr>
        <w:pStyle w:val="Akapitzlist"/>
        <w:spacing w:line="276" w:lineRule="auto"/>
        <w:rPr>
          <w:sz w:val="22"/>
          <w:szCs w:val="22"/>
          <w:lang w:eastAsia="en-US"/>
        </w:rPr>
      </w:pPr>
      <w:r>
        <w:rPr>
          <w:sz w:val="22"/>
          <w:szCs w:val="22"/>
          <w:lang w:eastAsia="en-US"/>
        </w:rPr>
        <w:t>Przede wszystkim należy zweryfikować, czy stanowią one część projektu badawczo-rozwojowego w rozumieniu GBER, a tym samym, że w konkretnym przypadku wpisują się w definicję badań rozwojowych lub/i eksperymentalnych prac rozwojowych.</w:t>
      </w:r>
    </w:p>
    <w:p w14:paraId="40F0D56A" w14:textId="77777777" w:rsidR="001979FE" w:rsidRDefault="001979FE" w:rsidP="003414F0">
      <w:pPr>
        <w:pStyle w:val="Akapitzlist"/>
        <w:spacing w:line="276" w:lineRule="auto"/>
        <w:rPr>
          <w:sz w:val="22"/>
          <w:szCs w:val="22"/>
          <w:lang w:eastAsia="en-US"/>
        </w:rPr>
      </w:pPr>
      <w:r>
        <w:rPr>
          <w:sz w:val="22"/>
          <w:szCs w:val="22"/>
          <w:lang w:eastAsia="en-US"/>
        </w:rPr>
        <w:t>Zgodnie z GBER:</w:t>
      </w:r>
    </w:p>
    <w:p w14:paraId="72381853" w14:textId="77777777" w:rsidR="001979FE" w:rsidRDefault="001979FE" w:rsidP="003414F0">
      <w:pPr>
        <w:pStyle w:val="Akapitzlist"/>
        <w:numPr>
          <w:ilvl w:val="0"/>
          <w:numId w:val="2"/>
        </w:numPr>
        <w:spacing w:line="276" w:lineRule="auto"/>
        <w:rPr>
          <w:rFonts w:eastAsia="Times New Roman"/>
          <w:sz w:val="22"/>
          <w:szCs w:val="22"/>
          <w:lang w:eastAsia="en-US"/>
        </w:rPr>
      </w:pPr>
      <w:r>
        <w:rPr>
          <w:rFonts w:eastAsia="Times New Roman"/>
          <w:sz w:val="22"/>
          <w:szCs w:val="22"/>
          <w:u w:val="single"/>
          <w:lang w:eastAsia="en-US"/>
        </w:rPr>
        <w:t>badania przemysłowe</w:t>
      </w:r>
      <w:r>
        <w:rPr>
          <w:rFonts w:eastAsia="Times New Roman"/>
          <w:sz w:val="22"/>
          <w:szCs w:val="22"/>
          <w:lang w:eastAsia="en-US"/>
        </w:rPr>
        <w:t xml:space="preserve"> - oznaczają badania planowane lub badania krytyczne mające na celu zdobycie nowej wiedzy oraz umiejętności celem opracowania nowych produktów, procesów lub usług, lub też wprowadzenia znaczących ulepszeń do istniejących produktów, procesów lub usług. Uwzględniają one tworzenie elementów składowych systemów złożonych i </w:t>
      </w:r>
      <w:r>
        <w:rPr>
          <w:rFonts w:eastAsia="Times New Roman"/>
          <w:b/>
          <w:bCs/>
          <w:sz w:val="22"/>
          <w:szCs w:val="22"/>
          <w:lang w:eastAsia="en-US"/>
        </w:rPr>
        <w:t>mogą obejmować budowę prototypów w środowisku laboratoryjnym lub środowisku interfejsu symulującego istniejące systemy, a także linii pilotażowych, kiedy są one konieczne do badań przemysłowych, a zwłaszcza uzyskania dowodu w przypadku technologii generycznych</w:t>
      </w:r>
      <w:r>
        <w:rPr>
          <w:rFonts w:eastAsia="Times New Roman"/>
          <w:sz w:val="22"/>
          <w:szCs w:val="22"/>
          <w:lang w:eastAsia="en-US"/>
        </w:rPr>
        <w:t>;</w:t>
      </w:r>
    </w:p>
    <w:p w14:paraId="6D0A19AB" w14:textId="77777777" w:rsidR="001979FE" w:rsidRDefault="001979FE" w:rsidP="003414F0">
      <w:pPr>
        <w:pStyle w:val="Akapitzlist"/>
        <w:spacing w:line="276" w:lineRule="auto"/>
        <w:rPr>
          <w:sz w:val="22"/>
          <w:szCs w:val="22"/>
          <w:lang w:eastAsia="en-US"/>
        </w:rPr>
      </w:pPr>
    </w:p>
    <w:p w14:paraId="37879627" w14:textId="77777777" w:rsidR="001979FE" w:rsidRDefault="001979FE" w:rsidP="003414F0">
      <w:pPr>
        <w:pStyle w:val="Akapitzlist"/>
        <w:numPr>
          <w:ilvl w:val="0"/>
          <w:numId w:val="2"/>
        </w:numPr>
        <w:spacing w:line="276" w:lineRule="auto"/>
        <w:rPr>
          <w:rFonts w:eastAsia="Times New Roman"/>
          <w:sz w:val="22"/>
          <w:szCs w:val="22"/>
          <w:lang w:eastAsia="en-US"/>
        </w:rPr>
      </w:pPr>
      <w:r>
        <w:rPr>
          <w:rFonts w:eastAsia="Times New Roman"/>
          <w:sz w:val="22"/>
          <w:szCs w:val="22"/>
          <w:u w:val="single"/>
          <w:lang w:eastAsia="en-US"/>
        </w:rPr>
        <w:t>eksperymentalne prace rozwojowe</w:t>
      </w:r>
      <w:r>
        <w:rPr>
          <w:rFonts w:eastAsia="Times New Roman"/>
          <w:sz w:val="22"/>
          <w:szCs w:val="22"/>
          <w:lang w:eastAsia="en-US"/>
        </w:rPr>
        <w:t xml:space="preserve"> - oznaczają zdobywanie, łączenie, kształtowanie i wykorzystywanie dostępnej aktualnie wiedzy i umiejętności w celu opracowania nowych lub ulepszonych produktów, procesów lub usług. Eksperymentalne prace rozwojowe </w:t>
      </w:r>
      <w:r>
        <w:rPr>
          <w:rFonts w:eastAsia="Times New Roman"/>
          <w:b/>
          <w:bCs/>
          <w:sz w:val="22"/>
          <w:szCs w:val="22"/>
          <w:lang w:eastAsia="en-US"/>
        </w:rPr>
        <w:t xml:space="preserve">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w:t>
      </w:r>
      <w:r>
        <w:rPr>
          <w:rFonts w:eastAsia="Times New Roman"/>
          <w:sz w:val="22"/>
          <w:szCs w:val="22"/>
          <w:lang w:eastAsia="en-US"/>
        </w:rPr>
        <w:t>których ostateczny kształt zasadniczo nie jest jeszcze określony.</w:t>
      </w:r>
      <w:r>
        <w:rPr>
          <w:rFonts w:eastAsia="Times New Roman"/>
          <w:b/>
          <w:bCs/>
          <w:sz w:val="22"/>
          <w:szCs w:val="22"/>
          <w:lang w:eastAsia="en-US"/>
        </w:rPr>
        <w:t xml:space="preserve">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w:t>
      </w:r>
      <w:r>
        <w:rPr>
          <w:rFonts w:eastAsia="Times New Roman"/>
          <w:sz w:val="22"/>
          <w:szCs w:val="22"/>
          <w:lang w:eastAsia="en-US"/>
        </w:rPr>
        <w:t>Eksperymentalne prace rozwojowe nie obejmują rutynowych i okresowych zmian wprowadzanych do istniejących produktów, linii produkcyjnych, procesów wytwórczych, usług oraz innych operacji w toku, nawet jeśli takie zmiany mają charakter ulepszeń.</w:t>
      </w:r>
    </w:p>
    <w:p w14:paraId="679838B2" w14:textId="77777777" w:rsidR="001979FE" w:rsidRDefault="001979FE" w:rsidP="003414F0">
      <w:pPr>
        <w:pStyle w:val="Akapitzlist"/>
        <w:spacing w:line="276" w:lineRule="auto"/>
        <w:ind w:left="1080"/>
        <w:rPr>
          <w:sz w:val="22"/>
          <w:szCs w:val="22"/>
          <w:lang w:eastAsia="en-US"/>
        </w:rPr>
      </w:pPr>
    </w:p>
    <w:p w14:paraId="55C3FF65" w14:textId="6637DD1B" w:rsidR="001979FE" w:rsidRDefault="001979FE" w:rsidP="003414F0">
      <w:pPr>
        <w:pStyle w:val="Akapitzlist"/>
        <w:numPr>
          <w:ilvl w:val="0"/>
          <w:numId w:val="1"/>
        </w:numPr>
        <w:spacing w:line="276" w:lineRule="auto"/>
        <w:rPr>
          <w:rFonts w:eastAsia="Times New Roman"/>
          <w:b/>
          <w:bCs/>
          <w:sz w:val="22"/>
          <w:szCs w:val="22"/>
          <w:lang w:eastAsia="en-US"/>
        </w:rPr>
      </w:pPr>
      <w:r>
        <w:rPr>
          <w:rFonts w:eastAsia="Times New Roman"/>
          <w:b/>
          <w:bCs/>
          <w:sz w:val="22"/>
          <w:szCs w:val="22"/>
          <w:lang w:eastAsia="en-US"/>
        </w:rPr>
        <w:t xml:space="preserve">Do jakiej kategorii kosztów </w:t>
      </w:r>
      <w:r w:rsidR="0066249F">
        <w:rPr>
          <w:rFonts w:eastAsia="Times New Roman"/>
          <w:b/>
          <w:bCs/>
          <w:sz w:val="22"/>
          <w:szCs w:val="22"/>
          <w:lang w:eastAsia="en-US"/>
        </w:rPr>
        <w:t xml:space="preserve">w module B+R </w:t>
      </w:r>
      <w:r>
        <w:rPr>
          <w:rFonts w:eastAsia="Times New Roman"/>
          <w:b/>
          <w:bCs/>
          <w:sz w:val="22"/>
          <w:szCs w:val="22"/>
          <w:lang w:eastAsia="en-US"/>
        </w:rPr>
        <w:t>należy przypisać elementy linii pilotażowych/</w:t>
      </w:r>
      <w:r w:rsidR="00CD4CCE">
        <w:rPr>
          <w:rFonts w:eastAsia="Times New Roman"/>
          <w:b/>
          <w:bCs/>
          <w:sz w:val="22"/>
          <w:szCs w:val="22"/>
          <w:lang w:eastAsia="en-US"/>
        </w:rPr>
        <w:t xml:space="preserve"> </w:t>
      </w:r>
      <w:r>
        <w:rPr>
          <w:rFonts w:eastAsia="Times New Roman"/>
          <w:b/>
          <w:bCs/>
          <w:sz w:val="22"/>
          <w:szCs w:val="22"/>
          <w:lang w:eastAsia="en-US"/>
        </w:rPr>
        <w:t>demonstracyjnych/ prototypów?</w:t>
      </w:r>
    </w:p>
    <w:p w14:paraId="56BDA01E" w14:textId="38652793" w:rsidR="00CD4CCE" w:rsidRDefault="00E07CED" w:rsidP="003414F0">
      <w:pPr>
        <w:spacing w:line="276" w:lineRule="auto"/>
        <w:ind w:left="708"/>
        <w:rPr>
          <w:rFonts w:eastAsia="Times New Roman"/>
          <w:sz w:val="22"/>
          <w:szCs w:val="22"/>
          <w:lang w:eastAsia="en-US"/>
        </w:rPr>
      </w:pPr>
      <w:r>
        <w:rPr>
          <w:rFonts w:eastAsia="Times New Roman"/>
          <w:sz w:val="22"/>
          <w:szCs w:val="22"/>
          <w:lang w:eastAsia="en-US"/>
        </w:rPr>
        <w:lastRenderedPageBreak/>
        <w:t xml:space="preserve">Odp. </w:t>
      </w:r>
      <w:r w:rsidR="004B3A49">
        <w:rPr>
          <w:rFonts w:eastAsia="Times New Roman"/>
          <w:sz w:val="22"/>
          <w:szCs w:val="22"/>
          <w:lang w:eastAsia="en-US"/>
        </w:rPr>
        <w:t>Wy</w:t>
      </w:r>
      <w:r w:rsidR="001979FE" w:rsidRPr="004B3A49">
        <w:rPr>
          <w:rFonts w:eastAsia="Times New Roman"/>
          <w:sz w:val="22"/>
          <w:szCs w:val="22"/>
          <w:lang w:eastAsia="en-US"/>
        </w:rPr>
        <w:t>datk</w:t>
      </w:r>
      <w:r w:rsidR="004B3A49">
        <w:rPr>
          <w:rFonts w:eastAsia="Times New Roman"/>
          <w:sz w:val="22"/>
          <w:szCs w:val="22"/>
          <w:lang w:eastAsia="en-US"/>
        </w:rPr>
        <w:t>i</w:t>
      </w:r>
      <w:r w:rsidR="001979FE" w:rsidRPr="004B3A49">
        <w:rPr>
          <w:rFonts w:eastAsia="Times New Roman"/>
          <w:sz w:val="22"/>
          <w:szCs w:val="22"/>
          <w:lang w:eastAsia="en-US"/>
        </w:rPr>
        <w:t xml:space="preserve"> związan</w:t>
      </w:r>
      <w:r w:rsidR="004B3A49">
        <w:rPr>
          <w:rFonts w:eastAsia="Times New Roman"/>
          <w:sz w:val="22"/>
          <w:szCs w:val="22"/>
          <w:lang w:eastAsia="en-US"/>
        </w:rPr>
        <w:t>e</w:t>
      </w:r>
      <w:r w:rsidR="001979FE" w:rsidRPr="004B3A49">
        <w:rPr>
          <w:rFonts w:eastAsia="Times New Roman"/>
          <w:sz w:val="22"/>
          <w:szCs w:val="22"/>
          <w:lang w:eastAsia="en-US"/>
        </w:rPr>
        <w:t xml:space="preserve"> z nabyciem</w:t>
      </w:r>
      <w:r w:rsidR="004B3A49">
        <w:rPr>
          <w:rFonts w:eastAsia="Times New Roman"/>
          <w:sz w:val="22"/>
          <w:szCs w:val="22"/>
          <w:lang w:eastAsia="en-US"/>
        </w:rPr>
        <w:t xml:space="preserve"> elementów linii pilotażowych/ demonstracyjnych/ prototypów należy wykazywać</w:t>
      </w:r>
      <w:r w:rsidR="00CD4CCE">
        <w:rPr>
          <w:rFonts w:eastAsia="Times New Roman"/>
          <w:sz w:val="22"/>
          <w:szCs w:val="22"/>
          <w:lang w:eastAsia="en-US"/>
        </w:rPr>
        <w:t>:</w:t>
      </w:r>
    </w:p>
    <w:p w14:paraId="2E568CF5" w14:textId="29F472DA" w:rsidR="0039151E" w:rsidRDefault="00CD4CCE" w:rsidP="003414F0">
      <w:pPr>
        <w:pStyle w:val="Akapitzlist"/>
        <w:numPr>
          <w:ilvl w:val="0"/>
          <w:numId w:val="12"/>
        </w:numPr>
        <w:spacing w:line="276" w:lineRule="auto"/>
        <w:ind w:left="1418" w:hanging="425"/>
        <w:rPr>
          <w:rFonts w:eastAsia="Times New Roman"/>
          <w:sz w:val="22"/>
          <w:szCs w:val="22"/>
          <w:lang w:eastAsia="en-US"/>
        </w:rPr>
      </w:pPr>
      <w:r w:rsidRPr="00592C27">
        <w:rPr>
          <w:rFonts w:eastAsia="Times New Roman"/>
          <w:b/>
          <w:bCs/>
          <w:sz w:val="22"/>
          <w:szCs w:val="22"/>
          <w:lang w:eastAsia="en-US"/>
        </w:rPr>
        <w:t xml:space="preserve">w </w:t>
      </w:r>
      <w:r w:rsidR="004B3A49" w:rsidRPr="00592C27">
        <w:rPr>
          <w:rFonts w:eastAsia="Times New Roman"/>
          <w:b/>
          <w:bCs/>
          <w:sz w:val="22"/>
          <w:szCs w:val="22"/>
          <w:lang w:eastAsia="en-US"/>
        </w:rPr>
        <w:t>kategorii kosztów 3.3.3 Amortyzacja (aparatura i sprzęt)</w:t>
      </w:r>
      <w:r w:rsidR="006311E2" w:rsidRPr="00592C27">
        <w:rPr>
          <w:rFonts w:eastAsia="Times New Roman"/>
          <w:sz w:val="22"/>
          <w:szCs w:val="22"/>
          <w:lang w:eastAsia="en-US"/>
        </w:rPr>
        <w:t>,</w:t>
      </w:r>
      <w:r w:rsidRPr="0039151E">
        <w:rPr>
          <w:rFonts w:eastAsia="Times New Roman"/>
          <w:sz w:val="22"/>
          <w:szCs w:val="22"/>
          <w:lang w:eastAsia="en-US"/>
        </w:rPr>
        <w:t xml:space="preserve"> jeśli nabywane elementy spełniają definicję środka trwałego, </w:t>
      </w:r>
      <w:r w:rsidR="00EC635D">
        <w:rPr>
          <w:rFonts w:eastAsia="Times New Roman"/>
          <w:sz w:val="22"/>
          <w:szCs w:val="22"/>
          <w:lang w:eastAsia="en-US"/>
        </w:rPr>
        <w:t xml:space="preserve">odpisy amortyzacyjne są kwalifikowane </w:t>
      </w:r>
      <w:r w:rsidRPr="0039151E">
        <w:rPr>
          <w:rFonts w:eastAsia="Times New Roman"/>
          <w:sz w:val="22"/>
          <w:szCs w:val="22"/>
          <w:lang w:eastAsia="en-US"/>
        </w:rPr>
        <w:t>przez okres i w zakresie, w jakim będą wykorzystane do realizacji prac B+R</w:t>
      </w:r>
      <w:r w:rsidR="00146B6D">
        <w:rPr>
          <w:rFonts w:eastAsia="Times New Roman"/>
          <w:sz w:val="22"/>
          <w:szCs w:val="22"/>
          <w:lang w:eastAsia="en-US"/>
        </w:rPr>
        <w:t>,</w:t>
      </w:r>
      <w:r w:rsidR="00146B6D" w:rsidRPr="00146B6D">
        <w:t xml:space="preserve"> </w:t>
      </w:r>
      <w:r w:rsidR="00146B6D" w:rsidRPr="00146B6D">
        <w:rPr>
          <w:rFonts w:eastAsia="Times New Roman"/>
          <w:sz w:val="22"/>
          <w:szCs w:val="22"/>
          <w:lang w:eastAsia="en-US"/>
        </w:rPr>
        <w:t>np. jeżeli, jako element linii pilotażowej kupisz wyrzynarkę, której koszt wynosi 20 tys. zł, (czyli spełniona jest definicja środka trwałego, niezależnie od wewnętrznej polityki rachunkowości Wnioskodawcy), to w module B+R będzie można wykazać jako koszt kwalifikowany jedynie odpisy amortyzacyjne tej wyrzynarki, a nie koszt jej zakupu;</w:t>
      </w:r>
      <w:r w:rsidR="00146B6D">
        <w:rPr>
          <w:rFonts w:eastAsia="Times New Roman"/>
          <w:sz w:val="22"/>
          <w:szCs w:val="22"/>
          <w:lang w:eastAsia="en-US"/>
        </w:rPr>
        <w:t xml:space="preserve"> </w:t>
      </w:r>
      <w:r w:rsidRPr="0039151E">
        <w:rPr>
          <w:rFonts w:eastAsia="Times New Roman"/>
          <w:sz w:val="22"/>
          <w:szCs w:val="22"/>
          <w:lang w:eastAsia="en-US"/>
        </w:rPr>
        <w:t>;</w:t>
      </w:r>
    </w:p>
    <w:p w14:paraId="5DE8807F" w14:textId="38922DFA" w:rsidR="00CD45F8" w:rsidRPr="00CD45F8" w:rsidRDefault="00961A2C" w:rsidP="00CD45F8">
      <w:pPr>
        <w:pStyle w:val="Akapitzlist"/>
        <w:numPr>
          <w:ilvl w:val="0"/>
          <w:numId w:val="12"/>
        </w:numPr>
        <w:spacing w:line="276" w:lineRule="auto"/>
        <w:ind w:left="1418" w:hanging="425"/>
        <w:rPr>
          <w:rFonts w:eastAsia="Times New Roman"/>
          <w:sz w:val="22"/>
          <w:szCs w:val="22"/>
          <w:lang w:eastAsia="en-US"/>
        </w:rPr>
      </w:pPr>
      <w:r w:rsidRPr="00592C27">
        <w:rPr>
          <w:rFonts w:eastAsia="Times New Roman"/>
          <w:b/>
          <w:bCs/>
          <w:sz w:val="22"/>
          <w:szCs w:val="22"/>
          <w:lang w:eastAsia="en-US"/>
        </w:rPr>
        <w:t>w kategorii kosztów 3.3.7 Dostawy (inne niż środki trwałe)</w:t>
      </w:r>
      <w:r w:rsidRPr="00CD45F8">
        <w:rPr>
          <w:rFonts w:eastAsia="Times New Roman"/>
          <w:sz w:val="22"/>
          <w:szCs w:val="22"/>
          <w:lang w:eastAsia="en-US"/>
        </w:rPr>
        <w:t xml:space="preserve"> - zakup elementów służących do budowy prototypu i na stałe zainstalowanych w prototypie, instalacji pilotażowej lub demonstracyjnej. W kategorii tej mogą być kwalifikowane koszty zakupu materiałów, środków eksploatacyjnych i podobnych produktów</w:t>
      </w:r>
      <w:r w:rsidR="00CD45F8" w:rsidRPr="00CD45F8">
        <w:rPr>
          <w:rFonts w:eastAsia="Times New Roman"/>
          <w:sz w:val="22"/>
          <w:szCs w:val="22"/>
          <w:lang w:eastAsia="en-US"/>
        </w:rPr>
        <w:t>,</w:t>
      </w:r>
      <w:r w:rsidRPr="00CD45F8">
        <w:rPr>
          <w:rFonts w:eastAsia="Times New Roman"/>
          <w:sz w:val="22"/>
          <w:szCs w:val="22"/>
          <w:lang w:eastAsia="en-US"/>
        </w:rPr>
        <w:t xml:space="preserve"> które nie spełniają definicji środków trwałych</w:t>
      </w:r>
      <w:r w:rsidR="00146B6D">
        <w:rPr>
          <w:rFonts w:eastAsia="Times New Roman"/>
          <w:sz w:val="22"/>
          <w:szCs w:val="22"/>
          <w:lang w:eastAsia="en-US"/>
        </w:rPr>
        <w:t xml:space="preserve"> </w:t>
      </w:r>
      <w:r w:rsidR="00146B6D" w:rsidRPr="00FA3A07">
        <w:rPr>
          <w:sz w:val="22"/>
          <w:szCs w:val="22"/>
          <w:lang w:eastAsia="en-US"/>
        </w:rPr>
        <w:t>(niezależnie od wewnętrznej polityki rachunkowości Wnioskodawcy)</w:t>
      </w:r>
      <w:r w:rsidRPr="00FA3A07">
        <w:rPr>
          <w:rFonts w:eastAsia="Times New Roman"/>
          <w:sz w:val="22"/>
          <w:szCs w:val="22"/>
          <w:lang w:eastAsia="en-US"/>
        </w:rPr>
        <w:t>.</w:t>
      </w:r>
      <w:r w:rsidR="00CD45F8" w:rsidRPr="00FA3A07">
        <w:rPr>
          <w:rFonts w:eastAsia="Times New Roman"/>
          <w:sz w:val="22"/>
          <w:szCs w:val="22"/>
          <w:lang w:eastAsia="en-US"/>
        </w:rPr>
        <w:t xml:space="preserve"> W tej ka</w:t>
      </w:r>
      <w:r w:rsidR="00CD45F8">
        <w:rPr>
          <w:rFonts w:eastAsia="Times New Roman"/>
          <w:sz w:val="22"/>
          <w:szCs w:val="22"/>
          <w:lang w:eastAsia="en-US"/>
        </w:rPr>
        <w:t>tegorii kosztów nie</w:t>
      </w:r>
      <w:r w:rsidR="00B042FC">
        <w:rPr>
          <w:rFonts w:eastAsia="Times New Roman"/>
          <w:sz w:val="22"/>
          <w:szCs w:val="22"/>
          <w:lang w:eastAsia="en-US"/>
        </w:rPr>
        <w:t xml:space="preserve"> mieszczą się wydatki na zakup </w:t>
      </w:r>
      <w:r w:rsidR="00CD45F8">
        <w:rPr>
          <w:rFonts w:eastAsia="Times New Roman"/>
          <w:sz w:val="22"/>
          <w:szCs w:val="22"/>
          <w:lang w:eastAsia="en-US"/>
        </w:rPr>
        <w:t xml:space="preserve">maszyn i </w:t>
      </w:r>
      <w:r w:rsidR="00CD45F8" w:rsidRPr="00CD45F8">
        <w:rPr>
          <w:rFonts w:eastAsia="Times New Roman"/>
          <w:sz w:val="22"/>
          <w:szCs w:val="22"/>
          <w:lang w:eastAsia="en-US"/>
        </w:rPr>
        <w:t>urządzeń</w:t>
      </w:r>
      <w:r w:rsidR="00B042FC">
        <w:rPr>
          <w:rFonts w:eastAsia="Times New Roman"/>
          <w:sz w:val="22"/>
          <w:szCs w:val="22"/>
          <w:lang w:eastAsia="en-US"/>
        </w:rPr>
        <w:t xml:space="preserve">, </w:t>
      </w:r>
      <w:r w:rsidR="006311E2" w:rsidRPr="00CD45F8">
        <w:rPr>
          <w:rFonts w:eastAsia="Times New Roman"/>
          <w:sz w:val="22"/>
          <w:szCs w:val="22"/>
          <w:lang w:eastAsia="en-US"/>
        </w:rPr>
        <w:t xml:space="preserve">które </w:t>
      </w:r>
      <w:r w:rsidR="006311E2">
        <w:rPr>
          <w:rFonts w:eastAsia="Times New Roman"/>
          <w:sz w:val="22"/>
          <w:szCs w:val="22"/>
          <w:lang w:eastAsia="en-US"/>
        </w:rPr>
        <w:t>mogłyby</w:t>
      </w:r>
      <w:r w:rsidR="006311E2" w:rsidRPr="00CD45F8">
        <w:rPr>
          <w:rFonts w:eastAsia="Times New Roman"/>
          <w:sz w:val="22"/>
          <w:szCs w:val="22"/>
          <w:lang w:eastAsia="en-US"/>
        </w:rPr>
        <w:t xml:space="preserve"> stanowi</w:t>
      </w:r>
      <w:r w:rsidR="006311E2">
        <w:rPr>
          <w:rFonts w:eastAsia="Times New Roman"/>
          <w:sz w:val="22"/>
          <w:szCs w:val="22"/>
          <w:lang w:eastAsia="en-US"/>
        </w:rPr>
        <w:t>ć odrębny</w:t>
      </w:r>
      <w:r w:rsidR="006311E2" w:rsidRPr="00CD45F8">
        <w:rPr>
          <w:rFonts w:eastAsia="Times New Roman"/>
          <w:sz w:val="22"/>
          <w:szCs w:val="22"/>
          <w:lang w:eastAsia="en-US"/>
        </w:rPr>
        <w:t xml:space="preserve"> środek trwały</w:t>
      </w:r>
      <w:r w:rsidR="006311E2">
        <w:rPr>
          <w:rFonts w:eastAsia="Times New Roman"/>
          <w:sz w:val="22"/>
          <w:szCs w:val="22"/>
          <w:lang w:eastAsia="en-US"/>
        </w:rPr>
        <w:t xml:space="preserve">, nawet jeśli te maszyny i urządzenia będą zainstalowane </w:t>
      </w:r>
      <w:r w:rsidR="00EF75DD">
        <w:rPr>
          <w:rFonts w:eastAsia="Times New Roman"/>
          <w:sz w:val="22"/>
          <w:szCs w:val="22"/>
          <w:lang w:eastAsia="en-US"/>
        </w:rPr>
        <w:t xml:space="preserve">jako elementy </w:t>
      </w:r>
      <w:r w:rsidR="006311E2">
        <w:rPr>
          <w:rFonts w:eastAsia="Times New Roman"/>
          <w:sz w:val="22"/>
          <w:szCs w:val="22"/>
          <w:lang w:eastAsia="en-US"/>
        </w:rPr>
        <w:t>w</w:t>
      </w:r>
      <w:r w:rsidR="00B042FC">
        <w:rPr>
          <w:rFonts w:eastAsia="Times New Roman"/>
          <w:sz w:val="22"/>
          <w:szCs w:val="22"/>
          <w:lang w:eastAsia="en-US"/>
        </w:rPr>
        <w:t xml:space="preserve"> prototyp</w:t>
      </w:r>
      <w:r w:rsidR="006311E2">
        <w:rPr>
          <w:rFonts w:eastAsia="Times New Roman"/>
          <w:sz w:val="22"/>
          <w:szCs w:val="22"/>
          <w:lang w:eastAsia="en-US"/>
        </w:rPr>
        <w:t>ie</w:t>
      </w:r>
      <w:r w:rsidR="00B042FC">
        <w:rPr>
          <w:rFonts w:eastAsia="Times New Roman"/>
          <w:sz w:val="22"/>
          <w:szCs w:val="22"/>
          <w:lang w:eastAsia="en-US"/>
        </w:rPr>
        <w:t xml:space="preserve"> lub lini</w:t>
      </w:r>
      <w:r w:rsidR="006311E2">
        <w:rPr>
          <w:rFonts w:eastAsia="Times New Roman"/>
          <w:sz w:val="22"/>
          <w:szCs w:val="22"/>
          <w:lang w:eastAsia="en-US"/>
        </w:rPr>
        <w:t>i</w:t>
      </w:r>
      <w:r w:rsidR="00B042FC">
        <w:rPr>
          <w:rFonts w:eastAsia="Times New Roman"/>
          <w:sz w:val="22"/>
          <w:szCs w:val="22"/>
          <w:lang w:eastAsia="en-US"/>
        </w:rPr>
        <w:t xml:space="preserve"> pilotażow</w:t>
      </w:r>
      <w:r w:rsidR="006311E2">
        <w:rPr>
          <w:rFonts w:eastAsia="Times New Roman"/>
          <w:sz w:val="22"/>
          <w:szCs w:val="22"/>
          <w:lang w:eastAsia="en-US"/>
        </w:rPr>
        <w:t>ej</w:t>
      </w:r>
      <w:r w:rsidR="00B042FC">
        <w:rPr>
          <w:rFonts w:eastAsia="Times New Roman"/>
          <w:sz w:val="22"/>
          <w:szCs w:val="22"/>
          <w:lang w:eastAsia="en-US"/>
        </w:rPr>
        <w:t>/ demonstracyjn</w:t>
      </w:r>
      <w:r w:rsidR="006311E2">
        <w:rPr>
          <w:rFonts w:eastAsia="Times New Roman"/>
          <w:sz w:val="22"/>
          <w:szCs w:val="22"/>
          <w:lang w:eastAsia="en-US"/>
        </w:rPr>
        <w:t>ej</w:t>
      </w:r>
      <w:r w:rsidR="00CD45F8">
        <w:rPr>
          <w:rFonts w:eastAsia="Times New Roman"/>
          <w:sz w:val="22"/>
          <w:szCs w:val="22"/>
          <w:lang w:eastAsia="en-US"/>
        </w:rPr>
        <w:t>.</w:t>
      </w:r>
    </w:p>
    <w:p w14:paraId="097759B0" w14:textId="77777777" w:rsidR="001979FE" w:rsidRDefault="001979FE" w:rsidP="003414F0">
      <w:pPr>
        <w:spacing w:line="276" w:lineRule="auto"/>
        <w:rPr>
          <w:sz w:val="22"/>
          <w:szCs w:val="22"/>
          <w:lang w:eastAsia="en-US"/>
        </w:rPr>
      </w:pPr>
    </w:p>
    <w:p w14:paraId="42B85E13" w14:textId="6015F7B1" w:rsidR="001979FE" w:rsidRDefault="001979FE" w:rsidP="003414F0">
      <w:pPr>
        <w:pStyle w:val="Akapitzlist"/>
        <w:numPr>
          <w:ilvl w:val="0"/>
          <w:numId w:val="1"/>
        </w:numPr>
        <w:spacing w:line="276" w:lineRule="auto"/>
        <w:rPr>
          <w:rFonts w:eastAsia="Times New Roman"/>
          <w:b/>
          <w:bCs/>
          <w:sz w:val="22"/>
          <w:szCs w:val="22"/>
          <w:lang w:eastAsia="en-US"/>
        </w:rPr>
      </w:pPr>
      <w:r>
        <w:rPr>
          <w:rFonts w:eastAsia="Times New Roman"/>
          <w:b/>
          <w:bCs/>
          <w:sz w:val="22"/>
          <w:szCs w:val="22"/>
          <w:lang w:eastAsia="en-US"/>
        </w:rPr>
        <w:t>Jakie warunki musi spełnić linia pilotażowa, aby istniała możliwość rozliczenia</w:t>
      </w:r>
      <w:r w:rsidR="004C47D7">
        <w:rPr>
          <w:rFonts w:eastAsia="Times New Roman"/>
          <w:b/>
          <w:bCs/>
          <w:sz w:val="22"/>
          <w:szCs w:val="22"/>
          <w:lang w:eastAsia="en-US"/>
        </w:rPr>
        <w:t xml:space="preserve"> jej</w:t>
      </w:r>
      <w:r>
        <w:rPr>
          <w:rFonts w:eastAsia="Times New Roman"/>
          <w:b/>
          <w:bCs/>
          <w:sz w:val="22"/>
          <w:szCs w:val="22"/>
          <w:lang w:eastAsia="en-US"/>
        </w:rPr>
        <w:t xml:space="preserve"> kosztów </w:t>
      </w:r>
      <w:r w:rsidR="004C47D7">
        <w:rPr>
          <w:rFonts w:eastAsia="Times New Roman"/>
          <w:b/>
          <w:bCs/>
          <w:sz w:val="22"/>
          <w:szCs w:val="22"/>
          <w:lang w:eastAsia="en-US"/>
        </w:rPr>
        <w:t>w projekcie</w:t>
      </w:r>
      <w:r>
        <w:rPr>
          <w:rFonts w:eastAsia="Times New Roman"/>
          <w:b/>
          <w:bCs/>
          <w:sz w:val="22"/>
          <w:szCs w:val="22"/>
          <w:lang w:eastAsia="en-US"/>
        </w:rPr>
        <w:t>?</w:t>
      </w:r>
    </w:p>
    <w:p w14:paraId="35FDCE07" w14:textId="4271ED69" w:rsidR="001979FE" w:rsidRDefault="00E07CED" w:rsidP="003414F0">
      <w:pPr>
        <w:spacing w:line="276" w:lineRule="auto"/>
        <w:ind w:left="851" w:hanging="142"/>
        <w:rPr>
          <w:sz w:val="22"/>
          <w:szCs w:val="22"/>
          <w:lang w:eastAsia="en-US"/>
        </w:rPr>
      </w:pPr>
      <w:r>
        <w:rPr>
          <w:sz w:val="22"/>
          <w:szCs w:val="22"/>
          <w:lang w:eastAsia="en-US"/>
        </w:rPr>
        <w:t xml:space="preserve">Odp. </w:t>
      </w:r>
      <w:r w:rsidR="001979FE">
        <w:rPr>
          <w:sz w:val="22"/>
          <w:szCs w:val="22"/>
          <w:lang w:eastAsia="en-US"/>
        </w:rPr>
        <w:t>Budowa prototypu, instalacji pilotażowej lub demonstracyjnej jest elementem badań</w:t>
      </w:r>
      <w:r>
        <w:rPr>
          <w:sz w:val="22"/>
          <w:szCs w:val="22"/>
          <w:lang w:eastAsia="en-US"/>
        </w:rPr>
        <w:t xml:space="preserve"> </w:t>
      </w:r>
      <w:r w:rsidR="001979FE">
        <w:rPr>
          <w:sz w:val="22"/>
          <w:szCs w:val="22"/>
          <w:lang w:eastAsia="en-US"/>
        </w:rPr>
        <w:t>przemysłowych lub eksperymentalnych prac rozwojowych opisanych we wniosku o dofinansowanie</w:t>
      </w:r>
    </w:p>
    <w:p w14:paraId="64D5B530" w14:textId="77777777" w:rsidR="001979FE" w:rsidRDefault="001979FE" w:rsidP="003414F0">
      <w:pPr>
        <w:spacing w:line="276" w:lineRule="auto"/>
        <w:ind w:left="851" w:hanging="142"/>
        <w:rPr>
          <w:b/>
          <w:bCs/>
          <w:sz w:val="22"/>
          <w:szCs w:val="22"/>
          <w:lang w:eastAsia="en-US"/>
        </w:rPr>
      </w:pPr>
      <w:r>
        <w:rPr>
          <w:b/>
          <w:bCs/>
          <w:sz w:val="22"/>
          <w:szCs w:val="22"/>
          <w:lang w:eastAsia="en-US"/>
        </w:rPr>
        <w:t>W przypadku badań przemysłowych:</w:t>
      </w:r>
    </w:p>
    <w:p w14:paraId="3C364844" w14:textId="77777777" w:rsidR="0039151E" w:rsidRDefault="001979FE" w:rsidP="003414F0">
      <w:pPr>
        <w:pStyle w:val="Akapitzlist"/>
        <w:numPr>
          <w:ilvl w:val="0"/>
          <w:numId w:val="10"/>
        </w:numPr>
        <w:spacing w:line="276" w:lineRule="auto"/>
        <w:rPr>
          <w:sz w:val="22"/>
          <w:szCs w:val="22"/>
          <w:lang w:eastAsia="en-US"/>
        </w:rPr>
      </w:pPr>
      <w:r w:rsidRPr="00E07CED">
        <w:rPr>
          <w:sz w:val="22"/>
          <w:szCs w:val="22"/>
          <w:lang w:eastAsia="en-US"/>
        </w:rPr>
        <w:t>budowa prototypów powinna być konieczna do badań przemysłowych oraz odbywać się w środowisku laboratoryjnym lub środowisku interfejsu symulującego istniejące systemy</w:t>
      </w:r>
      <w:r w:rsidR="00961A2C" w:rsidRPr="00E07CED">
        <w:rPr>
          <w:sz w:val="22"/>
          <w:szCs w:val="22"/>
          <w:lang w:eastAsia="en-US"/>
        </w:rPr>
        <w:t>;</w:t>
      </w:r>
    </w:p>
    <w:p w14:paraId="6A701A50" w14:textId="6B627BDA" w:rsidR="001979FE" w:rsidRPr="0039151E" w:rsidRDefault="001979FE" w:rsidP="003414F0">
      <w:pPr>
        <w:pStyle w:val="Akapitzlist"/>
        <w:numPr>
          <w:ilvl w:val="0"/>
          <w:numId w:val="10"/>
        </w:numPr>
        <w:spacing w:line="276" w:lineRule="auto"/>
        <w:rPr>
          <w:sz w:val="22"/>
          <w:szCs w:val="22"/>
          <w:lang w:eastAsia="en-US"/>
        </w:rPr>
      </w:pPr>
      <w:r w:rsidRPr="0039151E">
        <w:rPr>
          <w:sz w:val="22"/>
          <w:szCs w:val="22"/>
          <w:lang w:eastAsia="en-US"/>
        </w:rPr>
        <w:t>budowa linii pilotażowych powinna być konieczna do badań przemysłowych, a zwłaszcza uzyskania dowodu w przypadku technologii generycznych.</w:t>
      </w:r>
    </w:p>
    <w:p w14:paraId="69AE661F" w14:textId="77777777" w:rsidR="001979FE" w:rsidRDefault="001979FE" w:rsidP="003414F0">
      <w:pPr>
        <w:spacing w:line="276" w:lineRule="auto"/>
        <w:ind w:firstLine="708"/>
        <w:rPr>
          <w:b/>
          <w:bCs/>
          <w:sz w:val="22"/>
          <w:szCs w:val="22"/>
          <w:lang w:eastAsia="en-US"/>
        </w:rPr>
      </w:pPr>
      <w:r>
        <w:rPr>
          <w:b/>
          <w:bCs/>
          <w:sz w:val="22"/>
          <w:szCs w:val="22"/>
          <w:lang w:eastAsia="en-US"/>
        </w:rPr>
        <w:t xml:space="preserve">W przypadku eksperymentalnych prac rozwojowych:  </w:t>
      </w:r>
    </w:p>
    <w:p w14:paraId="5DCB56E2" w14:textId="3090A377" w:rsidR="0039151E" w:rsidRDefault="001979FE" w:rsidP="003414F0">
      <w:pPr>
        <w:pStyle w:val="Akapitzlist"/>
        <w:numPr>
          <w:ilvl w:val="0"/>
          <w:numId w:val="11"/>
        </w:numPr>
        <w:spacing w:line="276" w:lineRule="auto"/>
        <w:rPr>
          <w:sz w:val="22"/>
          <w:szCs w:val="22"/>
          <w:lang w:eastAsia="en-US"/>
        </w:rPr>
      </w:pPr>
      <w:r w:rsidRPr="0039151E">
        <w:rPr>
          <w:sz w:val="22"/>
          <w:szCs w:val="22"/>
          <w:lang w:eastAsia="en-US"/>
        </w:rPr>
        <w:t xml:space="preserve">budowa prototypu, instalacji pilotażowej lub demonstracyjnej </w:t>
      </w:r>
      <w:r w:rsidR="00EC635D">
        <w:rPr>
          <w:sz w:val="22"/>
          <w:szCs w:val="22"/>
          <w:lang w:eastAsia="en-US"/>
        </w:rPr>
        <w:t>ma na celu</w:t>
      </w:r>
      <w:r w:rsidR="00EC635D" w:rsidRPr="0039151E">
        <w:rPr>
          <w:sz w:val="22"/>
          <w:szCs w:val="22"/>
          <w:lang w:eastAsia="en-US"/>
        </w:rPr>
        <w:t xml:space="preserve"> </w:t>
      </w:r>
      <w:r w:rsidRPr="0039151E">
        <w:rPr>
          <w:sz w:val="22"/>
          <w:szCs w:val="22"/>
          <w:lang w:eastAsia="en-US"/>
        </w:rPr>
        <w:t>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w:t>
      </w:r>
      <w:r w:rsidR="00961A2C" w:rsidRPr="0039151E">
        <w:rPr>
          <w:sz w:val="22"/>
          <w:szCs w:val="22"/>
          <w:lang w:eastAsia="en-US"/>
        </w:rPr>
        <w:t>;</w:t>
      </w:r>
    </w:p>
    <w:p w14:paraId="0CE9A974" w14:textId="4DDFE0C2" w:rsidR="005D45B4" w:rsidRPr="009C3961" w:rsidRDefault="001979FE" w:rsidP="003414F0">
      <w:pPr>
        <w:pStyle w:val="Akapitzlist"/>
        <w:numPr>
          <w:ilvl w:val="0"/>
          <w:numId w:val="11"/>
        </w:numPr>
        <w:spacing w:line="276" w:lineRule="auto"/>
        <w:rPr>
          <w:sz w:val="22"/>
          <w:szCs w:val="22"/>
          <w:lang w:eastAsia="en-US"/>
        </w:rPr>
      </w:pPr>
      <w:r w:rsidRPr="0039151E">
        <w:rPr>
          <w:sz w:val="22"/>
          <w:szCs w:val="22"/>
          <w:lang w:eastAsia="en-US"/>
        </w:rPr>
        <w:t>prototyp, instalacja pilotażowa lub demonstracyjna może zostać wykorzystana do celów komercyjnych wyjątkowo, tylko</w:t>
      </w:r>
      <w:r w:rsidR="00EC635D">
        <w:rPr>
          <w:sz w:val="22"/>
          <w:szCs w:val="22"/>
          <w:lang w:eastAsia="en-US"/>
        </w:rPr>
        <w:t xml:space="preserve"> wtedy,</w:t>
      </w:r>
      <w:r w:rsidRPr="0039151E">
        <w:rPr>
          <w:sz w:val="22"/>
          <w:szCs w:val="22"/>
          <w:lang w:eastAsia="en-US"/>
        </w:rPr>
        <w:t xml:space="preserve"> gdy jest to konieczne, a produkcja </w:t>
      </w:r>
      <w:r w:rsidR="00EC635D">
        <w:rPr>
          <w:sz w:val="22"/>
          <w:szCs w:val="22"/>
          <w:lang w:eastAsia="en-US"/>
        </w:rPr>
        <w:t xml:space="preserve">prototypu lub instalacji </w:t>
      </w:r>
      <w:r w:rsidRPr="0039151E">
        <w:rPr>
          <w:sz w:val="22"/>
          <w:szCs w:val="22"/>
          <w:lang w:eastAsia="en-US"/>
        </w:rPr>
        <w:t>jest zbyt kosztowna, aby służył on jedynie do demonstracji i walidacji.</w:t>
      </w:r>
    </w:p>
    <w:p w14:paraId="049BE134" w14:textId="4CE47836" w:rsidR="00707038" w:rsidRPr="00961A2C" w:rsidRDefault="00707038" w:rsidP="003414F0">
      <w:pPr>
        <w:spacing w:line="276" w:lineRule="auto"/>
        <w:ind w:left="284"/>
        <w:rPr>
          <w:sz w:val="22"/>
          <w:szCs w:val="22"/>
          <w:lang w:eastAsia="en-US"/>
        </w:rPr>
      </w:pPr>
    </w:p>
    <w:p w14:paraId="5EA7BA09" w14:textId="7EA58CC2" w:rsidR="004C47D7" w:rsidRPr="00E07CED" w:rsidRDefault="004C47D7" w:rsidP="003414F0">
      <w:pPr>
        <w:pStyle w:val="Akapitzlist"/>
        <w:numPr>
          <w:ilvl w:val="0"/>
          <w:numId w:val="1"/>
        </w:numPr>
        <w:spacing w:after="160" w:line="276" w:lineRule="auto"/>
        <w:contextualSpacing/>
        <w:rPr>
          <w:b/>
          <w:bCs/>
          <w:color w:val="000000"/>
          <w:sz w:val="22"/>
          <w:szCs w:val="22"/>
          <w:shd w:val="clear" w:color="auto" w:fill="FFFFFF"/>
        </w:rPr>
      </w:pPr>
      <w:r w:rsidRPr="00E07CED">
        <w:rPr>
          <w:b/>
          <w:bCs/>
          <w:color w:val="000000"/>
          <w:sz w:val="22"/>
          <w:szCs w:val="22"/>
          <w:shd w:val="clear" w:color="auto" w:fill="FFFFFF"/>
        </w:rPr>
        <w:t>Czy właścicielem linii pilotażowej/linii demonstracyjnej powstałej w wyniku realizacji projektu może być konsorcjant? Jeżeli tak</w:t>
      </w:r>
      <w:r w:rsidR="00592C27">
        <w:rPr>
          <w:b/>
          <w:bCs/>
          <w:color w:val="000000"/>
          <w:sz w:val="22"/>
          <w:szCs w:val="22"/>
          <w:shd w:val="clear" w:color="auto" w:fill="FFFFFF"/>
        </w:rPr>
        <w:t>,</w:t>
      </w:r>
      <w:r w:rsidRPr="00E07CED">
        <w:rPr>
          <w:b/>
          <w:bCs/>
          <w:color w:val="000000"/>
          <w:sz w:val="22"/>
          <w:szCs w:val="22"/>
          <w:shd w:val="clear" w:color="auto" w:fill="FFFFFF"/>
        </w:rPr>
        <w:t xml:space="preserve"> czy może on później przekazać ją Liderowi konsorcjum (przedsiębiorcy) na mocy umowy użyczenia?</w:t>
      </w:r>
    </w:p>
    <w:p w14:paraId="3314329A" w14:textId="57591673" w:rsidR="004C47D7" w:rsidRDefault="00E07CED"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lastRenderedPageBreak/>
        <w:t>Odp.</w:t>
      </w:r>
      <w:r w:rsidR="004C47D7" w:rsidRPr="00E07CED">
        <w:rPr>
          <w:color w:val="000000"/>
          <w:sz w:val="22"/>
          <w:szCs w:val="22"/>
          <w:shd w:val="clear" w:color="auto" w:fill="FFFFFF"/>
        </w:rPr>
        <w:t xml:space="preserve">: </w:t>
      </w:r>
      <w:r w:rsidR="005D45B4" w:rsidRPr="00E07CED">
        <w:rPr>
          <w:color w:val="000000"/>
          <w:sz w:val="22"/>
          <w:szCs w:val="22"/>
          <w:shd w:val="clear" w:color="auto" w:fill="FFFFFF"/>
        </w:rPr>
        <w:t>Zasady naboru</w:t>
      </w:r>
      <w:r w:rsidR="00592C27">
        <w:rPr>
          <w:color w:val="000000"/>
          <w:sz w:val="22"/>
          <w:szCs w:val="22"/>
          <w:shd w:val="clear" w:color="auto" w:fill="FFFFFF"/>
        </w:rPr>
        <w:t xml:space="preserve"> </w:t>
      </w:r>
      <w:r w:rsidR="005D45B4" w:rsidRPr="00E07CED">
        <w:rPr>
          <w:color w:val="000000"/>
          <w:sz w:val="22"/>
          <w:szCs w:val="22"/>
          <w:shd w:val="clear" w:color="auto" w:fill="FFFFFF"/>
        </w:rPr>
        <w:t xml:space="preserve"> </w:t>
      </w:r>
      <w:r w:rsidR="00592C27" w:rsidRPr="00592C27">
        <w:rPr>
          <w:color w:val="000000"/>
          <w:sz w:val="22"/>
          <w:szCs w:val="22"/>
          <w:shd w:val="clear" w:color="auto" w:fill="FFFFFF"/>
        </w:rPr>
        <w:t>FENG.01.01-IP.01-005/23 – Ścieżka SMART – Projekty realizowane w konsorcjach</w:t>
      </w:r>
      <w:r w:rsidR="00592C27">
        <w:rPr>
          <w:color w:val="000000"/>
          <w:sz w:val="22"/>
          <w:szCs w:val="22"/>
          <w:shd w:val="clear" w:color="auto" w:fill="FFFFFF"/>
        </w:rPr>
        <w:t xml:space="preserve"> </w:t>
      </w:r>
      <w:r w:rsidR="005D45B4" w:rsidRPr="00E07CED">
        <w:rPr>
          <w:color w:val="000000"/>
          <w:sz w:val="22"/>
          <w:szCs w:val="22"/>
          <w:shd w:val="clear" w:color="auto" w:fill="FFFFFF"/>
        </w:rPr>
        <w:t>nie precyzują, który z członków konsorcjum może być właścicielem linii pilotażowej. Zasady podziału praw do wyników prac B+R musz</w:t>
      </w:r>
      <w:r w:rsidR="000554EF" w:rsidRPr="00E07CED">
        <w:rPr>
          <w:color w:val="000000"/>
          <w:sz w:val="22"/>
          <w:szCs w:val="22"/>
          <w:shd w:val="clear" w:color="auto" w:fill="FFFFFF"/>
        </w:rPr>
        <w:t>ą</w:t>
      </w:r>
      <w:r w:rsidR="005D45B4" w:rsidRPr="00E07CED">
        <w:rPr>
          <w:color w:val="000000"/>
          <w:sz w:val="22"/>
          <w:szCs w:val="22"/>
          <w:shd w:val="clear" w:color="auto" w:fill="FFFFFF"/>
        </w:rPr>
        <w:t xml:space="preserve"> zostać określone w Umowie konsorcjum na zasadach wskazanych w minimalnym zakresie umowy konsorcjum. Wskazujemy jednak, że za wdrożenie wyników prac B+R odpowiada Lider konsorcjum, który</w:t>
      </w:r>
      <w:r w:rsidR="00EC635D">
        <w:rPr>
          <w:color w:val="000000"/>
          <w:sz w:val="22"/>
          <w:szCs w:val="22"/>
          <w:shd w:val="clear" w:color="auto" w:fill="FFFFFF"/>
        </w:rPr>
        <w:t>,</w:t>
      </w:r>
      <w:r w:rsidR="005D45B4" w:rsidRPr="00E07CED">
        <w:rPr>
          <w:color w:val="000000"/>
          <w:sz w:val="22"/>
          <w:szCs w:val="22"/>
          <w:shd w:val="clear" w:color="auto" w:fill="FFFFFF"/>
        </w:rPr>
        <w:t xml:space="preserve"> aby wypełnić warunki umowy o dofinansowanie, musi uzyskać dostęp do pełnych wyników prac B+R i prawo do komercyjnego ich wykorzystania, czyli generowania na ich podstawie zysku. Niepełne, częściowe wdrożenie wyników prac B+R (np. tylko części przynależnej przedsiębiorstwu) nie spełni warunków wynikających z umowy o dofinansowanie.</w:t>
      </w:r>
    </w:p>
    <w:p w14:paraId="42D00626" w14:textId="77777777" w:rsidR="009B4996" w:rsidRDefault="009B4996" w:rsidP="003414F0">
      <w:pPr>
        <w:pStyle w:val="Akapitzlist"/>
        <w:spacing w:after="160" w:line="276" w:lineRule="auto"/>
        <w:contextualSpacing/>
        <w:rPr>
          <w:color w:val="000000"/>
          <w:sz w:val="22"/>
          <w:szCs w:val="22"/>
          <w:shd w:val="clear" w:color="auto" w:fill="FFFFFF"/>
        </w:rPr>
      </w:pPr>
    </w:p>
    <w:p w14:paraId="34EDE176" w14:textId="140B3CFD" w:rsidR="009B4996" w:rsidRPr="00592C27" w:rsidRDefault="009B4996" w:rsidP="00592C27">
      <w:pPr>
        <w:pStyle w:val="Akapitzlist"/>
        <w:spacing w:after="160" w:line="276" w:lineRule="auto"/>
        <w:contextualSpacing/>
        <w:rPr>
          <w:color w:val="000000"/>
          <w:sz w:val="22"/>
          <w:szCs w:val="22"/>
          <w:shd w:val="clear" w:color="auto" w:fill="FFFFFF"/>
        </w:rPr>
      </w:pPr>
      <w:r w:rsidRPr="009B4996">
        <w:rPr>
          <w:color w:val="000000"/>
          <w:sz w:val="22"/>
          <w:szCs w:val="22"/>
          <w:shd w:val="clear" w:color="auto" w:fill="FFFFFF"/>
        </w:rPr>
        <w:t xml:space="preserve">Zasadniczo nie </w:t>
      </w:r>
      <w:r>
        <w:rPr>
          <w:color w:val="000000"/>
          <w:sz w:val="22"/>
          <w:szCs w:val="22"/>
          <w:shd w:val="clear" w:color="auto" w:fill="FFFFFF"/>
        </w:rPr>
        <w:t>ma</w:t>
      </w:r>
      <w:r w:rsidRPr="009B4996">
        <w:rPr>
          <w:color w:val="000000"/>
          <w:sz w:val="22"/>
          <w:szCs w:val="22"/>
          <w:shd w:val="clear" w:color="auto" w:fill="FFFFFF"/>
        </w:rPr>
        <w:t xml:space="preserve"> zakazu zawarcia</w:t>
      </w:r>
      <w:r w:rsidR="0006276A">
        <w:rPr>
          <w:color w:val="000000"/>
          <w:sz w:val="22"/>
          <w:szCs w:val="22"/>
          <w:shd w:val="clear" w:color="auto" w:fill="FFFFFF"/>
        </w:rPr>
        <w:t xml:space="preserve"> pomiędzy członkami konsorcjum</w:t>
      </w:r>
      <w:r w:rsidRPr="009B4996">
        <w:rPr>
          <w:color w:val="000000"/>
          <w:sz w:val="22"/>
          <w:szCs w:val="22"/>
          <w:shd w:val="clear" w:color="auto" w:fill="FFFFFF"/>
        </w:rPr>
        <w:t xml:space="preserve"> umowy</w:t>
      </w:r>
      <w:r>
        <w:rPr>
          <w:color w:val="000000"/>
          <w:sz w:val="22"/>
          <w:szCs w:val="22"/>
          <w:shd w:val="clear" w:color="auto" w:fill="FFFFFF"/>
        </w:rPr>
        <w:t xml:space="preserve"> użyczenia linii pilotażowej</w:t>
      </w:r>
      <w:r w:rsidRPr="009B4996">
        <w:rPr>
          <w:color w:val="000000"/>
          <w:sz w:val="22"/>
          <w:szCs w:val="22"/>
          <w:shd w:val="clear" w:color="auto" w:fill="FFFFFF"/>
        </w:rPr>
        <w:t xml:space="preserve">, </w:t>
      </w:r>
      <w:r>
        <w:rPr>
          <w:color w:val="000000"/>
          <w:sz w:val="22"/>
          <w:szCs w:val="22"/>
          <w:shd w:val="clear" w:color="auto" w:fill="FFFFFF"/>
        </w:rPr>
        <w:t>jednak</w:t>
      </w:r>
      <w:r w:rsidRPr="009B4996">
        <w:rPr>
          <w:color w:val="000000"/>
          <w:sz w:val="22"/>
          <w:szCs w:val="22"/>
          <w:shd w:val="clear" w:color="auto" w:fill="FFFFFF"/>
        </w:rPr>
        <w:t xml:space="preserve"> wszystko zależy od jej szczegółowych warunków i warunków realizacji projektu w ramach konsorcjum</w:t>
      </w:r>
      <w:r w:rsidR="0006276A">
        <w:rPr>
          <w:color w:val="000000"/>
          <w:sz w:val="22"/>
          <w:szCs w:val="22"/>
          <w:shd w:val="clear" w:color="auto" w:fill="FFFFFF"/>
        </w:rPr>
        <w:t>. Przede wszystkim</w:t>
      </w:r>
      <w:r w:rsidR="00407AE9">
        <w:rPr>
          <w:color w:val="000000"/>
          <w:sz w:val="22"/>
          <w:szCs w:val="22"/>
          <w:shd w:val="clear" w:color="auto" w:fill="FFFFFF"/>
        </w:rPr>
        <w:t xml:space="preserve"> niedozwolone jest uzyskanie przez</w:t>
      </w:r>
      <w:r w:rsidR="0006276A">
        <w:rPr>
          <w:color w:val="000000"/>
          <w:sz w:val="22"/>
          <w:szCs w:val="22"/>
          <w:shd w:val="clear" w:color="auto" w:fill="FFFFFF"/>
        </w:rPr>
        <w:t xml:space="preserve"> </w:t>
      </w:r>
      <w:r w:rsidRPr="009B4996">
        <w:rPr>
          <w:color w:val="000000"/>
          <w:sz w:val="22"/>
          <w:szCs w:val="22"/>
          <w:shd w:val="clear" w:color="auto" w:fill="FFFFFF"/>
        </w:rPr>
        <w:t>prze</w:t>
      </w:r>
      <w:r>
        <w:rPr>
          <w:color w:val="000000"/>
          <w:sz w:val="22"/>
          <w:szCs w:val="22"/>
          <w:shd w:val="clear" w:color="auto" w:fill="FFFFFF"/>
        </w:rPr>
        <w:t>dsiębiorstw</w:t>
      </w:r>
      <w:r w:rsidR="00407AE9">
        <w:rPr>
          <w:color w:val="000000"/>
          <w:sz w:val="22"/>
          <w:szCs w:val="22"/>
          <w:shd w:val="clear" w:color="auto" w:fill="FFFFFF"/>
        </w:rPr>
        <w:t>a</w:t>
      </w:r>
      <w:r w:rsidRPr="009B4996">
        <w:rPr>
          <w:color w:val="000000"/>
          <w:sz w:val="22"/>
          <w:szCs w:val="22"/>
          <w:shd w:val="clear" w:color="auto" w:fill="FFFFFF"/>
        </w:rPr>
        <w:t xml:space="preserve"> pośredniej pomocy publicznej. </w:t>
      </w:r>
    </w:p>
    <w:p w14:paraId="3E2D4547" w14:textId="77777777" w:rsidR="004C47D7" w:rsidRPr="005D45B4" w:rsidRDefault="004C47D7" w:rsidP="003414F0">
      <w:pPr>
        <w:pStyle w:val="Akapitzlist"/>
        <w:spacing w:after="160" w:line="276" w:lineRule="auto"/>
        <w:contextualSpacing/>
        <w:rPr>
          <w:sz w:val="22"/>
          <w:szCs w:val="22"/>
        </w:rPr>
      </w:pPr>
    </w:p>
    <w:p w14:paraId="065EC64C" w14:textId="7819578F" w:rsidR="004C47D7" w:rsidRPr="005D45B4" w:rsidRDefault="004C47D7" w:rsidP="003414F0">
      <w:pPr>
        <w:pStyle w:val="Akapitzlist"/>
        <w:numPr>
          <w:ilvl w:val="0"/>
          <w:numId w:val="1"/>
        </w:numPr>
        <w:spacing w:after="160" w:line="276" w:lineRule="auto"/>
        <w:contextualSpacing/>
        <w:rPr>
          <w:b/>
          <w:bCs/>
          <w:color w:val="000000"/>
          <w:sz w:val="22"/>
          <w:szCs w:val="22"/>
          <w:shd w:val="clear" w:color="auto" w:fill="FFFFFF"/>
        </w:rPr>
      </w:pPr>
      <w:r w:rsidRPr="005D45B4">
        <w:rPr>
          <w:b/>
          <w:bCs/>
          <w:color w:val="000000"/>
          <w:sz w:val="22"/>
          <w:szCs w:val="22"/>
          <w:shd w:val="clear" w:color="auto" w:fill="FFFFFF"/>
        </w:rPr>
        <w:t>Do wykonania i posadowienia prototypu niezbędne jest wykonanie fundamentów, wynajem dźwigu, zrobienie przyłączy do sieci, czy takie wydatki mogą stanowić wydatek kwalifikowany?</w:t>
      </w:r>
      <w:r w:rsidR="000554EF">
        <w:rPr>
          <w:b/>
          <w:bCs/>
          <w:color w:val="000000"/>
          <w:sz w:val="22"/>
          <w:szCs w:val="22"/>
          <w:shd w:val="clear" w:color="auto" w:fill="FFFFFF"/>
        </w:rPr>
        <w:t xml:space="preserve"> Czy </w:t>
      </w:r>
      <w:r w:rsidR="000554EF" w:rsidRPr="000554EF">
        <w:rPr>
          <w:b/>
          <w:bCs/>
          <w:color w:val="000000"/>
          <w:sz w:val="22"/>
          <w:szCs w:val="22"/>
          <w:shd w:val="clear" w:color="auto" w:fill="FFFFFF"/>
        </w:rPr>
        <w:t>montaż linii demonstracyjnej jest kosztem kwalifikowalnym</w:t>
      </w:r>
      <w:r w:rsidR="0039151E">
        <w:rPr>
          <w:b/>
          <w:bCs/>
          <w:color w:val="000000"/>
          <w:sz w:val="22"/>
          <w:szCs w:val="22"/>
          <w:shd w:val="clear" w:color="auto" w:fill="FFFFFF"/>
        </w:rPr>
        <w:t>?</w:t>
      </w:r>
    </w:p>
    <w:p w14:paraId="268DAD68" w14:textId="71600AA9" w:rsidR="004C47D7" w:rsidRPr="00E07CED" w:rsidRDefault="00E07CED"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t>Odp.</w:t>
      </w:r>
      <w:r w:rsidR="004C47D7" w:rsidRPr="00E07CED">
        <w:rPr>
          <w:color w:val="000000"/>
          <w:sz w:val="22"/>
          <w:szCs w:val="22"/>
          <w:shd w:val="clear" w:color="auto" w:fill="FFFFFF"/>
        </w:rPr>
        <w:t>:</w:t>
      </w:r>
      <w:r w:rsidR="007570CA" w:rsidRPr="00E07CED">
        <w:rPr>
          <w:color w:val="000000"/>
          <w:sz w:val="22"/>
          <w:szCs w:val="22"/>
          <w:shd w:val="clear" w:color="auto" w:fill="FFFFFF"/>
        </w:rPr>
        <w:t xml:space="preserve"> Jeżeli, w myśl zapisów Ustawy o rachunkowości oraz polityki rachunkowości przedsiębiorcy wskazane koszty (wykonanie fundamentów, wynajem dźwigu, zrobienie przyłączy do sieci</w:t>
      </w:r>
      <w:r w:rsidRPr="00E07CED">
        <w:rPr>
          <w:color w:val="000000"/>
          <w:sz w:val="22"/>
          <w:szCs w:val="22"/>
          <w:shd w:val="clear" w:color="auto" w:fill="FFFFFF"/>
        </w:rPr>
        <w:t>, montaż linii</w:t>
      </w:r>
      <w:r w:rsidR="007570CA" w:rsidRPr="00E07CED">
        <w:rPr>
          <w:color w:val="000000"/>
          <w:sz w:val="22"/>
          <w:szCs w:val="22"/>
          <w:shd w:val="clear" w:color="auto" w:fill="FFFFFF"/>
        </w:rPr>
        <w:t>) będą wliczone do</w:t>
      </w:r>
      <w:r w:rsidR="004C47D7" w:rsidRPr="00E07CED">
        <w:rPr>
          <w:color w:val="000000"/>
          <w:sz w:val="22"/>
          <w:szCs w:val="22"/>
          <w:shd w:val="clear" w:color="auto" w:fill="FFFFFF"/>
        </w:rPr>
        <w:t xml:space="preserve"> </w:t>
      </w:r>
      <w:r w:rsidR="007570CA" w:rsidRPr="00E07CED">
        <w:rPr>
          <w:color w:val="000000"/>
          <w:sz w:val="22"/>
          <w:szCs w:val="22"/>
          <w:shd w:val="clear" w:color="auto" w:fill="FFFFFF"/>
        </w:rPr>
        <w:t xml:space="preserve">wartości początkowej środka trwałego, wówczas </w:t>
      </w:r>
      <w:r w:rsidR="00D6188E" w:rsidRPr="00E07CED">
        <w:rPr>
          <w:color w:val="000000"/>
          <w:sz w:val="22"/>
          <w:szCs w:val="22"/>
          <w:shd w:val="clear" w:color="auto" w:fill="FFFFFF"/>
        </w:rPr>
        <w:t>ich wykazanie jako koszt kwalifikowany będzie możliwe</w:t>
      </w:r>
      <w:r w:rsidR="0062776F">
        <w:rPr>
          <w:color w:val="000000"/>
          <w:sz w:val="22"/>
          <w:szCs w:val="22"/>
          <w:shd w:val="clear" w:color="auto" w:fill="FFFFFF"/>
        </w:rPr>
        <w:t xml:space="preserve"> tylko</w:t>
      </w:r>
      <w:r w:rsidR="00D6188E" w:rsidRPr="00E07CED">
        <w:rPr>
          <w:color w:val="000000"/>
          <w:sz w:val="22"/>
          <w:szCs w:val="22"/>
          <w:shd w:val="clear" w:color="auto" w:fill="FFFFFF"/>
        </w:rPr>
        <w:t xml:space="preserve"> jako odpis amortyzacyjny środka trwałego</w:t>
      </w:r>
      <w:r w:rsidR="00D6188E">
        <w:rPr>
          <w:color w:val="000000"/>
          <w:sz w:val="22"/>
          <w:szCs w:val="22"/>
          <w:shd w:val="clear" w:color="auto" w:fill="FFFFFF"/>
        </w:rPr>
        <w:t xml:space="preserve">. W sytuacji, gdy wykazane koszty nie </w:t>
      </w:r>
      <w:r w:rsidR="00D6188E" w:rsidRPr="00D6188E">
        <w:rPr>
          <w:color w:val="000000"/>
          <w:sz w:val="22"/>
          <w:szCs w:val="22"/>
          <w:shd w:val="clear" w:color="auto" w:fill="FFFFFF"/>
        </w:rPr>
        <w:t>będą wliczone do wartości początkowej środka trwałego, wówczas</w:t>
      </w:r>
      <w:r w:rsidR="00D6188E">
        <w:rPr>
          <w:color w:val="000000"/>
          <w:sz w:val="22"/>
          <w:szCs w:val="22"/>
          <w:shd w:val="clear" w:color="auto" w:fill="FFFFFF"/>
        </w:rPr>
        <w:t xml:space="preserve"> </w:t>
      </w:r>
      <w:r w:rsidR="007570CA" w:rsidRPr="00E07CED">
        <w:rPr>
          <w:color w:val="000000"/>
          <w:sz w:val="22"/>
          <w:szCs w:val="22"/>
          <w:shd w:val="clear" w:color="auto" w:fill="FFFFFF"/>
        </w:rPr>
        <w:t>będzie możliwe ich uwzględnienie w kategorii kosztów 3.3.8 Usługi zewnętrzne (koszty operacyjne) -</w:t>
      </w:r>
      <w:r w:rsidR="007570CA" w:rsidRPr="00E07CED">
        <w:rPr>
          <w:sz w:val="22"/>
          <w:szCs w:val="22"/>
        </w:rPr>
        <w:t xml:space="preserve"> </w:t>
      </w:r>
      <w:r w:rsidR="007570CA" w:rsidRPr="00E07CED">
        <w:rPr>
          <w:color w:val="000000"/>
          <w:sz w:val="22"/>
          <w:szCs w:val="22"/>
          <w:shd w:val="clear" w:color="auto" w:fill="FFFFFF"/>
        </w:rPr>
        <w:t>pomocnicz</w:t>
      </w:r>
      <w:r w:rsidR="005457AB" w:rsidRPr="00E07CED">
        <w:rPr>
          <w:color w:val="000000"/>
          <w:sz w:val="22"/>
          <w:szCs w:val="22"/>
          <w:shd w:val="clear" w:color="auto" w:fill="FFFFFF"/>
        </w:rPr>
        <w:t>e</w:t>
      </w:r>
      <w:r w:rsidR="007570CA" w:rsidRPr="00E07CED">
        <w:rPr>
          <w:color w:val="000000"/>
          <w:sz w:val="22"/>
          <w:szCs w:val="22"/>
          <w:shd w:val="clear" w:color="auto" w:fill="FFFFFF"/>
        </w:rPr>
        <w:t xml:space="preserve"> usług</w:t>
      </w:r>
      <w:r w:rsidR="005457AB" w:rsidRPr="00E07CED">
        <w:rPr>
          <w:color w:val="000000"/>
          <w:sz w:val="22"/>
          <w:szCs w:val="22"/>
          <w:shd w:val="clear" w:color="auto" w:fill="FFFFFF"/>
        </w:rPr>
        <w:t>i</w:t>
      </w:r>
      <w:r w:rsidR="007570CA" w:rsidRPr="00E07CED">
        <w:rPr>
          <w:color w:val="000000"/>
          <w:sz w:val="22"/>
          <w:szCs w:val="22"/>
          <w:shd w:val="clear" w:color="auto" w:fill="FFFFFF"/>
        </w:rPr>
        <w:t xml:space="preserve"> obc</w:t>
      </w:r>
      <w:r w:rsidR="005457AB" w:rsidRPr="00E07CED">
        <w:rPr>
          <w:color w:val="000000"/>
          <w:sz w:val="22"/>
          <w:szCs w:val="22"/>
          <w:shd w:val="clear" w:color="auto" w:fill="FFFFFF"/>
        </w:rPr>
        <w:t>e</w:t>
      </w:r>
      <w:r w:rsidR="007570CA" w:rsidRPr="00E07CED">
        <w:rPr>
          <w:color w:val="000000"/>
          <w:sz w:val="22"/>
          <w:szCs w:val="22"/>
          <w:shd w:val="clear" w:color="auto" w:fill="FFFFFF"/>
        </w:rPr>
        <w:t xml:space="preserve">, które są niezbędne do realizacji </w:t>
      </w:r>
      <w:r w:rsidR="00EC635D">
        <w:rPr>
          <w:color w:val="000000"/>
          <w:sz w:val="22"/>
          <w:szCs w:val="22"/>
          <w:shd w:val="clear" w:color="auto" w:fill="FFFFFF"/>
        </w:rPr>
        <w:t>modułu</w:t>
      </w:r>
      <w:r w:rsidR="007570CA" w:rsidRPr="00E07CED">
        <w:rPr>
          <w:color w:val="000000"/>
          <w:sz w:val="22"/>
          <w:szCs w:val="22"/>
          <w:shd w:val="clear" w:color="auto" w:fill="FFFFFF"/>
        </w:rPr>
        <w:t xml:space="preserve">, ale nie wpisują się w definicję innych kategorii.  </w:t>
      </w:r>
    </w:p>
    <w:p w14:paraId="678FA4F3" w14:textId="57B6155C" w:rsidR="007570CA" w:rsidRPr="00E07CED" w:rsidRDefault="007570CA" w:rsidP="003414F0">
      <w:pPr>
        <w:pStyle w:val="Akapitzlist"/>
        <w:spacing w:after="160" w:line="276" w:lineRule="auto"/>
        <w:contextualSpacing/>
        <w:rPr>
          <w:color w:val="000000"/>
          <w:sz w:val="22"/>
          <w:szCs w:val="22"/>
          <w:shd w:val="clear" w:color="auto" w:fill="FFFFFF"/>
        </w:rPr>
      </w:pPr>
    </w:p>
    <w:p w14:paraId="36A37C8D" w14:textId="06A528F1" w:rsidR="004C47D7" w:rsidRPr="00E07CED" w:rsidRDefault="007570CA"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t xml:space="preserve">Zwracamy uwagę, że wszystkie wydatki </w:t>
      </w:r>
      <w:r w:rsidR="00EC635D">
        <w:rPr>
          <w:color w:val="000000"/>
          <w:sz w:val="22"/>
          <w:szCs w:val="22"/>
          <w:shd w:val="clear" w:color="auto" w:fill="FFFFFF"/>
        </w:rPr>
        <w:t>w module</w:t>
      </w:r>
      <w:r w:rsidR="004C47D7" w:rsidRPr="00E07CED">
        <w:rPr>
          <w:color w:val="000000"/>
          <w:sz w:val="22"/>
          <w:szCs w:val="22"/>
          <w:shd w:val="clear" w:color="auto" w:fill="FFFFFF"/>
        </w:rPr>
        <w:t xml:space="preserve"> muszą być niezbędne i bezpośrednio związane z realizacją modułu. Natomiast ocena racjonalności i zasadności wydatków z punktu widzenia zakresu i celu modułu będzie dokonywana w ramach </w:t>
      </w:r>
      <w:r w:rsidR="00EC635D">
        <w:rPr>
          <w:color w:val="000000"/>
          <w:sz w:val="22"/>
          <w:szCs w:val="22"/>
          <w:shd w:val="clear" w:color="auto" w:fill="FFFFFF"/>
        </w:rPr>
        <w:t xml:space="preserve">odpowiedniego </w:t>
      </w:r>
      <w:r w:rsidR="004C47D7" w:rsidRPr="00E07CED">
        <w:rPr>
          <w:color w:val="000000"/>
          <w:sz w:val="22"/>
          <w:szCs w:val="22"/>
          <w:shd w:val="clear" w:color="auto" w:fill="FFFFFF"/>
        </w:rPr>
        <w:t>kryterium</w:t>
      </w:r>
      <w:r w:rsidRPr="00E07CED">
        <w:rPr>
          <w:color w:val="000000"/>
          <w:sz w:val="22"/>
          <w:szCs w:val="22"/>
          <w:shd w:val="clear" w:color="auto" w:fill="FFFFFF"/>
        </w:rPr>
        <w:t>.</w:t>
      </w:r>
    </w:p>
    <w:p w14:paraId="5F321FA0" w14:textId="77777777" w:rsidR="007570CA" w:rsidRPr="00E07CED" w:rsidRDefault="007570CA" w:rsidP="003414F0">
      <w:pPr>
        <w:pStyle w:val="Akapitzlist"/>
        <w:spacing w:after="160" w:line="276" w:lineRule="auto"/>
        <w:contextualSpacing/>
        <w:rPr>
          <w:color w:val="000000"/>
          <w:sz w:val="22"/>
          <w:szCs w:val="22"/>
          <w:shd w:val="clear" w:color="auto" w:fill="FFFFFF"/>
        </w:rPr>
      </w:pPr>
    </w:p>
    <w:p w14:paraId="541E10EF" w14:textId="77777777" w:rsidR="000A0DEC" w:rsidRPr="005D45B4" w:rsidRDefault="000A0DEC" w:rsidP="003414F0">
      <w:pPr>
        <w:pStyle w:val="Akapitzlist"/>
        <w:numPr>
          <w:ilvl w:val="0"/>
          <w:numId w:val="1"/>
        </w:numPr>
        <w:spacing w:after="160" w:line="276" w:lineRule="auto"/>
        <w:contextualSpacing/>
        <w:rPr>
          <w:b/>
          <w:bCs/>
          <w:sz w:val="22"/>
          <w:szCs w:val="22"/>
        </w:rPr>
      </w:pPr>
      <w:r w:rsidRPr="005D45B4">
        <w:rPr>
          <w:b/>
          <w:bCs/>
          <w:color w:val="000000"/>
          <w:sz w:val="22"/>
          <w:szCs w:val="22"/>
          <w:shd w:val="clear" w:color="auto" w:fill="FFFFFF"/>
        </w:rPr>
        <w:t>Prototyp – czy można go wykorzystać do wdrożenia komercyjnego dla celów świadczenia za jego pomocą usług w ramach własnej działalności?</w:t>
      </w:r>
    </w:p>
    <w:p w14:paraId="207C8501" w14:textId="792685F1" w:rsidR="000A0DEC" w:rsidRPr="00E07CED" w:rsidRDefault="00E07CED"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t>Odp.</w:t>
      </w:r>
      <w:r w:rsidR="000A0DEC" w:rsidRPr="00E07CED">
        <w:rPr>
          <w:color w:val="000000"/>
          <w:sz w:val="22"/>
          <w:szCs w:val="22"/>
          <w:shd w:val="clear" w:color="auto" w:fill="FFFFFF"/>
        </w:rPr>
        <w:t>: Zgodnie z GBER wykorzystanie komercyjne prototypu co do zasady jest możliwe w sytuacji</w:t>
      </w:r>
      <w:r w:rsidR="003A7116">
        <w:rPr>
          <w:color w:val="000000"/>
          <w:sz w:val="22"/>
          <w:szCs w:val="22"/>
          <w:shd w:val="clear" w:color="auto" w:fill="FFFFFF"/>
        </w:rPr>
        <w:t>,</w:t>
      </w:r>
      <w:r w:rsidR="000A0DEC" w:rsidRPr="00E07CED">
        <w:rPr>
          <w:color w:val="000000"/>
          <w:sz w:val="22"/>
          <w:szCs w:val="22"/>
          <w:shd w:val="clear" w:color="auto" w:fill="FFFFFF"/>
        </w:rPr>
        <w:t xml:space="preserve"> kiedy prototyp lub projekt pilotażowy z konieczności jest produktem końcowym do wykorzystania do celów komercyjnych, a jego produkcja jest zbyt kosztowna, aby służył on jedynie do demonstracji i walidacji. W związku z tym ewentualne wykorzystanie komercyjne prototypu nawet po zakończeniu projektu powinno być uzasadnione, a uzasadnienie to powinno zostać przedstawione </w:t>
      </w:r>
      <w:r w:rsidR="003A7116">
        <w:rPr>
          <w:color w:val="000000"/>
          <w:sz w:val="22"/>
          <w:szCs w:val="22"/>
          <w:shd w:val="clear" w:color="auto" w:fill="FFFFFF"/>
        </w:rPr>
        <w:t>we</w:t>
      </w:r>
      <w:r w:rsidR="000A0DEC" w:rsidRPr="00E07CED">
        <w:rPr>
          <w:color w:val="000000"/>
          <w:sz w:val="22"/>
          <w:szCs w:val="22"/>
          <w:shd w:val="clear" w:color="auto" w:fill="FFFFFF"/>
        </w:rPr>
        <w:t xml:space="preserve"> wniosku o dofinansowanie.</w:t>
      </w:r>
      <w:r w:rsidR="003A7116">
        <w:rPr>
          <w:color w:val="000000"/>
          <w:sz w:val="22"/>
          <w:szCs w:val="22"/>
          <w:shd w:val="clear" w:color="auto" w:fill="FFFFFF"/>
        </w:rPr>
        <w:t xml:space="preserve"> </w:t>
      </w:r>
      <w:r w:rsidR="00E357E8">
        <w:rPr>
          <w:color w:val="000000"/>
          <w:sz w:val="22"/>
          <w:szCs w:val="22"/>
          <w:shd w:val="clear" w:color="auto" w:fill="FFFFFF"/>
        </w:rPr>
        <w:t>Kwestia sposobu wdrożenia podlega ocenie, także z punktu widzenia opłacalności wprowadzenia rezultatu modułu na rynek. Wnioskodawca planując określone zadania i koszty prac B+R musi mieć na uwadze efektywność ekonomiczną podejmowanych działań.</w:t>
      </w:r>
    </w:p>
    <w:p w14:paraId="06EB7344" w14:textId="77777777" w:rsidR="000A0DEC" w:rsidRPr="005D45B4" w:rsidRDefault="000A0DEC" w:rsidP="003414F0">
      <w:pPr>
        <w:pStyle w:val="Akapitzlist"/>
        <w:spacing w:after="160" w:line="276" w:lineRule="auto"/>
        <w:contextualSpacing/>
        <w:rPr>
          <w:i/>
          <w:iCs/>
          <w:sz w:val="22"/>
          <w:szCs w:val="22"/>
        </w:rPr>
      </w:pPr>
    </w:p>
    <w:p w14:paraId="7CE9F5B9" w14:textId="568DE4AD" w:rsidR="004C47D7" w:rsidRPr="005D45B4" w:rsidRDefault="004C47D7" w:rsidP="003414F0">
      <w:pPr>
        <w:pStyle w:val="Akapitzlist"/>
        <w:numPr>
          <w:ilvl w:val="0"/>
          <w:numId w:val="1"/>
        </w:numPr>
        <w:spacing w:after="160" w:line="276" w:lineRule="auto"/>
        <w:contextualSpacing/>
        <w:rPr>
          <w:b/>
          <w:bCs/>
          <w:sz w:val="22"/>
          <w:szCs w:val="22"/>
        </w:rPr>
      </w:pPr>
      <w:r w:rsidRPr="005D45B4">
        <w:rPr>
          <w:b/>
          <w:bCs/>
          <w:sz w:val="22"/>
          <w:szCs w:val="22"/>
        </w:rPr>
        <w:t>Czy mo</w:t>
      </w:r>
      <w:r w:rsidR="00E07CED">
        <w:rPr>
          <w:b/>
          <w:bCs/>
          <w:sz w:val="22"/>
          <w:szCs w:val="22"/>
        </w:rPr>
        <w:t>żliwa jest</w:t>
      </w:r>
      <w:r w:rsidRPr="005D45B4">
        <w:rPr>
          <w:b/>
          <w:bCs/>
          <w:sz w:val="22"/>
          <w:szCs w:val="22"/>
        </w:rPr>
        <w:t xml:space="preserve"> sprzeda</w:t>
      </w:r>
      <w:r w:rsidR="00E07CED">
        <w:rPr>
          <w:b/>
          <w:bCs/>
          <w:sz w:val="22"/>
          <w:szCs w:val="22"/>
        </w:rPr>
        <w:t>ż prototypowych produktów powstałych na pilotażowej linii technologicznej</w:t>
      </w:r>
      <w:r w:rsidRPr="005D45B4">
        <w:rPr>
          <w:b/>
          <w:bCs/>
          <w:sz w:val="22"/>
          <w:szCs w:val="22"/>
        </w:rPr>
        <w:t xml:space="preserve">? Jeśli nie, czy i jak </w:t>
      </w:r>
      <w:r w:rsidR="00E07CED">
        <w:rPr>
          <w:b/>
          <w:bCs/>
          <w:sz w:val="22"/>
          <w:szCs w:val="22"/>
        </w:rPr>
        <w:t>należy</w:t>
      </w:r>
      <w:r w:rsidRPr="005D45B4">
        <w:rPr>
          <w:b/>
          <w:bCs/>
          <w:sz w:val="22"/>
          <w:szCs w:val="22"/>
        </w:rPr>
        <w:t xml:space="preserve"> je zutylizować?</w:t>
      </w:r>
    </w:p>
    <w:p w14:paraId="63677EFC" w14:textId="5905F4A2" w:rsidR="000A0DEC" w:rsidRPr="00E07CED" w:rsidRDefault="00E07CED" w:rsidP="003414F0">
      <w:pPr>
        <w:pStyle w:val="Akapitzlist"/>
        <w:spacing w:after="160" w:line="276" w:lineRule="auto"/>
        <w:contextualSpacing/>
        <w:rPr>
          <w:color w:val="000000"/>
          <w:sz w:val="22"/>
          <w:szCs w:val="22"/>
          <w:shd w:val="clear" w:color="auto" w:fill="FFFFFF"/>
        </w:rPr>
      </w:pPr>
      <w:r w:rsidRPr="00E07CED">
        <w:rPr>
          <w:color w:val="000000"/>
          <w:sz w:val="22"/>
          <w:szCs w:val="22"/>
          <w:shd w:val="clear" w:color="auto" w:fill="FFFFFF"/>
        </w:rPr>
        <w:lastRenderedPageBreak/>
        <w:t>Odp.</w:t>
      </w:r>
      <w:r w:rsidR="007570CA" w:rsidRPr="00E07CED">
        <w:rPr>
          <w:color w:val="000000"/>
          <w:sz w:val="22"/>
          <w:szCs w:val="22"/>
          <w:shd w:val="clear" w:color="auto" w:fill="FFFFFF"/>
        </w:rPr>
        <w:t>:</w:t>
      </w:r>
      <w:r w:rsidR="000A0DEC" w:rsidRPr="00E07CED">
        <w:rPr>
          <w:color w:val="000000"/>
          <w:sz w:val="22"/>
          <w:szCs w:val="22"/>
          <w:shd w:val="clear" w:color="auto" w:fill="FFFFFF"/>
        </w:rPr>
        <w:t xml:space="preserve"> </w:t>
      </w:r>
      <w:r w:rsidR="00B042FC">
        <w:rPr>
          <w:color w:val="000000"/>
          <w:sz w:val="22"/>
          <w:szCs w:val="22"/>
          <w:shd w:val="clear" w:color="auto" w:fill="FFFFFF"/>
        </w:rPr>
        <w:t>S</w:t>
      </w:r>
      <w:r w:rsidR="00CD4CCE" w:rsidRPr="00E07CED">
        <w:rPr>
          <w:color w:val="000000"/>
          <w:sz w:val="22"/>
          <w:szCs w:val="22"/>
          <w:shd w:val="clear" w:color="auto" w:fill="FFFFFF"/>
        </w:rPr>
        <w:t>przedaż</w:t>
      </w:r>
      <w:r w:rsidR="000A0DEC" w:rsidRPr="00E07CED">
        <w:rPr>
          <w:color w:val="000000"/>
          <w:sz w:val="22"/>
          <w:szCs w:val="22"/>
          <w:shd w:val="clear" w:color="auto" w:fill="FFFFFF"/>
        </w:rPr>
        <w:t xml:space="preserve"> </w:t>
      </w:r>
      <w:r w:rsidR="00CD4CCE" w:rsidRPr="00E07CED">
        <w:rPr>
          <w:color w:val="000000"/>
          <w:sz w:val="22"/>
          <w:szCs w:val="22"/>
          <w:shd w:val="clear" w:color="auto" w:fill="FFFFFF"/>
        </w:rPr>
        <w:t>prototypowych produktów wytworzonych na pilotażowej linii technologicznej</w:t>
      </w:r>
      <w:r w:rsidR="00B042FC">
        <w:rPr>
          <w:color w:val="000000"/>
          <w:sz w:val="22"/>
          <w:szCs w:val="22"/>
          <w:shd w:val="clear" w:color="auto" w:fill="FFFFFF"/>
        </w:rPr>
        <w:t xml:space="preserve"> nie stanowi naruszenia postanowień umowy ani </w:t>
      </w:r>
      <w:r w:rsidR="006311E2">
        <w:rPr>
          <w:color w:val="000000"/>
          <w:sz w:val="22"/>
          <w:szCs w:val="22"/>
          <w:shd w:val="clear" w:color="auto" w:fill="FFFFFF"/>
        </w:rPr>
        <w:t>przepisów pomocy publicznej</w:t>
      </w:r>
      <w:r w:rsidR="00CD4CCE" w:rsidRPr="00E07CED">
        <w:rPr>
          <w:color w:val="000000"/>
          <w:sz w:val="22"/>
          <w:szCs w:val="22"/>
          <w:shd w:val="clear" w:color="auto" w:fill="FFFFFF"/>
        </w:rPr>
        <w:t>.</w:t>
      </w:r>
    </w:p>
    <w:p w14:paraId="122143AB" w14:textId="0CF8762F" w:rsidR="007570CA" w:rsidRPr="00E07CED" w:rsidRDefault="007570CA" w:rsidP="003414F0">
      <w:pPr>
        <w:pStyle w:val="Akapitzlist"/>
        <w:spacing w:after="160" w:line="276" w:lineRule="auto"/>
        <w:contextualSpacing/>
        <w:rPr>
          <w:sz w:val="22"/>
          <w:szCs w:val="22"/>
        </w:rPr>
      </w:pPr>
    </w:p>
    <w:p w14:paraId="06C5177D" w14:textId="77777777" w:rsidR="005457AB" w:rsidRPr="005D45B4" w:rsidRDefault="005457AB" w:rsidP="003414F0">
      <w:pPr>
        <w:pStyle w:val="Akapitzlist"/>
        <w:spacing w:after="160" w:line="276" w:lineRule="auto"/>
        <w:contextualSpacing/>
        <w:rPr>
          <w:i/>
          <w:iCs/>
          <w:sz w:val="22"/>
          <w:szCs w:val="22"/>
        </w:rPr>
      </w:pPr>
    </w:p>
    <w:p w14:paraId="3F71057E" w14:textId="77777777" w:rsidR="00E07CED" w:rsidRPr="005D45B4" w:rsidRDefault="00E07CED" w:rsidP="003414F0">
      <w:pPr>
        <w:pStyle w:val="Akapitzlist"/>
        <w:spacing w:after="160" w:line="276" w:lineRule="auto"/>
        <w:contextualSpacing/>
        <w:rPr>
          <w:sz w:val="22"/>
          <w:szCs w:val="22"/>
        </w:rPr>
      </w:pPr>
    </w:p>
    <w:p w14:paraId="5F371183" w14:textId="77777777" w:rsidR="004C47D7" w:rsidRPr="005D45B4" w:rsidRDefault="004C47D7" w:rsidP="003414F0">
      <w:pPr>
        <w:spacing w:line="276" w:lineRule="auto"/>
        <w:rPr>
          <w:strike/>
          <w:sz w:val="22"/>
          <w:szCs w:val="22"/>
        </w:rPr>
      </w:pPr>
    </w:p>
    <w:sectPr w:rsidR="004C47D7" w:rsidRPr="005D45B4">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A4F71" w14:textId="77777777" w:rsidR="00BC4B98" w:rsidRDefault="00BC4B98" w:rsidP="001979FE">
      <w:r>
        <w:separator/>
      </w:r>
    </w:p>
  </w:endnote>
  <w:endnote w:type="continuationSeparator" w:id="0">
    <w:p w14:paraId="5B99E9BF" w14:textId="77777777" w:rsidR="00BC4B98" w:rsidRDefault="00BC4B98" w:rsidP="0019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EF0B" w14:textId="7FFCE2F1" w:rsidR="001979FE" w:rsidRDefault="001979FE">
    <w:pPr>
      <w:pStyle w:val="Stopka"/>
    </w:pPr>
    <w:r>
      <w:rPr>
        <w:noProof/>
        <w14:ligatures w14:val="none"/>
      </w:rPr>
      <mc:AlternateContent>
        <mc:Choice Requires="wps">
          <w:drawing>
            <wp:anchor distT="0" distB="0" distL="0" distR="0" simplePos="0" relativeHeight="251659264" behindDoc="0" locked="0" layoutInCell="1" allowOverlap="1" wp14:anchorId="239B3C07" wp14:editId="0786973E">
              <wp:simplePos x="635" y="635"/>
              <wp:positionH relativeFrom="page">
                <wp:align>center</wp:align>
              </wp:positionH>
              <wp:positionV relativeFrom="page">
                <wp:align>bottom</wp:align>
              </wp:positionV>
              <wp:extent cx="443865" cy="443865"/>
              <wp:effectExtent l="0" t="0" r="11430" b="0"/>
              <wp:wrapNone/>
              <wp:docPr id="2" name="Pole tekstowe 2" descr="K2 - Informacja wewnętrz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4F5EE" w14:textId="0FEB6E4D"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9B3C07" id="_x0000_t202" coordsize="21600,21600" o:spt="202" path="m,l,21600r21600,l21600,xe">
              <v:stroke joinstyle="miter"/>
              <v:path gradientshapeok="t" o:connecttype="rect"/>
            </v:shapetype>
            <v:shape id="Pole tekstowe 2" o:spid="_x0000_s1026" type="#_x0000_t202" alt="K2 - Informacja wewnętrzna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pCHggIAAMMEAAAOAAAAZHJzL2Uyb0RvYy54bWysVM1u2zAMvg/YOwg6bYfUTpb0x6hTuEk9&#10;BAvaAu3QsyLLjTdZFCQldjrsQfY+e7BRst1t3U7DLjJFUvz5+NHnF20tyV4YW4FK6fgopkQoDkWl&#10;HlP68T4fnVJiHVMFk6BESg/C0ov561fnjU7EBLYgC2EIBlE2aXRKt87pJIos34qa2SPQQqGxBFMz&#10;h1fzGBWGNRi9ltEkjo+jBkyhDXBhLWqXnZHOQ/yyFNzdlKUVjsiUYm0unCacG39G83OWPBqmtxXv&#10;y2D/UEXNKoVJn0MtmWNkZ6o/QtUVN2ChdEcc6gjKsuIi9IDdjOMX3dxtmRahFwTH6meY7P8Ly6/3&#10;t4ZURUonlChW44huQQrixGfroBEE1YWwHCH7MCEjslJhFvwTI41o1PdvzjwpRt6slBNGMfk2oCBa&#10;t7bO44FSh8OXWXY1HefZZLSI83w0nZ7Eo7PL5XQ0y7PlIjs9WVxeTb76eUThVXgfNdomoUQ/0CDe&#10;aazXtZfQIt28u9dbVPpsbWlq/0VcCdpx4IfnIftKOCqn03enxzNKOJp6uUs6PNbGuvcCauKFlBrk&#10;UGiK7bGmznVw8bkU5JWUqGeJVL8psBGvCU10FfpaXbtp+7I3UBywGwMdLa3meYU518y6W2aQh9gA&#10;7pa7waOU0KQUeomSLZinv+m9P9IDrZQ0yOuUKlw8SuRKIW38CgyCGYRNEMZn8SxGu9rVC8BtGePi&#10;ah5E1BonB7E0UD/g1mU+EZqY4pgupZtBXLhuwZApXGRZcEK2a+bW6k5zH9rj5EG8bx+Y0T3SDkd0&#10;DQPpWfIC8M7Xv7Q62zmEPUzDY9oB2UONmxJI1G+1X8Vf78Hr579n/gMAAP//AwBQSwMEFAAGAAgA&#10;AAAhADft0fjZAAAAAwEAAA8AAABkcnMvZG93bnJldi54bWxMj0FPwzAMhe9I/IfISNxYyiYmVppO&#10;aBKnIaRtXLh5idcWGqdq3K379wQ4sIufrGe997lYjr5VR+pjE9jA/SQDRWyDa7gy8L57uXsEFQXZ&#10;YRuYDJwpwrK8viowd+HEGzpupVIphGOOBmqRLtc62po8xknoiJN3CL1HSWtfadfjKYX7Vk+zbK49&#10;NpwaauxoVZP92g7ewMNGXoc33s0+xun5c92t7Oywtsbc3ozPT6CERvk/hh/8hA5lYtqHgV1UrYH0&#10;iPzO5M0XC1D7P9VloS/Zy28AAAD//wMAUEsBAi0AFAAGAAgAAAAhALaDOJL+AAAA4QEAABMAAAAA&#10;AAAAAAAAAAAAAAAAAFtDb250ZW50X1R5cGVzXS54bWxQSwECLQAUAAYACAAAACEAOP0h/9YAAACU&#10;AQAACwAAAAAAAAAAAAAAAAAvAQAAX3JlbHMvLnJlbHNQSwECLQAUAAYACAAAACEAb86Qh4ICAADD&#10;BAAADgAAAAAAAAAAAAAAAAAuAgAAZHJzL2Uyb0RvYy54bWxQSwECLQAUAAYACAAAACEAN+3R+NkA&#10;AAADAQAADwAAAAAAAAAAAAAAAADcBAAAZHJzL2Rvd25yZXYueG1sUEsFBgAAAAAEAAQA8wAAAOIF&#10;AAAAAA==&#10;" filled="f" stroked="f">
              <v:textbox style="mso-fit-shape-to-text:t" inset="0,0,0,15pt">
                <w:txbxContent>
                  <w:p w14:paraId="07D4F5EE" w14:textId="0FEB6E4D"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3644" w14:textId="23A0D54A" w:rsidR="001979FE" w:rsidRDefault="001979FE">
    <w:pPr>
      <w:pStyle w:val="Stopka"/>
    </w:pPr>
    <w:r>
      <w:rPr>
        <w:noProof/>
        <w14:ligatures w14:val="none"/>
      </w:rPr>
      <mc:AlternateContent>
        <mc:Choice Requires="wps">
          <w:drawing>
            <wp:anchor distT="0" distB="0" distL="0" distR="0" simplePos="0" relativeHeight="251660288" behindDoc="0" locked="0" layoutInCell="1" allowOverlap="1" wp14:anchorId="6C23303A" wp14:editId="04CBBAB4">
              <wp:simplePos x="897147" y="10084279"/>
              <wp:positionH relativeFrom="page">
                <wp:align>center</wp:align>
              </wp:positionH>
              <wp:positionV relativeFrom="page">
                <wp:align>bottom</wp:align>
              </wp:positionV>
              <wp:extent cx="443865" cy="443865"/>
              <wp:effectExtent l="0" t="0" r="11430" b="0"/>
              <wp:wrapNone/>
              <wp:docPr id="3" name="Pole tekstowe 3" descr="K2 - Informacja wewnętrz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43172" w14:textId="6619D1AE"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23303A" id="_x0000_t202" coordsize="21600,21600" o:spt="202" path="m,l,21600r21600,l21600,xe">
              <v:stroke joinstyle="miter"/>
              <v:path gradientshapeok="t" o:connecttype="rect"/>
            </v:shapetype>
            <v:shape id="Pole tekstowe 3" o:spid="_x0000_s1027" type="#_x0000_t202" alt="K2 - Informacja wewnętrzna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uLhQIAAMoEAAAOAAAAZHJzL2Uyb0RvYy54bWysVM1u2zAMvg/YOwg6bYfUTpr0x6hTOEk9&#10;FCvaAu3QsyLLjTdZFCSldlrsQfY+e7BRsp1t3U7DLjJFUvz5+NFn520tyZMwtgKV0vFBTIlQHIpK&#10;Pab0030+OqHEOqYKJkGJlO6Epefzt2/OGp2ICWxAFsIQDKJs0uiUbpzTSRRZvhE1sweghUJjCaZm&#10;Dq/mMSoMazB6LaNJHB9FDZhCG+DCWtSuOiOdh/hlKbi7KUsrHJEpxdpcOE041/6M5mcseTRMbyre&#10;l8H+oYqaVQqT7kOtmGNka6o/QtUVN2ChdAcc6gjKsuIi9IDdjONX3dxtmBahFwTH6j1M9v+F5ddP&#10;t4ZURUoPKVGsxhHdghTEiS/WQSMIqgthOUL2cUJG5FKFWfDPjDSiUd+/OfOsGHl3qZwwisn3AQXR&#10;uivrPB4odTi8zLKL6TjPJqNlnOej6fQ4Hp0uVtPRLM9Wy+zkeLm4mHz184jCq/A+arRNQol+oEG8&#10;01ivaxfQIt28u9dbVPpsbWlq/0VcCdpx4Lv9kH0lHJXT6eHJ0YwSjqZe7pIOj7Wx7oOAmnghpQY5&#10;FJpiT1hT5zq4+FwK8kpK1LNEqt8U2IjXhCa6Cn2trl23AfB99WsodtiUgY6dVvO8wtRXzLpbZpCO&#10;2AeumLvBo5TQpBR6iZINmOe/6b0/sgStlDRI75Qq3D9K5KVC9vhNGAQzCOsgjE/jWYx2ta2XgEsz&#10;xv3VPIioNU4OYmmgfsDly3wiNDHFMV1K14O4dN2eIWG4yLLghKTXzF2pO819aA+Xx/K+fWBG94A7&#10;nNQ1DNxnySvcO1//0ups6xD9MBQPbQdkjzguTOBSv9x+I3+9B6+fv6D5DwAAAP//AwBQSwMEFAAG&#10;AAgAAAAhADft0fjZAAAAAwEAAA8AAABkcnMvZG93bnJldi54bWxMj0FPwzAMhe9I/IfISNxYyiYm&#10;VppOaBKnIaRtXLh5idcWGqdq3K379wQ4sIufrGe997lYjr5VR+pjE9jA/SQDRWyDa7gy8L57uXsE&#10;FQXZYRuYDJwpwrK8viowd+HEGzpupVIphGOOBmqRLtc62po8xknoiJN3CL1HSWtfadfjKYX7Vk+z&#10;bK49NpwaauxoVZP92g7ewMNGXoc33s0+xun5c92t7Oywtsbc3ozPT6CERvk/hh/8hA5lYtqHgV1U&#10;rYH0iPzO5M0XC1D7P9VloS/Zy28AAAD//wMAUEsBAi0AFAAGAAgAAAAhALaDOJL+AAAA4QEAABMA&#10;AAAAAAAAAAAAAAAAAAAAAFtDb250ZW50X1R5cGVzXS54bWxQSwECLQAUAAYACAAAACEAOP0h/9YA&#10;AACUAQAACwAAAAAAAAAAAAAAAAAvAQAAX3JlbHMvLnJlbHNQSwECLQAUAAYACAAAACEAjNuLi4UC&#10;AADKBAAADgAAAAAAAAAAAAAAAAAuAgAAZHJzL2Uyb0RvYy54bWxQSwECLQAUAAYACAAAACEAN+3R&#10;+NkAAAADAQAADwAAAAAAAAAAAAAAAADfBAAAZHJzL2Rvd25yZXYueG1sUEsFBgAAAAAEAAQA8wAA&#10;AOUFAAAAAA==&#10;" filled="f" stroked="f">
              <v:textbox style="mso-fit-shape-to-text:t" inset="0,0,0,15pt">
                <w:txbxContent>
                  <w:p w14:paraId="4FF43172" w14:textId="6619D1AE"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9A95" w14:textId="54E1A075" w:rsidR="001979FE" w:rsidRDefault="001979FE">
    <w:pPr>
      <w:pStyle w:val="Stopka"/>
    </w:pPr>
    <w:r>
      <w:rPr>
        <w:noProof/>
        <w14:ligatures w14:val="none"/>
      </w:rPr>
      <mc:AlternateContent>
        <mc:Choice Requires="wps">
          <w:drawing>
            <wp:anchor distT="0" distB="0" distL="0" distR="0" simplePos="0" relativeHeight="251658240" behindDoc="0" locked="0" layoutInCell="1" allowOverlap="1" wp14:anchorId="6ED5955F" wp14:editId="0AAE6C6D">
              <wp:simplePos x="635" y="635"/>
              <wp:positionH relativeFrom="page">
                <wp:align>center</wp:align>
              </wp:positionH>
              <wp:positionV relativeFrom="page">
                <wp:align>bottom</wp:align>
              </wp:positionV>
              <wp:extent cx="443865" cy="443865"/>
              <wp:effectExtent l="0" t="0" r="11430" b="0"/>
              <wp:wrapNone/>
              <wp:docPr id="1" name="Pole tekstowe 1" descr="K2 - Informacja wewnętrzna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D1AD3" w14:textId="4EAAD044"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5955F" id="_x0000_t202" coordsize="21600,21600" o:spt="202" path="m,l,21600r21600,l21600,xe">
              <v:stroke joinstyle="miter"/>
              <v:path gradientshapeok="t" o:connecttype="rect"/>
            </v:shapetype>
            <v:shape id="Pole tekstowe 1" o:spid="_x0000_s1028" type="#_x0000_t202" alt="K2 - Informacja wewnętrzna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f1hAIAAMoEAAAOAAAAZHJzL2Uyb0RvYy54bWysVM1u2zAMvg/YOwg6bYfUTpb0x4hTuEk9&#10;BAvaAOnQsyLLjTdZFCS1djrsQfY+e7BRcpxt3U7DLjJFUuTHj6Snl20tyZMwtgKV0uFJTIlQHIpK&#10;PaT0410+OKfEOqYKJkGJlO6FpZez16+mjU7ECHYgC2EIBlE2aXRKd87pJIos34ma2RPQQqGxBFMz&#10;h1fzEBWGNRi9ltEojk+jBkyhDXBhLWoXnZHOQvyyFNzdlqUVjsiUIjYXThPOrT+j2ZQlD4bpXcUP&#10;MNg/oKhZpTDpMdSCOUYeTfVHqLriBiyU7oRDHUFZVlyEGrCaYfyims2OaRFqQXKsPtJk/19YfvO0&#10;NqQqsHeUKFZji9YgBXHis3XQCILqQliOlH0YkQFZqtAL/omRRjTq+zdnnhUjb5bKCaOYfBtYEK1b&#10;Wef5QKnj4cskux4P82w0mMd5PhiPz+LBxdViPJjk2WKenZ/Nr65HX30/ovAqvI8abZMA0Tc0iBuN&#10;eF17Ba2HjO5eb1Hps7Wlqf0XeSVox4bvj032SDgqx+N356cTSjiaDnKXtH+sjXXvBdTECyk1OEOh&#10;KPaEmDrX3sXnUpBXUqKeJVL9psBCvCYU0SH0WF27bQPhox79Foo9FmWgm06reV5h6hWzbs0MjiPW&#10;gSvmbvEoJTQphYNEyQ7M89/03h+nBK2UNDjeKVW4f5TIpcLp8ZvQC6YXtkEYXsSTGO3qsZ4DLg32&#10;HwEFEbXGyV4sDdT3uHyZT4QmpjimS+m2F+eu2zMcGC6yLDjh0GvmVmqjuQ/t6fJc3rX3zOgD4Q47&#10;dQP97LPkBe+dr39pdfbokP3QFE9tR+SBcVyYMEuH5fYb+es9eP38Bc1+AA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DJTNf1hAIA&#10;AMoEAAAOAAAAAAAAAAAAAAAAAC4CAABkcnMvZTJvRG9jLnhtbFBLAQItABQABgAIAAAAIQA37dH4&#10;2QAAAAMBAAAPAAAAAAAAAAAAAAAAAN4EAABkcnMvZG93bnJldi54bWxQSwUGAAAAAAQABADzAAAA&#10;5AUAAAAA&#10;" filled="f" stroked="f">
              <v:textbox style="mso-fit-shape-to-text:t" inset="0,0,0,15pt">
                <w:txbxContent>
                  <w:p w14:paraId="226D1AD3" w14:textId="4EAAD044" w:rsidR="001979FE" w:rsidRPr="001979FE" w:rsidRDefault="001979FE" w:rsidP="001979FE">
                    <w:pPr>
                      <w:rPr>
                        <w:rFonts w:eastAsia="Calibri"/>
                        <w:noProof/>
                        <w:color w:val="000000"/>
                        <w:sz w:val="16"/>
                        <w:szCs w:val="16"/>
                      </w:rPr>
                    </w:pPr>
                    <w:r w:rsidRPr="001979FE">
                      <w:rPr>
                        <w:rFonts w:eastAsia="Calibri"/>
                        <w:noProof/>
                        <w:color w:val="000000"/>
                        <w:sz w:val="16"/>
                        <w:szCs w:val="16"/>
                      </w:rPr>
                      <w:t>K2 - Informacja wewnętrzna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2618" w14:textId="77777777" w:rsidR="00BC4B98" w:rsidRDefault="00BC4B98" w:rsidP="001979FE">
      <w:r>
        <w:separator/>
      </w:r>
    </w:p>
  </w:footnote>
  <w:footnote w:type="continuationSeparator" w:id="0">
    <w:p w14:paraId="0BD682AC" w14:textId="77777777" w:rsidR="00BC4B98" w:rsidRDefault="00BC4B98" w:rsidP="00197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F8B"/>
    <w:multiLevelType w:val="hybridMultilevel"/>
    <w:tmpl w:val="7C8226D0"/>
    <w:lvl w:ilvl="0" w:tplc="0415000B">
      <w:start w:val="1"/>
      <w:numFmt w:val="bullet"/>
      <w:lvlText w:val=""/>
      <w:lvlJc w:val="left"/>
      <w:pPr>
        <w:ind w:left="2160" w:hanging="360"/>
      </w:pPr>
      <w:rPr>
        <w:rFonts w:ascii="Wingdings" w:hAnsi="Wingdings"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 w15:restartNumberingAfterBreak="0">
    <w:nsid w:val="0D53640F"/>
    <w:multiLevelType w:val="hybridMultilevel"/>
    <w:tmpl w:val="E02207B2"/>
    <w:lvl w:ilvl="0" w:tplc="88B4EAF2">
      <w:start w:val="1"/>
      <w:numFmt w:val="decimal"/>
      <w:lvlText w:val="%1."/>
      <w:lvlJc w:val="left"/>
      <w:pPr>
        <w:ind w:left="720" w:hanging="360"/>
      </w:pPr>
      <w:rPr>
        <w:rFonts w:ascii="Calibri" w:eastAsia="Calibri"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E13E83"/>
    <w:multiLevelType w:val="hybridMultilevel"/>
    <w:tmpl w:val="DFCE67CC"/>
    <w:lvl w:ilvl="0" w:tplc="6DEC883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4D940F5"/>
    <w:multiLevelType w:val="hybridMultilevel"/>
    <w:tmpl w:val="79508FD0"/>
    <w:lvl w:ilvl="0" w:tplc="99FCD19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33B312F5"/>
    <w:multiLevelType w:val="hybridMultilevel"/>
    <w:tmpl w:val="B726C3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E952CB"/>
    <w:multiLevelType w:val="hybridMultilevel"/>
    <w:tmpl w:val="0D20D1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FF6770"/>
    <w:multiLevelType w:val="hybridMultilevel"/>
    <w:tmpl w:val="0706C6F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50D7202C"/>
    <w:multiLevelType w:val="hybridMultilevel"/>
    <w:tmpl w:val="00C61D88"/>
    <w:lvl w:ilvl="0" w:tplc="0415000B">
      <w:start w:val="1"/>
      <w:numFmt w:val="bullet"/>
      <w:lvlText w:val=""/>
      <w:lvlJc w:val="left"/>
      <w:pPr>
        <w:ind w:left="1484" w:hanging="360"/>
      </w:pPr>
      <w:rPr>
        <w:rFonts w:ascii="Wingdings" w:hAnsi="Wingding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8" w15:restartNumberingAfterBreak="0">
    <w:nsid w:val="64BA0CC9"/>
    <w:multiLevelType w:val="hybridMultilevel"/>
    <w:tmpl w:val="513A9A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7CEF27ED"/>
    <w:multiLevelType w:val="hybridMultilevel"/>
    <w:tmpl w:val="C23023B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318658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89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449927">
    <w:abstractNumId w:val="8"/>
  </w:num>
  <w:num w:numId="4" w16cid:durableId="31926253">
    <w:abstractNumId w:val="0"/>
  </w:num>
  <w:num w:numId="5" w16cid:durableId="346254134">
    <w:abstractNumId w:val="0"/>
  </w:num>
  <w:num w:numId="6" w16cid:durableId="560214513">
    <w:abstractNumId w:val="1"/>
  </w:num>
  <w:num w:numId="7" w16cid:durableId="1215892145">
    <w:abstractNumId w:val="7"/>
  </w:num>
  <w:num w:numId="8" w16cid:durableId="1938319588">
    <w:abstractNumId w:val="4"/>
  </w:num>
  <w:num w:numId="9" w16cid:durableId="1880698789">
    <w:abstractNumId w:val="3"/>
  </w:num>
  <w:num w:numId="10" w16cid:durableId="1763648276">
    <w:abstractNumId w:val="9"/>
  </w:num>
  <w:num w:numId="11" w16cid:durableId="1402560445">
    <w:abstractNumId w:val="6"/>
  </w:num>
  <w:num w:numId="12" w16cid:durableId="1827938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FE"/>
    <w:rsid w:val="000554EF"/>
    <w:rsid w:val="0006276A"/>
    <w:rsid w:val="000A0DEC"/>
    <w:rsid w:val="00117872"/>
    <w:rsid w:val="00146B6D"/>
    <w:rsid w:val="001979FE"/>
    <w:rsid w:val="002E6C81"/>
    <w:rsid w:val="003414F0"/>
    <w:rsid w:val="0039151E"/>
    <w:rsid w:val="003A7116"/>
    <w:rsid w:val="00407AE9"/>
    <w:rsid w:val="004B1A29"/>
    <w:rsid w:val="004B3A49"/>
    <w:rsid w:val="004C47D7"/>
    <w:rsid w:val="005457AB"/>
    <w:rsid w:val="00592C27"/>
    <w:rsid w:val="005A5CB2"/>
    <w:rsid w:val="005D45B4"/>
    <w:rsid w:val="0062776F"/>
    <w:rsid w:val="006311E2"/>
    <w:rsid w:val="0066249F"/>
    <w:rsid w:val="00672C84"/>
    <w:rsid w:val="006829BD"/>
    <w:rsid w:val="006A55D0"/>
    <w:rsid w:val="00707038"/>
    <w:rsid w:val="00734718"/>
    <w:rsid w:val="007570CA"/>
    <w:rsid w:val="00781427"/>
    <w:rsid w:val="00961A2C"/>
    <w:rsid w:val="009B4996"/>
    <w:rsid w:val="009C3961"/>
    <w:rsid w:val="00B042FC"/>
    <w:rsid w:val="00B068F9"/>
    <w:rsid w:val="00BC4B98"/>
    <w:rsid w:val="00BE6CFB"/>
    <w:rsid w:val="00CC61D2"/>
    <w:rsid w:val="00CD45F8"/>
    <w:rsid w:val="00CD4CCE"/>
    <w:rsid w:val="00D473B7"/>
    <w:rsid w:val="00D6188E"/>
    <w:rsid w:val="00E07CED"/>
    <w:rsid w:val="00E357E8"/>
    <w:rsid w:val="00E475D4"/>
    <w:rsid w:val="00EC635D"/>
    <w:rsid w:val="00EF75DD"/>
    <w:rsid w:val="00FA3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D334"/>
  <w15:chartTrackingRefBased/>
  <w15:docId w15:val="{5BD185D7-4122-4100-9B64-6A40BA3C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79FE"/>
    <w:pPr>
      <w:spacing w:after="0" w:line="240" w:lineRule="auto"/>
    </w:pPr>
    <w:rPr>
      <w:rFonts w:ascii="Calibri" w:hAnsi="Calibri" w:cs="Calibri"/>
      <w:sz w:val="20"/>
      <w:szCs w:val="20"/>
      <w:lang w:eastAsia="pl-PL"/>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979FE"/>
    <w:pPr>
      <w:ind w:left="720"/>
    </w:pPr>
  </w:style>
  <w:style w:type="paragraph" w:styleId="Stopka">
    <w:name w:val="footer"/>
    <w:basedOn w:val="Normalny"/>
    <w:link w:val="StopkaZnak"/>
    <w:uiPriority w:val="99"/>
    <w:unhideWhenUsed/>
    <w:rsid w:val="001979FE"/>
    <w:pPr>
      <w:tabs>
        <w:tab w:val="center" w:pos="4536"/>
        <w:tab w:val="right" w:pos="9072"/>
      </w:tabs>
    </w:pPr>
  </w:style>
  <w:style w:type="character" w:customStyle="1" w:styleId="StopkaZnak">
    <w:name w:val="Stopka Znak"/>
    <w:basedOn w:val="Domylnaczcionkaakapitu"/>
    <w:link w:val="Stopka"/>
    <w:uiPriority w:val="99"/>
    <w:rsid w:val="001979FE"/>
    <w:rPr>
      <w:rFonts w:ascii="Calibri" w:hAnsi="Calibri" w:cs="Calibri"/>
      <w:sz w:val="20"/>
      <w:szCs w:val="20"/>
      <w:lang w:eastAsia="pl-PL"/>
      <w14:ligatures w14:val="standardContextual"/>
    </w:rPr>
  </w:style>
  <w:style w:type="character" w:styleId="Odwoaniedokomentarza">
    <w:name w:val="annotation reference"/>
    <w:basedOn w:val="Domylnaczcionkaakapitu"/>
    <w:uiPriority w:val="99"/>
    <w:semiHidden/>
    <w:unhideWhenUsed/>
    <w:rsid w:val="006829BD"/>
    <w:rPr>
      <w:sz w:val="16"/>
      <w:szCs w:val="16"/>
    </w:rPr>
  </w:style>
  <w:style w:type="paragraph" w:styleId="Tekstkomentarza">
    <w:name w:val="annotation text"/>
    <w:basedOn w:val="Normalny"/>
    <w:link w:val="TekstkomentarzaZnak"/>
    <w:uiPriority w:val="99"/>
    <w:unhideWhenUsed/>
    <w:rsid w:val="006829BD"/>
  </w:style>
  <w:style w:type="character" w:customStyle="1" w:styleId="TekstkomentarzaZnak">
    <w:name w:val="Tekst komentarza Znak"/>
    <w:basedOn w:val="Domylnaczcionkaakapitu"/>
    <w:link w:val="Tekstkomentarza"/>
    <w:uiPriority w:val="99"/>
    <w:rsid w:val="006829BD"/>
    <w:rPr>
      <w:rFonts w:ascii="Calibri" w:hAnsi="Calibri" w:cs="Calibri"/>
      <w:sz w:val="20"/>
      <w:szCs w:val="20"/>
      <w:lang w:eastAsia="pl-PL"/>
      <w14:ligatures w14:val="standardContextual"/>
    </w:rPr>
  </w:style>
  <w:style w:type="paragraph" w:styleId="Tematkomentarza">
    <w:name w:val="annotation subject"/>
    <w:basedOn w:val="Tekstkomentarza"/>
    <w:next w:val="Tekstkomentarza"/>
    <w:link w:val="TematkomentarzaZnak"/>
    <w:uiPriority w:val="99"/>
    <w:semiHidden/>
    <w:unhideWhenUsed/>
    <w:rsid w:val="006829BD"/>
    <w:rPr>
      <w:b/>
      <w:bCs/>
    </w:rPr>
  </w:style>
  <w:style w:type="character" w:customStyle="1" w:styleId="TematkomentarzaZnak">
    <w:name w:val="Temat komentarza Znak"/>
    <w:basedOn w:val="TekstkomentarzaZnak"/>
    <w:link w:val="Tematkomentarza"/>
    <w:uiPriority w:val="99"/>
    <w:semiHidden/>
    <w:rsid w:val="006829BD"/>
    <w:rPr>
      <w:rFonts w:ascii="Calibri" w:hAnsi="Calibri" w:cs="Calibri"/>
      <w:b/>
      <w:bCs/>
      <w:sz w:val="20"/>
      <w:szCs w:val="20"/>
      <w:lang w:eastAsia="pl-PL"/>
      <w14:ligatures w14:val="standardContextual"/>
    </w:rPr>
  </w:style>
  <w:style w:type="paragraph" w:styleId="Poprawka">
    <w:name w:val="Revision"/>
    <w:hidden/>
    <w:uiPriority w:val="99"/>
    <w:semiHidden/>
    <w:rsid w:val="00D6188E"/>
    <w:pPr>
      <w:spacing w:after="0" w:line="240" w:lineRule="auto"/>
    </w:pPr>
    <w:rPr>
      <w:rFonts w:ascii="Calibri" w:hAnsi="Calibri" w:cs="Calibri"/>
      <w:sz w:val="20"/>
      <w:szCs w:val="20"/>
      <w:lang w:eastAsia="pl-PL"/>
      <w14:ligatures w14:val="standardContextual"/>
    </w:rPr>
  </w:style>
  <w:style w:type="paragraph" w:styleId="Tekstdymka">
    <w:name w:val="Balloon Text"/>
    <w:basedOn w:val="Normalny"/>
    <w:link w:val="TekstdymkaZnak"/>
    <w:uiPriority w:val="99"/>
    <w:semiHidden/>
    <w:unhideWhenUsed/>
    <w:rsid w:val="00CD45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45F8"/>
    <w:rPr>
      <w:rFonts w:ascii="Segoe UI" w:hAnsi="Segoe UI" w:cs="Segoe UI"/>
      <w:sz w:val="18"/>
      <w:szCs w:val="18"/>
      <w:lang w:eastAsia="pl-P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877339">
      <w:bodyDiv w:val="1"/>
      <w:marLeft w:val="0"/>
      <w:marRight w:val="0"/>
      <w:marTop w:val="0"/>
      <w:marBottom w:val="0"/>
      <w:divBdr>
        <w:top w:val="none" w:sz="0" w:space="0" w:color="auto"/>
        <w:left w:val="none" w:sz="0" w:space="0" w:color="auto"/>
        <w:bottom w:val="none" w:sz="0" w:space="0" w:color="auto"/>
        <w:right w:val="none" w:sz="0" w:space="0" w:color="auto"/>
      </w:divBdr>
    </w:div>
    <w:div w:id="197285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1332</Words>
  <Characters>7994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NCBR</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Mróz-Kaproń</dc:creator>
  <cp:keywords/>
  <dc:description/>
  <cp:lastModifiedBy>Dorota Mróz-Kaproń</cp:lastModifiedBy>
  <cp:revision>5</cp:revision>
  <dcterms:created xsi:type="dcterms:W3CDTF">2024-03-21T09:10:00Z</dcterms:created>
  <dcterms:modified xsi:type="dcterms:W3CDTF">2024-03-21T09:23:00Z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K2 - Informacja wewnętrzna (Internal)</vt:lpwstr>
  </property>
  <property fmtid="{D5CDD505-2E9C-101B-9397-08002B2CF9AE}" pid="5" name="MSIP_Label_8b72bd6a-5f70-4f6e-be10-f745206756ad_Enabled">
    <vt:lpwstr>true</vt:lpwstr>
  </property>
  <property fmtid="{D5CDD505-2E9C-101B-9397-08002B2CF9AE}" pid="6" name="MSIP_Label_8b72bd6a-5f70-4f6e-be10-f745206756ad_SetDate">
    <vt:lpwstr>2024-02-19T09:32:47Z</vt:lpwstr>
  </property>
  <property fmtid="{D5CDD505-2E9C-101B-9397-08002B2CF9AE}" pid="7" name="MSIP_Label_8b72bd6a-5f70-4f6e-be10-f745206756ad_Method">
    <vt:lpwstr>Standard</vt:lpwstr>
  </property>
  <property fmtid="{D5CDD505-2E9C-101B-9397-08002B2CF9AE}" pid="8" name="MSIP_Label_8b72bd6a-5f70-4f6e-be10-f745206756ad_Name">
    <vt:lpwstr>K2 - informacja wewnętrzna</vt:lpwstr>
  </property>
  <property fmtid="{D5CDD505-2E9C-101B-9397-08002B2CF9AE}" pid="9" name="MSIP_Label_8b72bd6a-5f70-4f6e-be10-f745206756ad_SiteId">
    <vt:lpwstr>114511be-be5b-44a7-b2ab-a51e832dea9d</vt:lpwstr>
  </property>
  <property fmtid="{D5CDD505-2E9C-101B-9397-08002B2CF9AE}" pid="10" name="MSIP_Label_8b72bd6a-5f70-4f6e-be10-f745206756ad_ActionId">
    <vt:lpwstr>cc3cee2d-2cd8-46d2-81a4-201cfa5fe55f</vt:lpwstr>
  </property>
  <property fmtid="{D5CDD505-2E9C-101B-9397-08002B2CF9AE}" pid="11" name="MSIP_Label_8b72bd6a-5f70-4f6e-be10-f745206756ad_ContentBits">
    <vt:lpwstr>2</vt:lpwstr>
  </property>
</Properties>
</file>