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299"/>
        <w:gridCol w:w="457"/>
        <w:gridCol w:w="110"/>
        <w:gridCol w:w="708"/>
        <w:gridCol w:w="567"/>
        <w:gridCol w:w="490"/>
        <w:gridCol w:w="219"/>
        <w:gridCol w:w="648"/>
        <w:gridCol w:w="61"/>
        <w:gridCol w:w="709"/>
        <w:gridCol w:w="425"/>
        <w:gridCol w:w="130"/>
        <w:gridCol w:w="437"/>
        <w:gridCol w:w="184"/>
        <w:gridCol w:w="525"/>
        <w:gridCol w:w="708"/>
        <w:gridCol w:w="1127"/>
        <w:gridCol w:w="10"/>
      </w:tblGrid>
      <w:tr w:rsidR="006A701A" w:rsidRPr="008B4FE6" w14:paraId="5E8A4D4F" w14:textId="77777777" w:rsidTr="00676C8D">
        <w:trPr>
          <w:gridAfter w:val="1"/>
          <w:wAfter w:w="10" w:type="dxa"/>
          <w:trHeight w:val="1611"/>
        </w:trPr>
        <w:tc>
          <w:tcPr>
            <w:tcW w:w="6631" w:type="dxa"/>
            <w:gridSpan w:val="12"/>
          </w:tcPr>
          <w:p w14:paraId="0D54F90A" w14:textId="77777777" w:rsidR="006A701A" w:rsidRPr="008B4FE6" w:rsidRDefault="006A701A" w:rsidP="00616511">
            <w:pPr>
              <w:spacing w:before="120" w:line="240" w:lineRule="auto"/>
              <w:ind w:hanging="45"/>
              <w:rPr>
                <w:rFonts w:ascii="Times New Roman" w:hAnsi="Times New Roman"/>
                <w:color w:val="000000"/>
              </w:rPr>
            </w:pPr>
            <w:bookmarkStart w:id="0" w:name="t1"/>
            <w:bookmarkStart w:id="1" w:name="_GoBack"/>
            <w:bookmarkEnd w:id="1"/>
            <w:r w:rsidRPr="008B4FE6">
              <w:rPr>
                <w:rFonts w:ascii="Times New Roman" w:hAnsi="Times New Roman"/>
                <w:b/>
                <w:color w:val="000000"/>
              </w:rPr>
              <w:t xml:space="preserve">Nazwa </w:t>
            </w:r>
            <w:r w:rsidR="001B75D8">
              <w:rPr>
                <w:rFonts w:ascii="Times New Roman" w:hAnsi="Times New Roman"/>
                <w:b/>
                <w:color w:val="000000"/>
              </w:rPr>
              <w:t>projektu</w:t>
            </w:r>
          </w:p>
          <w:p w14:paraId="0FE2A1D1" w14:textId="58BC0576" w:rsidR="006A701A" w:rsidRPr="008B4FE6" w:rsidRDefault="002D5BA4" w:rsidP="00A52ADB">
            <w:pPr>
              <w:spacing w:line="240" w:lineRule="auto"/>
              <w:ind w:hanging="34"/>
              <w:rPr>
                <w:rFonts w:ascii="Times New Roman" w:hAnsi="Times New Roman"/>
                <w:color w:val="000000"/>
              </w:rPr>
            </w:pPr>
            <w:r w:rsidRPr="002D5BA4">
              <w:rPr>
                <w:rFonts w:ascii="Times New Roman" w:hAnsi="Times New Roman"/>
                <w:color w:val="000000"/>
              </w:rPr>
              <w:t xml:space="preserve">Uchwała Rady Ministrów </w:t>
            </w:r>
            <w:r>
              <w:rPr>
                <w:rFonts w:ascii="Times New Roman" w:hAnsi="Times New Roman"/>
                <w:color w:val="000000"/>
              </w:rPr>
              <w:t>w</w:t>
            </w:r>
            <w:r w:rsidR="00AE4C37">
              <w:rPr>
                <w:rFonts w:ascii="Times New Roman" w:hAnsi="Times New Roman"/>
                <w:color w:val="000000"/>
              </w:rPr>
              <w:t xml:space="preserve"> sprawie ustanowienia programu </w:t>
            </w:r>
            <w:r w:rsidR="002526A0">
              <w:rPr>
                <w:rFonts w:ascii="Times New Roman" w:hAnsi="Times New Roman"/>
                <w:color w:val="000000"/>
              </w:rPr>
              <w:t>rozwoju</w:t>
            </w:r>
            <w:r w:rsidR="002526A0" w:rsidRPr="002D5BA4">
              <w:rPr>
                <w:rFonts w:ascii="Times New Roman" w:hAnsi="Times New Roman"/>
                <w:color w:val="000000"/>
              </w:rPr>
              <w:t xml:space="preserve"> </w:t>
            </w:r>
            <w:r w:rsidRPr="002D5BA4">
              <w:rPr>
                <w:rFonts w:ascii="Times New Roman" w:hAnsi="Times New Roman"/>
                <w:color w:val="000000"/>
              </w:rPr>
              <w:t>pod nazwą „</w:t>
            </w:r>
            <w:r>
              <w:rPr>
                <w:rFonts w:ascii="Times New Roman" w:hAnsi="Times New Roman"/>
                <w:color w:val="000000"/>
              </w:rPr>
              <w:t>Krajowy Program Żeglugowy do roku 2030</w:t>
            </w:r>
            <w:r w:rsidRPr="002D5BA4">
              <w:rPr>
                <w:rFonts w:ascii="Times New Roman" w:hAnsi="Times New Roman"/>
                <w:color w:val="000000"/>
              </w:rPr>
              <w:t>”</w:t>
            </w:r>
          </w:p>
          <w:p w14:paraId="046696B6"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6EB0780A" w14:textId="77777777" w:rsidR="0084789C" w:rsidRDefault="0084789C" w:rsidP="0084789C">
            <w:pPr>
              <w:spacing w:line="240" w:lineRule="auto"/>
              <w:ind w:hanging="34"/>
              <w:rPr>
                <w:rFonts w:ascii="Times New Roman" w:hAnsi="Times New Roman"/>
                <w:color w:val="000000"/>
              </w:rPr>
            </w:pPr>
            <w:r>
              <w:rPr>
                <w:rFonts w:ascii="Times New Roman" w:hAnsi="Times New Roman"/>
                <w:color w:val="000000"/>
              </w:rPr>
              <w:t xml:space="preserve">Ministerstwo </w:t>
            </w:r>
            <w:r w:rsidR="00AE4C37">
              <w:rPr>
                <w:rFonts w:ascii="Times New Roman" w:hAnsi="Times New Roman"/>
                <w:color w:val="000000"/>
              </w:rPr>
              <w:t>Infrastruktury</w:t>
            </w:r>
          </w:p>
          <w:p w14:paraId="02FA131E" w14:textId="77777777" w:rsidR="001B3460" w:rsidRPr="0084789C" w:rsidRDefault="001B3460" w:rsidP="0084789C">
            <w:pPr>
              <w:spacing w:line="240" w:lineRule="auto"/>
              <w:ind w:hanging="34"/>
              <w:rPr>
                <w:rFonts w:ascii="Times New Roman" w:hAnsi="Times New Roman"/>
                <w:color w:val="000000"/>
              </w:rPr>
            </w:pPr>
            <w:r w:rsidRPr="00642825">
              <w:rPr>
                <w:rFonts w:ascii="Times New Roman" w:hAnsi="Times New Roman"/>
                <w:b/>
                <w:sz w:val="21"/>
                <w:szCs w:val="24"/>
              </w:rPr>
              <w:t>Osoba odpowiedzialna za projekt w randze Ministra</w:t>
            </w:r>
            <w:r w:rsidR="0084789C">
              <w:rPr>
                <w:rFonts w:ascii="Times New Roman" w:hAnsi="Times New Roman"/>
                <w:b/>
                <w:sz w:val="21"/>
                <w:szCs w:val="24"/>
              </w:rPr>
              <w:t xml:space="preserve">, Sekretarza Stanu </w:t>
            </w:r>
            <w:r w:rsidRPr="00642825">
              <w:rPr>
                <w:rFonts w:ascii="Times New Roman" w:hAnsi="Times New Roman"/>
                <w:b/>
                <w:sz w:val="21"/>
                <w:szCs w:val="24"/>
              </w:rPr>
              <w:t>lub Podsekretarza Stanu</w:t>
            </w:r>
            <w:r w:rsidRPr="00642825">
              <w:rPr>
                <w:rFonts w:ascii="Times New Roman" w:hAnsi="Times New Roman"/>
                <w:b/>
                <w:sz w:val="21"/>
                <w:szCs w:val="21"/>
              </w:rPr>
              <w:t xml:space="preserve"> </w:t>
            </w:r>
          </w:p>
          <w:p w14:paraId="4EBC2690" w14:textId="12794F4B" w:rsidR="0084789C" w:rsidRPr="00D4136C" w:rsidRDefault="00554754" w:rsidP="0084789C">
            <w:pPr>
              <w:spacing w:line="240" w:lineRule="auto"/>
              <w:rPr>
                <w:rFonts w:ascii="Times New Roman" w:hAnsi="Times New Roman"/>
              </w:rPr>
            </w:pPr>
            <w:r>
              <w:rPr>
                <w:rFonts w:ascii="Times New Roman" w:hAnsi="Times New Roman"/>
              </w:rPr>
              <w:t>Pan</w:t>
            </w:r>
            <w:r w:rsidR="0084789C" w:rsidRPr="00D4136C">
              <w:rPr>
                <w:rFonts w:ascii="Times New Roman" w:hAnsi="Times New Roman"/>
              </w:rPr>
              <w:t xml:space="preserve"> </w:t>
            </w:r>
            <w:r w:rsidR="00910544">
              <w:rPr>
                <w:rFonts w:ascii="Times New Roman" w:hAnsi="Times New Roman"/>
              </w:rPr>
              <w:t xml:space="preserve">Marek </w:t>
            </w:r>
            <w:proofErr w:type="spellStart"/>
            <w:r w:rsidR="00910544">
              <w:rPr>
                <w:rFonts w:ascii="Times New Roman" w:hAnsi="Times New Roman"/>
              </w:rPr>
              <w:t>Gróbarczyk</w:t>
            </w:r>
            <w:proofErr w:type="spellEnd"/>
            <w:r w:rsidR="00733765">
              <w:rPr>
                <w:rFonts w:ascii="Times New Roman" w:hAnsi="Times New Roman"/>
              </w:rPr>
              <w:t xml:space="preserve"> – </w:t>
            </w:r>
            <w:r w:rsidR="00910544">
              <w:rPr>
                <w:rFonts w:ascii="Times New Roman" w:hAnsi="Times New Roman"/>
              </w:rPr>
              <w:t xml:space="preserve">Sekretarz Stanu, </w:t>
            </w:r>
            <w:r w:rsidR="00733765">
              <w:rPr>
                <w:rFonts w:ascii="Times New Roman" w:hAnsi="Times New Roman"/>
              </w:rPr>
              <w:t>Minister</w:t>
            </w:r>
            <w:r w:rsidR="00910544">
              <w:rPr>
                <w:rFonts w:ascii="Times New Roman" w:hAnsi="Times New Roman"/>
              </w:rPr>
              <w:t>stwo</w:t>
            </w:r>
            <w:r w:rsidR="00733765">
              <w:rPr>
                <w:rFonts w:ascii="Times New Roman" w:hAnsi="Times New Roman"/>
              </w:rPr>
              <w:t xml:space="preserve"> Infrastruktury</w:t>
            </w:r>
          </w:p>
          <w:p w14:paraId="232032CA"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25493D03" w14:textId="20BB5D44" w:rsidR="0013118F" w:rsidRPr="0013118F" w:rsidRDefault="0013118F" w:rsidP="0013118F">
            <w:pPr>
              <w:spacing w:line="240" w:lineRule="auto"/>
              <w:ind w:hanging="34"/>
              <w:rPr>
                <w:rFonts w:ascii="Times New Roman" w:hAnsi="Times New Roman"/>
                <w:color w:val="000000"/>
              </w:rPr>
            </w:pPr>
            <w:r w:rsidRPr="0013118F">
              <w:rPr>
                <w:rFonts w:ascii="Times New Roman" w:hAnsi="Times New Roman"/>
                <w:color w:val="000000"/>
              </w:rPr>
              <w:t>Pan Tomasz Kocoń</w:t>
            </w:r>
            <w:r w:rsidR="00FC2451">
              <w:rPr>
                <w:rFonts w:ascii="Times New Roman" w:hAnsi="Times New Roman"/>
                <w:color w:val="000000"/>
              </w:rPr>
              <w:t>,</w:t>
            </w:r>
            <w:r w:rsidR="00713EFF">
              <w:rPr>
                <w:rFonts w:ascii="Times New Roman" w:hAnsi="Times New Roman"/>
                <w:color w:val="000000"/>
              </w:rPr>
              <w:t xml:space="preserve"> n</w:t>
            </w:r>
            <w:r w:rsidRPr="0013118F">
              <w:rPr>
                <w:rFonts w:ascii="Times New Roman" w:hAnsi="Times New Roman"/>
                <w:color w:val="000000"/>
              </w:rPr>
              <w:t>aczelnik wydziału</w:t>
            </w:r>
            <w:r w:rsidR="00733765">
              <w:rPr>
                <w:rFonts w:ascii="Times New Roman" w:hAnsi="Times New Roman"/>
                <w:color w:val="000000"/>
              </w:rPr>
              <w:t xml:space="preserve"> w Ministerstwie Infrastruktury</w:t>
            </w:r>
            <w:r w:rsidR="00C84298">
              <w:rPr>
                <w:rFonts w:ascii="Times New Roman" w:hAnsi="Times New Roman"/>
                <w:color w:val="000000"/>
              </w:rPr>
              <w:t xml:space="preserve"> email: tomasz.kocon@mi</w:t>
            </w:r>
            <w:r w:rsidRPr="0013118F">
              <w:rPr>
                <w:rFonts w:ascii="Times New Roman" w:hAnsi="Times New Roman"/>
                <w:color w:val="000000"/>
              </w:rPr>
              <w:t>.gov.pl, tel. 22 5</w:t>
            </w:r>
            <w:r w:rsidR="00713EFF">
              <w:rPr>
                <w:rFonts w:ascii="Times New Roman" w:hAnsi="Times New Roman"/>
                <w:color w:val="000000"/>
              </w:rPr>
              <w:t>22</w:t>
            </w:r>
            <w:r w:rsidRPr="0013118F">
              <w:rPr>
                <w:rFonts w:ascii="Times New Roman" w:hAnsi="Times New Roman"/>
                <w:color w:val="000000"/>
              </w:rPr>
              <w:t xml:space="preserve"> </w:t>
            </w:r>
            <w:r w:rsidR="00713EFF">
              <w:rPr>
                <w:rFonts w:ascii="Times New Roman" w:hAnsi="Times New Roman"/>
                <w:color w:val="000000"/>
              </w:rPr>
              <w:t>55 57</w:t>
            </w:r>
          </w:p>
          <w:p w14:paraId="05B65676" w14:textId="25DC6D13" w:rsidR="00F44ECF" w:rsidRPr="008B4FE6" w:rsidRDefault="0013118F" w:rsidP="00FC2451">
            <w:pPr>
              <w:spacing w:line="240" w:lineRule="auto"/>
              <w:ind w:hanging="34"/>
              <w:rPr>
                <w:rFonts w:ascii="Times New Roman" w:hAnsi="Times New Roman"/>
                <w:color w:val="000000"/>
              </w:rPr>
            </w:pPr>
            <w:r w:rsidRPr="0013118F">
              <w:rPr>
                <w:rFonts w:ascii="Times New Roman" w:hAnsi="Times New Roman"/>
                <w:color w:val="000000"/>
              </w:rPr>
              <w:t>Pan</w:t>
            </w:r>
            <w:r w:rsidR="00FC2451">
              <w:rPr>
                <w:rFonts w:ascii="Times New Roman" w:hAnsi="Times New Roman"/>
                <w:color w:val="000000"/>
              </w:rPr>
              <w:t xml:space="preserve">i Anna Kiedrowicz-Thel, </w:t>
            </w:r>
            <w:r w:rsidR="00C71F4D">
              <w:rPr>
                <w:rFonts w:ascii="Times New Roman" w:hAnsi="Times New Roman"/>
                <w:color w:val="000000"/>
              </w:rPr>
              <w:t>starszy s</w:t>
            </w:r>
            <w:r w:rsidRPr="0013118F">
              <w:rPr>
                <w:rFonts w:ascii="Times New Roman" w:hAnsi="Times New Roman"/>
                <w:color w:val="000000"/>
              </w:rPr>
              <w:t>pecjalista</w:t>
            </w:r>
            <w:r w:rsidR="00733765">
              <w:rPr>
                <w:rFonts w:ascii="Times New Roman" w:hAnsi="Times New Roman"/>
                <w:color w:val="000000"/>
              </w:rPr>
              <w:t xml:space="preserve"> w</w:t>
            </w:r>
            <w:r w:rsidR="00733765">
              <w:t xml:space="preserve"> </w:t>
            </w:r>
            <w:r w:rsidR="00733765" w:rsidRPr="00733765">
              <w:rPr>
                <w:rFonts w:ascii="Times New Roman" w:hAnsi="Times New Roman"/>
                <w:color w:val="000000"/>
              </w:rPr>
              <w:t>Ministerstwie Infrastruktury</w:t>
            </w:r>
            <w:r w:rsidR="00C84298">
              <w:rPr>
                <w:rFonts w:ascii="Times New Roman" w:hAnsi="Times New Roman"/>
                <w:color w:val="000000"/>
              </w:rPr>
              <w:t xml:space="preserve">, </w:t>
            </w:r>
            <w:r w:rsidR="00FC2451">
              <w:rPr>
                <w:rFonts w:ascii="Times New Roman" w:hAnsi="Times New Roman"/>
                <w:color w:val="000000"/>
              </w:rPr>
              <w:t>anna.kiedrowicz-thel</w:t>
            </w:r>
            <w:r w:rsidR="00C84298">
              <w:rPr>
                <w:rFonts w:ascii="Times New Roman" w:hAnsi="Times New Roman"/>
                <w:color w:val="000000"/>
              </w:rPr>
              <w:t>@mi</w:t>
            </w:r>
            <w:r w:rsidRPr="0013118F">
              <w:rPr>
                <w:rFonts w:ascii="Times New Roman" w:hAnsi="Times New Roman"/>
                <w:color w:val="000000"/>
              </w:rPr>
              <w:t>.gov.pl, tel. 22</w:t>
            </w:r>
            <w:r w:rsidR="00713EFF">
              <w:rPr>
                <w:rFonts w:ascii="Times New Roman" w:hAnsi="Times New Roman"/>
                <w:color w:val="000000"/>
              </w:rPr>
              <w:t xml:space="preserve"> 522 57 </w:t>
            </w:r>
            <w:r w:rsidR="00713EFF" w:rsidRPr="00713EFF">
              <w:rPr>
                <w:rFonts w:ascii="Times New Roman" w:hAnsi="Times New Roman"/>
                <w:color w:val="000000"/>
              </w:rPr>
              <w:t>71</w:t>
            </w:r>
          </w:p>
        </w:tc>
        <w:tc>
          <w:tcPr>
            <w:tcW w:w="4306" w:type="dxa"/>
            <w:gridSpan w:val="9"/>
            <w:shd w:val="clear" w:color="auto" w:fill="FFFFFF"/>
          </w:tcPr>
          <w:p w14:paraId="3F1FB373" w14:textId="5CAF9129"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w:t>
            </w:r>
            <w:r w:rsidRPr="00BB33CF">
              <w:rPr>
                <w:rFonts w:ascii="Times New Roman" w:hAnsi="Times New Roman"/>
                <w:b/>
                <w:sz w:val="21"/>
                <w:szCs w:val="21"/>
              </w:rPr>
              <w:t>porządzenia</w:t>
            </w:r>
            <w:r w:rsidRPr="00642825">
              <w:rPr>
                <w:rFonts w:ascii="Times New Roman" w:hAnsi="Times New Roman"/>
                <w:b/>
                <w:sz w:val="21"/>
                <w:szCs w:val="21"/>
              </w:rPr>
              <w:br/>
            </w:r>
            <w:r w:rsidR="003A3DF2">
              <w:rPr>
                <w:rFonts w:ascii="Times New Roman" w:hAnsi="Times New Roman"/>
                <w:sz w:val="21"/>
                <w:szCs w:val="21"/>
              </w:rPr>
              <w:t>25</w:t>
            </w:r>
            <w:r w:rsidR="000102EE">
              <w:rPr>
                <w:rFonts w:ascii="Times New Roman" w:hAnsi="Times New Roman"/>
                <w:sz w:val="21"/>
                <w:szCs w:val="21"/>
              </w:rPr>
              <w:t>.04.2023</w:t>
            </w:r>
            <w:r w:rsidR="00A16A1E">
              <w:rPr>
                <w:rFonts w:ascii="Times New Roman" w:hAnsi="Times New Roman"/>
                <w:sz w:val="21"/>
                <w:szCs w:val="21"/>
              </w:rPr>
              <w:t xml:space="preserve"> </w:t>
            </w:r>
            <w:r w:rsidR="002F24AB">
              <w:rPr>
                <w:rFonts w:ascii="Times New Roman" w:hAnsi="Times New Roman"/>
                <w:sz w:val="21"/>
                <w:szCs w:val="21"/>
              </w:rPr>
              <w:t>r.</w:t>
            </w:r>
          </w:p>
          <w:p w14:paraId="3E3420AA" w14:textId="77777777" w:rsidR="00F76884" w:rsidRDefault="00F76884" w:rsidP="00F76884">
            <w:pPr>
              <w:spacing w:line="240" w:lineRule="auto"/>
              <w:rPr>
                <w:rFonts w:ascii="Times New Roman" w:hAnsi="Times New Roman"/>
                <w:b/>
              </w:rPr>
            </w:pPr>
          </w:p>
          <w:p w14:paraId="70D5E416" w14:textId="77777777" w:rsidR="00F76884" w:rsidRDefault="00F76884" w:rsidP="00F76884">
            <w:pPr>
              <w:spacing w:line="240" w:lineRule="auto"/>
              <w:rPr>
                <w:rFonts w:ascii="Times New Roman" w:hAnsi="Times New Roman"/>
              </w:rPr>
            </w:pPr>
            <w:r w:rsidRPr="0065019F">
              <w:rPr>
                <w:rFonts w:ascii="Times New Roman" w:hAnsi="Times New Roman"/>
                <w:b/>
              </w:rPr>
              <w:t xml:space="preserve">Źródło: </w:t>
            </w:r>
            <w:bookmarkStart w:id="2" w:name="Lista1"/>
            <w:r w:rsidR="00534A1B" w:rsidRPr="00534A1B">
              <w:rPr>
                <w:rFonts w:ascii="Times New Roman" w:hAnsi="Times New Roman"/>
              </w:rPr>
              <w:t>Strategia na Rzecz Odpowiedzialnego Rozwoju z perspektywą do roku 2020 (z perspektywą do 2030 r.);</w:t>
            </w:r>
          </w:p>
          <w:p w14:paraId="589C0106" w14:textId="77777777" w:rsidR="00534A1B" w:rsidRPr="00534A1B" w:rsidRDefault="00534A1B" w:rsidP="00F76884">
            <w:pPr>
              <w:spacing w:line="240" w:lineRule="auto"/>
              <w:rPr>
                <w:rFonts w:ascii="Times New Roman" w:hAnsi="Times New Roman"/>
              </w:rPr>
            </w:pPr>
            <w:r w:rsidRPr="00534A1B">
              <w:rPr>
                <w:rFonts w:ascii="Times New Roman" w:hAnsi="Times New Roman"/>
              </w:rPr>
              <w:t>Strategia Zrównoważonego Rozwoju Transportu do 2030 r.</w:t>
            </w:r>
          </w:p>
          <w:bookmarkEnd w:id="2"/>
          <w:p w14:paraId="73E025B5" w14:textId="77777777" w:rsidR="00F76884" w:rsidRPr="0065019F" w:rsidRDefault="00F76884" w:rsidP="00F76884">
            <w:pPr>
              <w:spacing w:line="240" w:lineRule="auto"/>
              <w:rPr>
                <w:rFonts w:ascii="Times New Roman" w:hAnsi="Times New Roman"/>
              </w:rPr>
            </w:pPr>
          </w:p>
          <w:p w14:paraId="79138B7C" w14:textId="462A4829"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w:t>
            </w:r>
            <w:r w:rsidR="0085343C">
              <w:rPr>
                <w:rFonts w:ascii="Times New Roman" w:hAnsi="Times New Roman"/>
                <w:b/>
                <w:color w:val="000000"/>
              </w:rPr>
              <w:t xml:space="preserve"> </w:t>
            </w:r>
            <w:r w:rsidR="003A3DF2">
              <w:rPr>
                <w:rFonts w:ascii="Times New Roman" w:hAnsi="Times New Roman"/>
                <w:b/>
                <w:color w:val="000000"/>
              </w:rPr>
              <w:t xml:space="preserve">legislacyjnych i programowych </w:t>
            </w:r>
            <w:r w:rsidR="0085343C">
              <w:rPr>
                <w:rFonts w:ascii="Times New Roman" w:hAnsi="Times New Roman"/>
                <w:b/>
                <w:color w:val="000000"/>
              </w:rPr>
              <w:t>Rady Ministrów:</w:t>
            </w:r>
          </w:p>
          <w:p w14:paraId="55F2CC09" w14:textId="56F723C6" w:rsidR="006A701A" w:rsidRPr="008B4FE6" w:rsidRDefault="0085343C" w:rsidP="00A17CB2">
            <w:pPr>
              <w:spacing w:line="240" w:lineRule="auto"/>
              <w:rPr>
                <w:rFonts w:ascii="Times New Roman" w:hAnsi="Times New Roman"/>
                <w:color w:val="000000"/>
                <w:sz w:val="28"/>
                <w:szCs w:val="28"/>
              </w:rPr>
            </w:pPr>
            <w:r w:rsidRPr="0085343C">
              <w:rPr>
                <w:rFonts w:ascii="Times New Roman" w:hAnsi="Times New Roman"/>
                <w:color w:val="000000"/>
              </w:rPr>
              <w:t>ID118</w:t>
            </w:r>
          </w:p>
        </w:tc>
      </w:tr>
      <w:tr w:rsidR="006A701A" w:rsidRPr="0022687A" w14:paraId="681E687B" w14:textId="77777777" w:rsidTr="00676C8D">
        <w:trPr>
          <w:gridAfter w:val="1"/>
          <w:wAfter w:w="10" w:type="dxa"/>
          <w:trHeight w:val="142"/>
        </w:trPr>
        <w:tc>
          <w:tcPr>
            <w:tcW w:w="10937" w:type="dxa"/>
            <w:gridSpan w:val="21"/>
            <w:shd w:val="clear" w:color="auto" w:fill="99CCFF"/>
          </w:tcPr>
          <w:p w14:paraId="7AC4B9F2"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781D792" w14:textId="77777777" w:rsidTr="00676C8D">
        <w:trPr>
          <w:gridAfter w:val="1"/>
          <w:wAfter w:w="10" w:type="dxa"/>
          <w:trHeight w:val="333"/>
        </w:trPr>
        <w:tc>
          <w:tcPr>
            <w:tcW w:w="10937" w:type="dxa"/>
            <w:gridSpan w:val="21"/>
            <w:shd w:val="clear" w:color="auto" w:fill="99CCFF"/>
            <w:vAlign w:val="center"/>
          </w:tcPr>
          <w:p w14:paraId="719B225A"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3" w:name="Wybór1"/>
            <w:bookmarkEnd w:id="3"/>
          </w:p>
        </w:tc>
      </w:tr>
      <w:tr w:rsidR="006A701A" w:rsidRPr="008B4FE6" w14:paraId="0FFF1399" w14:textId="77777777" w:rsidTr="00676C8D">
        <w:trPr>
          <w:gridAfter w:val="1"/>
          <w:wAfter w:w="10" w:type="dxa"/>
          <w:trHeight w:val="142"/>
        </w:trPr>
        <w:tc>
          <w:tcPr>
            <w:tcW w:w="10937" w:type="dxa"/>
            <w:gridSpan w:val="21"/>
            <w:shd w:val="clear" w:color="auto" w:fill="FFFFFF"/>
          </w:tcPr>
          <w:p w14:paraId="2CC8206E" w14:textId="7A5DF5AB" w:rsidR="00D26796" w:rsidRDefault="002D5BA4" w:rsidP="0039711E">
            <w:pPr>
              <w:spacing w:before="120" w:after="120" w:line="240" w:lineRule="auto"/>
              <w:jc w:val="both"/>
              <w:rPr>
                <w:rFonts w:ascii="Times New Roman" w:hAnsi="Times New Roman"/>
                <w:color w:val="000000"/>
              </w:rPr>
            </w:pPr>
            <w:r w:rsidRPr="002D5BA4">
              <w:rPr>
                <w:rFonts w:ascii="Times New Roman" w:hAnsi="Times New Roman"/>
                <w:color w:val="000000"/>
              </w:rPr>
              <w:t xml:space="preserve">Polska ma dogodny układ dróg wodnych wpisujący się w </w:t>
            </w:r>
            <w:r w:rsidR="00925A35">
              <w:rPr>
                <w:rFonts w:ascii="Times New Roman" w:hAnsi="Times New Roman"/>
                <w:color w:val="000000"/>
              </w:rPr>
              <w:t>główne kierunki przewozów ładunków na osi północ-południe oraz zgodny z kierunkami rozwoju</w:t>
            </w:r>
            <w:r w:rsidRPr="002D5BA4">
              <w:rPr>
                <w:rFonts w:ascii="Times New Roman" w:hAnsi="Times New Roman"/>
                <w:color w:val="000000"/>
              </w:rPr>
              <w:t xml:space="preserve"> europejsk</w:t>
            </w:r>
            <w:r w:rsidR="00925A35">
              <w:rPr>
                <w:rFonts w:ascii="Times New Roman" w:hAnsi="Times New Roman"/>
                <w:color w:val="000000"/>
              </w:rPr>
              <w:t>iego systemu transportowego</w:t>
            </w:r>
            <w:r w:rsidR="00C71F4D">
              <w:rPr>
                <w:rFonts w:ascii="Times New Roman" w:hAnsi="Times New Roman"/>
                <w:color w:val="000000"/>
              </w:rPr>
              <w:t xml:space="preserve">. </w:t>
            </w:r>
            <w:r w:rsidR="00D26796">
              <w:rPr>
                <w:rFonts w:ascii="Times New Roman" w:hAnsi="Times New Roman"/>
                <w:color w:val="000000"/>
              </w:rPr>
              <w:t>P</w:t>
            </w:r>
            <w:r w:rsidR="00D26796" w:rsidRPr="002D5BA4">
              <w:rPr>
                <w:rFonts w:ascii="Times New Roman" w:hAnsi="Times New Roman"/>
                <w:color w:val="000000"/>
              </w:rPr>
              <w:t xml:space="preserve">ogarszające się warunki eksploatacji </w:t>
            </w:r>
            <w:r w:rsidR="0039711E">
              <w:rPr>
                <w:rFonts w:ascii="Times New Roman" w:hAnsi="Times New Roman"/>
                <w:color w:val="000000"/>
              </w:rPr>
              <w:t xml:space="preserve">szlaków </w:t>
            </w:r>
            <w:r w:rsidR="00D26796" w:rsidRPr="002D5BA4">
              <w:rPr>
                <w:rFonts w:ascii="Times New Roman" w:hAnsi="Times New Roman"/>
                <w:color w:val="000000"/>
              </w:rPr>
              <w:t>wodnych w Polsce, wynikające z</w:t>
            </w:r>
            <w:r w:rsidR="00D26796">
              <w:rPr>
                <w:rFonts w:ascii="Times New Roman" w:hAnsi="Times New Roman"/>
                <w:color w:val="000000"/>
              </w:rPr>
              <w:t>e </w:t>
            </w:r>
            <w:r w:rsidR="00D26796" w:rsidRPr="002D5BA4">
              <w:rPr>
                <w:rFonts w:ascii="Times New Roman" w:hAnsi="Times New Roman"/>
                <w:color w:val="000000"/>
              </w:rPr>
              <w:t>złego stanu technicznego</w:t>
            </w:r>
            <w:r w:rsidR="00D26796">
              <w:rPr>
                <w:rFonts w:ascii="Times New Roman" w:hAnsi="Times New Roman"/>
                <w:color w:val="000000"/>
              </w:rPr>
              <w:t xml:space="preserve"> istniejącej infrastruktury</w:t>
            </w:r>
            <w:r w:rsidR="002F24AB">
              <w:rPr>
                <w:rFonts w:ascii="Times New Roman" w:hAnsi="Times New Roman"/>
                <w:color w:val="000000"/>
              </w:rPr>
              <w:t xml:space="preserve"> oraz postępujących zmian klimatu (okresy suszy oraz intensywnych opadów)</w:t>
            </w:r>
            <w:r w:rsidR="00D26796" w:rsidRPr="002D5BA4">
              <w:rPr>
                <w:rFonts w:ascii="Times New Roman" w:hAnsi="Times New Roman"/>
                <w:color w:val="000000"/>
              </w:rPr>
              <w:t>, są jedną z</w:t>
            </w:r>
            <w:r w:rsidR="00D26796">
              <w:rPr>
                <w:rFonts w:ascii="Times New Roman" w:hAnsi="Times New Roman"/>
                <w:color w:val="000000"/>
              </w:rPr>
              <w:t> </w:t>
            </w:r>
            <w:r w:rsidR="00D26796" w:rsidRPr="002D5BA4">
              <w:rPr>
                <w:rFonts w:ascii="Times New Roman" w:hAnsi="Times New Roman"/>
                <w:color w:val="000000"/>
              </w:rPr>
              <w:t>podstawowych bari</w:t>
            </w:r>
            <w:r w:rsidR="0039711E">
              <w:rPr>
                <w:rFonts w:ascii="Times New Roman" w:hAnsi="Times New Roman"/>
                <w:color w:val="000000"/>
              </w:rPr>
              <w:t>er rozwoju żeglugi śródlądowej.</w:t>
            </w:r>
            <w:r w:rsidR="00D26796" w:rsidRPr="002D5BA4">
              <w:rPr>
                <w:rFonts w:ascii="Times New Roman" w:hAnsi="Times New Roman"/>
                <w:color w:val="000000"/>
              </w:rPr>
              <w:t xml:space="preserve"> </w:t>
            </w:r>
            <w:r w:rsidR="008F6D17">
              <w:rPr>
                <w:rFonts w:ascii="Times New Roman" w:hAnsi="Times New Roman"/>
                <w:color w:val="000000"/>
              </w:rPr>
              <w:t>D</w:t>
            </w:r>
            <w:r w:rsidR="00D26796" w:rsidRPr="002D5BA4">
              <w:rPr>
                <w:rFonts w:ascii="Times New Roman" w:hAnsi="Times New Roman"/>
                <w:color w:val="000000"/>
              </w:rPr>
              <w:t xml:space="preserve">la rozwoju transportu śródlądowego </w:t>
            </w:r>
            <w:r w:rsidR="008F6D17">
              <w:rPr>
                <w:rFonts w:ascii="Times New Roman" w:hAnsi="Times New Roman"/>
                <w:color w:val="000000"/>
              </w:rPr>
              <w:t xml:space="preserve">istotne </w:t>
            </w:r>
            <w:r w:rsidR="008F6D17" w:rsidRPr="002D5BA4">
              <w:rPr>
                <w:rFonts w:ascii="Times New Roman" w:hAnsi="Times New Roman"/>
                <w:color w:val="000000"/>
              </w:rPr>
              <w:t xml:space="preserve">znaczenie </w:t>
            </w:r>
            <w:r w:rsidR="00D26796" w:rsidRPr="002D5BA4">
              <w:rPr>
                <w:rFonts w:ascii="Times New Roman" w:hAnsi="Times New Roman"/>
                <w:color w:val="000000"/>
              </w:rPr>
              <w:t>ma</w:t>
            </w:r>
            <w:r w:rsidR="00D26796">
              <w:rPr>
                <w:rFonts w:ascii="Times New Roman" w:hAnsi="Times New Roman"/>
                <w:color w:val="000000"/>
              </w:rPr>
              <w:t xml:space="preserve"> – w pierwszej kolejności –</w:t>
            </w:r>
            <w:r w:rsidR="00D26796" w:rsidRPr="002D5BA4">
              <w:rPr>
                <w:rFonts w:ascii="Times New Roman" w:hAnsi="Times New Roman"/>
                <w:color w:val="000000"/>
              </w:rPr>
              <w:t xml:space="preserve"> </w:t>
            </w:r>
            <w:r w:rsidR="00D26796">
              <w:rPr>
                <w:rFonts w:ascii="Times New Roman" w:hAnsi="Times New Roman"/>
                <w:color w:val="000000"/>
              </w:rPr>
              <w:t>osiągnięcie maksymalnego potencjału</w:t>
            </w:r>
            <w:r w:rsidR="00D26796" w:rsidRPr="002D5BA4">
              <w:rPr>
                <w:rFonts w:ascii="Times New Roman" w:hAnsi="Times New Roman"/>
                <w:color w:val="000000"/>
              </w:rPr>
              <w:t xml:space="preserve"> szlaków wodnych</w:t>
            </w:r>
            <w:r w:rsidR="00D26796">
              <w:rPr>
                <w:rFonts w:ascii="Times New Roman" w:hAnsi="Times New Roman"/>
                <w:color w:val="000000"/>
              </w:rPr>
              <w:t xml:space="preserve"> w ramach </w:t>
            </w:r>
            <w:r w:rsidR="00A47A07">
              <w:rPr>
                <w:rFonts w:ascii="Times New Roman" w:hAnsi="Times New Roman"/>
                <w:color w:val="000000"/>
              </w:rPr>
              <w:t>warunków nawigacyjnych możliwych do utrzymaniu</w:t>
            </w:r>
            <w:r w:rsidR="00D26796">
              <w:rPr>
                <w:rFonts w:ascii="Times New Roman" w:hAnsi="Times New Roman"/>
                <w:color w:val="000000"/>
              </w:rPr>
              <w:t xml:space="preserve"> w oparciu o już istniejącą infrastrukturę.</w:t>
            </w:r>
          </w:p>
          <w:p w14:paraId="7654D03F" w14:textId="7584B467" w:rsidR="00450548" w:rsidRDefault="0039711E" w:rsidP="00FC2451">
            <w:pPr>
              <w:spacing w:after="120" w:line="240" w:lineRule="auto"/>
              <w:jc w:val="both"/>
              <w:rPr>
                <w:rFonts w:ascii="Times New Roman" w:hAnsi="Times New Roman"/>
                <w:color w:val="000000"/>
              </w:rPr>
            </w:pPr>
            <w:r>
              <w:rPr>
                <w:rFonts w:ascii="Times New Roman" w:hAnsi="Times New Roman"/>
                <w:color w:val="000000"/>
              </w:rPr>
              <w:t>P</w:t>
            </w:r>
            <w:r w:rsidR="00D26796">
              <w:rPr>
                <w:rFonts w:ascii="Times New Roman" w:hAnsi="Times New Roman"/>
                <w:color w:val="000000"/>
              </w:rPr>
              <w:t>owyższy problem jest szczególnie istotny na wykorzystywanych transportowo o</w:t>
            </w:r>
            <w:r>
              <w:rPr>
                <w:rFonts w:ascii="Times New Roman" w:hAnsi="Times New Roman"/>
                <w:color w:val="000000"/>
              </w:rPr>
              <w:t>dcinkach dostępowych do portów m</w:t>
            </w:r>
            <w:r w:rsidR="00D26796">
              <w:rPr>
                <w:rFonts w:ascii="Times New Roman" w:hAnsi="Times New Roman"/>
                <w:color w:val="000000"/>
              </w:rPr>
              <w:t>orskich o podstawowym znaczeniu dla gospodarki narodowej. Porty morskie stano</w:t>
            </w:r>
            <w:r>
              <w:rPr>
                <w:rFonts w:ascii="Times New Roman" w:hAnsi="Times New Roman"/>
                <w:color w:val="000000"/>
              </w:rPr>
              <w:t>wią jedne z najważniejszych – z </w:t>
            </w:r>
            <w:r w:rsidR="00D26796">
              <w:rPr>
                <w:rFonts w:ascii="Times New Roman" w:hAnsi="Times New Roman"/>
                <w:color w:val="000000"/>
              </w:rPr>
              <w:t xml:space="preserve">punktu widzenia </w:t>
            </w:r>
            <w:r w:rsidR="00D26796" w:rsidRPr="00D26796">
              <w:rPr>
                <w:rFonts w:ascii="Times New Roman" w:hAnsi="Times New Roman"/>
                <w:color w:val="000000"/>
              </w:rPr>
              <w:t>rozwoju gospodarczego Polski – węzłów transportowych, których potencjał zależy od efektywnej integracji z łańcuchem logistycznym. Rozwój portów morskich uzależniony jest między innymi od jakości po</w:t>
            </w:r>
            <w:r w:rsidR="00D26796">
              <w:rPr>
                <w:rFonts w:ascii="Times New Roman" w:hAnsi="Times New Roman"/>
                <w:color w:val="000000"/>
              </w:rPr>
              <w:t xml:space="preserve">łączeń z ich zapleczem lądowym. </w:t>
            </w:r>
            <w:r w:rsidR="00E32BB5">
              <w:rPr>
                <w:rFonts w:ascii="Times New Roman" w:hAnsi="Times New Roman"/>
                <w:color w:val="000000"/>
              </w:rPr>
              <w:t xml:space="preserve">Jednak </w:t>
            </w:r>
            <w:r w:rsidR="00295604">
              <w:rPr>
                <w:rFonts w:ascii="Times New Roman" w:hAnsi="Times New Roman"/>
                <w:color w:val="000000"/>
              </w:rPr>
              <w:t>obecny stan techniczny istniejącej</w:t>
            </w:r>
            <w:r w:rsidR="00E32BB5">
              <w:rPr>
                <w:rFonts w:ascii="Times New Roman" w:hAnsi="Times New Roman"/>
                <w:color w:val="000000"/>
              </w:rPr>
              <w:t xml:space="preserve"> infrastruktury</w:t>
            </w:r>
            <w:r>
              <w:rPr>
                <w:rFonts w:ascii="Times New Roman" w:hAnsi="Times New Roman"/>
                <w:color w:val="000000"/>
              </w:rPr>
              <w:t xml:space="preserve"> </w:t>
            </w:r>
            <w:r w:rsidR="00D26796">
              <w:rPr>
                <w:rFonts w:ascii="Times New Roman" w:hAnsi="Times New Roman"/>
                <w:color w:val="000000"/>
              </w:rPr>
              <w:t>Odrzańskiej Drogi Wodnej i Wisły na odcinku od Torunia do Gdańska</w:t>
            </w:r>
            <w:r w:rsidR="00D26796" w:rsidRPr="00D26796">
              <w:rPr>
                <w:rFonts w:ascii="Times New Roman" w:hAnsi="Times New Roman"/>
                <w:color w:val="000000"/>
              </w:rPr>
              <w:t xml:space="preserve"> nie pozwalają na większe wykorzystanie tej gałęzi transportu w obsłudze zaplecza.</w:t>
            </w:r>
          </w:p>
          <w:p w14:paraId="78C25BE9" w14:textId="60EB3D9B" w:rsidR="0039711E" w:rsidRDefault="002D5BA4" w:rsidP="00FC2451">
            <w:pPr>
              <w:spacing w:after="120" w:line="240" w:lineRule="auto"/>
              <w:jc w:val="both"/>
              <w:rPr>
                <w:rFonts w:ascii="Times New Roman" w:hAnsi="Times New Roman"/>
                <w:color w:val="000000"/>
              </w:rPr>
            </w:pPr>
            <w:r w:rsidRPr="002D5BA4">
              <w:rPr>
                <w:rFonts w:ascii="Times New Roman" w:hAnsi="Times New Roman"/>
                <w:color w:val="000000"/>
              </w:rPr>
              <w:t>Długość</w:t>
            </w:r>
            <w:r>
              <w:rPr>
                <w:rFonts w:ascii="Times New Roman" w:hAnsi="Times New Roman"/>
                <w:color w:val="000000"/>
              </w:rPr>
              <w:t xml:space="preserve"> śródlądowych</w:t>
            </w:r>
            <w:r w:rsidRPr="002D5BA4">
              <w:rPr>
                <w:rFonts w:ascii="Times New Roman" w:hAnsi="Times New Roman"/>
                <w:color w:val="000000"/>
              </w:rPr>
              <w:t xml:space="preserve"> dróg wodnych w Polsce od lat utrzymuje się na podobnym poziomie </w:t>
            </w:r>
            <w:r w:rsidR="00FC2451">
              <w:rPr>
                <w:rFonts w:ascii="Times New Roman" w:hAnsi="Times New Roman"/>
                <w:color w:val="000000"/>
              </w:rPr>
              <w:t xml:space="preserve">– </w:t>
            </w:r>
            <w:r w:rsidR="0039711E" w:rsidRPr="0039711E">
              <w:rPr>
                <w:rFonts w:ascii="Times New Roman" w:hAnsi="Times New Roman"/>
                <w:color w:val="000000"/>
              </w:rPr>
              <w:t>w 202</w:t>
            </w:r>
            <w:r w:rsidR="00713EFF">
              <w:rPr>
                <w:rFonts w:ascii="Times New Roman" w:hAnsi="Times New Roman"/>
                <w:color w:val="000000"/>
              </w:rPr>
              <w:t>1</w:t>
            </w:r>
            <w:r w:rsidR="0039711E" w:rsidRPr="0039711E">
              <w:rPr>
                <w:rFonts w:ascii="Times New Roman" w:hAnsi="Times New Roman"/>
                <w:color w:val="000000"/>
              </w:rPr>
              <w:t xml:space="preserve"> r. długość sieci dróg wodnych w Polsce wynosiła 3 768 km, </w:t>
            </w:r>
            <w:r w:rsidR="0039711E">
              <w:rPr>
                <w:rFonts w:ascii="Times New Roman" w:hAnsi="Times New Roman"/>
                <w:color w:val="000000"/>
              </w:rPr>
              <w:t>w</w:t>
            </w:r>
            <w:r w:rsidR="0039711E" w:rsidRPr="002D5BA4">
              <w:rPr>
                <w:rFonts w:ascii="Times New Roman" w:hAnsi="Times New Roman"/>
                <w:color w:val="000000"/>
              </w:rPr>
              <w:t xml:space="preserve">edług raportu Głównego Urzędu Statystycznego pn. </w:t>
            </w:r>
            <w:r w:rsidR="0039711E" w:rsidRPr="0039711E">
              <w:rPr>
                <w:rFonts w:ascii="Times New Roman" w:hAnsi="Times New Roman"/>
                <w:i/>
                <w:color w:val="000000"/>
              </w:rPr>
              <w:t xml:space="preserve">Transport </w:t>
            </w:r>
            <w:r w:rsidR="0039711E">
              <w:rPr>
                <w:rFonts w:ascii="Times New Roman" w:hAnsi="Times New Roman"/>
                <w:i/>
                <w:color w:val="000000"/>
              </w:rPr>
              <w:t>wodny śródlądowy w Polsce w 2020</w:t>
            </w:r>
            <w:r w:rsidR="0039711E" w:rsidRPr="0039711E">
              <w:rPr>
                <w:rFonts w:ascii="Times New Roman" w:hAnsi="Times New Roman"/>
                <w:i/>
                <w:color w:val="000000"/>
              </w:rPr>
              <w:t xml:space="preserve"> r</w:t>
            </w:r>
            <w:r w:rsidR="0039711E" w:rsidRPr="002D5BA4">
              <w:rPr>
                <w:rFonts w:ascii="Times New Roman" w:hAnsi="Times New Roman"/>
                <w:color w:val="000000"/>
              </w:rPr>
              <w:t>.,</w:t>
            </w:r>
            <w:r w:rsidR="0039711E">
              <w:rPr>
                <w:rFonts w:ascii="Times New Roman" w:hAnsi="Times New Roman"/>
                <w:color w:val="000000"/>
              </w:rPr>
              <w:t xml:space="preserve"> </w:t>
            </w:r>
            <w:r w:rsidR="0039711E" w:rsidRPr="0039711E">
              <w:rPr>
                <w:rFonts w:ascii="Times New Roman" w:hAnsi="Times New Roman"/>
                <w:color w:val="000000"/>
              </w:rPr>
              <w:t>z czego 2 52</w:t>
            </w:r>
            <w:r w:rsidR="00713EFF">
              <w:rPr>
                <w:rFonts w:ascii="Times New Roman" w:hAnsi="Times New Roman"/>
                <w:color w:val="000000"/>
              </w:rPr>
              <w:t>3</w:t>
            </w:r>
            <w:r w:rsidR="0039711E" w:rsidRPr="0039711E">
              <w:rPr>
                <w:rFonts w:ascii="Times New Roman" w:hAnsi="Times New Roman"/>
                <w:color w:val="000000"/>
              </w:rPr>
              <w:t xml:space="preserve"> km stanowiły uregulowane rzeki żeglowne, 655 km – skanalizowane odcinki rzek, 335 km – kanały, a 255 km – jeziora żeglowne. W 202</w:t>
            </w:r>
            <w:r w:rsidR="00713EFF">
              <w:rPr>
                <w:rFonts w:ascii="Times New Roman" w:hAnsi="Times New Roman"/>
                <w:color w:val="000000"/>
              </w:rPr>
              <w:t>1</w:t>
            </w:r>
            <w:r w:rsidR="0039711E" w:rsidRPr="0039711E">
              <w:rPr>
                <w:rFonts w:ascii="Times New Roman" w:hAnsi="Times New Roman"/>
                <w:color w:val="000000"/>
              </w:rPr>
              <w:t xml:space="preserve"> r. długość dróg wodnych eksploatowanych przez żeglugę wynosiła 3</w:t>
            </w:r>
            <w:r w:rsidR="00713EFF">
              <w:rPr>
                <w:rFonts w:ascii="Times New Roman" w:hAnsi="Times New Roman"/>
                <w:color w:val="000000"/>
              </w:rPr>
              <w:t> </w:t>
            </w:r>
            <w:r w:rsidR="0039711E" w:rsidRPr="0039711E">
              <w:rPr>
                <w:rFonts w:ascii="Times New Roman" w:hAnsi="Times New Roman"/>
                <w:color w:val="000000"/>
              </w:rPr>
              <w:t>549 km (94,2%). Wymagania stawiane drogom o znaczeniu międzynarodowym (klasy IV i V) w 202</w:t>
            </w:r>
            <w:r w:rsidR="00713EFF">
              <w:rPr>
                <w:rFonts w:ascii="Times New Roman" w:hAnsi="Times New Roman"/>
                <w:color w:val="000000"/>
              </w:rPr>
              <w:t>1</w:t>
            </w:r>
            <w:r w:rsidR="0039711E" w:rsidRPr="0039711E">
              <w:rPr>
                <w:rFonts w:ascii="Times New Roman" w:hAnsi="Times New Roman"/>
                <w:color w:val="000000"/>
              </w:rPr>
              <w:t xml:space="preserve"> r. spełniało w</w:t>
            </w:r>
            <w:r w:rsidR="00713EFF">
              <w:rPr>
                <w:rFonts w:ascii="Times New Roman" w:hAnsi="Times New Roman"/>
                <w:color w:val="000000"/>
              </w:rPr>
              <w:t> </w:t>
            </w:r>
            <w:r w:rsidR="0039711E" w:rsidRPr="0039711E">
              <w:rPr>
                <w:rFonts w:ascii="Times New Roman" w:hAnsi="Times New Roman"/>
                <w:color w:val="000000"/>
              </w:rPr>
              <w:t>Polsce 5,5% długości eksploatowanych dróg wodnych (206 km). Pozostałą sieć dróg wodnych tworzą szlaki o znaczeniu regionalnym (klasy I, II i III), których łączna długość w 202</w:t>
            </w:r>
            <w:r w:rsidR="00713EFF">
              <w:rPr>
                <w:rFonts w:ascii="Times New Roman" w:hAnsi="Times New Roman"/>
                <w:color w:val="000000"/>
              </w:rPr>
              <w:t>1</w:t>
            </w:r>
            <w:r w:rsidR="0039711E" w:rsidRPr="0039711E">
              <w:rPr>
                <w:rFonts w:ascii="Times New Roman" w:hAnsi="Times New Roman"/>
                <w:color w:val="000000"/>
              </w:rPr>
              <w:t xml:space="preserve"> r. wyniosła 3562 km</w:t>
            </w:r>
          </w:p>
          <w:p w14:paraId="5F87CCC5" w14:textId="1CC41275" w:rsidR="00E618F1" w:rsidRDefault="002D5BA4" w:rsidP="00FC2451">
            <w:pPr>
              <w:spacing w:after="120" w:line="240" w:lineRule="auto"/>
              <w:jc w:val="both"/>
              <w:rPr>
                <w:rFonts w:ascii="Times New Roman" w:hAnsi="Times New Roman"/>
                <w:color w:val="000000"/>
              </w:rPr>
            </w:pPr>
            <w:r w:rsidRPr="002D5BA4">
              <w:rPr>
                <w:rFonts w:ascii="Times New Roman" w:hAnsi="Times New Roman"/>
                <w:color w:val="000000"/>
              </w:rPr>
              <w:t>Jakość śródlądowych dróg wodnych</w:t>
            </w:r>
            <w:r w:rsidR="00E618F1">
              <w:rPr>
                <w:rFonts w:ascii="Times New Roman" w:hAnsi="Times New Roman"/>
                <w:color w:val="000000"/>
              </w:rPr>
              <w:t xml:space="preserve"> (</w:t>
            </w:r>
            <w:r w:rsidR="00D26796">
              <w:rPr>
                <w:rFonts w:ascii="Times New Roman" w:hAnsi="Times New Roman"/>
                <w:color w:val="000000"/>
              </w:rPr>
              <w:t xml:space="preserve">tj. </w:t>
            </w:r>
            <w:r w:rsidR="00295604">
              <w:rPr>
                <w:rFonts w:ascii="Times New Roman" w:hAnsi="Times New Roman"/>
                <w:color w:val="000000"/>
              </w:rPr>
              <w:t xml:space="preserve">stan techniczny </w:t>
            </w:r>
            <w:r w:rsidR="00E618F1">
              <w:rPr>
                <w:rFonts w:ascii="Times New Roman" w:hAnsi="Times New Roman"/>
                <w:color w:val="000000"/>
              </w:rPr>
              <w:t>infrastruktury)</w:t>
            </w:r>
            <w:r w:rsidRPr="002D5BA4">
              <w:rPr>
                <w:rFonts w:ascii="Times New Roman" w:hAnsi="Times New Roman"/>
                <w:color w:val="000000"/>
              </w:rPr>
              <w:t xml:space="preserve"> przekłada się bezpośred</w:t>
            </w:r>
            <w:r w:rsidR="00FC2451">
              <w:rPr>
                <w:rFonts w:ascii="Times New Roman" w:hAnsi="Times New Roman"/>
                <w:color w:val="000000"/>
              </w:rPr>
              <w:t>nio na możliwości regularnego i </w:t>
            </w:r>
            <w:r w:rsidRPr="002D5BA4">
              <w:rPr>
                <w:rFonts w:ascii="Times New Roman" w:hAnsi="Times New Roman"/>
                <w:color w:val="000000"/>
              </w:rPr>
              <w:t>efektywnego ekonomicznie transportu wodnego śródlądowego. Niewystarczające zagospodarowanie śródlądowych dróg wodnych w Polsce wpływa na specyfikę funkcjonowania żeglugi śródlądowej. Do najistotniejszych utrudnień żeglugowych należą zbyt małe głębokości tranzytowe uniemożliwiające regularny przewóz towarów, niewłaści</w:t>
            </w:r>
            <w:r w:rsidR="0013118F">
              <w:rPr>
                <w:rFonts w:ascii="Times New Roman" w:hAnsi="Times New Roman"/>
                <w:color w:val="000000"/>
              </w:rPr>
              <w:t>we parametry mostów drogowych i </w:t>
            </w:r>
            <w:r w:rsidRPr="002D5BA4">
              <w:rPr>
                <w:rFonts w:ascii="Times New Roman" w:hAnsi="Times New Roman"/>
                <w:color w:val="000000"/>
              </w:rPr>
              <w:t>kolejowych, awarie śluz i jazów oraz długotrwałe przerwy nawigacyjne spowodowane zalodzeniem, a następnie wysoką wodą oraz okresami suszy.</w:t>
            </w:r>
          </w:p>
          <w:p w14:paraId="1C633C48" w14:textId="49A1E5A3" w:rsidR="00E618F1" w:rsidRDefault="00526FBC" w:rsidP="00FC2451">
            <w:pPr>
              <w:spacing w:after="120" w:line="240" w:lineRule="auto"/>
              <w:jc w:val="both"/>
              <w:rPr>
                <w:rFonts w:ascii="Times New Roman" w:hAnsi="Times New Roman"/>
                <w:color w:val="000000"/>
              </w:rPr>
            </w:pPr>
            <w:r>
              <w:rPr>
                <w:rFonts w:ascii="Times New Roman" w:hAnsi="Times New Roman"/>
                <w:color w:val="000000"/>
              </w:rPr>
              <w:t>O</w:t>
            </w:r>
            <w:r w:rsidR="00E618F1">
              <w:rPr>
                <w:rFonts w:ascii="Times New Roman" w:hAnsi="Times New Roman"/>
                <w:color w:val="000000"/>
              </w:rPr>
              <w:t>prócz</w:t>
            </w:r>
            <w:r w:rsidR="00FC2451">
              <w:rPr>
                <w:rFonts w:ascii="Times New Roman" w:hAnsi="Times New Roman"/>
                <w:color w:val="000000"/>
              </w:rPr>
              <w:t xml:space="preserve"> jakości infrastruktury,</w:t>
            </w:r>
            <w:r w:rsidR="00E618F1">
              <w:rPr>
                <w:rFonts w:ascii="Times New Roman" w:hAnsi="Times New Roman"/>
                <w:color w:val="000000"/>
              </w:rPr>
              <w:t xml:space="preserve"> istotne znaczenie ma sytuacja rynku </w:t>
            </w:r>
            <w:r w:rsidR="00FC2451">
              <w:rPr>
                <w:rFonts w:ascii="Times New Roman" w:hAnsi="Times New Roman"/>
                <w:color w:val="000000"/>
              </w:rPr>
              <w:t>żeglugi śródlądowej, związana z </w:t>
            </w:r>
            <w:r w:rsidR="00E618F1">
              <w:rPr>
                <w:rFonts w:ascii="Times New Roman" w:hAnsi="Times New Roman"/>
                <w:color w:val="000000"/>
              </w:rPr>
              <w:t>koniecznością transformacji istniejącej fl</w:t>
            </w:r>
            <w:r w:rsidR="00FC2451">
              <w:rPr>
                <w:rFonts w:ascii="Times New Roman" w:hAnsi="Times New Roman"/>
                <w:color w:val="000000"/>
              </w:rPr>
              <w:t>oty</w:t>
            </w:r>
            <w:r w:rsidR="00E618F1">
              <w:rPr>
                <w:rFonts w:ascii="Times New Roman" w:hAnsi="Times New Roman"/>
                <w:color w:val="000000"/>
              </w:rPr>
              <w:t xml:space="preserve"> w nowe nisko</w:t>
            </w:r>
            <w:r>
              <w:rPr>
                <w:rFonts w:ascii="Times New Roman" w:hAnsi="Times New Roman"/>
                <w:color w:val="000000"/>
              </w:rPr>
              <w:t>- i zero</w:t>
            </w:r>
            <w:r w:rsidR="00E618F1">
              <w:rPr>
                <w:rFonts w:ascii="Times New Roman" w:hAnsi="Times New Roman"/>
                <w:color w:val="000000"/>
              </w:rPr>
              <w:t>emisyjne</w:t>
            </w:r>
            <w:r>
              <w:rPr>
                <w:rFonts w:ascii="Times New Roman" w:hAnsi="Times New Roman"/>
                <w:color w:val="000000"/>
              </w:rPr>
              <w:t>,</w:t>
            </w:r>
            <w:r w:rsidR="00E618F1">
              <w:rPr>
                <w:rFonts w:ascii="Times New Roman" w:hAnsi="Times New Roman"/>
                <w:color w:val="000000"/>
              </w:rPr>
              <w:t xml:space="preserve"> efektywne energet</w:t>
            </w:r>
            <w:r w:rsidR="00FC2451">
              <w:rPr>
                <w:rFonts w:ascii="Times New Roman" w:hAnsi="Times New Roman"/>
                <w:color w:val="000000"/>
              </w:rPr>
              <w:t>ycznie jednostki pływające oraz </w:t>
            </w:r>
            <w:r w:rsidR="00C71F4D">
              <w:rPr>
                <w:rFonts w:ascii="Times New Roman" w:hAnsi="Times New Roman"/>
                <w:color w:val="000000"/>
              </w:rPr>
              <w:t xml:space="preserve">utrudnionym </w:t>
            </w:r>
            <w:r w:rsidR="00E618F1">
              <w:rPr>
                <w:rFonts w:ascii="Times New Roman" w:hAnsi="Times New Roman"/>
                <w:color w:val="000000"/>
              </w:rPr>
              <w:t>d</w:t>
            </w:r>
            <w:r w:rsidR="00FC2451">
              <w:rPr>
                <w:rFonts w:ascii="Times New Roman" w:hAnsi="Times New Roman"/>
                <w:color w:val="000000"/>
              </w:rPr>
              <w:t>ostępem do wysokokwalifikowanych pracowników</w:t>
            </w:r>
            <w:r w:rsidR="00E618F1">
              <w:rPr>
                <w:rFonts w:ascii="Times New Roman" w:hAnsi="Times New Roman"/>
                <w:color w:val="000000"/>
              </w:rPr>
              <w:t xml:space="preserve"> na rynku pracy. </w:t>
            </w:r>
          </w:p>
          <w:p w14:paraId="199BA202" w14:textId="27B5FAE8" w:rsidR="00E618F1" w:rsidRDefault="0039711E" w:rsidP="00FC2451">
            <w:pPr>
              <w:spacing w:after="120" w:line="240" w:lineRule="auto"/>
              <w:jc w:val="both"/>
              <w:rPr>
                <w:rFonts w:ascii="Times New Roman" w:hAnsi="Times New Roman"/>
                <w:color w:val="000000"/>
              </w:rPr>
            </w:pPr>
            <w:r>
              <w:rPr>
                <w:rFonts w:ascii="Times New Roman" w:hAnsi="Times New Roman"/>
                <w:color w:val="000000"/>
              </w:rPr>
              <w:t xml:space="preserve">Zwiększenie poziomu </w:t>
            </w:r>
            <w:r w:rsidR="00E618F1">
              <w:rPr>
                <w:rFonts w:ascii="Times New Roman" w:hAnsi="Times New Roman"/>
                <w:color w:val="000000"/>
              </w:rPr>
              <w:t>konkurencyjności sektora wymaga</w:t>
            </w:r>
            <w:r w:rsidR="00FC2451">
              <w:rPr>
                <w:rFonts w:ascii="Times New Roman" w:hAnsi="Times New Roman"/>
                <w:color w:val="000000"/>
              </w:rPr>
              <w:t xml:space="preserve"> </w:t>
            </w:r>
            <w:r w:rsidR="00E618F1">
              <w:rPr>
                <w:rFonts w:ascii="Times New Roman" w:hAnsi="Times New Roman"/>
                <w:color w:val="000000"/>
              </w:rPr>
              <w:t>więc zarówno:</w:t>
            </w:r>
          </w:p>
          <w:p w14:paraId="688AFAAD" w14:textId="295BDE62" w:rsidR="00E618F1" w:rsidRPr="0039711E" w:rsidRDefault="00FC2451" w:rsidP="0039711E">
            <w:pPr>
              <w:pStyle w:val="Akapitzlist"/>
              <w:numPr>
                <w:ilvl w:val="0"/>
                <w:numId w:val="36"/>
              </w:numPr>
              <w:spacing w:after="120" w:line="240" w:lineRule="auto"/>
              <w:jc w:val="both"/>
              <w:rPr>
                <w:rFonts w:ascii="Times New Roman" w:hAnsi="Times New Roman"/>
                <w:color w:val="000000"/>
                <w:spacing w:val="-2"/>
              </w:rPr>
            </w:pPr>
            <w:r w:rsidRPr="0039711E">
              <w:rPr>
                <w:rFonts w:ascii="Times New Roman" w:hAnsi="Times New Roman"/>
                <w:color w:val="000000"/>
                <w:spacing w:val="-2"/>
              </w:rPr>
              <w:t>i</w:t>
            </w:r>
            <w:r w:rsidR="00E618F1" w:rsidRPr="0039711E">
              <w:rPr>
                <w:rFonts w:ascii="Times New Roman" w:hAnsi="Times New Roman"/>
                <w:color w:val="000000"/>
                <w:spacing w:val="-2"/>
              </w:rPr>
              <w:t>nwestycji w infrastrukturę dróg wodnych, w szczególności na odcinkach</w:t>
            </w:r>
            <w:r w:rsidR="00727BE7">
              <w:rPr>
                <w:rFonts w:ascii="Times New Roman" w:hAnsi="Times New Roman"/>
                <w:color w:val="000000"/>
                <w:spacing w:val="-2"/>
              </w:rPr>
              <w:t xml:space="preserve"> dostępowych do portów morskich,</w:t>
            </w:r>
          </w:p>
          <w:p w14:paraId="2AAED3C6" w14:textId="317CCEC7" w:rsidR="006A701A" w:rsidRPr="00FC2451" w:rsidRDefault="00E618F1" w:rsidP="0039711E">
            <w:pPr>
              <w:pStyle w:val="Akapitzlist"/>
              <w:numPr>
                <w:ilvl w:val="0"/>
                <w:numId w:val="36"/>
              </w:numPr>
              <w:spacing w:after="120" w:line="240" w:lineRule="auto"/>
              <w:jc w:val="both"/>
              <w:rPr>
                <w:rFonts w:ascii="Times New Roman" w:hAnsi="Times New Roman"/>
                <w:color w:val="000000"/>
              </w:rPr>
            </w:pPr>
            <w:r w:rsidRPr="0039711E">
              <w:rPr>
                <w:rFonts w:ascii="Times New Roman" w:hAnsi="Times New Roman"/>
                <w:color w:val="000000"/>
                <w:spacing w:val="-2"/>
              </w:rPr>
              <w:t>wsparcia rozwoju</w:t>
            </w:r>
            <w:r>
              <w:rPr>
                <w:rFonts w:ascii="Times New Roman" w:hAnsi="Times New Roman"/>
                <w:color w:val="000000"/>
              </w:rPr>
              <w:t xml:space="preserve"> rynku żeglugi śródlądowej. </w:t>
            </w:r>
          </w:p>
        </w:tc>
      </w:tr>
      <w:tr w:rsidR="006A701A" w:rsidRPr="008B4FE6" w14:paraId="4CCC2949" w14:textId="77777777" w:rsidTr="00676C8D">
        <w:trPr>
          <w:gridAfter w:val="1"/>
          <w:wAfter w:w="10" w:type="dxa"/>
          <w:trHeight w:val="142"/>
        </w:trPr>
        <w:tc>
          <w:tcPr>
            <w:tcW w:w="10937" w:type="dxa"/>
            <w:gridSpan w:val="21"/>
            <w:shd w:val="clear" w:color="auto" w:fill="99CCFF"/>
            <w:vAlign w:val="center"/>
          </w:tcPr>
          <w:p w14:paraId="479F7EB1" w14:textId="77777777"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0639D47F" w14:textId="77777777" w:rsidTr="00676C8D">
        <w:trPr>
          <w:gridAfter w:val="1"/>
          <w:wAfter w:w="10" w:type="dxa"/>
          <w:trHeight w:val="142"/>
        </w:trPr>
        <w:tc>
          <w:tcPr>
            <w:tcW w:w="10937" w:type="dxa"/>
            <w:gridSpan w:val="21"/>
            <w:shd w:val="clear" w:color="auto" w:fill="auto"/>
          </w:tcPr>
          <w:p w14:paraId="2FA3C31D" w14:textId="07034F74" w:rsidR="00526FBC" w:rsidRPr="0039711E" w:rsidRDefault="000139F0" w:rsidP="0039711E">
            <w:pPr>
              <w:spacing w:before="120" w:after="120" w:line="240" w:lineRule="auto"/>
              <w:jc w:val="both"/>
              <w:rPr>
                <w:color w:val="000000" w:themeColor="text1"/>
              </w:rPr>
            </w:pPr>
            <w:r w:rsidRPr="00526FBC">
              <w:rPr>
                <w:rFonts w:ascii="Times New Roman" w:hAnsi="Times New Roman"/>
                <w:color w:val="000000"/>
                <w:spacing w:val="-2"/>
              </w:rPr>
              <w:t>Niezawodność</w:t>
            </w:r>
            <w:r w:rsidRPr="000139F0">
              <w:rPr>
                <w:rFonts w:ascii="Times New Roman" w:hAnsi="Times New Roman"/>
                <w:color w:val="000000"/>
                <w:spacing w:val="-2"/>
              </w:rPr>
              <w:t xml:space="preserve"> transportu wodnego śródlądowego uzależniona jest od stabilnych warunków nawigacyjnych na drogach wodnych</w:t>
            </w:r>
            <w:r w:rsidR="00FC2451">
              <w:rPr>
                <w:rFonts w:ascii="Times New Roman" w:hAnsi="Times New Roman"/>
                <w:color w:val="000000"/>
                <w:spacing w:val="-2"/>
              </w:rPr>
              <w:t>, tj.</w:t>
            </w:r>
            <w:r w:rsidR="002E1C3F">
              <w:rPr>
                <w:rFonts w:ascii="Times New Roman" w:hAnsi="Times New Roman"/>
                <w:color w:val="000000"/>
                <w:spacing w:val="-2"/>
              </w:rPr>
              <w:t xml:space="preserve"> </w:t>
            </w:r>
            <w:r w:rsidR="002E1C3F" w:rsidRPr="0039711E">
              <w:rPr>
                <w:rFonts w:ascii="Times New Roman" w:hAnsi="Times New Roman"/>
                <w:color w:val="000000"/>
                <w:spacing w:val="-2"/>
              </w:rPr>
              <w:t>Dobrych Warunków Nawigacyjnych</w:t>
            </w:r>
            <w:r w:rsidR="00526FBC">
              <w:rPr>
                <w:rFonts w:ascii="Times New Roman" w:hAnsi="Times New Roman"/>
                <w:color w:val="000000"/>
                <w:spacing w:val="-2"/>
              </w:rPr>
              <w:t>,</w:t>
            </w:r>
            <w:r w:rsidR="002E1C3F">
              <w:rPr>
                <w:rFonts w:ascii="Times New Roman" w:hAnsi="Times New Roman"/>
                <w:color w:val="000000"/>
                <w:spacing w:val="-2"/>
              </w:rPr>
              <w:t xml:space="preserve"> zgodnie z rozporządzeniem TEN-T 1315/2013</w:t>
            </w:r>
            <w:r w:rsidR="00FC2451">
              <w:rPr>
                <w:rFonts w:ascii="Times New Roman" w:hAnsi="Times New Roman"/>
                <w:color w:val="000000"/>
                <w:spacing w:val="-2"/>
              </w:rPr>
              <w:t>, w szczególności w </w:t>
            </w:r>
            <w:r w:rsidR="00F555CB">
              <w:rPr>
                <w:rFonts w:ascii="Times New Roman" w:hAnsi="Times New Roman"/>
                <w:color w:val="000000"/>
                <w:spacing w:val="-2"/>
              </w:rPr>
              <w:t xml:space="preserve">korytarzach transportowych łączących porty morskie o podstawowym znaczeniu dla gospodarki kraju z zapleczem </w:t>
            </w:r>
            <w:r w:rsidR="00F555CB" w:rsidRPr="0039711E">
              <w:rPr>
                <w:rFonts w:ascii="Times New Roman" w:hAnsi="Times New Roman"/>
                <w:color w:val="000000" w:themeColor="text1"/>
                <w:spacing w:val="-2"/>
              </w:rPr>
              <w:t>lądowym.</w:t>
            </w:r>
          </w:p>
          <w:p w14:paraId="70CABE89" w14:textId="644BEA91" w:rsidR="00F555CB" w:rsidRDefault="00E618F1" w:rsidP="00FC2451">
            <w:pPr>
              <w:spacing w:after="120" w:line="240" w:lineRule="auto"/>
              <w:jc w:val="both"/>
              <w:rPr>
                <w:rFonts w:ascii="Times New Roman" w:hAnsi="Times New Roman"/>
                <w:color w:val="000000"/>
                <w:spacing w:val="-2"/>
              </w:rPr>
            </w:pPr>
            <w:r w:rsidRPr="0039711E">
              <w:rPr>
                <w:rFonts w:ascii="Times New Roman" w:hAnsi="Times New Roman"/>
                <w:color w:val="000000"/>
                <w:spacing w:val="-2"/>
              </w:rPr>
              <w:lastRenderedPageBreak/>
              <w:t>Dobre Warunki Nawigacyjne</w:t>
            </w:r>
            <w:r>
              <w:rPr>
                <w:rFonts w:ascii="Times New Roman" w:hAnsi="Times New Roman"/>
                <w:color w:val="000000"/>
                <w:spacing w:val="-2"/>
              </w:rPr>
              <w:t xml:space="preserve"> można rozumieć</w:t>
            </w:r>
            <w:r w:rsidR="002E1C3F" w:rsidRPr="002E1C3F">
              <w:rPr>
                <w:rFonts w:ascii="Times New Roman" w:hAnsi="Times New Roman"/>
                <w:color w:val="000000"/>
                <w:spacing w:val="-2"/>
              </w:rPr>
              <w:t xml:space="preserve"> przede wszystkim </w:t>
            </w:r>
            <w:r w:rsidR="00F555CB">
              <w:rPr>
                <w:rFonts w:ascii="Times New Roman" w:hAnsi="Times New Roman"/>
                <w:color w:val="000000"/>
                <w:spacing w:val="-2"/>
              </w:rPr>
              <w:t>jako</w:t>
            </w:r>
            <w:r w:rsidR="002E1C3F" w:rsidRPr="002E1C3F">
              <w:rPr>
                <w:rFonts w:ascii="Times New Roman" w:hAnsi="Times New Roman"/>
                <w:color w:val="000000"/>
                <w:spacing w:val="-2"/>
              </w:rPr>
              <w:t xml:space="preserve"> stabiln</w:t>
            </w:r>
            <w:r w:rsidR="00F555CB">
              <w:rPr>
                <w:rFonts w:ascii="Times New Roman" w:hAnsi="Times New Roman"/>
                <w:color w:val="000000"/>
                <w:spacing w:val="-2"/>
              </w:rPr>
              <w:t>e</w:t>
            </w:r>
            <w:r w:rsidR="002E1C3F" w:rsidRPr="002E1C3F">
              <w:rPr>
                <w:rFonts w:ascii="Times New Roman" w:hAnsi="Times New Roman"/>
                <w:color w:val="000000"/>
                <w:spacing w:val="-2"/>
              </w:rPr>
              <w:t xml:space="preserve"> głębokości tranzytow</w:t>
            </w:r>
            <w:r w:rsidR="00F555CB">
              <w:rPr>
                <w:rFonts w:ascii="Times New Roman" w:hAnsi="Times New Roman"/>
                <w:color w:val="000000"/>
                <w:spacing w:val="-2"/>
              </w:rPr>
              <w:t>e</w:t>
            </w:r>
            <w:r w:rsidR="002E1C3F" w:rsidRPr="002E1C3F">
              <w:rPr>
                <w:rFonts w:ascii="Times New Roman" w:hAnsi="Times New Roman"/>
                <w:color w:val="000000"/>
                <w:spacing w:val="-2"/>
              </w:rPr>
              <w:t xml:space="preserve"> szlaku żeglugowego oraz dostępności śluz</w:t>
            </w:r>
            <w:r w:rsidR="00F555CB">
              <w:rPr>
                <w:rFonts w:ascii="Times New Roman" w:hAnsi="Times New Roman"/>
                <w:color w:val="000000"/>
                <w:spacing w:val="-2"/>
              </w:rPr>
              <w:t>.</w:t>
            </w:r>
            <w:r w:rsidR="002E1C3F" w:rsidRPr="002E1C3F">
              <w:rPr>
                <w:rFonts w:ascii="Times New Roman" w:hAnsi="Times New Roman"/>
                <w:color w:val="000000"/>
                <w:spacing w:val="-2"/>
              </w:rPr>
              <w:t xml:space="preserve"> </w:t>
            </w:r>
            <w:r w:rsidR="00C71F4D">
              <w:rPr>
                <w:rFonts w:ascii="Times New Roman" w:hAnsi="Times New Roman"/>
                <w:color w:val="000000"/>
                <w:spacing w:val="-2"/>
              </w:rPr>
              <w:t>D</w:t>
            </w:r>
            <w:r w:rsidR="00FC2451">
              <w:rPr>
                <w:rFonts w:ascii="Times New Roman" w:hAnsi="Times New Roman"/>
                <w:color w:val="000000"/>
                <w:spacing w:val="-2"/>
              </w:rPr>
              <w:t xml:space="preserve">la osiągnięcia większej efektywności </w:t>
            </w:r>
            <w:r w:rsidR="00C71F4D">
              <w:rPr>
                <w:rFonts w:ascii="Times New Roman" w:hAnsi="Times New Roman"/>
                <w:color w:val="000000"/>
                <w:spacing w:val="-2"/>
              </w:rPr>
              <w:t xml:space="preserve">znaczenie </w:t>
            </w:r>
            <w:r w:rsidR="00FC2451">
              <w:rPr>
                <w:rFonts w:ascii="Times New Roman" w:hAnsi="Times New Roman"/>
                <w:color w:val="000000"/>
                <w:spacing w:val="-2"/>
              </w:rPr>
              <w:t>mają</w:t>
            </w:r>
            <w:r w:rsidR="00C71F4D">
              <w:rPr>
                <w:rFonts w:ascii="Times New Roman" w:hAnsi="Times New Roman"/>
                <w:color w:val="000000"/>
                <w:spacing w:val="-2"/>
              </w:rPr>
              <w:t xml:space="preserve"> również</w:t>
            </w:r>
            <w:r w:rsidR="002E1C3F" w:rsidRPr="002E1C3F">
              <w:rPr>
                <w:rFonts w:ascii="Times New Roman" w:hAnsi="Times New Roman"/>
                <w:color w:val="000000"/>
                <w:spacing w:val="-2"/>
              </w:rPr>
              <w:t xml:space="preserve"> prześwity pod mostami</w:t>
            </w:r>
            <w:r w:rsidR="0039711E">
              <w:rPr>
                <w:rFonts w:ascii="Times New Roman" w:hAnsi="Times New Roman"/>
                <w:color w:val="000000"/>
                <w:spacing w:val="-2"/>
              </w:rPr>
              <w:t xml:space="preserve"> </w:t>
            </w:r>
            <w:r w:rsidR="00526FBC">
              <w:rPr>
                <w:rFonts w:ascii="Times New Roman" w:hAnsi="Times New Roman"/>
                <w:color w:val="000000"/>
                <w:spacing w:val="-2"/>
              </w:rPr>
              <w:t>i inną infrastrukturą krzyżującą się z drogą wodną oraz</w:t>
            </w:r>
            <w:r w:rsidR="002E1C3F" w:rsidRPr="002E1C3F">
              <w:rPr>
                <w:rFonts w:ascii="Times New Roman" w:hAnsi="Times New Roman"/>
                <w:color w:val="000000"/>
                <w:spacing w:val="-2"/>
              </w:rPr>
              <w:t xml:space="preserve"> wymiary </w:t>
            </w:r>
            <w:r w:rsidR="00526FBC">
              <w:rPr>
                <w:rFonts w:ascii="Times New Roman" w:hAnsi="Times New Roman"/>
                <w:color w:val="000000"/>
                <w:spacing w:val="-2"/>
              </w:rPr>
              <w:t xml:space="preserve">i dostępność </w:t>
            </w:r>
            <w:r w:rsidR="002E1C3F" w:rsidRPr="002E1C3F">
              <w:rPr>
                <w:rFonts w:ascii="Times New Roman" w:hAnsi="Times New Roman"/>
                <w:color w:val="000000"/>
                <w:spacing w:val="-2"/>
              </w:rPr>
              <w:t xml:space="preserve">śluz. </w:t>
            </w:r>
          </w:p>
          <w:p w14:paraId="422B9ABE" w14:textId="7E7812D6" w:rsidR="00F555CB" w:rsidRPr="002E1C3F" w:rsidRDefault="00F555CB" w:rsidP="00FC2451">
            <w:pPr>
              <w:spacing w:after="120" w:line="240" w:lineRule="auto"/>
              <w:jc w:val="both"/>
              <w:rPr>
                <w:rFonts w:ascii="Times New Roman" w:hAnsi="Times New Roman"/>
                <w:color w:val="000000"/>
                <w:spacing w:val="-2"/>
              </w:rPr>
            </w:pPr>
            <w:r w:rsidRPr="002E1C3F">
              <w:rPr>
                <w:rFonts w:ascii="Times New Roman" w:hAnsi="Times New Roman"/>
                <w:color w:val="000000"/>
                <w:spacing w:val="-2"/>
              </w:rPr>
              <w:t xml:space="preserve">Oprócz </w:t>
            </w:r>
            <w:r w:rsidRPr="0039711E">
              <w:rPr>
                <w:rFonts w:ascii="Times New Roman" w:hAnsi="Times New Roman"/>
                <w:color w:val="000000"/>
                <w:spacing w:val="-2"/>
              </w:rPr>
              <w:t>Dobrych Warunków Nawigacyjnych</w:t>
            </w:r>
            <w:r w:rsidRPr="002E1C3F">
              <w:rPr>
                <w:rFonts w:ascii="Times New Roman" w:hAnsi="Times New Roman"/>
                <w:color w:val="000000"/>
                <w:spacing w:val="-2"/>
              </w:rPr>
              <w:t xml:space="preserve"> na możliwości rozwoju transportu wodnego śródlądowego mają wpływ także inne czynniki związane ze zrównoważoną gospodarką wodną, zagospodarowaniem rzek oraz czynniki zewnętrzne</w:t>
            </w:r>
            <w:r w:rsidR="00727BE7">
              <w:rPr>
                <w:rFonts w:ascii="Times New Roman" w:hAnsi="Times New Roman"/>
                <w:color w:val="000000"/>
                <w:spacing w:val="-2"/>
              </w:rPr>
              <w:t>,</w:t>
            </w:r>
            <w:r w:rsidRPr="002E1C3F">
              <w:rPr>
                <w:rFonts w:ascii="Times New Roman" w:hAnsi="Times New Roman"/>
                <w:color w:val="000000"/>
                <w:spacing w:val="-2"/>
              </w:rPr>
              <w:t xml:space="preserve"> takie jak:</w:t>
            </w:r>
          </w:p>
          <w:p w14:paraId="1DDC344E" w14:textId="52A90FA1" w:rsidR="00F555CB" w:rsidRPr="002E1C3F" w:rsidRDefault="00F555CB" w:rsidP="0039711E">
            <w:pPr>
              <w:pStyle w:val="Akapitzlist"/>
              <w:numPr>
                <w:ilvl w:val="0"/>
                <w:numId w:val="36"/>
              </w:numPr>
              <w:spacing w:after="120" w:line="240" w:lineRule="auto"/>
              <w:jc w:val="both"/>
              <w:rPr>
                <w:rFonts w:ascii="Times New Roman" w:hAnsi="Times New Roman"/>
                <w:color w:val="000000"/>
                <w:spacing w:val="-2"/>
              </w:rPr>
            </w:pPr>
            <w:r w:rsidRPr="002E1C3F">
              <w:rPr>
                <w:rFonts w:ascii="Times New Roman" w:hAnsi="Times New Roman"/>
                <w:color w:val="000000"/>
                <w:spacing w:val="-2"/>
              </w:rPr>
              <w:t xml:space="preserve">polityka transportowa (sfera regulacji i strategii </w:t>
            </w:r>
            <w:r w:rsidR="008D25B2">
              <w:rPr>
                <w:rFonts w:ascii="Times New Roman" w:hAnsi="Times New Roman"/>
                <w:color w:val="000000"/>
                <w:spacing w:val="-2"/>
              </w:rPr>
              <w:t>wpływających na warunki rynkowe</w:t>
            </w:r>
            <w:r w:rsidRPr="002E1C3F">
              <w:rPr>
                <w:rFonts w:ascii="Times New Roman" w:hAnsi="Times New Roman"/>
                <w:color w:val="000000"/>
                <w:spacing w:val="-2"/>
              </w:rPr>
              <w:t xml:space="preserve"> na poziomie UE, kra</w:t>
            </w:r>
            <w:r w:rsidR="00727BE7">
              <w:rPr>
                <w:rFonts w:ascii="Times New Roman" w:hAnsi="Times New Roman"/>
                <w:color w:val="000000"/>
                <w:spacing w:val="-2"/>
              </w:rPr>
              <w:t>jowym, regionalnym i lokalnym),</w:t>
            </w:r>
          </w:p>
          <w:p w14:paraId="23CF608A" w14:textId="66745909" w:rsidR="00F555CB" w:rsidRPr="002E1C3F" w:rsidRDefault="00F555CB" w:rsidP="00727BE7">
            <w:pPr>
              <w:pStyle w:val="Akapitzlist"/>
              <w:numPr>
                <w:ilvl w:val="0"/>
                <w:numId w:val="36"/>
              </w:numPr>
              <w:spacing w:after="120" w:line="240" w:lineRule="auto"/>
              <w:jc w:val="both"/>
              <w:rPr>
                <w:rFonts w:ascii="Times New Roman" w:hAnsi="Times New Roman"/>
                <w:color w:val="000000"/>
                <w:spacing w:val="-2"/>
              </w:rPr>
            </w:pPr>
            <w:r w:rsidRPr="002E1C3F">
              <w:rPr>
                <w:rFonts w:ascii="Times New Roman" w:hAnsi="Times New Roman"/>
                <w:color w:val="000000"/>
                <w:spacing w:val="-2"/>
              </w:rPr>
              <w:t>struktura gospodarki i ogólna sytuacja gospodarcza w korytarzach transportowych, inwestycje infrastrukturalne oraz</w:t>
            </w:r>
            <w:r w:rsidR="0039711E">
              <w:rPr>
                <w:rFonts w:ascii="Times New Roman" w:hAnsi="Times New Roman"/>
                <w:color w:val="000000"/>
                <w:spacing w:val="-2"/>
              </w:rPr>
              <w:t xml:space="preserve"> </w:t>
            </w:r>
            <w:r w:rsidRPr="002E1C3F">
              <w:rPr>
                <w:rFonts w:ascii="Times New Roman" w:hAnsi="Times New Roman"/>
                <w:color w:val="000000"/>
                <w:spacing w:val="-2"/>
              </w:rPr>
              <w:t>inne czynniki w</w:t>
            </w:r>
            <w:r w:rsidR="00727BE7">
              <w:rPr>
                <w:rFonts w:ascii="Times New Roman" w:hAnsi="Times New Roman"/>
                <w:color w:val="000000"/>
                <w:spacing w:val="-2"/>
              </w:rPr>
              <w:t>pływające na popyt na transport,</w:t>
            </w:r>
          </w:p>
          <w:p w14:paraId="65B75D8E" w14:textId="0CF0B128" w:rsidR="00F555CB" w:rsidRPr="002E1C3F" w:rsidRDefault="00F555CB" w:rsidP="00727BE7">
            <w:pPr>
              <w:pStyle w:val="Akapitzlist"/>
              <w:numPr>
                <w:ilvl w:val="0"/>
                <w:numId w:val="36"/>
              </w:numPr>
              <w:spacing w:after="120" w:line="240" w:lineRule="auto"/>
              <w:jc w:val="both"/>
              <w:rPr>
                <w:rFonts w:ascii="Times New Roman" w:hAnsi="Times New Roman"/>
                <w:color w:val="000000"/>
                <w:spacing w:val="-2"/>
              </w:rPr>
            </w:pPr>
            <w:r w:rsidRPr="002E1C3F">
              <w:rPr>
                <w:rFonts w:ascii="Times New Roman" w:hAnsi="Times New Roman"/>
                <w:color w:val="000000"/>
                <w:spacing w:val="-2"/>
              </w:rPr>
              <w:t xml:space="preserve">sytuacja na </w:t>
            </w:r>
            <w:r w:rsidR="00727BE7">
              <w:rPr>
                <w:rFonts w:ascii="Times New Roman" w:hAnsi="Times New Roman"/>
                <w:color w:val="000000"/>
                <w:spacing w:val="-2"/>
              </w:rPr>
              <w:t>rynku pracy,</w:t>
            </w:r>
          </w:p>
          <w:p w14:paraId="468CFF1B" w14:textId="28DB41CD" w:rsidR="00F555CB" w:rsidRPr="002E1C3F" w:rsidRDefault="00F555CB" w:rsidP="00727BE7">
            <w:pPr>
              <w:pStyle w:val="Akapitzlist"/>
              <w:numPr>
                <w:ilvl w:val="0"/>
                <w:numId w:val="36"/>
              </w:numPr>
              <w:spacing w:after="120" w:line="240" w:lineRule="auto"/>
              <w:jc w:val="both"/>
              <w:rPr>
                <w:rFonts w:ascii="Times New Roman" w:hAnsi="Times New Roman"/>
                <w:color w:val="000000"/>
                <w:spacing w:val="-2"/>
              </w:rPr>
            </w:pPr>
            <w:r w:rsidRPr="002E1C3F">
              <w:rPr>
                <w:rFonts w:ascii="Times New Roman" w:hAnsi="Times New Roman"/>
                <w:color w:val="000000"/>
                <w:spacing w:val="-2"/>
              </w:rPr>
              <w:t xml:space="preserve">sytuacja ekonomiczna przedsiębiorców (armatorów i operatorów punktów </w:t>
            </w:r>
            <w:r w:rsidR="008D25B2">
              <w:rPr>
                <w:rFonts w:ascii="Times New Roman" w:hAnsi="Times New Roman"/>
                <w:color w:val="000000"/>
                <w:spacing w:val="-2"/>
              </w:rPr>
              <w:t>przeładunkowych) działających w </w:t>
            </w:r>
            <w:r w:rsidRPr="002E1C3F">
              <w:rPr>
                <w:rFonts w:ascii="Times New Roman" w:hAnsi="Times New Roman"/>
                <w:color w:val="000000"/>
                <w:spacing w:val="-2"/>
              </w:rPr>
              <w:t>żegludze śródlądowej, od których zależy podaż t</w:t>
            </w:r>
            <w:r w:rsidR="00727BE7">
              <w:rPr>
                <w:rFonts w:ascii="Times New Roman" w:hAnsi="Times New Roman"/>
                <w:color w:val="000000"/>
                <w:spacing w:val="-2"/>
              </w:rPr>
              <w:t>ransportu,</w:t>
            </w:r>
          </w:p>
          <w:p w14:paraId="2A238594" w14:textId="77777777" w:rsidR="00F555CB" w:rsidRPr="002E1C3F" w:rsidRDefault="00F555CB" w:rsidP="00727BE7">
            <w:pPr>
              <w:pStyle w:val="Akapitzlist"/>
              <w:numPr>
                <w:ilvl w:val="0"/>
                <w:numId w:val="36"/>
              </w:numPr>
              <w:spacing w:after="120" w:line="240" w:lineRule="auto"/>
              <w:jc w:val="both"/>
              <w:rPr>
                <w:rFonts w:ascii="Times New Roman" w:hAnsi="Times New Roman"/>
                <w:color w:val="000000"/>
                <w:spacing w:val="-2"/>
              </w:rPr>
            </w:pPr>
            <w:r w:rsidRPr="002E1C3F">
              <w:rPr>
                <w:rFonts w:ascii="Times New Roman" w:hAnsi="Times New Roman"/>
                <w:color w:val="000000"/>
                <w:spacing w:val="-2"/>
              </w:rPr>
              <w:t>dostępność zasobów wodnych, zmiany klimatyczne i czynniki związane z oddziaływaniem na środowisko.</w:t>
            </w:r>
          </w:p>
          <w:p w14:paraId="2FC83F48" w14:textId="432067A8" w:rsidR="00F555CB" w:rsidRDefault="00F555CB" w:rsidP="00FC2451">
            <w:pPr>
              <w:spacing w:after="120" w:line="240" w:lineRule="auto"/>
              <w:jc w:val="both"/>
              <w:rPr>
                <w:rFonts w:ascii="Times New Roman" w:hAnsi="Times New Roman"/>
                <w:color w:val="000000"/>
                <w:spacing w:val="-2"/>
              </w:rPr>
            </w:pPr>
            <w:r w:rsidRPr="008B26E1">
              <w:rPr>
                <w:rFonts w:ascii="Times New Roman" w:hAnsi="Times New Roman"/>
                <w:color w:val="000000"/>
                <w:spacing w:val="-2"/>
              </w:rPr>
              <w:t>Sektor transportu wodnego śródlądowe</w:t>
            </w:r>
            <w:r>
              <w:rPr>
                <w:rFonts w:ascii="Times New Roman" w:hAnsi="Times New Roman"/>
                <w:color w:val="000000"/>
                <w:spacing w:val="-2"/>
              </w:rPr>
              <w:t>go</w:t>
            </w:r>
            <w:r w:rsidRPr="008B26E1">
              <w:rPr>
                <w:rFonts w:ascii="Times New Roman" w:hAnsi="Times New Roman"/>
                <w:color w:val="000000"/>
                <w:spacing w:val="-2"/>
              </w:rPr>
              <w:t xml:space="preserve"> nie posiada dedykowanego dokumentu planistycznego – programu wielole</w:t>
            </w:r>
            <w:r w:rsidR="008D25B2">
              <w:rPr>
                <w:rFonts w:ascii="Times New Roman" w:hAnsi="Times New Roman"/>
                <w:color w:val="000000"/>
                <w:spacing w:val="-2"/>
              </w:rPr>
              <w:t>tniego czy też programu rozwoju</w:t>
            </w:r>
            <w:r w:rsidRPr="008B26E1">
              <w:rPr>
                <w:rFonts w:ascii="Times New Roman" w:hAnsi="Times New Roman"/>
                <w:color w:val="000000"/>
                <w:spacing w:val="-2"/>
              </w:rPr>
              <w:t xml:space="preserve"> na wzór dokumentów planistycznych dla transportu kolejowego i drogowego</w:t>
            </w:r>
            <w:r>
              <w:rPr>
                <w:rFonts w:ascii="Times New Roman" w:hAnsi="Times New Roman"/>
                <w:color w:val="000000"/>
                <w:spacing w:val="-2"/>
              </w:rPr>
              <w:t xml:space="preserve">. </w:t>
            </w:r>
            <w:r w:rsidR="00295604">
              <w:rPr>
                <w:rFonts w:ascii="Times New Roman" w:hAnsi="Times New Roman"/>
                <w:color w:val="000000"/>
                <w:spacing w:val="-2"/>
              </w:rPr>
              <w:t xml:space="preserve">Brak dokumentu wyznaczające cele rozwoju sektora żeglugi śródlądowej wraz ze strategią i </w:t>
            </w:r>
            <w:r w:rsidR="00DE309B">
              <w:rPr>
                <w:rFonts w:ascii="Times New Roman" w:hAnsi="Times New Roman"/>
                <w:color w:val="000000"/>
                <w:spacing w:val="-2"/>
              </w:rPr>
              <w:t>uwarunkowania ich</w:t>
            </w:r>
            <w:r w:rsidR="00295604">
              <w:rPr>
                <w:rFonts w:ascii="Times New Roman" w:hAnsi="Times New Roman"/>
                <w:color w:val="000000"/>
                <w:spacing w:val="-2"/>
              </w:rPr>
              <w:t xml:space="preserve"> realizacji</w:t>
            </w:r>
            <w:r w:rsidR="00D67770">
              <w:rPr>
                <w:rFonts w:ascii="Times New Roman" w:hAnsi="Times New Roman"/>
                <w:color w:val="000000"/>
                <w:spacing w:val="-2"/>
              </w:rPr>
              <w:t xml:space="preserve"> skutkował brakiem spójnych i skoordynowanych działań na poziomie krajowym oraz regionalnym. </w:t>
            </w:r>
            <w:r w:rsidR="00727BE7">
              <w:rPr>
                <w:rFonts w:ascii="Times New Roman" w:hAnsi="Times New Roman"/>
                <w:color w:val="000000"/>
                <w:spacing w:val="-2"/>
              </w:rPr>
              <w:t>Rekomendowanym działaniem jest </w:t>
            </w:r>
            <w:r>
              <w:rPr>
                <w:rFonts w:ascii="Times New Roman" w:hAnsi="Times New Roman"/>
                <w:color w:val="000000"/>
                <w:spacing w:val="-2"/>
              </w:rPr>
              <w:t>opracowanie programu</w:t>
            </w:r>
            <w:r w:rsidR="00D67770">
              <w:rPr>
                <w:rFonts w:ascii="Times New Roman" w:hAnsi="Times New Roman"/>
                <w:color w:val="000000"/>
                <w:spacing w:val="-2"/>
              </w:rPr>
              <w:t xml:space="preserve"> rozwoju, który zgodnie z art. 15 ustawy</w:t>
            </w:r>
            <w:r w:rsidR="00A72735">
              <w:rPr>
                <w:rFonts w:ascii="Times New Roman" w:hAnsi="Times New Roman"/>
                <w:color w:val="000000"/>
                <w:spacing w:val="-2"/>
              </w:rPr>
              <w:t xml:space="preserve"> z dnia 6 grudnia 2006 r.</w:t>
            </w:r>
            <w:r w:rsidR="00D67770">
              <w:rPr>
                <w:rFonts w:ascii="Times New Roman" w:hAnsi="Times New Roman"/>
                <w:color w:val="000000"/>
                <w:spacing w:val="-2"/>
              </w:rPr>
              <w:t xml:space="preserve"> </w:t>
            </w:r>
            <w:r w:rsidR="00D67770" w:rsidRPr="00727BE7">
              <w:rPr>
                <w:rFonts w:ascii="Times New Roman" w:hAnsi="Times New Roman"/>
                <w:i/>
                <w:color w:val="000000"/>
                <w:spacing w:val="-2"/>
              </w:rPr>
              <w:t>o zasadach prowadzenia polityki rozwoju</w:t>
            </w:r>
            <w:r w:rsidR="00D67770">
              <w:rPr>
                <w:rFonts w:ascii="Times New Roman" w:hAnsi="Times New Roman"/>
                <w:color w:val="000000"/>
                <w:spacing w:val="-2"/>
              </w:rPr>
              <w:t xml:space="preserve"> </w:t>
            </w:r>
            <w:r w:rsidR="00727BE7" w:rsidRPr="003C5332">
              <w:rPr>
                <w:rFonts w:ascii="Times New Roman" w:hAnsi="Times New Roman"/>
                <w:color w:val="000000"/>
                <w:spacing w:val="-2"/>
              </w:rPr>
              <w:t>(Dz.</w:t>
            </w:r>
            <w:r w:rsidR="00A72735">
              <w:rPr>
                <w:rFonts w:ascii="Times New Roman" w:hAnsi="Times New Roman"/>
                <w:color w:val="000000"/>
                <w:spacing w:val="-2"/>
              </w:rPr>
              <w:t xml:space="preserve"> </w:t>
            </w:r>
            <w:r w:rsidR="00727BE7" w:rsidRPr="003C5332">
              <w:rPr>
                <w:rFonts w:ascii="Times New Roman" w:hAnsi="Times New Roman"/>
                <w:color w:val="000000"/>
                <w:spacing w:val="-2"/>
              </w:rPr>
              <w:t xml:space="preserve">U. z </w:t>
            </w:r>
            <w:r w:rsidR="00A72735" w:rsidRPr="003C5332">
              <w:rPr>
                <w:rFonts w:ascii="Times New Roman" w:hAnsi="Times New Roman"/>
                <w:color w:val="000000"/>
                <w:spacing w:val="-2"/>
              </w:rPr>
              <w:t>20</w:t>
            </w:r>
            <w:r w:rsidR="00A72735">
              <w:rPr>
                <w:rFonts w:ascii="Times New Roman" w:hAnsi="Times New Roman"/>
                <w:color w:val="000000"/>
                <w:spacing w:val="-2"/>
              </w:rPr>
              <w:t>23</w:t>
            </w:r>
            <w:r w:rsidR="00A72735" w:rsidRPr="003C5332">
              <w:rPr>
                <w:rFonts w:ascii="Times New Roman" w:hAnsi="Times New Roman"/>
                <w:color w:val="000000"/>
                <w:spacing w:val="-2"/>
              </w:rPr>
              <w:t xml:space="preserve"> </w:t>
            </w:r>
            <w:r w:rsidR="00727BE7" w:rsidRPr="003C5332">
              <w:rPr>
                <w:rFonts w:ascii="Times New Roman" w:hAnsi="Times New Roman"/>
                <w:color w:val="000000"/>
                <w:spacing w:val="-2"/>
              </w:rPr>
              <w:t xml:space="preserve">r.  poz. </w:t>
            </w:r>
            <w:r w:rsidR="00A72735">
              <w:rPr>
                <w:rFonts w:ascii="Times New Roman" w:hAnsi="Times New Roman"/>
                <w:color w:val="000000"/>
                <w:spacing w:val="-2"/>
              </w:rPr>
              <w:t xml:space="preserve">225, z </w:t>
            </w:r>
            <w:proofErr w:type="spellStart"/>
            <w:r w:rsidR="00A72735">
              <w:rPr>
                <w:rFonts w:ascii="Times New Roman" w:hAnsi="Times New Roman"/>
                <w:color w:val="000000"/>
                <w:spacing w:val="-2"/>
              </w:rPr>
              <w:t>późn</w:t>
            </w:r>
            <w:proofErr w:type="spellEnd"/>
            <w:r w:rsidR="00A72735">
              <w:rPr>
                <w:rFonts w:ascii="Times New Roman" w:hAnsi="Times New Roman"/>
                <w:color w:val="000000"/>
                <w:spacing w:val="-2"/>
              </w:rPr>
              <w:t>. zm.</w:t>
            </w:r>
            <w:r w:rsidR="0064708A">
              <w:rPr>
                <w:rFonts w:ascii="Times New Roman" w:hAnsi="Times New Roman"/>
                <w:color w:val="000000"/>
                <w:spacing w:val="-2"/>
              </w:rPr>
              <w:t>)</w:t>
            </w:r>
            <w:r w:rsidR="00A72735">
              <w:rPr>
                <w:rFonts w:ascii="Times New Roman" w:hAnsi="Times New Roman"/>
                <w:color w:val="000000"/>
                <w:spacing w:val="-2"/>
              </w:rPr>
              <w:t xml:space="preserve"> </w:t>
            </w:r>
            <w:r w:rsidR="00727BE7">
              <w:rPr>
                <w:rFonts w:ascii="Times New Roman" w:hAnsi="Times New Roman"/>
                <w:color w:val="000000"/>
                <w:spacing w:val="-2"/>
              </w:rPr>
              <w:t xml:space="preserve">będzie </w:t>
            </w:r>
            <w:r w:rsidR="00D67770">
              <w:rPr>
                <w:rFonts w:ascii="Times New Roman" w:hAnsi="Times New Roman"/>
                <w:color w:val="000000"/>
                <w:spacing w:val="-2"/>
              </w:rPr>
              <w:t>dokumentem</w:t>
            </w:r>
            <w:r>
              <w:rPr>
                <w:rFonts w:ascii="Times New Roman" w:hAnsi="Times New Roman"/>
                <w:color w:val="000000"/>
                <w:spacing w:val="-2"/>
              </w:rPr>
              <w:t xml:space="preserve"> o charakterze operacyjno-wdrożeniowym,</w:t>
            </w:r>
            <w:r w:rsidR="00D67770">
              <w:rPr>
                <w:rFonts w:ascii="Times New Roman" w:hAnsi="Times New Roman"/>
                <w:color w:val="000000"/>
                <w:spacing w:val="-2"/>
              </w:rPr>
              <w:t xml:space="preserve"> </w:t>
            </w:r>
            <w:r w:rsidR="00727BE7">
              <w:rPr>
                <w:rFonts w:ascii="Times New Roman" w:hAnsi="Times New Roman"/>
                <w:color w:val="000000"/>
                <w:spacing w:val="-2"/>
              </w:rPr>
              <w:t>ustanowionym</w:t>
            </w:r>
            <w:r w:rsidR="00D67770" w:rsidRPr="00D67770">
              <w:rPr>
                <w:rFonts w:ascii="Times New Roman" w:hAnsi="Times New Roman"/>
                <w:color w:val="000000"/>
                <w:spacing w:val="-2"/>
              </w:rPr>
              <w:t xml:space="preserve"> w celu realizacji strategii rozwoju</w:t>
            </w:r>
            <w:r w:rsidR="00D67770">
              <w:rPr>
                <w:rFonts w:ascii="Times New Roman" w:hAnsi="Times New Roman"/>
                <w:color w:val="000000"/>
                <w:spacing w:val="-2"/>
              </w:rPr>
              <w:t>. Dokument planistyczny dla sektora żeglugi śródlądowej powinien określać niezbędne</w:t>
            </w:r>
            <w:r w:rsidR="0039711E">
              <w:rPr>
                <w:rFonts w:ascii="Times New Roman" w:hAnsi="Times New Roman"/>
                <w:color w:val="000000"/>
                <w:spacing w:val="-2"/>
              </w:rPr>
              <w:t xml:space="preserve"> </w:t>
            </w:r>
            <w:r>
              <w:rPr>
                <w:rFonts w:ascii="Times New Roman" w:hAnsi="Times New Roman"/>
                <w:color w:val="000000"/>
                <w:spacing w:val="-2"/>
              </w:rPr>
              <w:t>inwestycj</w:t>
            </w:r>
            <w:r w:rsidR="00D67770">
              <w:rPr>
                <w:rFonts w:ascii="Times New Roman" w:hAnsi="Times New Roman"/>
                <w:color w:val="000000"/>
                <w:spacing w:val="-2"/>
              </w:rPr>
              <w:t>e</w:t>
            </w:r>
            <w:r>
              <w:rPr>
                <w:rFonts w:ascii="Times New Roman" w:hAnsi="Times New Roman"/>
                <w:color w:val="000000"/>
                <w:spacing w:val="-2"/>
              </w:rPr>
              <w:t xml:space="preserve"> oraz działa</w:t>
            </w:r>
            <w:r w:rsidR="00D67770">
              <w:rPr>
                <w:rFonts w:ascii="Times New Roman" w:hAnsi="Times New Roman"/>
                <w:color w:val="000000"/>
                <w:spacing w:val="-2"/>
              </w:rPr>
              <w:t>nia</w:t>
            </w:r>
            <w:r>
              <w:rPr>
                <w:rFonts w:ascii="Times New Roman" w:hAnsi="Times New Roman"/>
                <w:color w:val="000000"/>
                <w:spacing w:val="-2"/>
              </w:rPr>
              <w:t xml:space="preserve"> o charakterze programowym i regulacyjnym wspierającym rozwój rynku żeglugi śródlądowej. </w:t>
            </w:r>
            <w:r w:rsidR="00D67770">
              <w:rPr>
                <w:rFonts w:ascii="Times New Roman" w:hAnsi="Times New Roman"/>
                <w:color w:val="000000"/>
                <w:spacing w:val="-2"/>
              </w:rPr>
              <w:t xml:space="preserve"> </w:t>
            </w:r>
          </w:p>
          <w:p w14:paraId="2C630478" w14:textId="5CBE97BA" w:rsidR="00F555CB" w:rsidRDefault="00F555CB" w:rsidP="00FC2451">
            <w:pPr>
              <w:spacing w:after="120" w:line="240" w:lineRule="auto"/>
              <w:jc w:val="both"/>
              <w:rPr>
                <w:rFonts w:ascii="Times New Roman" w:hAnsi="Times New Roman"/>
                <w:color w:val="000000"/>
                <w:spacing w:val="-2"/>
              </w:rPr>
            </w:pPr>
            <w:r>
              <w:rPr>
                <w:rFonts w:ascii="Times New Roman" w:hAnsi="Times New Roman"/>
                <w:color w:val="000000"/>
                <w:spacing w:val="-2"/>
              </w:rPr>
              <w:t>Planowanym narzędziem interwencji jest więc opracow</w:t>
            </w:r>
            <w:r w:rsidR="008D25B2">
              <w:rPr>
                <w:rFonts w:ascii="Times New Roman" w:hAnsi="Times New Roman"/>
                <w:color w:val="000000"/>
                <w:spacing w:val="-2"/>
              </w:rPr>
              <w:t>anie programu rozwoju</w:t>
            </w:r>
            <w:r w:rsidR="003C5332" w:rsidRPr="003C5332">
              <w:rPr>
                <w:rFonts w:ascii="Times New Roman" w:hAnsi="Times New Roman"/>
                <w:color w:val="000000"/>
                <w:spacing w:val="-2"/>
              </w:rPr>
              <w:t xml:space="preserve">, o którym mowa w przepisach ustawy z dnia 6 grudnia 2006 r. </w:t>
            </w:r>
            <w:r w:rsidR="003C5332" w:rsidRPr="00727BE7">
              <w:rPr>
                <w:rFonts w:ascii="Times New Roman" w:hAnsi="Times New Roman"/>
                <w:i/>
                <w:color w:val="000000"/>
                <w:spacing w:val="-2"/>
              </w:rPr>
              <w:t>o zasadach prowadzenia polityki rozwoju</w:t>
            </w:r>
            <w:r w:rsidR="003C5332" w:rsidRPr="003C5332">
              <w:rPr>
                <w:rFonts w:ascii="Times New Roman" w:hAnsi="Times New Roman"/>
                <w:color w:val="000000"/>
                <w:spacing w:val="-2"/>
              </w:rPr>
              <w:t xml:space="preserve"> </w:t>
            </w:r>
            <w:r w:rsidR="008D25B2">
              <w:rPr>
                <w:rFonts w:ascii="Times New Roman" w:hAnsi="Times New Roman"/>
                <w:color w:val="000000"/>
                <w:spacing w:val="-2"/>
              </w:rPr>
              <w:t>stanowiącego</w:t>
            </w:r>
            <w:r>
              <w:rPr>
                <w:rFonts w:ascii="Times New Roman" w:hAnsi="Times New Roman"/>
                <w:color w:val="000000"/>
                <w:spacing w:val="-2"/>
              </w:rPr>
              <w:t xml:space="preserve"> plan transpo</w:t>
            </w:r>
            <w:r w:rsidR="00727BE7">
              <w:rPr>
                <w:rFonts w:ascii="Times New Roman" w:hAnsi="Times New Roman"/>
                <w:color w:val="000000"/>
                <w:spacing w:val="-2"/>
              </w:rPr>
              <w:t>rtowy dla żeglugi śródlądowej w </w:t>
            </w:r>
            <w:r>
              <w:rPr>
                <w:rFonts w:ascii="Times New Roman" w:hAnsi="Times New Roman"/>
                <w:color w:val="000000"/>
                <w:spacing w:val="-2"/>
              </w:rPr>
              <w:t xml:space="preserve">perspektywie do 2030 r. pn. </w:t>
            </w:r>
            <w:r w:rsidRPr="008D25B2">
              <w:rPr>
                <w:rFonts w:ascii="Times New Roman" w:hAnsi="Times New Roman"/>
                <w:i/>
                <w:color w:val="000000"/>
                <w:spacing w:val="-2"/>
              </w:rPr>
              <w:t xml:space="preserve">Krajowy Program Żeglugowy do </w:t>
            </w:r>
            <w:r w:rsidR="00C71F4D">
              <w:rPr>
                <w:rFonts w:ascii="Times New Roman" w:hAnsi="Times New Roman"/>
                <w:i/>
                <w:color w:val="000000"/>
                <w:spacing w:val="-2"/>
              </w:rPr>
              <w:t xml:space="preserve">roku </w:t>
            </w:r>
            <w:r w:rsidRPr="008D25B2">
              <w:rPr>
                <w:rFonts w:ascii="Times New Roman" w:hAnsi="Times New Roman"/>
                <w:i/>
                <w:color w:val="000000"/>
                <w:spacing w:val="-2"/>
              </w:rPr>
              <w:t>2030</w:t>
            </w:r>
            <w:r w:rsidR="00C71F4D">
              <w:rPr>
                <w:rFonts w:ascii="Times New Roman" w:hAnsi="Times New Roman"/>
                <w:i/>
                <w:color w:val="000000"/>
                <w:spacing w:val="-2"/>
              </w:rPr>
              <w:t xml:space="preserve"> </w:t>
            </w:r>
            <w:r>
              <w:rPr>
                <w:rFonts w:ascii="Times New Roman" w:hAnsi="Times New Roman"/>
                <w:color w:val="000000"/>
                <w:spacing w:val="-2"/>
              </w:rPr>
              <w:t>(</w:t>
            </w:r>
            <w:r w:rsidR="003A23C5">
              <w:rPr>
                <w:rFonts w:ascii="Times New Roman" w:hAnsi="Times New Roman"/>
                <w:color w:val="000000"/>
                <w:spacing w:val="-2"/>
              </w:rPr>
              <w:t xml:space="preserve">dalej: </w:t>
            </w:r>
            <w:r>
              <w:rPr>
                <w:rFonts w:ascii="Times New Roman" w:hAnsi="Times New Roman"/>
                <w:color w:val="000000"/>
                <w:spacing w:val="-2"/>
              </w:rPr>
              <w:t>KPŻ2030).</w:t>
            </w:r>
          </w:p>
          <w:p w14:paraId="2DDBA6F0" w14:textId="31BF52F1" w:rsidR="000143AC" w:rsidRDefault="002E1C3F" w:rsidP="008D25B2">
            <w:pPr>
              <w:spacing w:after="120" w:line="240" w:lineRule="auto"/>
              <w:jc w:val="both"/>
              <w:rPr>
                <w:rFonts w:ascii="Times New Roman" w:hAnsi="Times New Roman"/>
                <w:color w:val="000000"/>
                <w:spacing w:val="-2"/>
              </w:rPr>
            </w:pPr>
            <w:r w:rsidRPr="002E1C3F">
              <w:rPr>
                <w:rFonts w:ascii="Times New Roman" w:hAnsi="Times New Roman"/>
                <w:color w:val="000000"/>
                <w:spacing w:val="-2"/>
              </w:rPr>
              <w:t>Realizacja projektów inwe</w:t>
            </w:r>
            <w:r w:rsidR="008D25B2">
              <w:rPr>
                <w:rFonts w:ascii="Times New Roman" w:hAnsi="Times New Roman"/>
                <w:color w:val="000000"/>
                <w:spacing w:val="-2"/>
              </w:rPr>
              <w:t xml:space="preserve">stycyjnych wskazanych w KPŻ2030 </w:t>
            </w:r>
            <w:r w:rsidRPr="002E1C3F">
              <w:rPr>
                <w:rFonts w:ascii="Times New Roman" w:hAnsi="Times New Roman"/>
                <w:color w:val="000000"/>
                <w:spacing w:val="-2"/>
              </w:rPr>
              <w:t xml:space="preserve">– </w:t>
            </w:r>
            <w:r w:rsidR="008D25B2">
              <w:rPr>
                <w:rFonts w:ascii="Times New Roman" w:hAnsi="Times New Roman"/>
                <w:color w:val="000000"/>
                <w:spacing w:val="-2"/>
              </w:rPr>
              <w:t xml:space="preserve">w </w:t>
            </w:r>
            <w:r w:rsidRPr="002E1C3F">
              <w:rPr>
                <w:rFonts w:ascii="Times New Roman" w:hAnsi="Times New Roman"/>
                <w:color w:val="000000"/>
                <w:spacing w:val="-2"/>
              </w:rPr>
              <w:t xml:space="preserve">indykatywnej liście projektów do realizacji – przyczyni się do </w:t>
            </w:r>
            <w:r w:rsidR="000143AC">
              <w:rPr>
                <w:rFonts w:ascii="Times New Roman" w:hAnsi="Times New Roman"/>
                <w:color w:val="000000"/>
                <w:spacing w:val="-2"/>
              </w:rPr>
              <w:t>zwiększenia</w:t>
            </w:r>
            <w:r w:rsidR="000143AC" w:rsidRPr="000143AC">
              <w:rPr>
                <w:rFonts w:ascii="Times New Roman" w:hAnsi="Times New Roman"/>
                <w:color w:val="000000"/>
                <w:spacing w:val="-2"/>
              </w:rPr>
              <w:t xml:space="preserve"> roli transportu wodnego śródlądowego i </w:t>
            </w:r>
            <w:r w:rsidR="000143AC">
              <w:rPr>
                <w:rFonts w:ascii="Times New Roman" w:hAnsi="Times New Roman"/>
                <w:color w:val="000000"/>
                <w:spacing w:val="-2"/>
              </w:rPr>
              <w:t>umożliwi prawidłowe funkcjonowanie</w:t>
            </w:r>
            <w:r w:rsidR="000143AC" w:rsidRPr="000143AC">
              <w:rPr>
                <w:rFonts w:ascii="Times New Roman" w:hAnsi="Times New Roman"/>
                <w:color w:val="000000"/>
                <w:spacing w:val="-2"/>
              </w:rPr>
              <w:t xml:space="preserve"> żeglugi śródlądowej </w:t>
            </w:r>
            <w:r w:rsidR="000143AC">
              <w:rPr>
                <w:rFonts w:ascii="Times New Roman" w:hAnsi="Times New Roman"/>
                <w:color w:val="000000"/>
                <w:spacing w:val="-2"/>
              </w:rPr>
              <w:t>poprzez zapewnienie</w:t>
            </w:r>
            <w:r w:rsidR="000143AC" w:rsidRPr="000143AC">
              <w:rPr>
                <w:rFonts w:ascii="Times New Roman" w:hAnsi="Times New Roman"/>
                <w:color w:val="000000"/>
                <w:spacing w:val="-2"/>
              </w:rPr>
              <w:t xml:space="preserve"> Dobrych Warunków Nawigacyjnych na wykorzystywanych transp</w:t>
            </w:r>
            <w:r w:rsidR="00727BE7">
              <w:rPr>
                <w:rFonts w:ascii="Times New Roman" w:hAnsi="Times New Roman"/>
                <w:color w:val="000000"/>
                <w:spacing w:val="-2"/>
              </w:rPr>
              <w:t>ortowo odcinkach dostępowych do </w:t>
            </w:r>
            <w:r w:rsidR="000143AC" w:rsidRPr="000143AC">
              <w:rPr>
                <w:rFonts w:ascii="Times New Roman" w:hAnsi="Times New Roman"/>
                <w:color w:val="000000"/>
                <w:spacing w:val="-2"/>
              </w:rPr>
              <w:t>portów morskich</w:t>
            </w:r>
            <w:r w:rsidR="000143AC">
              <w:rPr>
                <w:rFonts w:ascii="Times New Roman" w:hAnsi="Times New Roman"/>
                <w:color w:val="000000"/>
                <w:spacing w:val="-2"/>
              </w:rPr>
              <w:t xml:space="preserve"> zlo</w:t>
            </w:r>
            <w:r w:rsidR="00BD0F74">
              <w:rPr>
                <w:rFonts w:ascii="Times New Roman" w:hAnsi="Times New Roman"/>
                <w:color w:val="000000"/>
                <w:spacing w:val="-2"/>
              </w:rPr>
              <w:t>kalizowanych przy ujściach rzek</w:t>
            </w:r>
            <w:r w:rsidR="000143AC">
              <w:rPr>
                <w:rFonts w:ascii="Times New Roman" w:hAnsi="Times New Roman"/>
                <w:color w:val="000000"/>
                <w:spacing w:val="-2"/>
              </w:rPr>
              <w:t xml:space="preserve"> Odry i Wisły</w:t>
            </w:r>
            <w:r w:rsidR="000143AC" w:rsidRPr="000143AC">
              <w:rPr>
                <w:rFonts w:ascii="Times New Roman" w:hAnsi="Times New Roman"/>
                <w:color w:val="000000"/>
                <w:spacing w:val="-2"/>
              </w:rPr>
              <w:t>.</w:t>
            </w:r>
            <w:r w:rsidR="000143AC">
              <w:rPr>
                <w:rFonts w:ascii="Times New Roman" w:hAnsi="Times New Roman"/>
                <w:color w:val="000000"/>
                <w:spacing w:val="-2"/>
              </w:rPr>
              <w:t xml:space="preserve"> W konsekwencji wzmocni integracje portów morskich z zapleczem lądowym. </w:t>
            </w:r>
          </w:p>
          <w:p w14:paraId="420797B8" w14:textId="0505BF25" w:rsidR="00BA40ED" w:rsidRPr="002E1C3F" w:rsidRDefault="00C4483F" w:rsidP="002414EF">
            <w:pPr>
              <w:spacing w:after="120"/>
              <w:jc w:val="both"/>
              <w:rPr>
                <w:rFonts w:ascii="Times New Roman" w:hAnsi="Times New Roman"/>
                <w:color w:val="000000"/>
                <w:spacing w:val="-2"/>
              </w:rPr>
            </w:pPr>
            <w:r w:rsidRPr="002414EF">
              <w:rPr>
                <w:rFonts w:ascii="Times New Roman" w:hAnsi="Times New Roman"/>
                <w:color w:val="000000"/>
                <w:spacing w:val="-2"/>
              </w:rPr>
              <w:t xml:space="preserve">Celem KPŻ2030 </w:t>
            </w:r>
            <w:r w:rsidR="008247EC" w:rsidRPr="002414EF">
              <w:rPr>
                <w:rFonts w:ascii="Times New Roman" w:hAnsi="Times New Roman"/>
                <w:color w:val="000000"/>
                <w:spacing w:val="-2"/>
              </w:rPr>
              <w:t xml:space="preserve">jest zwiększenie roli sektora żeglugi śródlądowej w wymiarze krajowym i lokalnym. </w:t>
            </w:r>
            <w:r w:rsidR="00BA40ED" w:rsidRPr="002E1C3F">
              <w:rPr>
                <w:rFonts w:ascii="Times New Roman" w:hAnsi="Times New Roman"/>
                <w:color w:val="000000"/>
                <w:spacing w:val="-2"/>
              </w:rPr>
              <w:t>Realizacja KPŻ2030 zostanie osiągnięta poprzez następujące cele szczegółowe:</w:t>
            </w:r>
          </w:p>
          <w:p w14:paraId="385439AC" w14:textId="23AF92DF" w:rsidR="00BA40ED" w:rsidRPr="002414EF" w:rsidRDefault="00BA40ED" w:rsidP="002414EF">
            <w:pPr>
              <w:pStyle w:val="Akapitzlist"/>
              <w:numPr>
                <w:ilvl w:val="0"/>
                <w:numId w:val="36"/>
              </w:numPr>
              <w:spacing w:after="120" w:line="240" w:lineRule="auto"/>
              <w:jc w:val="both"/>
              <w:rPr>
                <w:rFonts w:ascii="Times New Roman" w:hAnsi="Times New Roman"/>
                <w:color w:val="000000"/>
                <w:spacing w:val="-2"/>
              </w:rPr>
            </w:pPr>
            <w:r w:rsidRPr="002414EF">
              <w:rPr>
                <w:rFonts w:ascii="Times New Roman" w:hAnsi="Times New Roman"/>
                <w:color w:val="000000"/>
                <w:spacing w:val="-2"/>
              </w:rPr>
              <w:t>Cel szczegółowy 1 – Zapewnienie</w:t>
            </w:r>
            <w:r w:rsidR="00BD0F74">
              <w:rPr>
                <w:rFonts w:ascii="Times New Roman" w:hAnsi="Times New Roman"/>
                <w:color w:val="000000"/>
                <w:spacing w:val="-2"/>
              </w:rPr>
              <w:t xml:space="preserve"> Dobrych Warunków Nawigacyjnych,</w:t>
            </w:r>
          </w:p>
          <w:p w14:paraId="12354E6F" w14:textId="54CBB60C" w:rsidR="00BA40ED" w:rsidRPr="002414EF" w:rsidRDefault="00BA40ED" w:rsidP="002414EF">
            <w:pPr>
              <w:pStyle w:val="Akapitzlist"/>
              <w:numPr>
                <w:ilvl w:val="0"/>
                <w:numId w:val="36"/>
              </w:numPr>
              <w:spacing w:after="120" w:line="240" w:lineRule="auto"/>
              <w:jc w:val="both"/>
              <w:rPr>
                <w:rFonts w:ascii="Times New Roman" w:hAnsi="Times New Roman"/>
                <w:color w:val="000000"/>
                <w:spacing w:val="-2"/>
              </w:rPr>
            </w:pPr>
            <w:r w:rsidRPr="002414EF">
              <w:rPr>
                <w:rFonts w:ascii="Times New Roman" w:hAnsi="Times New Roman"/>
                <w:color w:val="000000"/>
                <w:spacing w:val="-2"/>
              </w:rPr>
              <w:t xml:space="preserve">Cel szczegółowy 2 – Rozwój rynku w sektorze </w:t>
            </w:r>
            <w:r w:rsidR="00BD0F74">
              <w:rPr>
                <w:rFonts w:ascii="Times New Roman" w:hAnsi="Times New Roman"/>
                <w:color w:val="000000"/>
                <w:spacing w:val="-2"/>
              </w:rPr>
              <w:t>transportu wodnego śródlądowego,</w:t>
            </w:r>
          </w:p>
          <w:p w14:paraId="220EAEB9" w14:textId="77777777" w:rsidR="00BA40ED" w:rsidRPr="002414EF" w:rsidRDefault="00BA40ED" w:rsidP="002414EF">
            <w:pPr>
              <w:pStyle w:val="Akapitzlist"/>
              <w:numPr>
                <w:ilvl w:val="0"/>
                <w:numId w:val="36"/>
              </w:numPr>
              <w:spacing w:after="120" w:line="240" w:lineRule="auto"/>
              <w:jc w:val="both"/>
              <w:rPr>
                <w:rFonts w:ascii="Times New Roman" w:hAnsi="Times New Roman"/>
                <w:color w:val="000000"/>
                <w:spacing w:val="-2"/>
              </w:rPr>
            </w:pPr>
            <w:r w:rsidRPr="002414EF">
              <w:rPr>
                <w:rFonts w:ascii="Times New Roman" w:hAnsi="Times New Roman"/>
                <w:color w:val="000000"/>
                <w:spacing w:val="-2"/>
              </w:rPr>
              <w:t xml:space="preserve">Cel szczegółowy 3 – Rozwój partnerstwa na rzecz zrównoważonego rozwoju dróg wodnych. </w:t>
            </w:r>
          </w:p>
          <w:p w14:paraId="2851C41A" w14:textId="29557EAD" w:rsidR="00BA40ED" w:rsidRPr="002414EF" w:rsidRDefault="00BA40ED" w:rsidP="007625CC">
            <w:pPr>
              <w:spacing w:after="120" w:line="240" w:lineRule="auto"/>
              <w:jc w:val="both"/>
              <w:rPr>
                <w:rFonts w:ascii="Times New Roman" w:hAnsi="Times New Roman"/>
                <w:color w:val="000000"/>
                <w:spacing w:val="-2"/>
              </w:rPr>
            </w:pPr>
            <w:r w:rsidRPr="002414EF">
              <w:rPr>
                <w:rFonts w:ascii="Times New Roman" w:hAnsi="Times New Roman"/>
                <w:color w:val="000000"/>
                <w:spacing w:val="-2"/>
              </w:rPr>
              <w:t xml:space="preserve">Zakres interwencji KPŻ2030 </w:t>
            </w:r>
            <w:r w:rsidR="00BD0F74">
              <w:rPr>
                <w:rFonts w:ascii="Times New Roman" w:hAnsi="Times New Roman"/>
                <w:color w:val="000000"/>
                <w:spacing w:val="-2"/>
              </w:rPr>
              <w:t xml:space="preserve">odnosi się </w:t>
            </w:r>
            <w:r w:rsidRPr="002414EF">
              <w:rPr>
                <w:rFonts w:ascii="Times New Roman" w:hAnsi="Times New Roman"/>
                <w:color w:val="000000"/>
                <w:spacing w:val="-2"/>
              </w:rPr>
              <w:t>do następujących odcinków śródlądowych dróg wodnych:</w:t>
            </w:r>
          </w:p>
          <w:p w14:paraId="63DCEB91" w14:textId="331F56CD" w:rsidR="00BA40ED" w:rsidRPr="008D25B2" w:rsidRDefault="00BA40ED" w:rsidP="002414EF">
            <w:pPr>
              <w:pStyle w:val="Akapitzlist"/>
              <w:numPr>
                <w:ilvl w:val="0"/>
                <w:numId w:val="32"/>
              </w:numPr>
              <w:spacing w:after="120" w:line="240" w:lineRule="auto"/>
              <w:ind w:left="769"/>
              <w:jc w:val="both"/>
              <w:rPr>
                <w:rFonts w:ascii="Times New Roman" w:hAnsi="Times New Roman"/>
                <w:color w:val="000000"/>
                <w:spacing w:val="-2"/>
              </w:rPr>
            </w:pPr>
            <w:r w:rsidRPr="008D25B2">
              <w:rPr>
                <w:rFonts w:ascii="Times New Roman" w:hAnsi="Times New Roman"/>
                <w:color w:val="000000"/>
                <w:spacing w:val="-2"/>
              </w:rPr>
              <w:t xml:space="preserve">E30 – Odrzańska Droga Wodna, odcinek od Gliwic do </w:t>
            </w:r>
            <w:r w:rsidR="00BD0F74">
              <w:rPr>
                <w:rFonts w:ascii="Times New Roman" w:hAnsi="Times New Roman"/>
                <w:color w:val="000000"/>
                <w:spacing w:val="-2"/>
              </w:rPr>
              <w:t>zespołu portów</w:t>
            </w:r>
            <w:r w:rsidRPr="008D25B2">
              <w:rPr>
                <w:rFonts w:ascii="Times New Roman" w:hAnsi="Times New Roman"/>
                <w:color w:val="000000"/>
                <w:spacing w:val="-2"/>
              </w:rPr>
              <w:t xml:space="preserve"> </w:t>
            </w:r>
            <w:r w:rsidR="00BD0F74">
              <w:rPr>
                <w:rFonts w:ascii="Times New Roman" w:hAnsi="Times New Roman"/>
                <w:color w:val="000000"/>
                <w:spacing w:val="-2"/>
              </w:rPr>
              <w:t xml:space="preserve">w </w:t>
            </w:r>
            <w:r w:rsidRPr="008D25B2">
              <w:rPr>
                <w:rFonts w:ascii="Times New Roman" w:hAnsi="Times New Roman"/>
                <w:color w:val="000000"/>
                <w:spacing w:val="-2"/>
              </w:rPr>
              <w:t>Szczecin</w:t>
            </w:r>
            <w:r w:rsidR="00BD0F74">
              <w:rPr>
                <w:rFonts w:ascii="Times New Roman" w:hAnsi="Times New Roman"/>
                <w:color w:val="000000"/>
                <w:spacing w:val="-2"/>
              </w:rPr>
              <w:t>ie i Świnoujściu,</w:t>
            </w:r>
          </w:p>
          <w:p w14:paraId="62DC8C84" w14:textId="41822315" w:rsidR="00BA40ED" w:rsidRPr="002414EF" w:rsidRDefault="00BA40ED" w:rsidP="002414EF">
            <w:pPr>
              <w:pStyle w:val="Akapitzlist"/>
              <w:numPr>
                <w:ilvl w:val="0"/>
                <w:numId w:val="32"/>
              </w:numPr>
              <w:spacing w:after="120" w:line="240" w:lineRule="auto"/>
              <w:ind w:left="769"/>
              <w:jc w:val="both"/>
              <w:rPr>
                <w:rFonts w:ascii="Times New Roman" w:hAnsi="Times New Roman"/>
                <w:color w:val="000000"/>
                <w:spacing w:val="-2"/>
              </w:rPr>
            </w:pPr>
            <w:r w:rsidRPr="008D25B2">
              <w:rPr>
                <w:rFonts w:ascii="Times New Roman" w:hAnsi="Times New Roman"/>
                <w:color w:val="000000"/>
                <w:spacing w:val="-2"/>
              </w:rPr>
              <w:t xml:space="preserve">E40 – </w:t>
            </w:r>
            <w:r>
              <w:rPr>
                <w:rFonts w:ascii="Times New Roman" w:hAnsi="Times New Roman"/>
                <w:color w:val="000000"/>
                <w:spacing w:val="-2"/>
              </w:rPr>
              <w:t>Wisła na odcinku od Torunia do Gdańska.</w:t>
            </w:r>
          </w:p>
          <w:p w14:paraId="38825CF2" w14:textId="34D55E14" w:rsidR="00BA40ED" w:rsidRDefault="000143AC" w:rsidP="002414EF">
            <w:pPr>
              <w:spacing w:after="120"/>
              <w:jc w:val="both"/>
              <w:rPr>
                <w:rFonts w:ascii="Times New Roman" w:hAnsi="Times New Roman"/>
                <w:color w:val="000000"/>
                <w:spacing w:val="-2"/>
              </w:rPr>
            </w:pPr>
            <w:r w:rsidRPr="002414EF">
              <w:rPr>
                <w:rFonts w:ascii="Times New Roman" w:hAnsi="Times New Roman"/>
                <w:color w:val="000000"/>
                <w:spacing w:val="-2"/>
              </w:rPr>
              <w:t>Strategia realizacji KPŻ2030 ukierunkowana będzie przede wszystkim</w:t>
            </w:r>
            <w:r w:rsidR="0039711E">
              <w:rPr>
                <w:rFonts w:ascii="Times New Roman" w:hAnsi="Times New Roman"/>
                <w:color w:val="000000"/>
                <w:spacing w:val="-2"/>
              </w:rPr>
              <w:t xml:space="preserve"> </w:t>
            </w:r>
            <w:r w:rsidRPr="002414EF">
              <w:rPr>
                <w:rFonts w:ascii="Times New Roman" w:hAnsi="Times New Roman"/>
                <w:color w:val="000000"/>
                <w:spacing w:val="-2"/>
              </w:rPr>
              <w:t>na działa</w:t>
            </w:r>
            <w:r w:rsidR="00BA40ED" w:rsidRPr="007625CC">
              <w:rPr>
                <w:rFonts w:ascii="Times New Roman" w:hAnsi="Times New Roman"/>
                <w:color w:val="000000"/>
                <w:spacing w:val="-2"/>
              </w:rPr>
              <w:t>nia o charakterze programowym i</w:t>
            </w:r>
            <w:r w:rsidR="00BA40ED">
              <w:rPr>
                <w:rFonts w:ascii="Times New Roman" w:hAnsi="Times New Roman"/>
                <w:color w:val="000000"/>
                <w:spacing w:val="-2"/>
              </w:rPr>
              <w:t> </w:t>
            </w:r>
            <w:r w:rsidRPr="002414EF">
              <w:rPr>
                <w:rFonts w:ascii="Times New Roman" w:hAnsi="Times New Roman"/>
                <w:color w:val="000000"/>
                <w:spacing w:val="-2"/>
              </w:rPr>
              <w:t>regulacyjnym oraz realizację projektów inwestycyjnych</w:t>
            </w:r>
            <w:r w:rsidR="003C5332">
              <w:rPr>
                <w:rFonts w:ascii="Times New Roman" w:hAnsi="Times New Roman"/>
                <w:color w:val="000000"/>
                <w:spacing w:val="-2"/>
              </w:rPr>
              <w:t xml:space="preserve"> na użytkowanych transportowo odcinkach dróg wodnych</w:t>
            </w:r>
            <w:r w:rsidRPr="002414EF">
              <w:rPr>
                <w:rFonts w:ascii="Times New Roman" w:hAnsi="Times New Roman"/>
                <w:color w:val="000000"/>
                <w:spacing w:val="-2"/>
              </w:rPr>
              <w:t>. Inwestycje wdrażane w ramach KPŻ2030 będą miały na celu poprawę warunków nawigacyjnych, w szczególnośc</w:t>
            </w:r>
            <w:r w:rsidR="00BA40ED" w:rsidRPr="007625CC">
              <w:rPr>
                <w:rFonts w:ascii="Times New Roman" w:hAnsi="Times New Roman"/>
                <w:color w:val="000000"/>
                <w:spacing w:val="-2"/>
              </w:rPr>
              <w:t>i na</w:t>
            </w:r>
            <w:r w:rsidR="00BA40ED">
              <w:rPr>
                <w:rFonts w:ascii="Times New Roman" w:hAnsi="Times New Roman"/>
                <w:color w:val="000000"/>
                <w:spacing w:val="-2"/>
              </w:rPr>
              <w:t> </w:t>
            </w:r>
            <w:r w:rsidR="003C5332" w:rsidRPr="007625CC">
              <w:rPr>
                <w:rFonts w:ascii="Times New Roman" w:hAnsi="Times New Roman"/>
                <w:color w:val="000000"/>
                <w:spacing w:val="-2"/>
              </w:rPr>
              <w:t>zapleczu portów morskich o</w:t>
            </w:r>
            <w:r w:rsidR="003C5332">
              <w:rPr>
                <w:rFonts w:ascii="Times New Roman" w:hAnsi="Times New Roman"/>
                <w:color w:val="000000"/>
                <w:spacing w:val="-2"/>
              </w:rPr>
              <w:t> </w:t>
            </w:r>
            <w:r w:rsidRPr="002414EF">
              <w:rPr>
                <w:rFonts w:ascii="Times New Roman" w:hAnsi="Times New Roman"/>
                <w:color w:val="000000"/>
                <w:spacing w:val="-2"/>
              </w:rPr>
              <w:t>podstawowym znaczeniu dla gospodarki narodowej. Natomiast zadania programowe ukierunkowane będą na adaptację niektórych aspektów rynku żeglugowego do wyzwań związanych ze zrównoważonym rozwojem sektora transportu.</w:t>
            </w:r>
            <w:r w:rsidR="003C5332">
              <w:rPr>
                <w:rFonts w:ascii="Times New Roman" w:hAnsi="Times New Roman"/>
                <w:color w:val="000000"/>
                <w:spacing w:val="-2"/>
              </w:rPr>
              <w:t xml:space="preserve"> </w:t>
            </w:r>
          </w:p>
          <w:p w14:paraId="30735781" w14:textId="632B9E53" w:rsidR="003C5332" w:rsidRPr="002414EF" w:rsidRDefault="00BA40ED" w:rsidP="002414EF">
            <w:pPr>
              <w:spacing w:after="120"/>
              <w:jc w:val="both"/>
              <w:rPr>
                <w:rFonts w:ascii="Times New Roman" w:hAnsi="Times New Roman"/>
                <w:color w:val="000000"/>
                <w:spacing w:val="-2"/>
              </w:rPr>
            </w:pPr>
            <w:r>
              <w:rPr>
                <w:rFonts w:ascii="Times New Roman" w:hAnsi="Times New Roman"/>
                <w:color w:val="000000"/>
                <w:spacing w:val="-2"/>
              </w:rPr>
              <w:t xml:space="preserve">Należy podkreślić, że </w:t>
            </w:r>
            <w:r w:rsidRPr="008B42A5">
              <w:rPr>
                <w:rFonts w:ascii="Times New Roman" w:hAnsi="Times New Roman"/>
                <w:color w:val="000000"/>
                <w:spacing w:val="-2"/>
              </w:rPr>
              <w:t>dokument</w:t>
            </w:r>
            <w:r w:rsidR="0064708A">
              <w:rPr>
                <w:rFonts w:ascii="Times New Roman" w:hAnsi="Times New Roman"/>
                <w:color w:val="000000"/>
                <w:spacing w:val="-2"/>
              </w:rPr>
              <w:t xml:space="preserve"> ten</w:t>
            </w:r>
            <w:r w:rsidRPr="008B42A5">
              <w:rPr>
                <w:rFonts w:ascii="Times New Roman" w:hAnsi="Times New Roman"/>
                <w:color w:val="000000"/>
                <w:spacing w:val="-2"/>
              </w:rPr>
              <w:t xml:space="preserve"> </w:t>
            </w:r>
            <w:r>
              <w:rPr>
                <w:rFonts w:ascii="Times New Roman" w:hAnsi="Times New Roman"/>
                <w:color w:val="000000"/>
                <w:spacing w:val="-2"/>
              </w:rPr>
              <w:t xml:space="preserve">umożliwi </w:t>
            </w:r>
            <w:r w:rsidRPr="008B42A5">
              <w:rPr>
                <w:rFonts w:ascii="Times New Roman" w:hAnsi="Times New Roman"/>
                <w:color w:val="000000"/>
                <w:spacing w:val="-2"/>
              </w:rPr>
              <w:t>współfinansowanie ze środków UE rozwoju transportu wodnego śródlądowego w perspektywie 2021–2027.</w:t>
            </w:r>
          </w:p>
          <w:p w14:paraId="6BE9DFC1" w14:textId="245A80B9" w:rsidR="00FA3AF5" w:rsidRPr="00B37C80" w:rsidRDefault="00BD0F74">
            <w:pPr>
              <w:spacing w:after="120" w:line="240" w:lineRule="auto"/>
              <w:jc w:val="both"/>
              <w:rPr>
                <w:rFonts w:ascii="Times New Roman" w:hAnsi="Times New Roman"/>
                <w:color w:val="000000"/>
                <w:spacing w:val="-2"/>
              </w:rPr>
            </w:pPr>
            <w:r>
              <w:rPr>
                <w:rFonts w:ascii="Times New Roman" w:hAnsi="Times New Roman"/>
                <w:color w:val="000000"/>
                <w:spacing w:val="-2"/>
              </w:rPr>
              <w:t xml:space="preserve">Nie jest </w:t>
            </w:r>
            <w:r w:rsidR="00FA3AF5" w:rsidRPr="00FA3AF5">
              <w:rPr>
                <w:rFonts w:ascii="Times New Roman" w:hAnsi="Times New Roman"/>
                <w:color w:val="000000"/>
                <w:spacing w:val="-2"/>
              </w:rPr>
              <w:t xml:space="preserve">możliwe osiągnięcie celów za pomocą innych środków, ze względu na </w:t>
            </w:r>
            <w:r w:rsidR="00D255DE">
              <w:rPr>
                <w:rFonts w:ascii="Times New Roman" w:hAnsi="Times New Roman"/>
                <w:color w:val="000000"/>
                <w:spacing w:val="-2"/>
              </w:rPr>
              <w:t xml:space="preserve">wynikającą z przepisów prawa </w:t>
            </w:r>
            <w:r w:rsidR="00FA3AF5" w:rsidRPr="00FA3AF5">
              <w:rPr>
                <w:rFonts w:ascii="Times New Roman" w:hAnsi="Times New Roman"/>
                <w:color w:val="000000"/>
                <w:spacing w:val="-2"/>
              </w:rPr>
              <w:t>obligatoryjność wydania uchwały</w:t>
            </w:r>
            <w:r w:rsidR="00FA3AF5">
              <w:rPr>
                <w:rFonts w:ascii="Times New Roman" w:hAnsi="Times New Roman"/>
                <w:color w:val="000000"/>
                <w:spacing w:val="-2"/>
              </w:rPr>
              <w:t>.</w:t>
            </w:r>
          </w:p>
        </w:tc>
      </w:tr>
      <w:tr w:rsidR="006A701A" w:rsidRPr="008B4FE6" w14:paraId="6AFA0B7C" w14:textId="77777777" w:rsidTr="00676C8D">
        <w:trPr>
          <w:gridAfter w:val="1"/>
          <w:wAfter w:w="10" w:type="dxa"/>
          <w:trHeight w:val="307"/>
        </w:trPr>
        <w:tc>
          <w:tcPr>
            <w:tcW w:w="10937" w:type="dxa"/>
            <w:gridSpan w:val="21"/>
            <w:shd w:val="clear" w:color="auto" w:fill="99CCFF"/>
            <w:vAlign w:val="center"/>
          </w:tcPr>
          <w:p w14:paraId="7399B678" w14:textId="77777777"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6585CBAD" w14:textId="77777777" w:rsidTr="00676C8D">
        <w:trPr>
          <w:gridAfter w:val="1"/>
          <w:wAfter w:w="10" w:type="dxa"/>
          <w:trHeight w:val="142"/>
        </w:trPr>
        <w:tc>
          <w:tcPr>
            <w:tcW w:w="10937" w:type="dxa"/>
            <w:gridSpan w:val="21"/>
            <w:shd w:val="clear" w:color="auto" w:fill="auto"/>
          </w:tcPr>
          <w:p w14:paraId="5D19D9E6" w14:textId="1DBEE1A3" w:rsidR="007625CC" w:rsidRDefault="007625CC" w:rsidP="00BD0F74">
            <w:pPr>
              <w:spacing w:before="120" w:after="120" w:line="240" w:lineRule="auto"/>
              <w:jc w:val="both"/>
              <w:rPr>
                <w:rFonts w:ascii="Times New Roman" w:hAnsi="Times New Roman"/>
                <w:color w:val="000000"/>
                <w:spacing w:val="-2"/>
              </w:rPr>
            </w:pPr>
            <w:r w:rsidRPr="0045381E">
              <w:rPr>
                <w:rFonts w:ascii="Times New Roman" w:hAnsi="Times New Roman"/>
                <w:color w:val="000000"/>
                <w:spacing w:val="-2"/>
              </w:rPr>
              <w:t>W U</w:t>
            </w:r>
            <w:r w:rsidR="00BD0F74">
              <w:rPr>
                <w:rFonts w:ascii="Times New Roman" w:hAnsi="Times New Roman"/>
                <w:color w:val="000000"/>
                <w:spacing w:val="-2"/>
              </w:rPr>
              <w:t xml:space="preserve">nii </w:t>
            </w:r>
            <w:r w:rsidRPr="0045381E">
              <w:rPr>
                <w:rFonts w:ascii="Times New Roman" w:hAnsi="Times New Roman"/>
                <w:color w:val="000000"/>
                <w:spacing w:val="-2"/>
              </w:rPr>
              <w:t>E</w:t>
            </w:r>
            <w:r w:rsidR="00BD0F74">
              <w:rPr>
                <w:rFonts w:ascii="Times New Roman" w:hAnsi="Times New Roman"/>
                <w:color w:val="000000"/>
                <w:spacing w:val="-2"/>
              </w:rPr>
              <w:t>uropejskiej (dalej: UE)</w:t>
            </w:r>
            <w:r>
              <w:rPr>
                <w:rFonts w:ascii="Times New Roman" w:hAnsi="Times New Roman"/>
                <w:color w:val="000000"/>
                <w:spacing w:val="-2"/>
              </w:rPr>
              <w:t>,</w:t>
            </w:r>
            <w:r w:rsidRPr="0045381E">
              <w:rPr>
                <w:rFonts w:ascii="Times New Roman" w:hAnsi="Times New Roman"/>
                <w:color w:val="000000"/>
                <w:spacing w:val="-2"/>
              </w:rPr>
              <w:t xml:space="preserve"> w 20</w:t>
            </w:r>
            <w:r w:rsidR="00713EFF">
              <w:rPr>
                <w:rFonts w:ascii="Times New Roman" w:hAnsi="Times New Roman"/>
                <w:color w:val="000000"/>
                <w:spacing w:val="-2"/>
              </w:rPr>
              <w:t>21</w:t>
            </w:r>
            <w:r w:rsidRPr="0045381E">
              <w:rPr>
                <w:rFonts w:ascii="Times New Roman" w:hAnsi="Times New Roman"/>
                <w:color w:val="000000"/>
                <w:spacing w:val="-2"/>
              </w:rPr>
              <w:t xml:space="preserve"> roku</w:t>
            </w:r>
            <w:r>
              <w:rPr>
                <w:rFonts w:ascii="Times New Roman" w:hAnsi="Times New Roman"/>
                <w:color w:val="000000"/>
                <w:spacing w:val="-2"/>
              </w:rPr>
              <w:t>,</w:t>
            </w:r>
            <w:r w:rsidRPr="0045381E">
              <w:rPr>
                <w:rFonts w:ascii="Times New Roman" w:hAnsi="Times New Roman"/>
                <w:color w:val="000000"/>
                <w:spacing w:val="-2"/>
              </w:rPr>
              <w:t xml:space="preserve"> drogami wodnymi </w:t>
            </w:r>
            <w:r>
              <w:rPr>
                <w:rFonts w:ascii="Times New Roman" w:hAnsi="Times New Roman"/>
                <w:color w:val="000000"/>
                <w:spacing w:val="-2"/>
              </w:rPr>
              <w:t>przetransportowanych zostało</w:t>
            </w:r>
            <w:r w:rsidRPr="0045381E">
              <w:rPr>
                <w:rFonts w:ascii="Times New Roman" w:hAnsi="Times New Roman"/>
                <w:color w:val="000000"/>
                <w:spacing w:val="-2"/>
              </w:rPr>
              <w:t xml:space="preserve"> 5</w:t>
            </w:r>
            <w:r w:rsidR="00713EFF">
              <w:rPr>
                <w:rFonts w:ascii="Times New Roman" w:hAnsi="Times New Roman"/>
                <w:color w:val="000000"/>
                <w:spacing w:val="-2"/>
              </w:rPr>
              <w:t>25</w:t>
            </w:r>
            <w:r w:rsidRPr="0045381E">
              <w:rPr>
                <w:rFonts w:ascii="Times New Roman" w:hAnsi="Times New Roman"/>
                <w:color w:val="000000"/>
                <w:spacing w:val="-2"/>
              </w:rPr>
              <w:t xml:space="preserve"> miliony ton ładu</w:t>
            </w:r>
            <w:r>
              <w:rPr>
                <w:rFonts w:ascii="Times New Roman" w:hAnsi="Times New Roman"/>
                <w:color w:val="000000"/>
                <w:spacing w:val="-2"/>
              </w:rPr>
              <w:t>nków</w:t>
            </w:r>
            <w:r w:rsidRPr="0045381E">
              <w:rPr>
                <w:rFonts w:ascii="Times New Roman" w:hAnsi="Times New Roman"/>
                <w:color w:val="000000"/>
                <w:spacing w:val="-2"/>
              </w:rPr>
              <w:t xml:space="preserve">. Największą pracę przewozową </w:t>
            </w:r>
            <w:r>
              <w:rPr>
                <w:rFonts w:ascii="Times New Roman" w:hAnsi="Times New Roman"/>
                <w:color w:val="000000"/>
                <w:spacing w:val="-2"/>
              </w:rPr>
              <w:t>w 20</w:t>
            </w:r>
            <w:r w:rsidR="00F91A10">
              <w:rPr>
                <w:rFonts w:ascii="Times New Roman" w:hAnsi="Times New Roman"/>
                <w:color w:val="000000"/>
                <w:spacing w:val="-2"/>
              </w:rPr>
              <w:t>21</w:t>
            </w:r>
            <w:r>
              <w:rPr>
                <w:rFonts w:ascii="Times New Roman" w:hAnsi="Times New Roman"/>
                <w:color w:val="000000"/>
                <w:spacing w:val="-2"/>
              </w:rPr>
              <w:t xml:space="preserve"> r.</w:t>
            </w:r>
            <w:r w:rsidRPr="0045381E">
              <w:rPr>
                <w:rFonts w:ascii="Times New Roman" w:hAnsi="Times New Roman"/>
                <w:color w:val="000000"/>
                <w:spacing w:val="-2"/>
              </w:rPr>
              <w:t xml:space="preserve">– łącznie blisko </w:t>
            </w:r>
            <w:r w:rsidR="00F91A10">
              <w:rPr>
                <w:rFonts w:ascii="Times New Roman" w:hAnsi="Times New Roman"/>
                <w:color w:val="000000"/>
                <w:spacing w:val="-2"/>
              </w:rPr>
              <w:t>95</w:t>
            </w:r>
            <w:r w:rsidRPr="0045381E">
              <w:rPr>
                <w:rFonts w:ascii="Times New Roman" w:hAnsi="Times New Roman"/>
                <w:color w:val="000000"/>
                <w:spacing w:val="-2"/>
              </w:rPr>
              <w:t xml:space="preserve"> mld tonokilometrów odnotowano w</w:t>
            </w:r>
            <w:r>
              <w:rPr>
                <w:rFonts w:ascii="Times New Roman" w:hAnsi="Times New Roman"/>
                <w:color w:val="000000"/>
                <w:spacing w:val="-2"/>
              </w:rPr>
              <w:t> </w:t>
            </w:r>
            <w:r w:rsidRPr="0045381E">
              <w:rPr>
                <w:rFonts w:ascii="Times New Roman" w:hAnsi="Times New Roman"/>
                <w:color w:val="000000"/>
                <w:spacing w:val="-2"/>
              </w:rPr>
              <w:t>Holandii</w:t>
            </w:r>
            <w:r>
              <w:rPr>
                <w:rFonts w:ascii="Times New Roman" w:hAnsi="Times New Roman"/>
                <w:color w:val="000000"/>
                <w:spacing w:val="-2"/>
              </w:rPr>
              <w:t xml:space="preserve"> i</w:t>
            </w:r>
            <w:r w:rsidRPr="0045381E">
              <w:rPr>
                <w:rFonts w:ascii="Times New Roman" w:hAnsi="Times New Roman"/>
                <w:color w:val="000000"/>
                <w:spacing w:val="-2"/>
              </w:rPr>
              <w:t xml:space="preserve"> </w:t>
            </w:r>
            <w:r>
              <w:rPr>
                <w:rFonts w:ascii="Times New Roman" w:hAnsi="Times New Roman"/>
                <w:color w:val="000000"/>
                <w:spacing w:val="-2"/>
              </w:rPr>
              <w:t xml:space="preserve">Niemczech </w:t>
            </w:r>
            <w:r w:rsidRPr="0045381E">
              <w:rPr>
                <w:rFonts w:ascii="Times New Roman" w:hAnsi="Times New Roman"/>
                <w:color w:val="000000"/>
                <w:spacing w:val="-2"/>
              </w:rPr>
              <w:t>(dla porównania: w Polsce w 20</w:t>
            </w:r>
            <w:r w:rsidR="00F91A10">
              <w:rPr>
                <w:rFonts w:ascii="Times New Roman" w:hAnsi="Times New Roman"/>
                <w:color w:val="000000"/>
                <w:spacing w:val="-2"/>
              </w:rPr>
              <w:t>21</w:t>
            </w:r>
            <w:r w:rsidRPr="0045381E">
              <w:rPr>
                <w:rFonts w:ascii="Times New Roman" w:hAnsi="Times New Roman"/>
                <w:color w:val="000000"/>
                <w:spacing w:val="-2"/>
              </w:rPr>
              <w:t xml:space="preserve"> roku</w:t>
            </w:r>
            <w:r>
              <w:rPr>
                <w:rFonts w:ascii="Times New Roman" w:hAnsi="Times New Roman"/>
                <w:color w:val="000000"/>
                <w:spacing w:val="-2"/>
              </w:rPr>
              <w:t>,</w:t>
            </w:r>
            <w:r w:rsidRPr="0045381E">
              <w:rPr>
                <w:rFonts w:ascii="Times New Roman" w:hAnsi="Times New Roman"/>
                <w:color w:val="000000"/>
                <w:spacing w:val="-2"/>
              </w:rPr>
              <w:t xml:space="preserve"> praca przewozowa</w:t>
            </w:r>
            <w:r>
              <w:rPr>
                <w:rFonts w:ascii="Times New Roman" w:hAnsi="Times New Roman"/>
                <w:color w:val="000000"/>
                <w:spacing w:val="-2"/>
              </w:rPr>
              <w:t xml:space="preserve"> całego</w:t>
            </w:r>
            <w:r w:rsidRPr="0045381E">
              <w:rPr>
                <w:rFonts w:ascii="Times New Roman" w:hAnsi="Times New Roman"/>
                <w:color w:val="000000"/>
                <w:spacing w:val="-2"/>
              </w:rPr>
              <w:t xml:space="preserve"> </w:t>
            </w:r>
            <w:r>
              <w:rPr>
                <w:rFonts w:ascii="Times New Roman" w:hAnsi="Times New Roman"/>
                <w:color w:val="000000"/>
                <w:spacing w:val="-2"/>
              </w:rPr>
              <w:t xml:space="preserve">sektora </w:t>
            </w:r>
            <w:r w:rsidRPr="0045381E">
              <w:rPr>
                <w:rFonts w:ascii="Times New Roman" w:hAnsi="Times New Roman"/>
                <w:color w:val="000000"/>
                <w:spacing w:val="-2"/>
              </w:rPr>
              <w:t>transportu wyniosła ok.</w:t>
            </w:r>
            <w:r>
              <w:rPr>
                <w:rFonts w:ascii="Times New Roman" w:hAnsi="Times New Roman"/>
                <w:color w:val="000000"/>
                <w:spacing w:val="-2"/>
              </w:rPr>
              <w:t> </w:t>
            </w:r>
            <w:r w:rsidRPr="0045381E">
              <w:rPr>
                <w:rFonts w:ascii="Times New Roman" w:hAnsi="Times New Roman"/>
                <w:color w:val="000000"/>
                <w:spacing w:val="-2"/>
              </w:rPr>
              <w:t>4</w:t>
            </w:r>
            <w:r w:rsidR="00F91A10">
              <w:rPr>
                <w:rFonts w:ascii="Times New Roman" w:hAnsi="Times New Roman"/>
                <w:color w:val="000000"/>
                <w:spacing w:val="-2"/>
              </w:rPr>
              <w:t>93</w:t>
            </w:r>
            <w:r w:rsidRPr="0045381E">
              <w:rPr>
                <w:rFonts w:ascii="Times New Roman" w:hAnsi="Times New Roman"/>
                <w:color w:val="000000"/>
                <w:spacing w:val="-2"/>
              </w:rPr>
              <w:t xml:space="preserve"> ml</w:t>
            </w:r>
            <w:r w:rsidR="00F91A10">
              <w:rPr>
                <w:rFonts w:ascii="Times New Roman" w:hAnsi="Times New Roman"/>
                <w:color w:val="000000"/>
                <w:spacing w:val="-2"/>
              </w:rPr>
              <w:t>n</w:t>
            </w:r>
            <w:r w:rsidRPr="0045381E">
              <w:rPr>
                <w:rFonts w:ascii="Times New Roman" w:hAnsi="Times New Roman"/>
                <w:color w:val="000000"/>
                <w:spacing w:val="-2"/>
              </w:rPr>
              <w:t xml:space="preserve"> </w:t>
            </w:r>
            <w:proofErr w:type="spellStart"/>
            <w:r w:rsidRPr="0045381E">
              <w:rPr>
                <w:rFonts w:ascii="Times New Roman" w:hAnsi="Times New Roman"/>
                <w:color w:val="000000"/>
                <w:spacing w:val="-2"/>
              </w:rPr>
              <w:t>tkm</w:t>
            </w:r>
            <w:proofErr w:type="spellEnd"/>
            <w:r w:rsidRPr="0045381E">
              <w:rPr>
                <w:rFonts w:ascii="Times New Roman" w:hAnsi="Times New Roman"/>
                <w:color w:val="000000"/>
                <w:spacing w:val="-2"/>
              </w:rPr>
              <w:t xml:space="preserve">). Kraje korytarza </w:t>
            </w:r>
            <w:r w:rsidRPr="0045381E">
              <w:rPr>
                <w:rFonts w:ascii="Times New Roman" w:hAnsi="Times New Roman"/>
                <w:color w:val="000000"/>
                <w:spacing w:val="-2"/>
              </w:rPr>
              <w:lastRenderedPageBreak/>
              <w:t>reńskiego (Belgia, Francja,</w:t>
            </w:r>
            <w:r w:rsidR="00BD0F74">
              <w:rPr>
                <w:rFonts w:ascii="Times New Roman" w:hAnsi="Times New Roman"/>
                <w:color w:val="000000"/>
                <w:spacing w:val="-2"/>
              </w:rPr>
              <w:t xml:space="preserve"> Niemcy, Luksemburg, Holandia i </w:t>
            </w:r>
            <w:r w:rsidRPr="0045381E">
              <w:rPr>
                <w:rFonts w:ascii="Times New Roman" w:hAnsi="Times New Roman"/>
                <w:color w:val="000000"/>
                <w:spacing w:val="-2"/>
              </w:rPr>
              <w:t>Szwajcaria) wypracowują ok. 84% wyników transportu wodnego śródlądowego w UE</w:t>
            </w:r>
            <w:r>
              <w:rPr>
                <w:rFonts w:ascii="Times New Roman" w:hAnsi="Times New Roman"/>
                <w:color w:val="000000"/>
                <w:spacing w:val="-2"/>
              </w:rPr>
              <w:t xml:space="preserve">. </w:t>
            </w:r>
            <w:r w:rsidRPr="0045381E">
              <w:rPr>
                <w:rFonts w:ascii="Times New Roman" w:hAnsi="Times New Roman"/>
                <w:color w:val="000000"/>
                <w:spacing w:val="-2"/>
              </w:rPr>
              <w:t>Drugim najważniejszym w Europie szlak</w:t>
            </w:r>
            <w:r>
              <w:rPr>
                <w:rFonts w:ascii="Times New Roman" w:hAnsi="Times New Roman"/>
                <w:color w:val="000000"/>
                <w:spacing w:val="-2"/>
              </w:rPr>
              <w:t>iem żeglugowym jest </w:t>
            </w:r>
            <w:r w:rsidRPr="0045381E">
              <w:rPr>
                <w:rFonts w:ascii="Times New Roman" w:hAnsi="Times New Roman"/>
                <w:color w:val="000000"/>
                <w:spacing w:val="-2"/>
              </w:rPr>
              <w:t>korytarz dunajski. Rumunia jest trzecim krajem w UE pod względem pracy przewozowej wykonanej na droga</w:t>
            </w:r>
            <w:r>
              <w:rPr>
                <w:rFonts w:ascii="Times New Roman" w:hAnsi="Times New Roman"/>
                <w:color w:val="000000"/>
                <w:spacing w:val="-2"/>
              </w:rPr>
              <w:t>ch wodnych z ok. 12,6% udziałem</w:t>
            </w:r>
            <w:r w:rsidRPr="0045381E">
              <w:rPr>
                <w:rFonts w:ascii="Times New Roman" w:hAnsi="Times New Roman"/>
                <w:color w:val="000000"/>
                <w:spacing w:val="-2"/>
              </w:rPr>
              <w:t>. Kraje korytarza dunajskiego (Austria, Węgry, Chorwacja, Słowacja, Bułgaria i Rumunia) odpowiadają za ok. 16% wyników sektora w UE.</w:t>
            </w:r>
          </w:p>
          <w:p w14:paraId="390AB43F" w14:textId="248B86AD" w:rsidR="00BD0F74" w:rsidRDefault="00BD0F74" w:rsidP="00BD0F74">
            <w:pPr>
              <w:spacing w:before="120" w:after="120" w:line="240" w:lineRule="auto"/>
              <w:jc w:val="both"/>
              <w:rPr>
                <w:rFonts w:ascii="Times New Roman" w:hAnsi="Times New Roman"/>
                <w:color w:val="000000"/>
                <w:spacing w:val="-2"/>
              </w:rPr>
            </w:pPr>
            <w:r w:rsidRPr="00D74745">
              <w:rPr>
                <w:rFonts w:ascii="Times New Roman" w:hAnsi="Times New Roman"/>
                <w:color w:val="000000"/>
                <w:spacing w:val="-2"/>
              </w:rPr>
              <w:t xml:space="preserve">Liderem w udziale transportu wodnego śródlądowego jest Holandia, gdzie nawet 48,9% towarów </w:t>
            </w:r>
            <w:r>
              <w:rPr>
                <w:rFonts w:ascii="Times New Roman" w:hAnsi="Times New Roman"/>
                <w:color w:val="000000"/>
                <w:spacing w:val="-2"/>
              </w:rPr>
              <w:t>przewożonych jest śródlądowymi drogami wodnymi.</w:t>
            </w:r>
            <w:r w:rsidRPr="00D74745">
              <w:rPr>
                <w:rFonts w:ascii="Times New Roman" w:hAnsi="Times New Roman"/>
                <w:color w:val="000000"/>
                <w:spacing w:val="-2"/>
              </w:rPr>
              <w:t xml:space="preserve"> W Niemczech udział transportu rzecznego wynosi 16%, a w Austrii 5,6%. Znacznie wyższe wyniki niż w naszym kraju osiągane są również w Czechach (4,7%) czy na Węgr</w:t>
            </w:r>
            <w:r>
              <w:rPr>
                <w:rFonts w:ascii="Times New Roman" w:hAnsi="Times New Roman"/>
                <w:color w:val="000000"/>
                <w:spacing w:val="-2"/>
              </w:rPr>
              <w:t>zech (6%). Polska z wynikiem 0,2</w:t>
            </w:r>
            <w:r w:rsidRPr="00D74745">
              <w:rPr>
                <w:rFonts w:ascii="Times New Roman" w:hAnsi="Times New Roman"/>
                <w:color w:val="000000"/>
                <w:spacing w:val="-2"/>
              </w:rPr>
              <w:t>% plasuje się znacznie poniżej europ</w:t>
            </w:r>
            <w:r>
              <w:rPr>
                <w:rFonts w:ascii="Times New Roman" w:hAnsi="Times New Roman"/>
                <w:color w:val="000000"/>
                <w:spacing w:val="-2"/>
              </w:rPr>
              <w:t>ejskiej średniej wynoszącej 8%.</w:t>
            </w:r>
          </w:p>
          <w:p w14:paraId="2E6E25BA" w14:textId="4CDCDEAB" w:rsidR="006A701A" w:rsidRDefault="00D74745" w:rsidP="00BD0F74">
            <w:pPr>
              <w:spacing w:after="120" w:line="240" w:lineRule="auto"/>
              <w:jc w:val="both"/>
              <w:rPr>
                <w:rFonts w:ascii="Times New Roman" w:hAnsi="Times New Roman"/>
                <w:color w:val="000000"/>
                <w:spacing w:val="-2"/>
              </w:rPr>
            </w:pPr>
            <w:r w:rsidRPr="00D74745">
              <w:rPr>
                <w:rFonts w:ascii="Times New Roman" w:hAnsi="Times New Roman"/>
                <w:color w:val="000000"/>
                <w:spacing w:val="-2"/>
              </w:rPr>
              <w:t>Dla zwiększenia dostępności do żeglugi</w:t>
            </w:r>
            <w:r w:rsidR="002177AD">
              <w:rPr>
                <w:rFonts w:ascii="Times New Roman" w:hAnsi="Times New Roman"/>
                <w:color w:val="000000"/>
                <w:spacing w:val="-2"/>
              </w:rPr>
              <w:t>,</w:t>
            </w:r>
            <w:r w:rsidRPr="00D74745">
              <w:rPr>
                <w:rFonts w:ascii="Times New Roman" w:hAnsi="Times New Roman"/>
                <w:color w:val="000000"/>
                <w:spacing w:val="-2"/>
              </w:rPr>
              <w:t xml:space="preserve"> konieczny</w:t>
            </w:r>
            <w:r w:rsidR="002177AD">
              <w:rPr>
                <w:rFonts w:ascii="Times New Roman" w:hAnsi="Times New Roman"/>
                <w:color w:val="000000"/>
                <w:spacing w:val="-2"/>
              </w:rPr>
              <w:t>m</w:t>
            </w:r>
            <w:r w:rsidRPr="00D74745">
              <w:rPr>
                <w:rFonts w:ascii="Times New Roman" w:hAnsi="Times New Roman"/>
                <w:color w:val="000000"/>
                <w:spacing w:val="-2"/>
              </w:rPr>
              <w:t xml:space="preserve"> jest stałe inwestowanie w rozwój dróg wodnych</w:t>
            </w:r>
            <w:r w:rsidR="007625CC">
              <w:rPr>
                <w:rFonts w:ascii="Times New Roman" w:hAnsi="Times New Roman"/>
                <w:color w:val="000000"/>
                <w:spacing w:val="-2"/>
              </w:rPr>
              <w:t xml:space="preserve"> oraz działania związane prowadzeniem racjonalnej gospodarki wodnej uwzględniającej zachodzące zmiany klimatyczne</w:t>
            </w:r>
            <w:r w:rsidRPr="00D74745">
              <w:rPr>
                <w:rFonts w:ascii="Times New Roman" w:hAnsi="Times New Roman"/>
                <w:color w:val="000000"/>
                <w:spacing w:val="-2"/>
              </w:rPr>
              <w:t>. Liderzy pod tym względem – Holandia i Niemcy przeznaczają znaczne środki na ten cel</w:t>
            </w:r>
            <w:r w:rsidR="00D67770">
              <w:rPr>
                <w:rFonts w:ascii="Times New Roman" w:hAnsi="Times New Roman"/>
                <w:color w:val="000000"/>
                <w:spacing w:val="-2"/>
              </w:rPr>
              <w:t xml:space="preserve"> oraz prowadzą działania wspierające rozwój sektora i jego transformację</w:t>
            </w:r>
            <w:r w:rsidRPr="00D74745">
              <w:rPr>
                <w:rFonts w:ascii="Times New Roman" w:hAnsi="Times New Roman"/>
                <w:color w:val="000000"/>
                <w:spacing w:val="-2"/>
              </w:rPr>
              <w:t>, dzięki czemu uzyskują efekty w postaci zwiększonego udziału tr</w:t>
            </w:r>
            <w:r w:rsidR="00BD0F74">
              <w:rPr>
                <w:rFonts w:ascii="Times New Roman" w:hAnsi="Times New Roman"/>
                <w:color w:val="000000"/>
                <w:spacing w:val="-2"/>
              </w:rPr>
              <w:t>ansportu wodnego śródlądowego w </w:t>
            </w:r>
            <w:r w:rsidR="00C71F4D">
              <w:rPr>
                <w:rFonts w:ascii="Times New Roman" w:hAnsi="Times New Roman"/>
                <w:color w:val="000000"/>
                <w:spacing w:val="-2"/>
              </w:rPr>
              <w:t>przewozach</w:t>
            </w:r>
            <w:r w:rsidR="00C71F4D" w:rsidRPr="00D74745">
              <w:rPr>
                <w:rFonts w:ascii="Times New Roman" w:hAnsi="Times New Roman"/>
                <w:color w:val="000000"/>
                <w:spacing w:val="-2"/>
              </w:rPr>
              <w:t xml:space="preserve"> </w:t>
            </w:r>
            <w:r w:rsidRPr="00D74745">
              <w:rPr>
                <w:rFonts w:ascii="Times New Roman" w:hAnsi="Times New Roman"/>
                <w:color w:val="000000"/>
                <w:spacing w:val="-2"/>
              </w:rPr>
              <w:t>towarowy</w:t>
            </w:r>
            <w:r w:rsidR="00C71F4D">
              <w:rPr>
                <w:rFonts w:ascii="Times New Roman" w:hAnsi="Times New Roman"/>
                <w:color w:val="000000"/>
                <w:spacing w:val="-2"/>
              </w:rPr>
              <w:t>ch</w:t>
            </w:r>
            <w:r>
              <w:rPr>
                <w:rFonts w:ascii="Times New Roman" w:hAnsi="Times New Roman"/>
                <w:color w:val="000000"/>
                <w:spacing w:val="-2"/>
              </w:rPr>
              <w:t>.</w:t>
            </w:r>
          </w:p>
          <w:p w14:paraId="49E527D9" w14:textId="244DB5C8" w:rsidR="00FC4FD4" w:rsidRDefault="007625CC" w:rsidP="00BD0F74">
            <w:pPr>
              <w:spacing w:after="120" w:line="240" w:lineRule="auto"/>
              <w:jc w:val="both"/>
              <w:rPr>
                <w:rFonts w:ascii="Times New Roman" w:hAnsi="Times New Roman"/>
                <w:color w:val="000000"/>
                <w:spacing w:val="-2"/>
              </w:rPr>
            </w:pPr>
            <w:r>
              <w:rPr>
                <w:rFonts w:ascii="Times New Roman" w:hAnsi="Times New Roman"/>
                <w:color w:val="000000"/>
                <w:spacing w:val="-2"/>
              </w:rPr>
              <w:t>Rozwój śródlądowego transportu wodnego ma swoje odzwierciedlenie w dokumentach strat</w:t>
            </w:r>
            <w:r w:rsidR="00BD0F74">
              <w:rPr>
                <w:rFonts w:ascii="Times New Roman" w:hAnsi="Times New Roman"/>
                <w:color w:val="000000"/>
                <w:spacing w:val="-2"/>
              </w:rPr>
              <w:t>egicznych krajów w Europie i na </w:t>
            </w:r>
            <w:r>
              <w:rPr>
                <w:rFonts w:ascii="Times New Roman" w:hAnsi="Times New Roman"/>
                <w:color w:val="000000"/>
                <w:spacing w:val="-2"/>
              </w:rPr>
              <w:t>świecie</w:t>
            </w:r>
            <w:r w:rsidR="00FC4FD4">
              <w:rPr>
                <w:rFonts w:ascii="Times New Roman" w:hAnsi="Times New Roman"/>
                <w:color w:val="000000"/>
                <w:spacing w:val="-2"/>
              </w:rPr>
              <w:t>.</w:t>
            </w:r>
            <w:r w:rsidR="00BD0F74">
              <w:rPr>
                <w:rFonts w:ascii="Times New Roman" w:hAnsi="Times New Roman"/>
                <w:color w:val="000000"/>
                <w:spacing w:val="-2"/>
              </w:rPr>
              <w:t xml:space="preserve"> </w:t>
            </w:r>
            <w:r w:rsidRPr="00BD0F74">
              <w:rPr>
                <w:rFonts w:ascii="Times New Roman" w:hAnsi="Times New Roman"/>
                <w:color w:val="000000"/>
                <w:spacing w:val="-2"/>
              </w:rPr>
              <w:t xml:space="preserve">Rząd Federalnej Republiki Niemiec opublikował w roku 2019 dokument pn. </w:t>
            </w:r>
            <w:proofErr w:type="spellStart"/>
            <w:r w:rsidRPr="00FC4FD4">
              <w:rPr>
                <w:rFonts w:ascii="Times New Roman" w:hAnsi="Times New Roman"/>
                <w:i/>
                <w:color w:val="000000"/>
                <w:spacing w:val="-2"/>
              </w:rPr>
              <w:t>Inland</w:t>
            </w:r>
            <w:proofErr w:type="spellEnd"/>
            <w:r w:rsidRPr="00FC4FD4">
              <w:rPr>
                <w:rFonts w:ascii="Times New Roman" w:hAnsi="Times New Roman"/>
                <w:i/>
                <w:color w:val="000000"/>
                <w:spacing w:val="-2"/>
              </w:rPr>
              <w:t xml:space="preserve"> </w:t>
            </w:r>
            <w:proofErr w:type="spellStart"/>
            <w:r w:rsidRPr="00FC4FD4">
              <w:rPr>
                <w:rFonts w:ascii="Times New Roman" w:hAnsi="Times New Roman"/>
                <w:i/>
                <w:color w:val="000000"/>
                <w:spacing w:val="-2"/>
              </w:rPr>
              <w:t>Waterway</w:t>
            </w:r>
            <w:proofErr w:type="spellEnd"/>
            <w:r w:rsidRPr="00FC4FD4">
              <w:rPr>
                <w:rFonts w:ascii="Times New Roman" w:hAnsi="Times New Roman"/>
                <w:i/>
                <w:color w:val="000000"/>
                <w:spacing w:val="-2"/>
              </w:rPr>
              <w:t xml:space="preserve"> Transport </w:t>
            </w:r>
            <w:proofErr w:type="spellStart"/>
            <w:r w:rsidRPr="00FC4FD4">
              <w:rPr>
                <w:rFonts w:ascii="Times New Roman" w:hAnsi="Times New Roman"/>
                <w:i/>
                <w:color w:val="000000"/>
                <w:spacing w:val="-2"/>
              </w:rPr>
              <w:t>Masterplan</w:t>
            </w:r>
            <w:proofErr w:type="spellEnd"/>
            <w:r w:rsidRPr="00BD0F74">
              <w:rPr>
                <w:rFonts w:ascii="Times New Roman" w:hAnsi="Times New Roman"/>
                <w:color w:val="000000"/>
                <w:spacing w:val="-2"/>
              </w:rPr>
              <w:t xml:space="preserve"> – przedstawiający strategię rozwoju śródlądowego transportu wodnego na terenie Niemiec. Obszary interwencji </w:t>
            </w:r>
            <w:proofErr w:type="spellStart"/>
            <w:r w:rsidRPr="00BD0F74">
              <w:rPr>
                <w:rFonts w:ascii="Times New Roman" w:hAnsi="Times New Roman"/>
                <w:color w:val="000000"/>
                <w:spacing w:val="-2"/>
              </w:rPr>
              <w:t>Masterplanu</w:t>
            </w:r>
            <w:proofErr w:type="spellEnd"/>
            <w:r w:rsidRPr="00BD0F74">
              <w:rPr>
                <w:rFonts w:ascii="Times New Roman" w:hAnsi="Times New Roman"/>
                <w:color w:val="000000"/>
                <w:spacing w:val="-2"/>
              </w:rPr>
              <w:t xml:space="preserve"> obejmują infrastrukturę hydrotechniczną i krzyżującą się, poprawę przyjazności dla środowiska </w:t>
            </w:r>
            <w:r w:rsidRPr="00BD0F74">
              <w:rPr>
                <w:rFonts w:ascii="Times New Roman" w:hAnsi="Times New Roman"/>
                <w:color w:val="000000"/>
                <w:spacing w:val="-2"/>
              </w:rPr>
              <w:br/>
              <w:t>i strukturę floty, cyfryzację, wzmocnienie roli żeglugi śródlądowej w łańcuchu</w:t>
            </w:r>
            <w:r w:rsidR="00BD0F74">
              <w:rPr>
                <w:rFonts w:ascii="Times New Roman" w:hAnsi="Times New Roman"/>
                <w:color w:val="000000"/>
                <w:spacing w:val="-2"/>
              </w:rPr>
              <w:t xml:space="preserve"> transportu multimodalnego oraz </w:t>
            </w:r>
            <w:r w:rsidRPr="00BD0F74">
              <w:rPr>
                <w:rFonts w:ascii="Times New Roman" w:hAnsi="Times New Roman"/>
                <w:color w:val="000000"/>
                <w:spacing w:val="-2"/>
              </w:rPr>
              <w:t xml:space="preserve">zagwarantowanie wystarczającej liczby wykwalifikowanych pracowników. W ramach </w:t>
            </w:r>
            <w:proofErr w:type="spellStart"/>
            <w:r w:rsidRPr="00BD0F74">
              <w:rPr>
                <w:rFonts w:ascii="Times New Roman" w:hAnsi="Times New Roman"/>
                <w:color w:val="000000"/>
                <w:spacing w:val="-2"/>
              </w:rPr>
              <w:t>Masterplanu</w:t>
            </w:r>
            <w:proofErr w:type="spellEnd"/>
            <w:r w:rsidRPr="00BD0F74">
              <w:rPr>
                <w:rFonts w:ascii="Times New Roman" w:hAnsi="Times New Roman"/>
                <w:color w:val="000000"/>
                <w:spacing w:val="-2"/>
              </w:rPr>
              <w:t xml:space="preserve"> do 2030 roku zostanie zainwestowane 24,5 mld euro w infrastru</w:t>
            </w:r>
            <w:r w:rsidR="00FC4FD4" w:rsidRPr="00BD0F74">
              <w:rPr>
                <w:rFonts w:ascii="Times New Roman" w:hAnsi="Times New Roman"/>
                <w:color w:val="000000"/>
                <w:spacing w:val="-2"/>
              </w:rPr>
              <w:t>kturę śródlądowych dróg wodnych,</w:t>
            </w:r>
          </w:p>
          <w:p w14:paraId="2D236A52" w14:textId="4D3568E1" w:rsidR="007625CC" w:rsidRPr="00BD0F74" w:rsidRDefault="00FC4FD4" w:rsidP="00BD0F74">
            <w:pPr>
              <w:spacing w:after="120" w:line="240" w:lineRule="auto"/>
              <w:jc w:val="both"/>
              <w:rPr>
                <w:rFonts w:ascii="Times New Roman" w:hAnsi="Times New Roman"/>
                <w:color w:val="000000"/>
                <w:spacing w:val="-2"/>
              </w:rPr>
            </w:pPr>
            <w:r>
              <w:rPr>
                <w:rFonts w:ascii="Times New Roman" w:hAnsi="Times New Roman"/>
                <w:color w:val="000000"/>
                <w:spacing w:val="-2"/>
              </w:rPr>
              <w:t xml:space="preserve">Innym przykładem mogą być Stany Zjednoczone Ameryki, gdzie </w:t>
            </w:r>
            <w:r w:rsidR="007625CC" w:rsidRPr="00BD0F74">
              <w:rPr>
                <w:rFonts w:ascii="Times New Roman" w:hAnsi="Times New Roman"/>
                <w:color w:val="000000"/>
                <w:spacing w:val="-2"/>
              </w:rPr>
              <w:t>funkcjonuje p</w:t>
            </w:r>
            <w:r w:rsidRPr="00FC4FD4">
              <w:rPr>
                <w:rFonts w:ascii="Times New Roman" w:hAnsi="Times New Roman"/>
                <w:color w:val="000000"/>
                <w:spacing w:val="-2"/>
              </w:rPr>
              <w:t>rocedura zapewniania środków na</w:t>
            </w:r>
            <w:r>
              <w:rPr>
                <w:rFonts w:ascii="Times New Roman" w:hAnsi="Times New Roman"/>
                <w:color w:val="000000"/>
                <w:spacing w:val="-2"/>
              </w:rPr>
              <w:t> </w:t>
            </w:r>
            <w:r w:rsidR="007625CC" w:rsidRPr="00BD0F74">
              <w:rPr>
                <w:rFonts w:ascii="Times New Roman" w:hAnsi="Times New Roman"/>
                <w:color w:val="000000"/>
                <w:spacing w:val="-2"/>
              </w:rPr>
              <w:t>konserwację i modernizację infrastruktury hydrotechnicznej na śródlądowych drogach wodnych z celowych środków państwowych. Koszty inwestycji w połowie pokrywane są ze środków budżetu państwa, a w drugiej połowie finansowane są</w:t>
            </w:r>
            <w:r w:rsidR="0039711E">
              <w:rPr>
                <w:rFonts w:ascii="Times New Roman" w:hAnsi="Times New Roman"/>
                <w:color w:val="000000"/>
                <w:spacing w:val="-2"/>
              </w:rPr>
              <w:t xml:space="preserve"> </w:t>
            </w:r>
            <w:r>
              <w:rPr>
                <w:rFonts w:ascii="Times New Roman" w:hAnsi="Times New Roman"/>
                <w:color w:val="000000"/>
                <w:spacing w:val="-2"/>
              </w:rPr>
              <w:t>f</w:t>
            </w:r>
            <w:r w:rsidR="007625CC" w:rsidRPr="00BD0F74">
              <w:rPr>
                <w:rFonts w:ascii="Times New Roman" w:hAnsi="Times New Roman"/>
                <w:color w:val="000000"/>
                <w:spacing w:val="-2"/>
              </w:rPr>
              <w:t xml:space="preserve">unduszu powierniczego </w:t>
            </w:r>
            <w:r w:rsidR="009D4C0D">
              <w:rPr>
                <w:rFonts w:ascii="Times New Roman" w:hAnsi="Times New Roman"/>
                <w:color w:val="000000"/>
                <w:spacing w:val="-2"/>
              </w:rPr>
              <w:t>–</w:t>
            </w:r>
            <w:r w:rsidR="009D4C0D" w:rsidRPr="00BD0F74">
              <w:rPr>
                <w:rFonts w:ascii="Times New Roman" w:hAnsi="Times New Roman"/>
                <w:color w:val="000000"/>
                <w:spacing w:val="-2"/>
              </w:rPr>
              <w:t xml:space="preserve"> </w:t>
            </w:r>
            <w:proofErr w:type="spellStart"/>
            <w:r w:rsidR="007625CC" w:rsidRPr="00BD0F74">
              <w:rPr>
                <w:rFonts w:ascii="Times New Roman" w:hAnsi="Times New Roman"/>
                <w:color w:val="000000"/>
                <w:spacing w:val="-2"/>
              </w:rPr>
              <w:t>Inland</w:t>
            </w:r>
            <w:proofErr w:type="spellEnd"/>
            <w:r w:rsidR="007625CC" w:rsidRPr="00BD0F74">
              <w:rPr>
                <w:rFonts w:ascii="Times New Roman" w:hAnsi="Times New Roman"/>
                <w:color w:val="000000"/>
                <w:spacing w:val="-2"/>
              </w:rPr>
              <w:t xml:space="preserve"> </w:t>
            </w:r>
            <w:proofErr w:type="spellStart"/>
            <w:r w:rsidR="007625CC" w:rsidRPr="00BD0F74">
              <w:rPr>
                <w:rFonts w:ascii="Times New Roman" w:hAnsi="Times New Roman"/>
                <w:color w:val="000000"/>
                <w:spacing w:val="-2"/>
              </w:rPr>
              <w:t>Waterways</w:t>
            </w:r>
            <w:proofErr w:type="spellEnd"/>
            <w:r w:rsidR="007625CC" w:rsidRPr="00BD0F74">
              <w:rPr>
                <w:rFonts w:ascii="Times New Roman" w:hAnsi="Times New Roman"/>
                <w:color w:val="000000"/>
                <w:spacing w:val="-2"/>
              </w:rPr>
              <w:t xml:space="preserve"> Trust Fund. Środki zgormadzone na funduszu pochodzą z podatku od paliw wykorzystywanych w śródlądowym transporcie wodnym. W czasie funkcjonowania funduszu w obiekty hydrotechniczne zainwestowano łączną kwotę blisko 6 mld USD.</w:t>
            </w:r>
          </w:p>
          <w:p w14:paraId="6EA8F4BB" w14:textId="44D8A0E2" w:rsidR="007625CC" w:rsidRDefault="00FC4FD4" w:rsidP="00BD0F74">
            <w:pPr>
              <w:spacing w:after="120" w:line="240" w:lineRule="auto"/>
              <w:jc w:val="both"/>
              <w:rPr>
                <w:rFonts w:ascii="Times New Roman" w:hAnsi="Times New Roman"/>
                <w:color w:val="000000"/>
                <w:spacing w:val="-2"/>
              </w:rPr>
            </w:pPr>
            <w:r>
              <w:rPr>
                <w:rFonts w:ascii="Times New Roman" w:hAnsi="Times New Roman"/>
                <w:color w:val="000000"/>
                <w:spacing w:val="-2"/>
              </w:rPr>
              <w:t>W</w:t>
            </w:r>
            <w:r w:rsidR="007625CC" w:rsidRPr="00BD0F74">
              <w:rPr>
                <w:rFonts w:ascii="Times New Roman" w:hAnsi="Times New Roman"/>
                <w:color w:val="000000"/>
                <w:spacing w:val="-2"/>
              </w:rPr>
              <w:t xml:space="preserve"> 2015 roku Republika Serbii przyjęła Strategię Rozwoju Transportu Wodnego Republiki Serbii na okres od 2015 do 2025 roku wraz z planem działania. Strategia określa listę najważniejszych inwestycji w</w:t>
            </w:r>
            <w:r w:rsidRPr="00FC4FD4">
              <w:rPr>
                <w:rFonts w:ascii="Times New Roman" w:hAnsi="Times New Roman"/>
                <w:color w:val="000000"/>
                <w:spacing w:val="-2"/>
              </w:rPr>
              <w:t xml:space="preserve"> </w:t>
            </w:r>
            <w:r w:rsidR="007625CC" w:rsidRPr="00BD0F74">
              <w:rPr>
                <w:rFonts w:ascii="Times New Roman" w:hAnsi="Times New Roman"/>
                <w:color w:val="000000"/>
                <w:spacing w:val="-2"/>
              </w:rPr>
              <w:t>portach serbskich</w:t>
            </w:r>
            <w:r w:rsidRPr="00FC4FD4">
              <w:rPr>
                <w:rFonts w:ascii="Times New Roman" w:hAnsi="Times New Roman"/>
                <w:color w:val="000000"/>
                <w:spacing w:val="-2"/>
              </w:rPr>
              <w:t xml:space="preserve">, </w:t>
            </w:r>
            <w:r w:rsidR="007625CC" w:rsidRPr="00BD0F74">
              <w:rPr>
                <w:rFonts w:ascii="Times New Roman" w:hAnsi="Times New Roman"/>
                <w:color w:val="000000"/>
                <w:spacing w:val="-2"/>
              </w:rPr>
              <w:t>wyeliminowanie wszystkich wąskich gardeł w sieci dróg wodnych</w:t>
            </w:r>
            <w:r w:rsidRPr="00FC4FD4">
              <w:rPr>
                <w:rFonts w:ascii="Times New Roman" w:hAnsi="Times New Roman"/>
                <w:color w:val="000000"/>
                <w:spacing w:val="-2"/>
              </w:rPr>
              <w:t xml:space="preserve"> oraz </w:t>
            </w:r>
            <w:r w:rsidR="007625CC" w:rsidRPr="00BD0F74">
              <w:rPr>
                <w:rFonts w:ascii="Times New Roman" w:hAnsi="Times New Roman"/>
                <w:color w:val="000000"/>
                <w:spacing w:val="-2"/>
              </w:rPr>
              <w:t>dalsze doskonalenie inteligentnych systemów transportu wodnego.</w:t>
            </w:r>
            <w:r>
              <w:rPr>
                <w:rFonts w:ascii="Times New Roman" w:hAnsi="Times New Roman"/>
                <w:color w:val="000000"/>
                <w:spacing w:val="-2"/>
              </w:rPr>
              <w:t xml:space="preserve"> </w:t>
            </w:r>
            <w:r w:rsidR="007625CC" w:rsidRPr="0053041B">
              <w:rPr>
                <w:rFonts w:ascii="Times New Roman" w:hAnsi="Times New Roman"/>
                <w:color w:val="000000"/>
                <w:spacing w:val="-2"/>
              </w:rPr>
              <w:t>Łączna wartość projektów priorytetowych, których finansowanie jest obowiązkiem Republiki Serbii, wynosi 336 mln euro. Po dodaniu planowanych inwestycji przyszłych koncesjonariuszy portów do wspomnianej wcześniej wartości inwestycji Republiki Serbii, łączna wartość projektów w dzie</w:t>
            </w:r>
            <w:r w:rsidR="007625CC">
              <w:rPr>
                <w:rFonts w:ascii="Times New Roman" w:hAnsi="Times New Roman"/>
                <w:color w:val="000000"/>
                <w:spacing w:val="-2"/>
              </w:rPr>
              <w:t>dzinie transportu wodnego wyniesie 474 mln euro.</w:t>
            </w:r>
          </w:p>
          <w:p w14:paraId="52AA2CCE" w14:textId="45BFE01A" w:rsidR="00D74745" w:rsidRPr="00B37C80" w:rsidRDefault="00F555CB" w:rsidP="00BD0F74">
            <w:pPr>
              <w:spacing w:before="120" w:after="120" w:line="240" w:lineRule="auto"/>
              <w:jc w:val="both"/>
              <w:rPr>
                <w:rFonts w:ascii="Times New Roman" w:hAnsi="Times New Roman"/>
                <w:color w:val="000000"/>
                <w:spacing w:val="-2"/>
              </w:rPr>
            </w:pPr>
            <w:r>
              <w:rPr>
                <w:rFonts w:ascii="Times New Roman" w:hAnsi="Times New Roman"/>
                <w:color w:val="000000"/>
                <w:spacing w:val="-2"/>
              </w:rPr>
              <w:t>Dodatkowo modele biznesowe największych europejskich portów morskich oparte są na zapewnieni</w:t>
            </w:r>
            <w:r w:rsidR="00FC4FD4">
              <w:rPr>
                <w:rFonts w:ascii="Times New Roman" w:hAnsi="Times New Roman"/>
                <w:color w:val="000000"/>
                <w:spacing w:val="-2"/>
              </w:rPr>
              <w:t>u</w:t>
            </w:r>
            <w:r>
              <w:rPr>
                <w:rFonts w:ascii="Times New Roman" w:hAnsi="Times New Roman"/>
                <w:color w:val="000000"/>
                <w:spacing w:val="-2"/>
              </w:rPr>
              <w:t xml:space="preserve"> efektywnej integracji </w:t>
            </w:r>
            <w:r w:rsidR="00083D1D">
              <w:rPr>
                <w:rFonts w:ascii="Times New Roman" w:hAnsi="Times New Roman"/>
                <w:color w:val="000000"/>
                <w:spacing w:val="-2"/>
              </w:rPr>
              <w:t>z zapleczem lądowym przez wykorzystanie żeglugi śródlądowej.</w:t>
            </w:r>
            <w:r w:rsidR="00FC4FD4">
              <w:rPr>
                <w:rFonts w:ascii="Times New Roman" w:hAnsi="Times New Roman"/>
                <w:color w:val="000000"/>
                <w:spacing w:val="-2"/>
              </w:rPr>
              <w:t xml:space="preserve"> Modelowym przykładem </w:t>
            </w:r>
            <w:r w:rsidR="00FC4FD4" w:rsidRPr="00FC4FD4">
              <w:rPr>
                <w:rFonts w:ascii="Times New Roman" w:hAnsi="Times New Roman"/>
                <w:color w:val="000000"/>
                <w:spacing w:val="-2"/>
              </w:rPr>
              <w:t>zachodnioeuropejskiego portu morskiego efektywnie wykorzystującego terminale śródlądowe jako „porty pomocnicze”– s</w:t>
            </w:r>
            <w:r w:rsidR="00FC4FD4">
              <w:rPr>
                <w:rFonts w:ascii="Times New Roman" w:hAnsi="Times New Roman"/>
                <w:color w:val="000000"/>
                <w:spacing w:val="-2"/>
              </w:rPr>
              <w:t xml:space="preserve">tanowiące jego lądowe zaplecze – jest Port Rotterdam. </w:t>
            </w:r>
            <w:r w:rsidR="00FC4FD4" w:rsidRPr="00FC4FD4">
              <w:rPr>
                <w:rFonts w:ascii="Times New Roman" w:hAnsi="Times New Roman"/>
                <w:color w:val="000000"/>
                <w:spacing w:val="-2"/>
              </w:rPr>
              <w:t>Terminale śródlądowe na zapleczu portu w Rotterdamie zostały połąc</w:t>
            </w:r>
            <w:r w:rsidR="00FC4FD4">
              <w:rPr>
                <w:rFonts w:ascii="Times New Roman" w:hAnsi="Times New Roman"/>
                <w:color w:val="000000"/>
                <w:spacing w:val="-2"/>
              </w:rPr>
              <w:t>zone w korytarze logistyczne, a </w:t>
            </w:r>
            <w:r w:rsidR="00FC4FD4" w:rsidRPr="00FC4FD4">
              <w:rPr>
                <w:rFonts w:ascii="Times New Roman" w:hAnsi="Times New Roman"/>
                <w:color w:val="000000"/>
                <w:spacing w:val="-2"/>
              </w:rPr>
              <w:t>funkcjonujące wzdłuż nich organizacje i przedsiębiorcy współpracują w celu usprawnienia logistyki ładunków w relacji port – zaplecze lądowe.</w:t>
            </w:r>
          </w:p>
        </w:tc>
      </w:tr>
      <w:tr w:rsidR="006A701A" w:rsidRPr="008B4FE6" w14:paraId="2EB71E24" w14:textId="77777777" w:rsidTr="00676C8D">
        <w:trPr>
          <w:gridAfter w:val="1"/>
          <w:wAfter w:w="10" w:type="dxa"/>
          <w:trHeight w:val="359"/>
        </w:trPr>
        <w:tc>
          <w:tcPr>
            <w:tcW w:w="10937" w:type="dxa"/>
            <w:gridSpan w:val="21"/>
            <w:shd w:val="clear" w:color="auto" w:fill="99CCFF"/>
            <w:vAlign w:val="center"/>
          </w:tcPr>
          <w:p w14:paraId="58E39AD1" w14:textId="77777777"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260F33" w:rsidRPr="008B4FE6" w14:paraId="7FF5C1FD" w14:textId="77777777" w:rsidTr="00C814BE">
        <w:trPr>
          <w:gridAfter w:val="1"/>
          <w:wAfter w:w="10" w:type="dxa"/>
          <w:trHeight w:val="142"/>
        </w:trPr>
        <w:tc>
          <w:tcPr>
            <w:tcW w:w="2668" w:type="dxa"/>
            <w:gridSpan w:val="3"/>
            <w:shd w:val="clear" w:color="auto" w:fill="auto"/>
          </w:tcPr>
          <w:p w14:paraId="420C193B"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606" w:type="dxa"/>
            <w:gridSpan w:val="6"/>
            <w:shd w:val="clear" w:color="auto" w:fill="auto"/>
          </w:tcPr>
          <w:p w14:paraId="6530B137"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682" w:type="dxa"/>
            <w:gridSpan w:val="7"/>
            <w:shd w:val="clear" w:color="auto" w:fill="auto"/>
          </w:tcPr>
          <w:p w14:paraId="180B8172"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5"/>
            <w:shd w:val="clear" w:color="auto" w:fill="auto"/>
          </w:tcPr>
          <w:p w14:paraId="0C71AC90"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69FEA967" w14:textId="77777777" w:rsidTr="00C814BE">
        <w:trPr>
          <w:gridAfter w:val="1"/>
          <w:wAfter w:w="10" w:type="dxa"/>
          <w:trHeight w:val="142"/>
        </w:trPr>
        <w:tc>
          <w:tcPr>
            <w:tcW w:w="2668" w:type="dxa"/>
            <w:gridSpan w:val="3"/>
            <w:shd w:val="clear" w:color="auto" w:fill="auto"/>
          </w:tcPr>
          <w:p w14:paraId="258D76A7" w14:textId="15055935" w:rsidR="00F91A10" w:rsidRPr="00F91A10" w:rsidRDefault="009D4C0D" w:rsidP="00F91A10">
            <w:pPr>
              <w:spacing w:line="240" w:lineRule="auto"/>
              <w:rPr>
                <w:rFonts w:ascii="Times New Roman" w:hAnsi="Times New Roman"/>
                <w:color w:val="000000"/>
              </w:rPr>
            </w:pPr>
            <w:r>
              <w:rPr>
                <w:rFonts w:ascii="Times New Roman" w:hAnsi="Times New Roman"/>
                <w:color w:val="000000"/>
              </w:rPr>
              <w:t>p</w:t>
            </w:r>
            <w:r w:rsidR="003919E8" w:rsidRPr="003919E8">
              <w:rPr>
                <w:rFonts w:ascii="Times New Roman" w:hAnsi="Times New Roman"/>
                <w:color w:val="000000"/>
              </w:rPr>
              <w:t xml:space="preserve">rzedsiębiorstwa </w:t>
            </w:r>
            <w:r w:rsidR="00F91A10" w:rsidRPr="00F91A10">
              <w:rPr>
                <w:rFonts w:ascii="Times New Roman" w:hAnsi="Times New Roman"/>
                <w:color w:val="000000"/>
              </w:rPr>
              <w:t>deklarujące</w:t>
            </w:r>
          </w:p>
          <w:p w14:paraId="121FF129" w14:textId="397BC4A0" w:rsidR="00F91A10" w:rsidRPr="000102EE" w:rsidRDefault="00F91A10">
            <w:pPr>
              <w:spacing w:line="240" w:lineRule="auto"/>
              <w:rPr>
                <w:rFonts w:ascii="Times New Roman" w:hAnsi="Times New Roman"/>
                <w:color w:val="000000"/>
              </w:rPr>
            </w:pPr>
            <w:r w:rsidRPr="00F91A10">
              <w:rPr>
                <w:rFonts w:ascii="Times New Roman" w:hAnsi="Times New Roman"/>
                <w:color w:val="000000"/>
              </w:rPr>
              <w:t xml:space="preserve">prowadzenie działalności związanej z żeglugą śródlądową </w:t>
            </w:r>
            <w:r>
              <w:rPr>
                <w:rFonts w:ascii="Times New Roman" w:hAnsi="Times New Roman"/>
                <w:color w:val="000000"/>
              </w:rPr>
              <w:t>(</w:t>
            </w:r>
            <w:r w:rsidRPr="000102EE">
              <w:rPr>
                <w:rFonts w:ascii="Times New Roman" w:hAnsi="Times New Roman"/>
                <w:color w:val="000000"/>
              </w:rPr>
              <w:t>zarejestrowane w rejestrze REGON)</w:t>
            </w:r>
          </w:p>
        </w:tc>
        <w:tc>
          <w:tcPr>
            <w:tcW w:w="2606" w:type="dxa"/>
            <w:gridSpan w:val="6"/>
            <w:shd w:val="clear" w:color="auto" w:fill="auto"/>
          </w:tcPr>
          <w:p w14:paraId="6E737B3F" w14:textId="29D72228" w:rsidR="00260F33" w:rsidRPr="00B37C80" w:rsidRDefault="00F91A10" w:rsidP="00A17CB2">
            <w:pPr>
              <w:spacing w:line="240" w:lineRule="auto"/>
              <w:rPr>
                <w:rFonts w:ascii="Times New Roman" w:hAnsi="Times New Roman"/>
                <w:color w:val="000000"/>
                <w:spacing w:val="-2"/>
              </w:rPr>
            </w:pPr>
            <w:r>
              <w:rPr>
                <w:rFonts w:ascii="Times New Roman" w:hAnsi="Times New Roman"/>
                <w:color w:val="000000"/>
                <w:spacing w:val="-2"/>
              </w:rPr>
              <w:t>567</w:t>
            </w:r>
          </w:p>
        </w:tc>
        <w:tc>
          <w:tcPr>
            <w:tcW w:w="2682" w:type="dxa"/>
            <w:gridSpan w:val="7"/>
            <w:shd w:val="clear" w:color="auto" w:fill="auto"/>
          </w:tcPr>
          <w:p w14:paraId="308C14C7" w14:textId="77777777" w:rsidR="00F91A10" w:rsidRPr="000102EE" w:rsidRDefault="00F91A10" w:rsidP="00F91A10">
            <w:pPr>
              <w:spacing w:line="240" w:lineRule="auto"/>
              <w:rPr>
                <w:rFonts w:ascii="Times New Roman" w:hAnsi="Times New Roman"/>
                <w:i/>
                <w:color w:val="000000"/>
                <w:spacing w:val="-2"/>
              </w:rPr>
            </w:pPr>
            <w:r w:rsidRPr="000102EE">
              <w:rPr>
                <w:rFonts w:ascii="Times New Roman" w:hAnsi="Times New Roman"/>
                <w:i/>
                <w:color w:val="000000"/>
                <w:spacing w:val="-2"/>
              </w:rPr>
              <w:t>Analiza ekonomiczno-społeczna zmiany sposobu</w:t>
            </w:r>
          </w:p>
          <w:p w14:paraId="5F4C196B" w14:textId="4E969D0B" w:rsidR="00260F33" w:rsidRPr="00B37C80" w:rsidRDefault="00F91A10" w:rsidP="00F91A10">
            <w:pPr>
              <w:spacing w:line="240" w:lineRule="auto"/>
              <w:rPr>
                <w:rFonts w:ascii="Times New Roman" w:hAnsi="Times New Roman"/>
                <w:color w:val="000000"/>
                <w:spacing w:val="-2"/>
              </w:rPr>
            </w:pPr>
            <w:r w:rsidRPr="000102EE">
              <w:rPr>
                <w:rFonts w:ascii="Times New Roman" w:hAnsi="Times New Roman"/>
                <w:i/>
                <w:color w:val="000000"/>
                <w:spacing w:val="-2"/>
              </w:rPr>
              <w:t>organizacji pracy na statkach żeglugi śródlądowej</w:t>
            </w:r>
            <w:r>
              <w:rPr>
                <w:rFonts w:ascii="Times New Roman" w:hAnsi="Times New Roman"/>
                <w:color w:val="000000"/>
                <w:spacing w:val="-2"/>
              </w:rPr>
              <w:t xml:space="preserve">, </w:t>
            </w:r>
            <w:r w:rsidRPr="00F91A10">
              <w:rPr>
                <w:rFonts w:ascii="Times New Roman" w:hAnsi="Times New Roman"/>
                <w:color w:val="000000"/>
                <w:spacing w:val="-2"/>
              </w:rPr>
              <w:t>KKLW Wierzbicki i Wspólnicy sp.k.</w:t>
            </w:r>
            <w:r>
              <w:rPr>
                <w:rFonts w:ascii="Times New Roman" w:hAnsi="Times New Roman"/>
                <w:color w:val="000000"/>
                <w:spacing w:val="-2"/>
              </w:rPr>
              <w:t xml:space="preserve"> na zlecenie Ministerstwa Infrastruktury, Warszawa, 2 listopada 2022 </w:t>
            </w:r>
            <w:r w:rsidRPr="00F91A10">
              <w:rPr>
                <w:rFonts w:ascii="Times New Roman" w:hAnsi="Times New Roman"/>
                <w:color w:val="000000"/>
                <w:spacing w:val="-2"/>
              </w:rPr>
              <w:t>r.</w:t>
            </w:r>
          </w:p>
        </w:tc>
        <w:tc>
          <w:tcPr>
            <w:tcW w:w="2981" w:type="dxa"/>
            <w:gridSpan w:val="5"/>
            <w:shd w:val="clear" w:color="auto" w:fill="auto"/>
          </w:tcPr>
          <w:p w14:paraId="05780FB1" w14:textId="03138218" w:rsidR="00260F33" w:rsidRPr="00B37C80" w:rsidRDefault="00CA5C30" w:rsidP="007625CC">
            <w:pPr>
              <w:spacing w:line="240" w:lineRule="auto"/>
              <w:rPr>
                <w:rFonts w:ascii="Times New Roman" w:hAnsi="Times New Roman"/>
                <w:color w:val="000000"/>
                <w:spacing w:val="-2"/>
              </w:rPr>
            </w:pPr>
            <w:r>
              <w:rPr>
                <w:rFonts w:ascii="Times New Roman" w:hAnsi="Times New Roman"/>
                <w:color w:val="000000"/>
                <w:spacing w:val="-2"/>
              </w:rPr>
              <w:t>p</w:t>
            </w:r>
            <w:r w:rsidR="000143AC">
              <w:rPr>
                <w:rFonts w:ascii="Times New Roman" w:hAnsi="Times New Roman"/>
                <w:color w:val="000000"/>
                <w:spacing w:val="-2"/>
              </w:rPr>
              <w:t>oprawa</w:t>
            </w:r>
            <w:r w:rsidR="000143AC" w:rsidRPr="008B42A5">
              <w:rPr>
                <w:rFonts w:ascii="Times New Roman" w:hAnsi="Times New Roman"/>
                <w:color w:val="000000"/>
                <w:spacing w:val="-2"/>
              </w:rPr>
              <w:t xml:space="preserve"> warunków nawigacyjnych na użytkowanych transportowo odcinkach dróg wodnych, w</w:t>
            </w:r>
            <w:r w:rsidR="00BD0F74">
              <w:rPr>
                <w:rFonts w:ascii="Times New Roman" w:hAnsi="Times New Roman"/>
                <w:color w:val="000000"/>
                <w:spacing w:val="-2"/>
              </w:rPr>
              <w:t> </w:t>
            </w:r>
            <w:r w:rsidR="000143AC" w:rsidRPr="008B42A5">
              <w:rPr>
                <w:rFonts w:ascii="Times New Roman" w:hAnsi="Times New Roman"/>
                <w:color w:val="000000"/>
                <w:spacing w:val="-2"/>
              </w:rPr>
              <w:t>szczególności na zapleczu portów morskich o</w:t>
            </w:r>
            <w:r w:rsidR="0039711E">
              <w:rPr>
                <w:rFonts w:ascii="Times New Roman" w:hAnsi="Times New Roman"/>
                <w:color w:val="000000"/>
                <w:spacing w:val="-2"/>
              </w:rPr>
              <w:t xml:space="preserve"> </w:t>
            </w:r>
            <w:r w:rsidR="000143AC" w:rsidRPr="008B42A5">
              <w:rPr>
                <w:rFonts w:ascii="Times New Roman" w:hAnsi="Times New Roman"/>
                <w:color w:val="000000"/>
                <w:spacing w:val="-2"/>
              </w:rPr>
              <w:t>podstawowym znaczeniu dla</w:t>
            </w:r>
            <w:r w:rsidR="0039711E">
              <w:rPr>
                <w:rFonts w:ascii="Times New Roman" w:hAnsi="Times New Roman"/>
                <w:color w:val="000000"/>
                <w:spacing w:val="-2"/>
              </w:rPr>
              <w:t xml:space="preserve"> </w:t>
            </w:r>
            <w:r w:rsidR="000143AC" w:rsidRPr="008B42A5">
              <w:rPr>
                <w:rFonts w:ascii="Times New Roman" w:hAnsi="Times New Roman"/>
                <w:color w:val="000000"/>
                <w:spacing w:val="-2"/>
              </w:rPr>
              <w:t>gospodarki narodowej</w:t>
            </w:r>
            <w:r w:rsidR="000143AC">
              <w:rPr>
                <w:rFonts w:ascii="Times New Roman" w:hAnsi="Times New Roman"/>
                <w:color w:val="000000"/>
                <w:spacing w:val="-2"/>
              </w:rPr>
              <w:t>,</w:t>
            </w:r>
            <w:r w:rsidR="000143AC" w:rsidDel="000143AC">
              <w:rPr>
                <w:rFonts w:ascii="Times New Roman" w:hAnsi="Times New Roman"/>
                <w:color w:val="000000"/>
                <w:spacing w:val="-2"/>
              </w:rPr>
              <w:t xml:space="preserve"> </w:t>
            </w:r>
            <w:r w:rsidR="001C1F36">
              <w:rPr>
                <w:rFonts w:ascii="Times New Roman" w:hAnsi="Times New Roman"/>
                <w:color w:val="000000"/>
                <w:spacing w:val="-2"/>
              </w:rPr>
              <w:t>aktywizacja sektora stoczniowego oraz wzrost konkurencyjności żeglugi śródlądowej</w:t>
            </w:r>
            <w:r>
              <w:rPr>
                <w:rFonts w:ascii="Times New Roman" w:hAnsi="Times New Roman"/>
                <w:color w:val="000000"/>
                <w:spacing w:val="-2"/>
              </w:rPr>
              <w:t xml:space="preserve"> w multi</w:t>
            </w:r>
            <w:r w:rsidR="00BD0F74">
              <w:rPr>
                <w:rFonts w:ascii="Times New Roman" w:hAnsi="Times New Roman"/>
                <w:color w:val="000000"/>
                <w:spacing w:val="-2"/>
              </w:rPr>
              <w:t>modalnym systemie transportowym, konieczność modernizacji floty żeglugi śródlądowej</w:t>
            </w:r>
          </w:p>
        </w:tc>
      </w:tr>
      <w:tr w:rsidR="00260F33" w:rsidRPr="008B4FE6" w14:paraId="414F2A51" w14:textId="77777777" w:rsidTr="00C814BE">
        <w:trPr>
          <w:gridAfter w:val="1"/>
          <w:wAfter w:w="10" w:type="dxa"/>
          <w:trHeight w:val="142"/>
        </w:trPr>
        <w:tc>
          <w:tcPr>
            <w:tcW w:w="2668" w:type="dxa"/>
            <w:gridSpan w:val="3"/>
            <w:shd w:val="clear" w:color="auto" w:fill="auto"/>
          </w:tcPr>
          <w:p w14:paraId="69B5C5C8" w14:textId="21C20A7B" w:rsidR="00260F33" w:rsidRPr="008B4FE6" w:rsidRDefault="008963E2" w:rsidP="0013118F">
            <w:pPr>
              <w:spacing w:line="240" w:lineRule="auto"/>
              <w:rPr>
                <w:rFonts w:ascii="Times New Roman" w:hAnsi="Times New Roman"/>
                <w:color w:val="000000"/>
                <w:spacing w:val="-2"/>
              </w:rPr>
            </w:pPr>
            <w:r>
              <w:rPr>
                <w:rFonts w:ascii="Times New Roman" w:hAnsi="Times New Roman"/>
                <w:color w:val="000000"/>
              </w:rPr>
              <w:lastRenderedPageBreak/>
              <w:t>j</w:t>
            </w:r>
            <w:r w:rsidR="00940665">
              <w:rPr>
                <w:rFonts w:ascii="Times New Roman" w:hAnsi="Times New Roman"/>
                <w:color w:val="000000"/>
              </w:rPr>
              <w:t>ed</w:t>
            </w:r>
            <w:r w:rsidR="0013118F">
              <w:rPr>
                <w:rFonts w:ascii="Times New Roman" w:hAnsi="Times New Roman"/>
                <w:color w:val="000000"/>
              </w:rPr>
              <w:t xml:space="preserve">nostki </w:t>
            </w:r>
            <w:r>
              <w:rPr>
                <w:rFonts w:ascii="Times New Roman" w:hAnsi="Times New Roman"/>
                <w:color w:val="000000"/>
              </w:rPr>
              <w:t>s</w:t>
            </w:r>
            <w:r w:rsidR="0013118F">
              <w:rPr>
                <w:rFonts w:ascii="Times New Roman" w:hAnsi="Times New Roman"/>
                <w:color w:val="000000"/>
              </w:rPr>
              <w:t xml:space="preserve">amorządu </w:t>
            </w:r>
            <w:r>
              <w:rPr>
                <w:rFonts w:ascii="Times New Roman" w:hAnsi="Times New Roman"/>
                <w:color w:val="000000"/>
              </w:rPr>
              <w:t>t</w:t>
            </w:r>
            <w:r w:rsidR="0013118F">
              <w:rPr>
                <w:rFonts w:ascii="Times New Roman" w:hAnsi="Times New Roman"/>
                <w:color w:val="000000"/>
              </w:rPr>
              <w:t>erytorialnego</w:t>
            </w:r>
          </w:p>
        </w:tc>
        <w:tc>
          <w:tcPr>
            <w:tcW w:w="2606" w:type="dxa"/>
            <w:gridSpan w:val="6"/>
            <w:shd w:val="clear" w:color="auto" w:fill="auto"/>
          </w:tcPr>
          <w:p w14:paraId="7D718309" w14:textId="38F144DA" w:rsidR="00260F33" w:rsidRPr="00B37C80" w:rsidRDefault="006B21A4" w:rsidP="007F0021">
            <w:pPr>
              <w:spacing w:line="240" w:lineRule="auto"/>
              <w:rPr>
                <w:rFonts w:ascii="Times New Roman" w:hAnsi="Times New Roman"/>
                <w:color w:val="000000"/>
                <w:spacing w:val="-2"/>
              </w:rPr>
            </w:pPr>
            <w:r>
              <w:rPr>
                <w:rFonts w:ascii="Times New Roman" w:hAnsi="Times New Roman"/>
                <w:color w:val="000000"/>
                <w:spacing w:val="-2"/>
              </w:rPr>
              <w:t xml:space="preserve">82 powiaty z </w:t>
            </w:r>
            <w:r w:rsidRPr="006B21A4">
              <w:rPr>
                <w:rFonts w:ascii="Times New Roman" w:hAnsi="Times New Roman"/>
                <w:color w:val="000000"/>
                <w:spacing w:val="-2"/>
              </w:rPr>
              <w:t>8 województw</w:t>
            </w:r>
            <w:r>
              <w:rPr>
                <w:rFonts w:ascii="Times New Roman" w:hAnsi="Times New Roman"/>
                <w:color w:val="000000"/>
                <w:spacing w:val="-2"/>
              </w:rPr>
              <w:t xml:space="preserve">  (</w:t>
            </w:r>
            <w:r w:rsidRPr="006B21A4">
              <w:rPr>
                <w:rFonts w:ascii="Times New Roman" w:hAnsi="Times New Roman"/>
                <w:color w:val="000000"/>
                <w:spacing w:val="-2"/>
              </w:rPr>
              <w:t>zachodniopomorskiego, lubuskiego, wielkopolskiego, opolskiego, dolnośląskiego, śląskiego, pomorskiego i kujawsko-pomorskiego)</w:t>
            </w:r>
          </w:p>
        </w:tc>
        <w:tc>
          <w:tcPr>
            <w:tcW w:w="2682" w:type="dxa"/>
            <w:gridSpan w:val="7"/>
            <w:shd w:val="clear" w:color="auto" w:fill="auto"/>
          </w:tcPr>
          <w:p w14:paraId="06BCFA5E" w14:textId="37B5C664" w:rsidR="00260F33" w:rsidRPr="007779FE" w:rsidRDefault="00CA5C30" w:rsidP="007F0021">
            <w:pPr>
              <w:spacing w:line="240" w:lineRule="auto"/>
              <w:rPr>
                <w:rFonts w:ascii="Times New Roman" w:hAnsi="Times New Roman"/>
                <w:spacing w:val="-2"/>
              </w:rPr>
            </w:pPr>
            <w:r>
              <w:rPr>
                <w:rFonts w:ascii="Times New Roman" w:hAnsi="Times New Roman"/>
                <w:spacing w:val="-2"/>
              </w:rPr>
              <w:t>d</w:t>
            </w:r>
            <w:r w:rsidR="006C42F8" w:rsidRPr="007779FE">
              <w:rPr>
                <w:rFonts w:ascii="Times New Roman" w:hAnsi="Times New Roman"/>
                <w:spacing w:val="-2"/>
              </w:rPr>
              <w:t>ane własne</w:t>
            </w:r>
          </w:p>
        </w:tc>
        <w:tc>
          <w:tcPr>
            <w:tcW w:w="2981" w:type="dxa"/>
            <w:gridSpan w:val="5"/>
            <w:shd w:val="clear" w:color="auto" w:fill="auto"/>
          </w:tcPr>
          <w:p w14:paraId="1ADD92A3" w14:textId="015A9630" w:rsidR="00260F33" w:rsidRPr="00B37C80" w:rsidRDefault="00CA5C30" w:rsidP="008606B8">
            <w:pPr>
              <w:spacing w:line="240" w:lineRule="auto"/>
              <w:rPr>
                <w:rFonts w:ascii="Times New Roman" w:hAnsi="Times New Roman"/>
                <w:color w:val="000000"/>
                <w:spacing w:val="-2"/>
              </w:rPr>
            </w:pPr>
            <w:r>
              <w:rPr>
                <w:rFonts w:ascii="Times New Roman" w:hAnsi="Times New Roman"/>
                <w:color w:val="000000"/>
                <w:spacing w:val="-2"/>
              </w:rPr>
              <w:t>o</w:t>
            </w:r>
            <w:r w:rsidR="003937E7">
              <w:rPr>
                <w:rFonts w:ascii="Times New Roman" w:hAnsi="Times New Roman"/>
                <w:color w:val="000000"/>
                <w:spacing w:val="-2"/>
              </w:rPr>
              <w:t xml:space="preserve">chrona przed </w:t>
            </w:r>
            <w:r w:rsidR="00221462">
              <w:rPr>
                <w:rFonts w:ascii="Times New Roman" w:hAnsi="Times New Roman"/>
                <w:color w:val="000000"/>
                <w:spacing w:val="-2"/>
              </w:rPr>
              <w:t>skutkami</w:t>
            </w:r>
            <w:r w:rsidR="003937E7">
              <w:rPr>
                <w:rFonts w:ascii="Times New Roman" w:hAnsi="Times New Roman"/>
                <w:color w:val="000000"/>
                <w:spacing w:val="-2"/>
              </w:rPr>
              <w:t xml:space="preserve"> pow</w:t>
            </w:r>
            <w:r w:rsidR="00605273">
              <w:rPr>
                <w:rFonts w:ascii="Times New Roman" w:hAnsi="Times New Roman"/>
                <w:color w:val="000000"/>
                <w:spacing w:val="-2"/>
              </w:rPr>
              <w:t>o</w:t>
            </w:r>
            <w:r w:rsidR="003937E7">
              <w:rPr>
                <w:rFonts w:ascii="Times New Roman" w:hAnsi="Times New Roman"/>
                <w:color w:val="000000"/>
                <w:spacing w:val="-2"/>
              </w:rPr>
              <w:t>dzi, aktywizacja gospodarcza terenów nadrzecznych</w:t>
            </w:r>
            <w:r w:rsidR="00605273">
              <w:rPr>
                <w:rFonts w:ascii="Times New Roman" w:hAnsi="Times New Roman"/>
                <w:color w:val="000000"/>
                <w:spacing w:val="-2"/>
              </w:rPr>
              <w:t>, rozwój śródlądowych portów w</w:t>
            </w:r>
            <w:r w:rsidR="00BD0F74">
              <w:rPr>
                <w:rFonts w:ascii="Times New Roman" w:hAnsi="Times New Roman"/>
                <w:color w:val="000000"/>
                <w:spacing w:val="-2"/>
              </w:rPr>
              <w:t> </w:t>
            </w:r>
            <w:r w:rsidR="00605273">
              <w:rPr>
                <w:rFonts w:ascii="Times New Roman" w:hAnsi="Times New Roman"/>
                <w:color w:val="000000"/>
                <w:spacing w:val="-2"/>
              </w:rPr>
              <w:t>ramach partnerstwa, powstanie nowych miejsc pracy</w:t>
            </w:r>
          </w:p>
        </w:tc>
      </w:tr>
      <w:tr w:rsidR="00260F33" w:rsidRPr="008B4FE6" w14:paraId="024F2857" w14:textId="77777777" w:rsidTr="00C814BE">
        <w:trPr>
          <w:gridAfter w:val="1"/>
          <w:wAfter w:w="10" w:type="dxa"/>
          <w:trHeight w:val="142"/>
        </w:trPr>
        <w:tc>
          <w:tcPr>
            <w:tcW w:w="2668" w:type="dxa"/>
            <w:gridSpan w:val="3"/>
            <w:shd w:val="clear" w:color="auto" w:fill="auto"/>
          </w:tcPr>
          <w:p w14:paraId="15173A9F" w14:textId="0948977E" w:rsidR="00260F33" w:rsidRPr="008B4FE6" w:rsidRDefault="00C4483F" w:rsidP="00A17CB2">
            <w:pPr>
              <w:spacing w:line="240" w:lineRule="auto"/>
              <w:rPr>
                <w:rFonts w:ascii="Times New Roman" w:hAnsi="Times New Roman"/>
                <w:color w:val="000000"/>
                <w:spacing w:val="-2"/>
              </w:rPr>
            </w:pPr>
            <w:r>
              <w:rPr>
                <w:rFonts w:ascii="Times New Roman" w:hAnsi="Times New Roman"/>
                <w:color w:val="000000"/>
                <w:spacing w:val="-2"/>
              </w:rPr>
              <w:t>B</w:t>
            </w:r>
            <w:r w:rsidR="008D51BA">
              <w:rPr>
                <w:rFonts w:ascii="Times New Roman" w:hAnsi="Times New Roman"/>
                <w:color w:val="000000"/>
                <w:spacing w:val="-2"/>
              </w:rPr>
              <w:t xml:space="preserve">ank </w:t>
            </w:r>
            <w:r>
              <w:rPr>
                <w:rFonts w:ascii="Times New Roman" w:hAnsi="Times New Roman"/>
                <w:color w:val="000000"/>
                <w:spacing w:val="-2"/>
              </w:rPr>
              <w:t>G</w:t>
            </w:r>
            <w:r w:rsidR="008D51BA">
              <w:rPr>
                <w:rFonts w:ascii="Times New Roman" w:hAnsi="Times New Roman"/>
                <w:color w:val="000000"/>
                <w:spacing w:val="-2"/>
              </w:rPr>
              <w:t xml:space="preserve">ospodarstwa </w:t>
            </w:r>
            <w:r>
              <w:rPr>
                <w:rFonts w:ascii="Times New Roman" w:hAnsi="Times New Roman"/>
                <w:color w:val="000000"/>
                <w:spacing w:val="-2"/>
              </w:rPr>
              <w:t>K</w:t>
            </w:r>
            <w:r w:rsidR="008D51BA">
              <w:rPr>
                <w:rFonts w:ascii="Times New Roman" w:hAnsi="Times New Roman"/>
                <w:color w:val="000000"/>
                <w:spacing w:val="-2"/>
              </w:rPr>
              <w:t>rajowego</w:t>
            </w:r>
            <w:r>
              <w:rPr>
                <w:rFonts w:ascii="Times New Roman" w:hAnsi="Times New Roman"/>
                <w:color w:val="000000"/>
                <w:spacing w:val="-2"/>
              </w:rPr>
              <w:t xml:space="preserve"> </w:t>
            </w:r>
            <w:r w:rsidR="00F43501">
              <w:rPr>
                <w:rFonts w:ascii="Times New Roman" w:hAnsi="Times New Roman"/>
                <w:color w:val="000000"/>
                <w:spacing w:val="-2"/>
              </w:rPr>
              <w:t>(dalej: BGK)</w:t>
            </w:r>
          </w:p>
        </w:tc>
        <w:tc>
          <w:tcPr>
            <w:tcW w:w="2606" w:type="dxa"/>
            <w:gridSpan w:val="6"/>
            <w:shd w:val="clear" w:color="auto" w:fill="auto"/>
          </w:tcPr>
          <w:p w14:paraId="3730AD65" w14:textId="77777777" w:rsidR="00260F33" w:rsidRPr="00B37C80" w:rsidRDefault="00C4483F" w:rsidP="00A17CB2">
            <w:pPr>
              <w:spacing w:line="240" w:lineRule="auto"/>
              <w:rPr>
                <w:rFonts w:ascii="Times New Roman" w:hAnsi="Times New Roman"/>
                <w:color w:val="000000"/>
                <w:spacing w:val="-2"/>
              </w:rPr>
            </w:pPr>
            <w:r>
              <w:rPr>
                <w:rFonts w:ascii="Times New Roman" w:hAnsi="Times New Roman"/>
                <w:color w:val="000000"/>
                <w:spacing w:val="-2"/>
              </w:rPr>
              <w:t xml:space="preserve">1 </w:t>
            </w:r>
          </w:p>
        </w:tc>
        <w:tc>
          <w:tcPr>
            <w:tcW w:w="2682" w:type="dxa"/>
            <w:gridSpan w:val="7"/>
            <w:shd w:val="clear" w:color="auto" w:fill="auto"/>
          </w:tcPr>
          <w:p w14:paraId="6178C80B" w14:textId="0B405EF2" w:rsidR="00260F33" w:rsidRPr="00B37C80" w:rsidRDefault="002B4858" w:rsidP="00A17CB2">
            <w:pPr>
              <w:spacing w:line="240" w:lineRule="auto"/>
              <w:rPr>
                <w:rFonts w:ascii="Times New Roman" w:hAnsi="Times New Roman"/>
                <w:color w:val="000000"/>
                <w:spacing w:val="-2"/>
              </w:rPr>
            </w:pPr>
            <w:r>
              <w:rPr>
                <w:rFonts w:ascii="Times New Roman" w:hAnsi="Times New Roman"/>
                <w:color w:val="000000"/>
                <w:spacing w:val="-2"/>
              </w:rPr>
              <w:t>d</w:t>
            </w:r>
            <w:r w:rsidR="00C4483F">
              <w:rPr>
                <w:rFonts w:ascii="Times New Roman" w:hAnsi="Times New Roman"/>
                <w:color w:val="000000"/>
                <w:spacing w:val="-2"/>
              </w:rPr>
              <w:t xml:space="preserve">ane własne </w:t>
            </w:r>
          </w:p>
        </w:tc>
        <w:tc>
          <w:tcPr>
            <w:tcW w:w="2981" w:type="dxa"/>
            <w:gridSpan w:val="5"/>
            <w:shd w:val="clear" w:color="auto" w:fill="auto"/>
          </w:tcPr>
          <w:p w14:paraId="719F2B5B" w14:textId="2D8C03F4" w:rsidR="00260F33" w:rsidRPr="00B37C80" w:rsidRDefault="003B4E9C" w:rsidP="00A17CB2">
            <w:pPr>
              <w:spacing w:line="240" w:lineRule="auto"/>
              <w:rPr>
                <w:rFonts w:ascii="Times New Roman" w:hAnsi="Times New Roman"/>
                <w:color w:val="000000"/>
                <w:spacing w:val="-2"/>
              </w:rPr>
            </w:pPr>
            <w:r>
              <w:rPr>
                <w:rFonts w:ascii="Times New Roman" w:hAnsi="Times New Roman"/>
                <w:color w:val="000000"/>
                <w:spacing w:val="-2"/>
              </w:rPr>
              <w:t>BGK jest dysponentem środków Funduszu Żeglugi Śródlądowej</w:t>
            </w:r>
            <w:r w:rsidR="002B4858">
              <w:rPr>
                <w:rFonts w:ascii="Times New Roman" w:hAnsi="Times New Roman"/>
                <w:color w:val="000000"/>
                <w:spacing w:val="-2"/>
              </w:rPr>
              <w:t xml:space="preserve"> – u</w:t>
            </w:r>
            <w:r>
              <w:rPr>
                <w:rFonts w:ascii="Times New Roman" w:hAnsi="Times New Roman"/>
                <w:color w:val="000000"/>
                <w:spacing w:val="-2"/>
              </w:rPr>
              <w:t>dziela preferencyjnych kredytów oraz</w:t>
            </w:r>
            <w:r w:rsidR="0039711E">
              <w:rPr>
                <w:rFonts w:ascii="Times New Roman" w:hAnsi="Times New Roman"/>
                <w:color w:val="000000"/>
                <w:spacing w:val="-2"/>
              </w:rPr>
              <w:t xml:space="preserve"> </w:t>
            </w:r>
            <w:r>
              <w:rPr>
                <w:rFonts w:ascii="Times New Roman" w:hAnsi="Times New Roman"/>
                <w:color w:val="000000"/>
                <w:spacing w:val="-2"/>
              </w:rPr>
              <w:t>dofinansowań dla armatorów na zakup i wyposażenie jednostek</w:t>
            </w:r>
            <w:r w:rsidR="002B4858">
              <w:rPr>
                <w:rFonts w:ascii="Times New Roman" w:hAnsi="Times New Roman"/>
                <w:color w:val="000000"/>
                <w:spacing w:val="-2"/>
              </w:rPr>
              <w:t>, d</w:t>
            </w:r>
            <w:r>
              <w:rPr>
                <w:rFonts w:ascii="Times New Roman" w:hAnsi="Times New Roman"/>
                <w:color w:val="000000"/>
                <w:spacing w:val="-2"/>
              </w:rPr>
              <w:t xml:space="preserve">ysponuje również środkami przewidzianymi na realizację </w:t>
            </w:r>
            <w:r w:rsidR="002B4858">
              <w:rPr>
                <w:rFonts w:ascii="Times New Roman" w:hAnsi="Times New Roman"/>
                <w:color w:val="000000"/>
                <w:spacing w:val="-2"/>
              </w:rPr>
              <w:t>p</w:t>
            </w:r>
            <w:r>
              <w:rPr>
                <w:rFonts w:ascii="Times New Roman" w:hAnsi="Times New Roman"/>
                <w:color w:val="000000"/>
                <w:spacing w:val="-2"/>
              </w:rPr>
              <w:t>lanu promocji żeglugi śródlądowej</w:t>
            </w:r>
          </w:p>
        </w:tc>
      </w:tr>
      <w:tr w:rsidR="00260F33" w:rsidRPr="008B4FE6" w14:paraId="2CCAE735" w14:textId="77777777" w:rsidTr="00C814BE">
        <w:trPr>
          <w:gridAfter w:val="1"/>
          <w:wAfter w:w="10" w:type="dxa"/>
          <w:trHeight w:val="142"/>
        </w:trPr>
        <w:tc>
          <w:tcPr>
            <w:tcW w:w="2668" w:type="dxa"/>
            <w:gridSpan w:val="3"/>
            <w:shd w:val="clear" w:color="auto" w:fill="auto"/>
          </w:tcPr>
          <w:p w14:paraId="31CB42D6" w14:textId="7C28E3BE" w:rsidR="00260F33" w:rsidRPr="008B4FE6" w:rsidRDefault="008D51BA" w:rsidP="0072636A">
            <w:pPr>
              <w:tabs>
                <w:tab w:val="left" w:pos="1560"/>
              </w:tabs>
              <w:spacing w:line="240" w:lineRule="auto"/>
              <w:rPr>
                <w:rFonts w:ascii="Times New Roman" w:hAnsi="Times New Roman"/>
                <w:color w:val="000000"/>
              </w:rPr>
            </w:pPr>
            <w:r>
              <w:rPr>
                <w:rFonts w:ascii="Times New Roman" w:hAnsi="Times New Roman"/>
                <w:color w:val="000000"/>
              </w:rPr>
              <w:t>p</w:t>
            </w:r>
            <w:r w:rsidR="00C4483F">
              <w:rPr>
                <w:rFonts w:ascii="Times New Roman" w:hAnsi="Times New Roman"/>
                <w:color w:val="000000"/>
              </w:rPr>
              <w:t>orty morskie</w:t>
            </w:r>
            <w:r w:rsidR="00165398">
              <w:rPr>
                <w:rFonts w:ascii="Times New Roman" w:hAnsi="Times New Roman"/>
                <w:color w:val="000000"/>
              </w:rPr>
              <w:t xml:space="preserve"> w</w:t>
            </w:r>
            <w:r w:rsidR="00381215">
              <w:rPr>
                <w:rFonts w:ascii="Times New Roman" w:hAnsi="Times New Roman"/>
                <w:color w:val="000000"/>
              </w:rPr>
              <w:t>: Gdańsk</w:t>
            </w:r>
            <w:r w:rsidR="00165398">
              <w:rPr>
                <w:rFonts w:ascii="Times New Roman" w:hAnsi="Times New Roman"/>
                <w:color w:val="000000"/>
              </w:rPr>
              <w:t>u</w:t>
            </w:r>
            <w:r w:rsidR="00381215">
              <w:rPr>
                <w:rFonts w:ascii="Times New Roman" w:hAnsi="Times New Roman"/>
                <w:color w:val="000000"/>
              </w:rPr>
              <w:t>, Gdyni, Szczeci</w:t>
            </w:r>
            <w:r w:rsidR="00165398">
              <w:rPr>
                <w:rFonts w:ascii="Times New Roman" w:hAnsi="Times New Roman"/>
                <w:color w:val="000000"/>
              </w:rPr>
              <w:t>nie</w:t>
            </w:r>
            <w:r w:rsidR="00381215">
              <w:rPr>
                <w:rFonts w:ascii="Times New Roman" w:hAnsi="Times New Roman"/>
                <w:color w:val="000000"/>
              </w:rPr>
              <w:t xml:space="preserve"> i Świnoujści</w:t>
            </w:r>
            <w:r w:rsidR="00165398">
              <w:rPr>
                <w:rFonts w:ascii="Times New Roman" w:hAnsi="Times New Roman"/>
                <w:color w:val="000000"/>
              </w:rPr>
              <w:t>u</w:t>
            </w:r>
          </w:p>
        </w:tc>
        <w:tc>
          <w:tcPr>
            <w:tcW w:w="2606" w:type="dxa"/>
            <w:gridSpan w:val="6"/>
            <w:shd w:val="clear" w:color="auto" w:fill="auto"/>
          </w:tcPr>
          <w:p w14:paraId="5DCFCC2E" w14:textId="77777777" w:rsidR="00260F33" w:rsidRPr="00B37C80" w:rsidRDefault="00605273" w:rsidP="00A17CB2">
            <w:pPr>
              <w:spacing w:line="240" w:lineRule="auto"/>
              <w:rPr>
                <w:rFonts w:ascii="Times New Roman" w:hAnsi="Times New Roman"/>
                <w:color w:val="000000"/>
                <w:spacing w:val="-2"/>
              </w:rPr>
            </w:pPr>
            <w:r>
              <w:rPr>
                <w:rFonts w:ascii="Times New Roman" w:hAnsi="Times New Roman"/>
                <w:color w:val="000000"/>
                <w:spacing w:val="-2"/>
              </w:rPr>
              <w:t>4</w:t>
            </w:r>
          </w:p>
        </w:tc>
        <w:tc>
          <w:tcPr>
            <w:tcW w:w="2682" w:type="dxa"/>
            <w:gridSpan w:val="7"/>
            <w:shd w:val="clear" w:color="auto" w:fill="auto"/>
          </w:tcPr>
          <w:p w14:paraId="07D8F9A6" w14:textId="2BDAEC90" w:rsidR="00260F33" w:rsidRPr="00B37C80" w:rsidRDefault="002B4858" w:rsidP="00A17CB2">
            <w:pPr>
              <w:spacing w:line="240" w:lineRule="auto"/>
              <w:rPr>
                <w:rFonts w:ascii="Times New Roman" w:hAnsi="Times New Roman"/>
                <w:color w:val="000000"/>
                <w:spacing w:val="-2"/>
              </w:rPr>
            </w:pPr>
            <w:r>
              <w:rPr>
                <w:rFonts w:ascii="Times New Roman" w:hAnsi="Times New Roman"/>
                <w:color w:val="000000"/>
                <w:spacing w:val="-2"/>
              </w:rPr>
              <w:t>d</w:t>
            </w:r>
            <w:r w:rsidR="00605273">
              <w:rPr>
                <w:rFonts w:ascii="Times New Roman" w:hAnsi="Times New Roman"/>
                <w:color w:val="000000"/>
                <w:spacing w:val="-2"/>
              </w:rPr>
              <w:t>ane własne</w:t>
            </w:r>
          </w:p>
        </w:tc>
        <w:tc>
          <w:tcPr>
            <w:tcW w:w="2981" w:type="dxa"/>
            <w:gridSpan w:val="5"/>
            <w:shd w:val="clear" w:color="auto" w:fill="auto"/>
          </w:tcPr>
          <w:p w14:paraId="29EE0F3A" w14:textId="5B5C2A0C" w:rsidR="00260F33" w:rsidRPr="00B37C80" w:rsidRDefault="00BF1C56" w:rsidP="00A17CB2">
            <w:pPr>
              <w:spacing w:line="240" w:lineRule="auto"/>
              <w:rPr>
                <w:rFonts w:ascii="Times New Roman" w:hAnsi="Times New Roman"/>
                <w:color w:val="000000"/>
                <w:spacing w:val="-2"/>
              </w:rPr>
            </w:pPr>
            <w:r>
              <w:rPr>
                <w:rFonts w:ascii="Times New Roman" w:hAnsi="Times New Roman"/>
                <w:color w:val="000000"/>
                <w:spacing w:val="-2"/>
              </w:rPr>
              <w:t>z</w:t>
            </w:r>
            <w:r w:rsidR="00605273">
              <w:rPr>
                <w:rFonts w:ascii="Times New Roman" w:hAnsi="Times New Roman"/>
                <w:color w:val="000000"/>
                <w:spacing w:val="-2"/>
              </w:rPr>
              <w:t>większenie dostępności transportowej, zmniejszenie kongestii na drogach dojazdowych do portów morskich</w:t>
            </w:r>
          </w:p>
        </w:tc>
      </w:tr>
      <w:tr w:rsidR="00260F33" w:rsidRPr="008B4FE6" w14:paraId="50A1C4D7" w14:textId="77777777" w:rsidTr="00C814BE">
        <w:trPr>
          <w:gridAfter w:val="1"/>
          <w:wAfter w:w="10" w:type="dxa"/>
          <w:trHeight w:val="500"/>
        </w:trPr>
        <w:tc>
          <w:tcPr>
            <w:tcW w:w="2668" w:type="dxa"/>
            <w:gridSpan w:val="3"/>
            <w:shd w:val="clear" w:color="auto" w:fill="auto"/>
          </w:tcPr>
          <w:p w14:paraId="7F14AC80" w14:textId="316FEAB5" w:rsidR="00260F33" w:rsidRPr="008B4FE6" w:rsidRDefault="00645C2A" w:rsidP="0072636A">
            <w:pPr>
              <w:tabs>
                <w:tab w:val="left" w:pos="1560"/>
              </w:tabs>
              <w:spacing w:line="240" w:lineRule="auto"/>
              <w:rPr>
                <w:rFonts w:ascii="Times New Roman" w:hAnsi="Times New Roman"/>
                <w:color w:val="000000"/>
              </w:rPr>
            </w:pPr>
            <w:r>
              <w:rPr>
                <w:rFonts w:ascii="Times New Roman" w:hAnsi="Times New Roman"/>
                <w:color w:val="000000"/>
              </w:rPr>
              <w:t>p</w:t>
            </w:r>
            <w:r w:rsidR="00FA1328">
              <w:rPr>
                <w:rFonts w:ascii="Times New Roman" w:hAnsi="Times New Roman"/>
                <w:color w:val="000000"/>
              </w:rPr>
              <w:t>racownicy sektora żeglugi śródlądowej</w:t>
            </w:r>
          </w:p>
        </w:tc>
        <w:tc>
          <w:tcPr>
            <w:tcW w:w="2606" w:type="dxa"/>
            <w:gridSpan w:val="6"/>
            <w:shd w:val="clear" w:color="auto" w:fill="auto"/>
          </w:tcPr>
          <w:p w14:paraId="572A98F1" w14:textId="1E72970E" w:rsidR="00260F33" w:rsidRPr="00B37C80" w:rsidRDefault="007C27DF" w:rsidP="00A17CB2">
            <w:pPr>
              <w:spacing w:line="240" w:lineRule="auto"/>
              <w:rPr>
                <w:rFonts w:ascii="Times New Roman" w:hAnsi="Times New Roman"/>
                <w:color w:val="000000"/>
                <w:spacing w:val="-2"/>
              </w:rPr>
            </w:pPr>
            <w:r>
              <w:rPr>
                <w:rFonts w:ascii="Times New Roman" w:hAnsi="Times New Roman"/>
                <w:color w:val="000000"/>
                <w:spacing w:val="-2"/>
              </w:rPr>
              <w:t>o</w:t>
            </w:r>
            <w:r w:rsidR="00D07D84">
              <w:rPr>
                <w:rFonts w:ascii="Times New Roman" w:hAnsi="Times New Roman"/>
                <w:color w:val="000000"/>
                <w:spacing w:val="-2"/>
              </w:rPr>
              <w:t xml:space="preserve">k. </w:t>
            </w:r>
            <w:r w:rsidR="00D569C2" w:rsidRPr="000102EE">
              <w:rPr>
                <w:rFonts w:ascii="Times New Roman" w:hAnsi="Times New Roman"/>
                <w:color w:val="000000"/>
                <w:spacing w:val="-2"/>
              </w:rPr>
              <w:t>388</w:t>
            </w:r>
          </w:p>
        </w:tc>
        <w:tc>
          <w:tcPr>
            <w:tcW w:w="2682" w:type="dxa"/>
            <w:gridSpan w:val="7"/>
            <w:shd w:val="clear" w:color="auto" w:fill="auto"/>
          </w:tcPr>
          <w:p w14:paraId="02ACAB78" w14:textId="77777777" w:rsidR="00D569C2" w:rsidRPr="00477764" w:rsidRDefault="00D569C2" w:rsidP="00D569C2">
            <w:pPr>
              <w:spacing w:line="240" w:lineRule="auto"/>
              <w:rPr>
                <w:rFonts w:ascii="Times New Roman" w:hAnsi="Times New Roman"/>
                <w:i/>
                <w:color w:val="000000"/>
                <w:spacing w:val="-2"/>
              </w:rPr>
            </w:pPr>
            <w:r w:rsidRPr="00477764">
              <w:rPr>
                <w:rFonts w:ascii="Times New Roman" w:hAnsi="Times New Roman"/>
                <w:i/>
                <w:color w:val="000000"/>
                <w:spacing w:val="-2"/>
              </w:rPr>
              <w:t>Analiza ekonomiczno-społeczna zmiany sposobu</w:t>
            </w:r>
          </w:p>
          <w:p w14:paraId="183A4BDE" w14:textId="5003FC88" w:rsidR="00260F33" w:rsidRPr="00B37C80" w:rsidRDefault="00D569C2" w:rsidP="00D569C2">
            <w:pPr>
              <w:spacing w:line="240" w:lineRule="auto"/>
              <w:rPr>
                <w:rFonts w:ascii="Times New Roman" w:hAnsi="Times New Roman"/>
                <w:color w:val="000000"/>
                <w:spacing w:val="-2"/>
              </w:rPr>
            </w:pPr>
            <w:r w:rsidRPr="00477764">
              <w:rPr>
                <w:rFonts w:ascii="Times New Roman" w:hAnsi="Times New Roman"/>
                <w:i/>
                <w:color w:val="000000"/>
                <w:spacing w:val="-2"/>
              </w:rPr>
              <w:t>organizacji pracy na statkach żeglugi śródlądowej</w:t>
            </w:r>
            <w:r>
              <w:rPr>
                <w:rFonts w:ascii="Times New Roman" w:hAnsi="Times New Roman"/>
                <w:color w:val="000000"/>
                <w:spacing w:val="-2"/>
              </w:rPr>
              <w:t xml:space="preserve">, </w:t>
            </w:r>
            <w:r w:rsidRPr="00F91A10">
              <w:rPr>
                <w:rFonts w:ascii="Times New Roman" w:hAnsi="Times New Roman"/>
                <w:color w:val="000000"/>
                <w:spacing w:val="-2"/>
              </w:rPr>
              <w:t>KKLW Wierzbicki i Wspólnicy sp.k.</w:t>
            </w:r>
            <w:r>
              <w:rPr>
                <w:rFonts w:ascii="Times New Roman" w:hAnsi="Times New Roman"/>
                <w:color w:val="000000"/>
                <w:spacing w:val="-2"/>
              </w:rPr>
              <w:t xml:space="preserve"> na zlecenie Ministerstwa Infrastruktury, Warszawa, 2 listopada 2022 </w:t>
            </w:r>
            <w:r w:rsidRPr="00F91A10">
              <w:rPr>
                <w:rFonts w:ascii="Times New Roman" w:hAnsi="Times New Roman"/>
                <w:color w:val="000000"/>
                <w:spacing w:val="-2"/>
              </w:rPr>
              <w:t>r.</w:t>
            </w:r>
          </w:p>
        </w:tc>
        <w:tc>
          <w:tcPr>
            <w:tcW w:w="2981" w:type="dxa"/>
            <w:gridSpan w:val="5"/>
            <w:shd w:val="clear" w:color="auto" w:fill="auto"/>
          </w:tcPr>
          <w:p w14:paraId="0F7D2FDC" w14:textId="3C7B258B" w:rsidR="00260F33" w:rsidRPr="00B37C80" w:rsidRDefault="002B4858" w:rsidP="00A17CB2">
            <w:pPr>
              <w:spacing w:line="240" w:lineRule="auto"/>
              <w:rPr>
                <w:rFonts w:ascii="Times New Roman" w:hAnsi="Times New Roman"/>
                <w:color w:val="000000"/>
                <w:spacing w:val="-2"/>
              </w:rPr>
            </w:pPr>
            <w:r>
              <w:rPr>
                <w:rFonts w:ascii="Times New Roman" w:hAnsi="Times New Roman"/>
                <w:color w:val="000000"/>
                <w:spacing w:val="-2"/>
              </w:rPr>
              <w:t>a</w:t>
            </w:r>
            <w:r w:rsidR="00D07D84">
              <w:rPr>
                <w:rFonts w:ascii="Times New Roman" w:hAnsi="Times New Roman"/>
                <w:color w:val="000000"/>
                <w:spacing w:val="-2"/>
              </w:rPr>
              <w:t>ktywizacja zawodowa</w:t>
            </w:r>
            <w:r>
              <w:rPr>
                <w:rFonts w:ascii="Times New Roman" w:hAnsi="Times New Roman"/>
                <w:color w:val="000000"/>
                <w:spacing w:val="-2"/>
              </w:rPr>
              <w:t xml:space="preserve"> – zwiększenie możliwości rozwoju zawodowego</w:t>
            </w:r>
            <w:r w:rsidR="00D07D84">
              <w:rPr>
                <w:rFonts w:ascii="Times New Roman" w:hAnsi="Times New Roman"/>
                <w:color w:val="000000"/>
                <w:spacing w:val="-2"/>
              </w:rPr>
              <w:t>, pobudzenie rynku pracy</w:t>
            </w:r>
            <w:r>
              <w:rPr>
                <w:rFonts w:ascii="Times New Roman" w:hAnsi="Times New Roman"/>
                <w:color w:val="000000"/>
                <w:spacing w:val="-2"/>
              </w:rPr>
              <w:t>, wzrost bezpieczeństwa prowadzenia żeglugi śródlądowej</w:t>
            </w:r>
          </w:p>
        </w:tc>
      </w:tr>
      <w:tr w:rsidR="00FA1328" w:rsidRPr="008B4FE6" w14:paraId="6C9A9B63" w14:textId="77777777" w:rsidTr="00C814BE">
        <w:trPr>
          <w:gridAfter w:val="1"/>
          <w:wAfter w:w="10" w:type="dxa"/>
          <w:trHeight w:val="142"/>
        </w:trPr>
        <w:tc>
          <w:tcPr>
            <w:tcW w:w="2668" w:type="dxa"/>
            <w:gridSpan w:val="3"/>
            <w:shd w:val="clear" w:color="auto" w:fill="auto"/>
          </w:tcPr>
          <w:p w14:paraId="6909559A" w14:textId="626C84BC" w:rsidR="00FA1328" w:rsidRDefault="00FA1328" w:rsidP="0072636A">
            <w:pPr>
              <w:tabs>
                <w:tab w:val="left" w:pos="1560"/>
              </w:tabs>
              <w:spacing w:line="240" w:lineRule="auto"/>
              <w:rPr>
                <w:rFonts w:ascii="Times New Roman" w:hAnsi="Times New Roman"/>
                <w:color w:val="000000"/>
              </w:rPr>
            </w:pPr>
            <w:r>
              <w:rPr>
                <w:rFonts w:ascii="Times New Roman" w:hAnsi="Times New Roman"/>
                <w:color w:val="000000"/>
              </w:rPr>
              <w:t xml:space="preserve">Państwowe Gospodarstwo Wodne Wody Polskie </w:t>
            </w:r>
            <w:r w:rsidR="00894E62">
              <w:rPr>
                <w:rFonts w:ascii="Times New Roman" w:hAnsi="Times New Roman"/>
                <w:color w:val="000000"/>
              </w:rPr>
              <w:t>(dalej: PGW WP)</w:t>
            </w:r>
          </w:p>
        </w:tc>
        <w:tc>
          <w:tcPr>
            <w:tcW w:w="2606" w:type="dxa"/>
            <w:gridSpan w:val="6"/>
            <w:shd w:val="clear" w:color="auto" w:fill="auto"/>
          </w:tcPr>
          <w:p w14:paraId="2625EB8F" w14:textId="77777777" w:rsidR="00FA1328" w:rsidRPr="00B37C80" w:rsidRDefault="00FA1328" w:rsidP="00A17CB2">
            <w:pPr>
              <w:spacing w:line="240" w:lineRule="auto"/>
              <w:rPr>
                <w:rFonts w:ascii="Times New Roman" w:hAnsi="Times New Roman"/>
                <w:color w:val="000000"/>
                <w:spacing w:val="-2"/>
              </w:rPr>
            </w:pPr>
            <w:r>
              <w:rPr>
                <w:rFonts w:ascii="Times New Roman" w:hAnsi="Times New Roman"/>
                <w:color w:val="000000"/>
                <w:spacing w:val="-2"/>
              </w:rPr>
              <w:t>1</w:t>
            </w:r>
          </w:p>
        </w:tc>
        <w:tc>
          <w:tcPr>
            <w:tcW w:w="2682" w:type="dxa"/>
            <w:gridSpan w:val="7"/>
            <w:shd w:val="clear" w:color="auto" w:fill="auto"/>
          </w:tcPr>
          <w:p w14:paraId="17CA9508" w14:textId="79C6056B" w:rsidR="00FA1328" w:rsidRPr="00B37C80" w:rsidRDefault="002B4858" w:rsidP="00A17CB2">
            <w:pPr>
              <w:spacing w:line="240" w:lineRule="auto"/>
              <w:rPr>
                <w:rFonts w:ascii="Times New Roman" w:hAnsi="Times New Roman"/>
                <w:color w:val="000000"/>
                <w:spacing w:val="-2"/>
              </w:rPr>
            </w:pPr>
            <w:r>
              <w:rPr>
                <w:rFonts w:ascii="Times New Roman" w:hAnsi="Times New Roman"/>
                <w:color w:val="000000"/>
                <w:spacing w:val="-2"/>
              </w:rPr>
              <w:t>d</w:t>
            </w:r>
            <w:r w:rsidR="00FA1328">
              <w:rPr>
                <w:rFonts w:ascii="Times New Roman" w:hAnsi="Times New Roman"/>
                <w:color w:val="000000"/>
                <w:spacing w:val="-2"/>
              </w:rPr>
              <w:t xml:space="preserve">ane własne </w:t>
            </w:r>
          </w:p>
        </w:tc>
        <w:tc>
          <w:tcPr>
            <w:tcW w:w="2981" w:type="dxa"/>
            <w:gridSpan w:val="5"/>
            <w:shd w:val="clear" w:color="auto" w:fill="auto"/>
          </w:tcPr>
          <w:p w14:paraId="51C423B4" w14:textId="43FBE07F" w:rsidR="00FA1328" w:rsidRPr="00B37C80" w:rsidRDefault="002B4858" w:rsidP="0064708A">
            <w:pPr>
              <w:spacing w:line="240" w:lineRule="auto"/>
              <w:rPr>
                <w:rFonts w:ascii="Times New Roman" w:hAnsi="Times New Roman"/>
                <w:color w:val="000000"/>
                <w:spacing w:val="-2"/>
              </w:rPr>
            </w:pPr>
            <w:r>
              <w:rPr>
                <w:rFonts w:ascii="Times New Roman" w:hAnsi="Times New Roman"/>
                <w:color w:val="000000"/>
                <w:spacing w:val="-2"/>
              </w:rPr>
              <w:t>i</w:t>
            </w:r>
            <w:r w:rsidR="00D07D84">
              <w:rPr>
                <w:rFonts w:ascii="Times New Roman" w:hAnsi="Times New Roman"/>
                <w:color w:val="000000"/>
                <w:spacing w:val="-2"/>
              </w:rPr>
              <w:t>nstytucja</w:t>
            </w:r>
            <w:r w:rsidR="00D07D84" w:rsidRPr="00D07D84">
              <w:rPr>
                <w:rFonts w:ascii="Times New Roman" w:hAnsi="Times New Roman"/>
                <w:color w:val="000000"/>
                <w:spacing w:val="-2"/>
              </w:rPr>
              <w:t xml:space="preserve"> odpowie</w:t>
            </w:r>
            <w:r w:rsidR="00D07D84">
              <w:rPr>
                <w:rFonts w:ascii="Times New Roman" w:hAnsi="Times New Roman"/>
                <w:color w:val="000000"/>
                <w:spacing w:val="-2"/>
              </w:rPr>
              <w:t>dzialna</w:t>
            </w:r>
            <w:r w:rsidR="00D07D84" w:rsidRPr="00D07D84">
              <w:rPr>
                <w:rFonts w:ascii="Times New Roman" w:hAnsi="Times New Roman"/>
                <w:color w:val="000000"/>
                <w:spacing w:val="-2"/>
              </w:rPr>
              <w:t xml:space="preserve"> za wykonanie zadań inwestycyjnych </w:t>
            </w:r>
            <w:r w:rsidR="00685768">
              <w:rPr>
                <w:rFonts w:ascii="Times New Roman" w:hAnsi="Times New Roman"/>
                <w:color w:val="000000"/>
                <w:spacing w:val="-2"/>
              </w:rPr>
              <w:t xml:space="preserve">na drogach wodnych </w:t>
            </w:r>
            <w:r w:rsidR="00D07D84" w:rsidRPr="00D07D84">
              <w:rPr>
                <w:rFonts w:ascii="Times New Roman" w:hAnsi="Times New Roman"/>
                <w:color w:val="000000"/>
                <w:spacing w:val="-2"/>
              </w:rPr>
              <w:t xml:space="preserve">ujętych w </w:t>
            </w:r>
            <w:r w:rsidR="0064708A">
              <w:rPr>
                <w:rFonts w:ascii="Times New Roman" w:hAnsi="Times New Roman"/>
                <w:color w:val="000000"/>
                <w:spacing w:val="-2"/>
              </w:rPr>
              <w:t>KPŻ2030</w:t>
            </w:r>
          </w:p>
        </w:tc>
      </w:tr>
      <w:tr w:rsidR="00940665" w:rsidRPr="008B4FE6" w14:paraId="1F43E3B4" w14:textId="77777777" w:rsidTr="00C814BE">
        <w:trPr>
          <w:gridAfter w:val="1"/>
          <w:wAfter w:w="10" w:type="dxa"/>
          <w:trHeight w:val="142"/>
        </w:trPr>
        <w:tc>
          <w:tcPr>
            <w:tcW w:w="2668" w:type="dxa"/>
            <w:gridSpan w:val="3"/>
            <w:shd w:val="clear" w:color="auto" w:fill="auto"/>
          </w:tcPr>
          <w:p w14:paraId="02480D7E" w14:textId="2D8BFF0B" w:rsidR="00940665" w:rsidRDefault="00645C2A" w:rsidP="0072636A">
            <w:pPr>
              <w:tabs>
                <w:tab w:val="left" w:pos="1560"/>
              </w:tabs>
              <w:spacing w:line="240" w:lineRule="auto"/>
              <w:rPr>
                <w:rFonts w:ascii="Times New Roman" w:hAnsi="Times New Roman"/>
                <w:color w:val="000000"/>
              </w:rPr>
            </w:pPr>
            <w:r>
              <w:rPr>
                <w:rFonts w:ascii="Times New Roman" w:hAnsi="Times New Roman"/>
                <w:color w:val="000000"/>
              </w:rPr>
              <w:t>m</w:t>
            </w:r>
            <w:r w:rsidR="00940665">
              <w:rPr>
                <w:rFonts w:ascii="Times New Roman" w:hAnsi="Times New Roman"/>
                <w:color w:val="000000"/>
              </w:rPr>
              <w:t xml:space="preserve">inister właściwy do spraw żeglugi śródlądowej </w:t>
            </w:r>
          </w:p>
        </w:tc>
        <w:tc>
          <w:tcPr>
            <w:tcW w:w="2606" w:type="dxa"/>
            <w:gridSpan w:val="6"/>
            <w:shd w:val="clear" w:color="auto" w:fill="auto"/>
          </w:tcPr>
          <w:p w14:paraId="213A5D3D" w14:textId="77777777" w:rsidR="00940665" w:rsidRDefault="00940665" w:rsidP="00A17CB2">
            <w:pPr>
              <w:spacing w:line="240" w:lineRule="auto"/>
              <w:rPr>
                <w:rFonts w:ascii="Times New Roman" w:hAnsi="Times New Roman"/>
                <w:color w:val="000000"/>
                <w:spacing w:val="-2"/>
              </w:rPr>
            </w:pPr>
            <w:r>
              <w:rPr>
                <w:rFonts w:ascii="Times New Roman" w:hAnsi="Times New Roman"/>
                <w:color w:val="000000"/>
                <w:spacing w:val="-2"/>
              </w:rPr>
              <w:t>1</w:t>
            </w:r>
          </w:p>
        </w:tc>
        <w:tc>
          <w:tcPr>
            <w:tcW w:w="2682" w:type="dxa"/>
            <w:gridSpan w:val="7"/>
            <w:shd w:val="clear" w:color="auto" w:fill="auto"/>
          </w:tcPr>
          <w:p w14:paraId="5717A50F" w14:textId="4AF7D546" w:rsidR="00940665" w:rsidRDefault="002B4858" w:rsidP="00A17CB2">
            <w:pPr>
              <w:spacing w:line="240" w:lineRule="auto"/>
              <w:rPr>
                <w:rFonts w:ascii="Times New Roman" w:hAnsi="Times New Roman"/>
                <w:color w:val="000000"/>
                <w:spacing w:val="-2"/>
              </w:rPr>
            </w:pPr>
            <w:r>
              <w:rPr>
                <w:rFonts w:ascii="Times New Roman" w:hAnsi="Times New Roman"/>
                <w:color w:val="000000"/>
                <w:spacing w:val="-2"/>
              </w:rPr>
              <w:t>d</w:t>
            </w:r>
            <w:r w:rsidR="00940665">
              <w:rPr>
                <w:rFonts w:ascii="Times New Roman" w:hAnsi="Times New Roman"/>
                <w:color w:val="000000"/>
                <w:spacing w:val="-2"/>
              </w:rPr>
              <w:t>ane własne</w:t>
            </w:r>
          </w:p>
        </w:tc>
        <w:tc>
          <w:tcPr>
            <w:tcW w:w="2981" w:type="dxa"/>
            <w:gridSpan w:val="5"/>
            <w:shd w:val="clear" w:color="auto" w:fill="auto"/>
          </w:tcPr>
          <w:p w14:paraId="41240E42" w14:textId="30E041FA" w:rsidR="00940665" w:rsidRDefault="002B4858" w:rsidP="00716A70">
            <w:pPr>
              <w:spacing w:line="240" w:lineRule="auto"/>
              <w:rPr>
                <w:rFonts w:ascii="Times New Roman" w:hAnsi="Times New Roman"/>
                <w:color w:val="000000"/>
                <w:spacing w:val="-2"/>
              </w:rPr>
            </w:pPr>
            <w:r>
              <w:rPr>
                <w:rFonts w:ascii="Times New Roman" w:hAnsi="Times New Roman"/>
                <w:color w:val="000000"/>
                <w:spacing w:val="-2"/>
              </w:rPr>
              <w:t>r</w:t>
            </w:r>
            <w:r w:rsidR="00940665">
              <w:rPr>
                <w:rFonts w:ascii="Times New Roman" w:hAnsi="Times New Roman"/>
                <w:color w:val="000000"/>
                <w:spacing w:val="-2"/>
              </w:rPr>
              <w:t>ealizacja działań sektorowych</w:t>
            </w:r>
            <w:r w:rsidR="00685768">
              <w:rPr>
                <w:rFonts w:ascii="Times New Roman" w:hAnsi="Times New Roman"/>
                <w:color w:val="000000"/>
                <w:spacing w:val="-2"/>
              </w:rPr>
              <w:t xml:space="preserve"> – programowych i</w:t>
            </w:r>
            <w:r w:rsidR="0039711E">
              <w:rPr>
                <w:rFonts w:ascii="Times New Roman" w:hAnsi="Times New Roman"/>
                <w:color w:val="000000"/>
                <w:spacing w:val="-2"/>
              </w:rPr>
              <w:t xml:space="preserve"> </w:t>
            </w:r>
            <w:r w:rsidR="00685768">
              <w:rPr>
                <w:rFonts w:ascii="Times New Roman" w:hAnsi="Times New Roman"/>
                <w:color w:val="000000"/>
                <w:spacing w:val="-2"/>
              </w:rPr>
              <w:t>regulacyjnych</w:t>
            </w:r>
            <w:r w:rsidR="00940665">
              <w:rPr>
                <w:rFonts w:ascii="Times New Roman" w:hAnsi="Times New Roman"/>
                <w:color w:val="000000"/>
                <w:spacing w:val="-2"/>
              </w:rPr>
              <w:t xml:space="preserve"> określonych w</w:t>
            </w:r>
            <w:r w:rsidR="0039711E">
              <w:rPr>
                <w:rFonts w:ascii="Times New Roman" w:hAnsi="Times New Roman"/>
                <w:color w:val="000000"/>
                <w:spacing w:val="-2"/>
              </w:rPr>
              <w:t xml:space="preserve"> </w:t>
            </w:r>
            <w:r w:rsidR="00716A70">
              <w:rPr>
                <w:rFonts w:ascii="Times New Roman" w:hAnsi="Times New Roman"/>
                <w:color w:val="000000"/>
                <w:spacing w:val="-2"/>
              </w:rPr>
              <w:t>KPŻ2030</w:t>
            </w:r>
          </w:p>
        </w:tc>
      </w:tr>
      <w:tr w:rsidR="00685768" w:rsidRPr="008B4FE6" w14:paraId="1473B6FC" w14:textId="77777777" w:rsidTr="00C814BE">
        <w:trPr>
          <w:gridAfter w:val="1"/>
          <w:wAfter w:w="10" w:type="dxa"/>
          <w:trHeight w:val="142"/>
        </w:trPr>
        <w:tc>
          <w:tcPr>
            <w:tcW w:w="2668" w:type="dxa"/>
            <w:gridSpan w:val="3"/>
            <w:shd w:val="clear" w:color="auto" w:fill="auto"/>
          </w:tcPr>
          <w:p w14:paraId="5B0A5D01" w14:textId="2C764EF9" w:rsidR="00685768" w:rsidRDefault="00645C2A" w:rsidP="0072636A">
            <w:pPr>
              <w:tabs>
                <w:tab w:val="left" w:pos="1560"/>
              </w:tabs>
              <w:spacing w:line="240" w:lineRule="auto"/>
              <w:rPr>
                <w:rFonts w:ascii="Times New Roman" w:hAnsi="Times New Roman"/>
                <w:color w:val="000000"/>
              </w:rPr>
            </w:pPr>
            <w:r>
              <w:rPr>
                <w:rFonts w:ascii="Times New Roman" w:hAnsi="Times New Roman"/>
                <w:color w:val="000000"/>
              </w:rPr>
              <w:t>d</w:t>
            </w:r>
            <w:r w:rsidR="00685768">
              <w:rPr>
                <w:rFonts w:ascii="Times New Roman" w:hAnsi="Times New Roman"/>
                <w:color w:val="000000"/>
              </w:rPr>
              <w:t>yrektorzy Urzędów Żeglugi Śródlądowej</w:t>
            </w:r>
            <w:r>
              <w:rPr>
                <w:rFonts w:ascii="Times New Roman" w:hAnsi="Times New Roman"/>
                <w:color w:val="000000"/>
              </w:rPr>
              <w:t>,</w:t>
            </w:r>
            <w:r w:rsidR="00D569C2">
              <w:rPr>
                <w:rFonts w:ascii="Times New Roman" w:hAnsi="Times New Roman"/>
                <w:color w:val="000000"/>
              </w:rPr>
              <w:t xml:space="preserve"> </w:t>
            </w:r>
            <w:r>
              <w:rPr>
                <w:rFonts w:ascii="Times New Roman" w:hAnsi="Times New Roman"/>
                <w:color w:val="000000"/>
              </w:rPr>
              <w:t>d</w:t>
            </w:r>
            <w:r w:rsidR="00D569C2">
              <w:rPr>
                <w:rFonts w:ascii="Times New Roman" w:hAnsi="Times New Roman"/>
                <w:color w:val="000000"/>
              </w:rPr>
              <w:t xml:space="preserve">yrektorzy Delegatur Urzędów Żeglugi Śródlądowej </w:t>
            </w:r>
          </w:p>
        </w:tc>
        <w:tc>
          <w:tcPr>
            <w:tcW w:w="2606" w:type="dxa"/>
            <w:gridSpan w:val="6"/>
            <w:shd w:val="clear" w:color="auto" w:fill="auto"/>
          </w:tcPr>
          <w:p w14:paraId="2413B719" w14:textId="51C070B6" w:rsidR="00685768" w:rsidRDefault="00645C2A" w:rsidP="00A17CB2">
            <w:pPr>
              <w:spacing w:line="240" w:lineRule="auto"/>
              <w:rPr>
                <w:rFonts w:ascii="Times New Roman" w:hAnsi="Times New Roman"/>
                <w:color w:val="000000"/>
                <w:spacing w:val="-2"/>
              </w:rPr>
            </w:pPr>
            <w:r>
              <w:rPr>
                <w:rFonts w:ascii="Times New Roman" w:hAnsi="Times New Roman"/>
                <w:color w:val="000000"/>
                <w:spacing w:val="-2"/>
              </w:rPr>
              <w:t>3</w:t>
            </w:r>
          </w:p>
          <w:p w14:paraId="4C91ADA1" w14:textId="77777777" w:rsidR="00645C2A" w:rsidRDefault="00645C2A" w:rsidP="00A17CB2">
            <w:pPr>
              <w:spacing w:line="240" w:lineRule="auto"/>
              <w:rPr>
                <w:rFonts w:ascii="Times New Roman" w:hAnsi="Times New Roman"/>
                <w:color w:val="000000"/>
                <w:spacing w:val="-2"/>
              </w:rPr>
            </w:pPr>
          </w:p>
          <w:p w14:paraId="379EC83B" w14:textId="0BBECDDC" w:rsidR="00645C2A" w:rsidRDefault="00645C2A" w:rsidP="00A17CB2">
            <w:pPr>
              <w:spacing w:line="240" w:lineRule="auto"/>
              <w:rPr>
                <w:rFonts w:ascii="Times New Roman" w:hAnsi="Times New Roman"/>
                <w:color w:val="000000"/>
                <w:spacing w:val="-2"/>
              </w:rPr>
            </w:pPr>
            <w:r>
              <w:rPr>
                <w:rFonts w:ascii="Times New Roman" w:hAnsi="Times New Roman"/>
                <w:color w:val="000000"/>
                <w:spacing w:val="-2"/>
              </w:rPr>
              <w:t>5</w:t>
            </w:r>
          </w:p>
        </w:tc>
        <w:tc>
          <w:tcPr>
            <w:tcW w:w="2682" w:type="dxa"/>
            <w:gridSpan w:val="7"/>
            <w:shd w:val="clear" w:color="auto" w:fill="auto"/>
          </w:tcPr>
          <w:p w14:paraId="6174433E" w14:textId="2C3B7F3F" w:rsidR="00685768" w:rsidRDefault="002B4858" w:rsidP="00A17CB2">
            <w:pPr>
              <w:spacing w:line="240" w:lineRule="auto"/>
              <w:rPr>
                <w:rFonts w:ascii="Times New Roman" w:hAnsi="Times New Roman"/>
                <w:color w:val="000000"/>
                <w:spacing w:val="-2"/>
              </w:rPr>
            </w:pPr>
            <w:r>
              <w:rPr>
                <w:rFonts w:ascii="Times New Roman" w:hAnsi="Times New Roman"/>
                <w:color w:val="000000"/>
                <w:spacing w:val="-2"/>
              </w:rPr>
              <w:t>d</w:t>
            </w:r>
            <w:r w:rsidR="00685768">
              <w:rPr>
                <w:rFonts w:ascii="Times New Roman" w:hAnsi="Times New Roman"/>
                <w:color w:val="000000"/>
                <w:spacing w:val="-2"/>
              </w:rPr>
              <w:t xml:space="preserve">ane własne </w:t>
            </w:r>
          </w:p>
        </w:tc>
        <w:tc>
          <w:tcPr>
            <w:tcW w:w="2981" w:type="dxa"/>
            <w:gridSpan w:val="5"/>
            <w:shd w:val="clear" w:color="auto" w:fill="auto"/>
          </w:tcPr>
          <w:p w14:paraId="44448A20" w14:textId="6223EC29" w:rsidR="00685768" w:rsidRDefault="002B4858" w:rsidP="0064708A">
            <w:pPr>
              <w:spacing w:line="240" w:lineRule="auto"/>
              <w:rPr>
                <w:rFonts w:ascii="Times New Roman" w:hAnsi="Times New Roman"/>
                <w:color w:val="000000"/>
                <w:spacing w:val="-2"/>
              </w:rPr>
            </w:pPr>
            <w:r>
              <w:rPr>
                <w:rFonts w:ascii="Times New Roman" w:hAnsi="Times New Roman"/>
                <w:color w:val="000000"/>
                <w:spacing w:val="-2"/>
              </w:rPr>
              <w:t>r</w:t>
            </w:r>
            <w:r w:rsidR="00685768">
              <w:rPr>
                <w:rFonts w:ascii="Times New Roman" w:hAnsi="Times New Roman"/>
                <w:color w:val="000000"/>
                <w:spacing w:val="-2"/>
              </w:rPr>
              <w:t xml:space="preserve">ealizacja inwestycji określonych w </w:t>
            </w:r>
            <w:r w:rsidR="0064708A">
              <w:rPr>
                <w:rFonts w:ascii="Times New Roman" w:hAnsi="Times New Roman"/>
                <w:color w:val="000000"/>
                <w:spacing w:val="-2"/>
              </w:rPr>
              <w:t xml:space="preserve">KPŻ2030 </w:t>
            </w:r>
            <w:r w:rsidR="00685768">
              <w:rPr>
                <w:rFonts w:ascii="Times New Roman" w:hAnsi="Times New Roman"/>
                <w:color w:val="000000"/>
                <w:spacing w:val="-2"/>
              </w:rPr>
              <w:t xml:space="preserve">– rozwój RIS </w:t>
            </w:r>
          </w:p>
        </w:tc>
      </w:tr>
      <w:tr w:rsidR="00B60C11" w:rsidRPr="008B4FE6" w14:paraId="6B88994A" w14:textId="77777777" w:rsidTr="00C814BE">
        <w:trPr>
          <w:gridAfter w:val="1"/>
          <w:wAfter w:w="10" w:type="dxa"/>
          <w:trHeight w:val="142"/>
        </w:trPr>
        <w:tc>
          <w:tcPr>
            <w:tcW w:w="2668" w:type="dxa"/>
            <w:gridSpan w:val="3"/>
            <w:shd w:val="clear" w:color="auto" w:fill="auto"/>
          </w:tcPr>
          <w:p w14:paraId="74E8AB99" w14:textId="402F5B4A" w:rsidR="00B60C11" w:rsidRDefault="00645C2A" w:rsidP="00545DEA">
            <w:pPr>
              <w:tabs>
                <w:tab w:val="left" w:pos="1560"/>
              </w:tabs>
              <w:spacing w:line="240" w:lineRule="auto"/>
              <w:rPr>
                <w:rFonts w:ascii="Times New Roman" w:hAnsi="Times New Roman"/>
                <w:color w:val="000000"/>
              </w:rPr>
            </w:pPr>
            <w:r>
              <w:rPr>
                <w:rFonts w:ascii="Times New Roman" w:hAnsi="Times New Roman"/>
                <w:color w:val="000000"/>
              </w:rPr>
              <w:t>s</w:t>
            </w:r>
            <w:r w:rsidR="00700A9A">
              <w:rPr>
                <w:rFonts w:ascii="Times New Roman" w:hAnsi="Times New Roman"/>
                <w:color w:val="000000"/>
              </w:rPr>
              <w:t>tocznie śródlądowe</w:t>
            </w:r>
            <w:r w:rsidR="00545DEA" w:rsidRPr="001F3941">
              <w:t xml:space="preserve"> </w:t>
            </w:r>
          </w:p>
        </w:tc>
        <w:tc>
          <w:tcPr>
            <w:tcW w:w="2606" w:type="dxa"/>
            <w:gridSpan w:val="6"/>
            <w:shd w:val="clear" w:color="auto" w:fill="auto"/>
          </w:tcPr>
          <w:p w14:paraId="1D0C054B" w14:textId="2A29AEAE" w:rsidR="00B60C11" w:rsidRDefault="00545DEA" w:rsidP="00A17CB2">
            <w:pPr>
              <w:spacing w:line="240" w:lineRule="auto"/>
              <w:rPr>
                <w:rFonts w:ascii="Times New Roman" w:hAnsi="Times New Roman"/>
                <w:color w:val="000000"/>
                <w:spacing w:val="-2"/>
              </w:rPr>
            </w:pPr>
            <w:r>
              <w:rPr>
                <w:rFonts w:ascii="Times New Roman" w:hAnsi="Times New Roman"/>
                <w:color w:val="000000"/>
                <w:spacing w:val="-2"/>
              </w:rPr>
              <w:t>11</w:t>
            </w:r>
          </w:p>
        </w:tc>
        <w:tc>
          <w:tcPr>
            <w:tcW w:w="2682" w:type="dxa"/>
            <w:gridSpan w:val="7"/>
            <w:shd w:val="clear" w:color="auto" w:fill="auto"/>
          </w:tcPr>
          <w:p w14:paraId="7133D9B2" w14:textId="24EBE177" w:rsidR="00B60C11" w:rsidRDefault="002B4858" w:rsidP="00A17CB2">
            <w:pPr>
              <w:spacing w:line="240" w:lineRule="auto"/>
              <w:rPr>
                <w:rFonts w:ascii="Times New Roman" w:hAnsi="Times New Roman"/>
                <w:color w:val="000000"/>
                <w:spacing w:val="-2"/>
              </w:rPr>
            </w:pPr>
            <w:r>
              <w:rPr>
                <w:rFonts w:ascii="Times New Roman" w:hAnsi="Times New Roman"/>
                <w:color w:val="000000"/>
                <w:spacing w:val="-2"/>
              </w:rPr>
              <w:t>d</w:t>
            </w:r>
            <w:r w:rsidR="00545DEA">
              <w:rPr>
                <w:rFonts w:ascii="Times New Roman" w:hAnsi="Times New Roman"/>
                <w:color w:val="000000"/>
                <w:spacing w:val="-2"/>
              </w:rPr>
              <w:t>ane własne</w:t>
            </w:r>
          </w:p>
        </w:tc>
        <w:tc>
          <w:tcPr>
            <w:tcW w:w="2981" w:type="dxa"/>
            <w:gridSpan w:val="5"/>
            <w:shd w:val="clear" w:color="auto" w:fill="auto"/>
          </w:tcPr>
          <w:p w14:paraId="6D337E7E" w14:textId="43A2BB23" w:rsidR="00B60C11" w:rsidRPr="005F0A13" w:rsidRDefault="002B4858" w:rsidP="005F0A13">
            <w:pPr>
              <w:pStyle w:val="2txt"/>
            </w:pPr>
            <w:r>
              <w:rPr>
                <w:rFonts w:ascii="Times New Roman" w:hAnsi="Times New Roman"/>
                <w:color w:val="000000"/>
                <w:spacing w:val="-2"/>
                <w:sz w:val="22"/>
              </w:rPr>
              <w:t>a</w:t>
            </w:r>
            <w:r w:rsidR="005F0A13" w:rsidRPr="005F0A13">
              <w:rPr>
                <w:rFonts w:ascii="Times New Roman" w:hAnsi="Times New Roman"/>
                <w:color w:val="000000"/>
                <w:spacing w:val="-2"/>
                <w:sz w:val="22"/>
              </w:rPr>
              <w:t>ktywizacja branży, zarządzanie wzrostem potrzeb rynku w przypadku modernizacji floty i wzrostu przewozów realizowanych po przebudowie i modernizacji infrastruktury dróg wodnych</w:t>
            </w:r>
          </w:p>
        </w:tc>
      </w:tr>
      <w:tr w:rsidR="00E977C7" w:rsidRPr="008B4FE6" w14:paraId="76DEAE9E" w14:textId="77777777" w:rsidTr="00C814BE">
        <w:trPr>
          <w:gridAfter w:val="1"/>
          <w:wAfter w:w="10" w:type="dxa"/>
          <w:trHeight w:val="142"/>
        </w:trPr>
        <w:tc>
          <w:tcPr>
            <w:tcW w:w="2668" w:type="dxa"/>
            <w:gridSpan w:val="3"/>
            <w:shd w:val="clear" w:color="auto" w:fill="auto"/>
          </w:tcPr>
          <w:p w14:paraId="587AC4F5" w14:textId="175C2EE7" w:rsidR="00E977C7" w:rsidRDefault="00F43501" w:rsidP="0072636A">
            <w:pPr>
              <w:tabs>
                <w:tab w:val="left" w:pos="1560"/>
              </w:tabs>
              <w:spacing w:line="240" w:lineRule="auto"/>
              <w:rPr>
                <w:rFonts w:ascii="Times New Roman" w:hAnsi="Times New Roman"/>
                <w:color w:val="000000"/>
              </w:rPr>
            </w:pPr>
            <w:r>
              <w:rPr>
                <w:rFonts w:ascii="Times New Roman" w:hAnsi="Times New Roman"/>
                <w:color w:val="000000"/>
              </w:rPr>
              <w:t>m</w:t>
            </w:r>
            <w:r w:rsidR="00E977C7">
              <w:rPr>
                <w:rFonts w:ascii="Times New Roman" w:hAnsi="Times New Roman"/>
                <w:color w:val="000000"/>
              </w:rPr>
              <w:t>inister właściwy do</w:t>
            </w:r>
            <w:r w:rsidR="009944CC">
              <w:rPr>
                <w:rFonts w:ascii="Times New Roman" w:hAnsi="Times New Roman"/>
                <w:color w:val="000000"/>
              </w:rPr>
              <w:t> </w:t>
            </w:r>
            <w:r w:rsidR="00E977C7">
              <w:rPr>
                <w:rFonts w:ascii="Times New Roman" w:hAnsi="Times New Roman"/>
                <w:color w:val="000000"/>
              </w:rPr>
              <w:t xml:space="preserve">spraw </w:t>
            </w:r>
            <w:r w:rsidR="00E977C7" w:rsidRPr="009944CC">
              <w:rPr>
                <w:rFonts w:ascii="Times New Roman" w:hAnsi="Times New Roman"/>
                <w:color w:val="000000"/>
              </w:rPr>
              <w:t>oświaty i wychowania</w:t>
            </w:r>
          </w:p>
        </w:tc>
        <w:tc>
          <w:tcPr>
            <w:tcW w:w="2606" w:type="dxa"/>
            <w:gridSpan w:val="6"/>
            <w:shd w:val="clear" w:color="auto" w:fill="auto"/>
          </w:tcPr>
          <w:p w14:paraId="78E2DA92" w14:textId="75A37821" w:rsidR="00E977C7" w:rsidRDefault="00E977C7" w:rsidP="00A17CB2">
            <w:pPr>
              <w:spacing w:line="240" w:lineRule="auto"/>
              <w:rPr>
                <w:rFonts w:ascii="Times New Roman" w:hAnsi="Times New Roman"/>
                <w:color w:val="000000"/>
                <w:spacing w:val="-2"/>
              </w:rPr>
            </w:pPr>
            <w:r>
              <w:rPr>
                <w:rFonts w:ascii="Times New Roman" w:hAnsi="Times New Roman"/>
                <w:color w:val="000000"/>
                <w:spacing w:val="-2"/>
              </w:rPr>
              <w:t>1</w:t>
            </w:r>
          </w:p>
        </w:tc>
        <w:tc>
          <w:tcPr>
            <w:tcW w:w="2682" w:type="dxa"/>
            <w:gridSpan w:val="7"/>
            <w:shd w:val="clear" w:color="auto" w:fill="auto"/>
          </w:tcPr>
          <w:p w14:paraId="31E7FEA3" w14:textId="54F2075E" w:rsidR="00E977C7" w:rsidRDefault="00BF1C56" w:rsidP="00A17CB2">
            <w:pPr>
              <w:spacing w:line="240" w:lineRule="auto"/>
              <w:rPr>
                <w:rFonts w:ascii="Times New Roman" w:hAnsi="Times New Roman"/>
                <w:color w:val="000000"/>
                <w:spacing w:val="-2"/>
              </w:rPr>
            </w:pPr>
            <w:r>
              <w:rPr>
                <w:rFonts w:ascii="Times New Roman" w:hAnsi="Times New Roman"/>
                <w:color w:val="000000"/>
                <w:spacing w:val="-2"/>
              </w:rPr>
              <w:t>d</w:t>
            </w:r>
            <w:r w:rsidR="00E977C7">
              <w:rPr>
                <w:rFonts w:ascii="Times New Roman" w:hAnsi="Times New Roman"/>
                <w:color w:val="000000"/>
                <w:spacing w:val="-2"/>
              </w:rPr>
              <w:t>ane własne</w:t>
            </w:r>
          </w:p>
        </w:tc>
        <w:tc>
          <w:tcPr>
            <w:tcW w:w="2981" w:type="dxa"/>
            <w:gridSpan w:val="5"/>
            <w:shd w:val="clear" w:color="auto" w:fill="auto"/>
          </w:tcPr>
          <w:p w14:paraId="2C2086C3" w14:textId="1727D57C" w:rsidR="00E977C7" w:rsidRDefault="00BF1C56" w:rsidP="0064708A">
            <w:pPr>
              <w:spacing w:line="240" w:lineRule="auto"/>
              <w:rPr>
                <w:rFonts w:ascii="Times New Roman" w:hAnsi="Times New Roman"/>
                <w:color w:val="000000"/>
                <w:spacing w:val="-2"/>
              </w:rPr>
            </w:pPr>
            <w:r>
              <w:rPr>
                <w:rFonts w:ascii="Times New Roman" w:hAnsi="Times New Roman"/>
                <w:color w:val="000000"/>
                <w:spacing w:val="-2"/>
              </w:rPr>
              <w:t>r</w:t>
            </w:r>
            <w:r w:rsidR="00E977C7">
              <w:rPr>
                <w:rFonts w:ascii="Times New Roman" w:hAnsi="Times New Roman"/>
                <w:color w:val="000000"/>
                <w:spacing w:val="-2"/>
              </w:rPr>
              <w:t xml:space="preserve">ealizacja działania określonego w </w:t>
            </w:r>
            <w:r w:rsidR="0064708A">
              <w:rPr>
                <w:rFonts w:ascii="Times New Roman" w:hAnsi="Times New Roman"/>
                <w:color w:val="000000"/>
                <w:spacing w:val="-2"/>
              </w:rPr>
              <w:t>KPŻ2030</w:t>
            </w:r>
            <w:r w:rsidR="00637787">
              <w:rPr>
                <w:rFonts w:ascii="Times New Roman" w:hAnsi="Times New Roman"/>
                <w:color w:val="000000"/>
                <w:spacing w:val="-2"/>
              </w:rPr>
              <w:t>:</w:t>
            </w:r>
            <w:r w:rsidR="0039711E">
              <w:rPr>
                <w:rFonts w:ascii="Times New Roman" w:hAnsi="Times New Roman"/>
                <w:color w:val="000000"/>
                <w:spacing w:val="-2"/>
              </w:rPr>
              <w:t xml:space="preserve"> </w:t>
            </w:r>
            <w:r w:rsidR="00637787" w:rsidRPr="00637787">
              <w:rPr>
                <w:rFonts w:ascii="Times New Roman" w:hAnsi="Times New Roman"/>
                <w:i/>
                <w:color w:val="000000"/>
                <w:spacing w:val="-2"/>
              </w:rPr>
              <w:t>Utworzenie na terenie kraju Branżowych Centrów Umiejętności dla branży transportu wodnego śródlądowego</w:t>
            </w:r>
            <w:r w:rsidR="00637787" w:rsidRPr="00637787">
              <w:rPr>
                <w:rFonts w:ascii="Times New Roman" w:hAnsi="Times New Roman"/>
                <w:color w:val="000000"/>
                <w:spacing w:val="-2"/>
              </w:rPr>
              <w:t xml:space="preserve"> </w:t>
            </w:r>
          </w:p>
        </w:tc>
      </w:tr>
      <w:tr w:rsidR="00450548" w:rsidRPr="008B4FE6" w14:paraId="618DC7AF" w14:textId="77777777" w:rsidTr="00C814BE">
        <w:trPr>
          <w:gridAfter w:val="1"/>
          <w:wAfter w:w="10" w:type="dxa"/>
          <w:trHeight w:val="142"/>
        </w:trPr>
        <w:tc>
          <w:tcPr>
            <w:tcW w:w="2668" w:type="dxa"/>
            <w:gridSpan w:val="3"/>
            <w:shd w:val="clear" w:color="auto" w:fill="auto"/>
          </w:tcPr>
          <w:p w14:paraId="6903BBD7" w14:textId="46800F69" w:rsidR="00450548" w:rsidRDefault="00F43501" w:rsidP="007625CC">
            <w:pPr>
              <w:tabs>
                <w:tab w:val="left" w:pos="1560"/>
              </w:tabs>
              <w:spacing w:line="240" w:lineRule="auto"/>
              <w:rPr>
                <w:rFonts w:ascii="Times New Roman" w:hAnsi="Times New Roman"/>
                <w:color w:val="000000"/>
              </w:rPr>
            </w:pPr>
            <w:r>
              <w:rPr>
                <w:rFonts w:ascii="Times New Roman" w:hAnsi="Times New Roman"/>
                <w:color w:val="000000"/>
              </w:rPr>
              <w:lastRenderedPageBreak/>
              <w:t>z</w:t>
            </w:r>
            <w:r w:rsidR="00450548" w:rsidRPr="00450548">
              <w:rPr>
                <w:rFonts w:ascii="Times New Roman" w:hAnsi="Times New Roman"/>
                <w:color w:val="000000"/>
              </w:rPr>
              <w:t>a</w:t>
            </w:r>
            <w:r w:rsidR="00450548">
              <w:rPr>
                <w:rFonts w:ascii="Times New Roman" w:hAnsi="Times New Roman"/>
                <w:color w:val="000000"/>
              </w:rPr>
              <w:t xml:space="preserve">rządcy w transporcie kolejowym </w:t>
            </w:r>
          </w:p>
        </w:tc>
        <w:tc>
          <w:tcPr>
            <w:tcW w:w="2606" w:type="dxa"/>
            <w:gridSpan w:val="6"/>
            <w:shd w:val="clear" w:color="auto" w:fill="auto"/>
          </w:tcPr>
          <w:p w14:paraId="4F4A2715" w14:textId="4CCBACA9" w:rsidR="00450548" w:rsidRDefault="00450548" w:rsidP="00A17CB2">
            <w:pPr>
              <w:spacing w:line="240" w:lineRule="auto"/>
              <w:rPr>
                <w:rFonts w:ascii="Times New Roman" w:hAnsi="Times New Roman"/>
                <w:color w:val="000000"/>
                <w:spacing w:val="-2"/>
              </w:rPr>
            </w:pPr>
            <w:r w:rsidRPr="00450548">
              <w:rPr>
                <w:rFonts w:ascii="Times New Roman" w:hAnsi="Times New Roman"/>
                <w:color w:val="000000"/>
              </w:rPr>
              <w:t>15 podmiotów</w:t>
            </w:r>
          </w:p>
        </w:tc>
        <w:tc>
          <w:tcPr>
            <w:tcW w:w="2682" w:type="dxa"/>
            <w:gridSpan w:val="7"/>
            <w:shd w:val="clear" w:color="auto" w:fill="auto"/>
          </w:tcPr>
          <w:p w14:paraId="768856DC" w14:textId="77777777" w:rsidR="00450548" w:rsidRPr="00450548" w:rsidRDefault="00450548" w:rsidP="00450548">
            <w:pPr>
              <w:tabs>
                <w:tab w:val="left" w:pos="1560"/>
              </w:tabs>
              <w:spacing w:line="240" w:lineRule="auto"/>
              <w:rPr>
                <w:rFonts w:ascii="Times New Roman" w:hAnsi="Times New Roman"/>
                <w:color w:val="000000"/>
              </w:rPr>
            </w:pPr>
            <w:r w:rsidRPr="00450548">
              <w:rPr>
                <w:rFonts w:ascii="Times New Roman" w:hAnsi="Times New Roman"/>
                <w:color w:val="000000"/>
              </w:rPr>
              <w:t>dane własne, GUS, UTK</w:t>
            </w:r>
          </w:p>
          <w:p w14:paraId="6ACA33C2" w14:textId="77777777" w:rsidR="00450548" w:rsidRDefault="00450548" w:rsidP="00A17CB2">
            <w:pPr>
              <w:spacing w:line="240" w:lineRule="auto"/>
              <w:rPr>
                <w:rFonts w:ascii="Times New Roman" w:hAnsi="Times New Roman"/>
                <w:color w:val="000000"/>
                <w:spacing w:val="-2"/>
              </w:rPr>
            </w:pPr>
          </w:p>
        </w:tc>
        <w:tc>
          <w:tcPr>
            <w:tcW w:w="2981" w:type="dxa"/>
            <w:gridSpan w:val="5"/>
            <w:shd w:val="clear" w:color="auto" w:fill="auto"/>
          </w:tcPr>
          <w:p w14:paraId="6A307F3A" w14:textId="6E35C1CC" w:rsidR="00450548" w:rsidRDefault="00450548" w:rsidP="0064708A">
            <w:pPr>
              <w:spacing w:line="240" w:lineRule="auto"/>
              <w:rPr>
                <w:rFonts w:ascii="Times New Roman" w:hAnsi="Times New Roman"/>
                <w:color w:val="000000"/>
                <w:spacing w:val="-2"/>
              </w:rPr>
            </w:pPr>
            <w:r>
              <w:rPr>
                <w:rFonts w:ascii="Times New Roman" w:hAnsi="Times New Roman"/>
                <w:color w:val="000000"/>
                <w:spacing w:val="-2"/>
              </w:rPr>
              <w:t xml:space="preserve">mniejsze obciążenie linii kolejowych poprzez przeniesienie części transportu towarów na drogi wodne, zmniejszenie obciążenia przepustowości linii kolejowych w obszarze oddziaływania </w:t>
            </w:r>
            <w:r w:rsidR="0064708A">
              <w:rPr>
                <w:rFonts w:ascii="Times New Roman" w:hAnsi="Times New Roman"/>
                <w:color w:val="000000"/>
                <w:spacing w:val="-2"/>
              </w:rPr>
              <w:t>KPŻ2030</w:t>
            </w:r>
            <w:r>
              <w:rPr>
                <w:rFonts w:ascii="Times New Roman" w:hAnsi="Times New Roman"/>
                <w:color w:val="000000"/>
                <w:spacing w:val="-2"/>
              </w:rPr>
              <w:t>, powstanie trójmodalnego systemu transportowego w</w:t>
            </w:r>
            <w:r w:rsidR="007313E2">
              <w:rPr>
                <w:rFonts w:ascii="Times New Roman" w:hAnsi="Times New Roman"/>
                <w:color w:val="000000"/>
                <w:spacing w:val="-2"/>
              </w:rPr>
              <w:t> </w:t>
            </w:r>
            <w:r>
              <w:rPr>
                <w:rFonts w:ascii="Times New Roman" w:hAnsi="Times New Roman"/>
                <w:color w:val="000000"/>
                <w:spacing w:val="-2"/>
              </w:rPr>
              <w:t>obszarze oddziaływania KPŻ2030</w:t>
            </w:r>
          </w:p>
        </w:tc>
      </w:tr>
      <w:tr w:rsidR="00450548" w:rsidRPr="008B4FE6" w14:paraId="1B47F206" w14:textId="77777777" w:rsidTr="00C814BE">
        <w:trPr>
          <w:gridAfter w:val="1"/>
          <w:wAfter w:w="10" w:type="dxa"/>
          <w:trHeight w:val="142"/>
        </w:trPr>
        <w:tc>
          <w:tcPr>
            <w:tcW w:w="2668" w:type="dxa"/>
            <w:gridSpan w:val="3"/>
            <w:shd w:val="clear" w:color="auto" w:fill="auto"/>
          </w:tcPr>
          <w:p w14:paraId="38B8D279" w14:textId="39DC1187" w:rsidR="00450548" w:rsidRPr="00450548" w:rsidRDefault="00F43501" w:rsidP="00BA40ED">
            <w:pPr>
              <w:tabs>
                <w:tab w:val="left" w:pos="1560"/>
              </w:tabs>
              <w:spacing w:line="240" w:lineRule="auto"/>
              <w:rPr>
                <w:rFonts w:ascii="Times New Roman" w:hAnsi="Times New Roman"/>
                <w:color w:val="000000"/>
              </w:rPr>
            </w:pPr>
            <w:r>
              <w:rPr>
                <w:rFonts w:ascii="Times New Roman" w:hAnsi="Times New Roman"/>
                <w:color w:val="000000"/>
              </w:rPr>
              <w:t>c</w:t>
            </w:r>
            <w:r w:rsidR="00450548" w:rsidRPr="00450548">
              <w:rPr>
                <w:rFonts w:ascii="Times New Roman" w:hAnsi="Times New Roman"/>
                <w:color w:val="000000"/>
              </w:rPr>
              <w:t>entra logistyczne i</w:t>
            </w:r>
            <w:r w:rsidR="00D569C2">
              <w:rPr>
                <w:rFonts w:ascii="Times New Roman" w:hAnsi="Times New Roman"/>
                <w:color w:val="000000"/>
              </w:rPr>
              <w:t> </w:t>
            </w:r>
            <w:r w:rsidR="00450548" w:rsidRPr="00450548">
              <w:rPr>
                <w:rFonts w:ascii="Times New Roman" w:hAnsi="Times New Roman"/>
                <w:color w:val="000000"/>
              </w:rPr>
              <w:t xml:space="preserve">terminale przeładunkowe obsługujące żeglugę </w:t>
            </w:r>
            <w:r w:rsidR="00450548">
              <w:rPr>
                <w:rFonts w:ascii="Times New Roman" w:hAnsi="Times New Roman"/>
                <w:color w:val="000000"/>
              </w:rPr>
              <w:t>śródlądową</w:t>
            </w:r>
          </w:p>
        </w:tc>
        <w:tc>
          <w:tcPr>
            <w:tcW w:w="2606" w:type="dxa"/>
            <w:gridSpan w:val="6"/>
            <w:shd w:val="clear" w:color="auto" w:fill="auto"/>
          </w:tcPr>
          <w:p w14:paraId="256F2BB9" w14:textId="7A368A40" w:rsidR="00450548" w:rsidRPr="00450548" w:rsidRDefault="00450548" w:rsidP="00A17CB2">
            <w:pPr>
              <w:spacing w:line="240" w:lineRule="auto"/>
              <w:rPr>
                <w:rFonts w:ascii="Times New Roman" w:hAnsi="Times New Roman"/>
                <w:color w:val="000000"/>
              </w:rPr>
            </w:pPr>
            <w:r>
              <w:rPr>
                <w:rFonts w:ascii="Times New Roman" w:hAnsi="Times New Roman"/>
                <w:color w:val="000000"/>
              </w:rPr>
              <w:t>26</w:t>
            </w:r>
          </w:p>
        </w:tc>
        <w:tc>
          <w:tcPr>
            <w:tcW w:w="2682" w:type="dxa"/>
            <w:gridSpan w:val="7"/>
            <w:shd w:val="clear" w:color="auto" w:fill="auto"/>
          </w:tcPr>
          <w:p w14:paraId="34ED21CA" w14:textId="004A15DB" w:rsidR="00450548" w:rsidRPr="00450548" w:rsidRDefault="00450548" w:rsidP="00450548">
            <w:pPr>
              <w:tabs>
                <w:tab w:val="left" w:pos="1560"/>
              </w:tabs>
              <w:spacing w:line="240" w:lineRule="auto"/>
              <w:rPr>
                <w:rFonts w:ascii="Times New Roman" w:hAnsi="Times New Roman"/>
                <w:color w:val="000000"/>
              </w:rPr>
            </w:pPr>
            <w:r w:rsidRPr="00450548">
              <w:rPr>
                <w:rFonts w:ascii="Times New Roman" w:hAnsi="Times New Roman"/>
                <w:color w:val="000000"/>
              </w:rPr>
              <w:t>dane własne, GUS</w:t>
            </w:r>
          </w:p>
        </w:tc>
        <w:tc>
          <w:tcPr>
            <w:tcW w:w="2981" w:type="dxa"/>
            <w:gridSpan w:val="5"/>
            <w:shd w:val="clear" w:color="auto" w:fill="auto"/>
          </w:tcPr>
          <w:p w14:paraId="08360419" w14:textId="7E11E053" w:rsidR="00450548" w:rsidRDefault="00BF1C56">
            <w:pPr>
              <w:spacing w:line="240" w:lineRule="auto"/>
              <w:rPr>
                <w:rFonts w:ascii="Times New Roman" w:hAnsi="Times New Roman"/>
                <w:color w:val="000000"/>
                <w:spacing w:val="-2"/>
              </w:rPr>
            </w:pPr>
            <w:r>
              <w:rPr>
                <w:rFonts w:ascii="Times New Roman" w:hAnsi="Times New Roman"/>
                <w:color w:val="000000"/>
                <w:spacing w:val="-2"/>
              </w:rPr>
              <w:t xml:space="preserve">wzrost liczby obsługiwanych przeładunków </w:t>
            </w:r>
          </w:p>
        </w:tc>
      </w:tr>
      <w:tr w:rsidR="002B4858" w:rsidRPr="008B4FE6" w14:paraId="63120A5C" w14:textId="77777777" w:rsidTr="00C814BE">
        <w:trPr>
          <w:gridAfter w:val="1"/>
          <w:wAfter w:w="10" w:type="dxa"/>
          <w:trHeight w:val="142"/>
        </w:trPr>
        <w:tc>
          <w:tcPr>
            <w:tcW w:w="2668" w:type="dxa"/>
            <w:gridSpan w:val="3"/>
            <w:shd w:val="clear" w:color="auto" w:fill="auto"/>
          </w:tcPr>
          <w:p w14:paraId="443C5F01" w14:textId="4A992E7A" w:rsidR="002B4858" w:rsidRPr="00450548" w:rsidRDefault="00F43501" w:rsidP="0064708A">
            <w:pPr>
              <w:tabs>
                <w:tab w:val="left" w:pos="1560"/>
              </w:tabs>
              <w:spacing w:line="240" w:lineRule="auto"/>
              <w:rPr>
                <w:rFonts w:ascii="Times New Roman" w:hAnsi="Times New Roman"/>
                <w:color w:val="000000"/>
              </w:rPr>
            </w:pPr>
            <w:r>
              <w:rPr>
                <w:rFonts w:ascii="Times New Roman" w:hAnsi="Times New Roman"/>
                <w:color w:val="000000"/>
                <w:spacing w:val="-2"/>
              </w:rPr>
              <w:t>m</w:t>
            </w:r>
            <w:r w:rsidR="002B4858">
              <w:rPr>
                <w:rFonts w:ascii="Times New Roman" w:hAnsi="Times New Roman"/>
                <w:color w:val="000000"/>
                <w:spacing w:val="-2"/>
              </w:rPr>
              <w:t xml:space="preserve">ieszkańcy gmin położonych w obszarze oddziaływania </w:t>
            </w:r>
            <w:r w:rsidR="0064708A">
              <w:rPr>
                <w:rFonts w:ascii="Times New Roman" w:hAnsi="Times New Roman"/>
                <w:color w:val="000000"/>
                <w:spacing w:val="-2"/>
              </w:rPr>
              <w:t>KPŻ2030</w:t>
            </w:r>
          </w:p>
        </w:tc>
        <w:tc>
          <w:tcPr>
            <w:tcW w:w="2606" w:type="dxa"/>
            <w:gridSpan w:val="6"/>
            <w:shd w:val="clear" w:color="auto" w:fill="auto"/>
          </w:tcPr>
          <w:p w14:paraId="5B1576EA" w14:textId="78B09CB0" w:rsidR="002B4858" w:rsidRDefault="002B4858" w:rsidP="00A17CB2">
            <w:pPr>
              <w:spacing w:line="240" w:lineRule="auto"/>
              <w:rPr>
                <w:rFonts w:ascii="Times New Roman" w:hAnsi="Times New Roman"/>
                <w:color w:val="000000"/>
              </w:rPr>
            </w:pPr>
            <w:r w:rsidRPr="002B4858">
              <w:rPr>
                <w:rFonts w:ascii="Times New Roman" w:hAnsi="Times New Roman"/>
                <w:color w:val="000000"/>
              </w:rPr>
              <w:t>ponad 9 mln</w:t>
            </w:r>
          </w:p>
        </w:tc>
        <w:tc>
          <w:tcPr>
            <w:tcW w:w="2682" w:type="dxa"/>
            <w:gridSpan w:val="7"/>
            <w:shd w:val="clear" w:color="auto" w:fill="auto"/>
          </w:tcPr>
          <w:p w14:paraId="617FC8C5" w14:textId="1EDAE66A" w:rsidR="002B4858" w:rsidRPr="00450548" w:rsidRDefault="00BF1C56" w:rsidP="00450548">
            <w:pPr>
              <w:tabs>
                <w:tab w:val="left" w:pos="1560"/>
              </w:tabs>
              <w:spacing w:line="240" w:lineRule="auto"/>
              <w:rPr>
                <w:rFonts w:ascii="Times New Roman" w:hAnsi="Times New Roman"/>
                <w:color w:val="000000"/>
              </w:rPr>
            </w:pPr>
            <w:r>
              <w:rPr>
                <w:rFonts w:ascii="Times New Roman" w:hAnsi="Times New Roman"/>
                <w:color w:val="000000"/>
              </w:rPr>
              <w:t>GUS</w:t>
            </w:r>
          </w:p>
        </w:tc>
        <w:tc>
          <w:tcPr>
            <w:tcW w:w="2981" w:type="dxa"/>
            <w:gridSpan w:val="5"/>
            <w:shd w:val="clear" w:color="auto" w:fill="auto"/>
          </w:tcPr>
          <w:p w14:paraId="7E461EA1" w14:textId="2246FD72" w:rsidR="002B4858" w:rsidRDefault="002B4858" w:rsidP="00637787">
            <w:pPr>
              <w:spacing w:line="240" w:lineRule="auto"/>
              <w:rPr>
                <w:rFonts w:ascii="Times New Roman" w:hAnsi="Times New Roman"/>
                <w:color w:val="000000"/>
                <w:spacing w:val="-2"/>
              </w:rPr>
            </w:pPr>
            <w:r>
              <w:rPr>
                <w:rFonts w:ascii="Times New Roman" w:hAnsi="Times New Roman"/>
                <w:color w:val="000000"/>
                <w:spacing w:val="-2"/>
              </w:rPr>
              <w:t>wzrost dostępnych miejsc pracy, wzrost wydatków samorządów na</w:t>
            </w:r>
            <w:r w:rsidRPr="0091367B">
              <w:rPr>
                <w:rFonts w:ascii="Times New Roman" w:hAnsi="Times New Roman"/>
                <w:color w:val="000000"/>
                <w:spacing w:val="-2"/>
              </w:rPr>
              <w:t xml:space="preserve"> infrastrukturę służącą mieszkańcom</w:t>
            </w:r>
            <w:r>
              <w:rPr>
                <w:rFonts w:ascii="Times New Roman" w:hAnsi="Times New Roman"/>
                <w:color w:val="000000"/>
                <w:spacing w:val="-2"/>
              </w:rPr>
              <w:t xml:space="preserve">, zwiększenie odporności na skutki zjawisk atmosferycznych (powodzie), możliwe zmniejszenie zanieczyszczenia powietrza i obniżenie poziomu hałasu generowane przez ruch samochodowy, </w:t>
            </w:r>
            <w:r w:rsidRPr="002B4858">
              <w:rPr>
                <w:rFonts w:ascii="Times New Roman" w:hAnsi="Times New Roman"/>
                <w:color w:val="000000"/>
                <w:spacing w:val="-2"/>
              </w:rPr>
              <w:t>lepsze zrozumienie zmian</w:t>
            </w:r>
            <w:r>
              <w:rPr>
                <w:rFonts w:ascii="Times New Roman" w:hAnsi="Times New Roman"/>
                <w:color w:val="000000"/>
                <w:spacing w:val="-2"/>
              </w:rPr>
              <w:t xml:space="preserve"> zachodzących wskutek</w:t>
            </w:r>
            <w:r w:rsidRPr="002B4858">
              <w:rPr>
                <w:rFonts w:ascii="Times New Roman" w:hAnsi="Times New Roman"/>
                <w:color w:val="000000"/>
                <w:spacing w:val="-2"/>
              </w:rPr>
              <w:t xml:space="preserve"> rozwoju sektora i śródlądowych dróg wodnych</w:t>
            </w:r>
            <w:r>
              <w:rPr>
                <w:rFonts w:ascii="Times New Roman" w:hAnsi="Times New Roman"/>
                <w:color w:val="000000"/>
                <w:spacing w:val="-2"/>
              </w:rPr>
              <w:t xml:space="preserve">, wzrost cen nieruchomości </w:t>
            </w:r>
          </w:p>
        </w:tc>
      </w:tr>
      <w:tr w:rsidR="002B4858" w:rsidRPr="008B4FE6" w14:paraId="47C21D85" w14:textId="77777777" w:rsidTr="00C814BE">
        <w:trPr>
          <w:gridAfter w:val="1"/>
          <w:wAfter w:w="10" w:type="dxa"/>
          <w:trHeight w:val="142"/>
        </w:trPr>
        <w:tc>
          <w:tcPr>
            <w:tcW w:w="2668" w:type="dxa"/>
            <w:gridSpan w:val="3"/>
            <w:shd w:val="clear" w:color="auto" w:fill="auto"/>
          </w:tcPr>
          <w:p w14:paraId="3A2D7720" w14:textId="7198CE44" w:rsidR="002B4858" w:rsidRDefault="00F43501" w:rsidP="002B4858">
            <w:pPr>
              <w:tabs>
                <w:tab w:val="left" w:pos="1560"/>
              </w:tabs>
              <w:spacing w:line="240" w:lineRule="auto"/>
              <w:rPr>
                <w:rFonts w:ascii="Times New Roman" w:hAnsi="Times New Roman"/>
                <w:color w:val="000000"/>
                <w:spacing w:val="-2"/>
              </w:rPr>
            </w:pPr>
            <w:r>
              <w:rPr>
                <w:rFonts w:ascii="Times New Roman" w:hAnsi="Times New Roman"/>
                <w:color w:val="000000"/>
                <w:spacing w:val="-2"/>
              </w:rPr>
              <w:t>o</w:t>
            </w:r>
            <w:r w:rsidR="002B4858">
              <w:rPr>
                <w:rFonts w:ascii="Times New Roman" w:hAnsi="Times New Roman"/>
                <w:color w:val="000000"/>
                <w:spacing w:val="-2"/>
              </w:rPr>
              <w:t xml:space="preserve">bywatele </w:t>
            </w:r>
          </w:p>
        </w:tc>
        <w:tc>
          <w:tcPr>
            <w:tcW w:w="2606" w:type="dxa"/>
            <w:gridSpan w:val="6"/>
            <w:shd w:val="clear" w:color="auto" w:fill="auto"/>
          </w:tcPr>
          <w:p w14:paraId="7D3FE93A" w14:textId="213B863B" w:rsidR="002B4858" w:rsidRDefault="002B4858" w:rsidP="002B4858">
            <w:pPr>
              <w:spacing w:line="240" w:lineRule="auto"/>
              <w:rPr>
                <w:rFonts w:ascii="Times New Roman" w:hAnsi="Times New Roman"/>
                <w:color w:val="000000"/>
              </w:rPr>
            </w:pPr>
            <w:r>
              <w:rPr>
                <w:rFonts w:ascii="Times New Roman" w:hAnsi="Times New Roman"/>
                <w:color w:val="000000"/>
                <w:spacing w:val="-2"/>
              </w:rPr>
              <w:t>ok. 38 mln</w:t>
            </w:r>
          </w:p>
        </w:tc>
        <w:tc>
          <w:tcPr>
            <w:tcW w:w="2682" w:type="dxa"/>
            <w:gridSpan w:val="7"/>
            <w:shd w:val="clear" w:color="auto" w:fill="auto"/>
          </w:tcPr>
          <w:p w14:paraId="17E357C6" w14:textId="6370B6E1" w:rsidR="002B4858" w:rsidRPr="00450548" w:rsidRDefault="00BF1C56" w:rsidP="002B4858">
            <w:pPr>
              <w:tabs>
                <w:tab w:val="left" w:pos="1560"/>
              </w:tabs>
              <w:spacing w:line="240" w:lineRule="auto"/>
              <w:rPr>
                <w:rFonts w:ascii="Times New Roman" w:hAnsi="Times New Roman"/>
                <w:color w:val="000000"/>
              </w:rPr>
            </w:pPr>
            <w:r>
              <w:rPr>
                <w:rFonts w:ascii="Times New Roman" w:hAnsi="Times New Roman"/>
                <w:color w:val="000000"/>
                <w:spacing w:val="-2"/>
              </w:rPr>
              <w:t>dane własne, GUS</w:t>
            </w:r>
          </w:p>
        </w:tc>
        <w:tc>
          <w:tcPr>
            <w:tcW w:w="2981" w:type="dxa"/>
            <w:gridSpan w:val="5"/>
            <w:shd w:val="clear" w:color="auto" w:fill="auto"/>
          </w:tcPr>
          <w:p w14:paraId="07AB0A98" w14:textId="17B77CA8" w:rsidR="002B4858" w:rsidRDefault="002B4858" w:rsidP="0064708A">
            <w:pPr>
              <w:spacing w:line="240" w:lineRule="auto"/>
              <w:rPr>
                <w:rFonts w:ascii="Times New Roman" w:hAnsi="Times New Roman"/>
                <w:color w:val="000000"/>
                <w:spacing w:val="-2"/>
              </w:rPr>
            </w:pPr>
            <w:r>
              <w:rPr>
                <w:rFonts w:ascii="Times New Roman" w:hAnsi="Times New Roman"/>
                <w:color w:val="000000"/>
                <w:spacing w:val="-2"/>
              </w:rPr>
              <w:t xml:space="preserve">możliwy wzrost atrakcyjności turystycznej terenów leżących w zakresie oddziaływania </w:t>
            </w:r>
            <w:r w:rsidR="0064708A">
              <w:rPr>
                <w:rFonts w:ascii="Times New Roman" w:hAnsi="Times New Roman"/>
                <w:color w:val="000000"/>
                <w:spacing w:val="-2"/>
              </w:rPr>
              <w:t>KPŻ2030</w:t>
            </w:r>
          </w:p>
        </w:tc>
      </w:tr>
      <w:tr w:rsidR="006A701A" w:rsidRPr="008B4FE6" w14:paraId="65B5D9CA" w14:textId="77777777" w:rsidTr="00676C8D">
        <w:trPr>
          <w:gridAfter w:val="1"/>
          <w:wAfter w:w="10" w:type="dxa"/>
          <w:trHeight w:val="302"/>
        </w:trPr>
        <w:tc>
          <w:tcPr>
            <w:tcW w:w="10937" w:type="dxa"/>
            <w:gridSpan w:val="21"/>
            <w:shd w:val="clear" w:color="auto" w:fill="99CCFF"/>
            <w:vAlign w:val="center"/>
          </w:tcPr>
          <w:p w14:paraId="0A832F2F" w14:textId="77777777" w:rsidR="006A701A" w:rsidRPr="008B4FE6" w:rsidRDefault="001B3460"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w:t>
            </w:r>
            <w:r w:rsidR="0076658F">
              <w:rPr>
                <w:rFonts w:ascii="Times New Roman" w:hAnsi="Times New Roman"/>
                <w:b/>
                <w:color w:val="000000"/>
              </w:rPr>
              <w:t>,</w:t>
            </w:r>
            <w:r>
              <w:rPr>
                <w:rFonts w:ascii="Times New Roman" w:hAnsi="Times New Roman"/>
                <w:b/>
                <w:color w:val="000000"/>
              </w:rPr>
              <w:t xml:space="preserve"> czasu trwania </w:t>
            </w:r>
            <w:r w:rsidR="0076658F">
              <w:rPr>
                <w:rFonts w:ascii="Times New Roman" w:hAnsi="Times New Roman"/>
                <w:b/>
                <w:color w:val="000000"/>
              </w:rPr>
              <w:t xml:space="preserve">i podsumowanie wyników </w:t>
            </w:r>
            <w:r w:rsidRPr="008B4FE6">
              <w:rPr>
                <w:rFonts w:ascii="Times New Roman" w:hAnsi="Times New Roman"/>
                <w:b/>
                <w:color w:val="000000"/>
              </w:rPr>
              <w:t>konsultacji</w:t>
            </w:r>
          </w:p>
        </w:tc>
      </w:tr>
      <w:tr w:rsidR="006A701A" w:rsidRPr="008B4FE6" w14:paraId="1C71F1A9" w14:textId="77777777" w:rsidTr="00676C8D">
        <w:trPr>
          <w:gridAfter w:val="1"/>
          <w:wAfter w:w="10" w:type="dxa"/>
          <w:trHeight w:val="342"/>
        </w:trPr>
        <w:tc>
          <w:tcPr>
            <w:tcW w:w="10937" w:type="dxa"/>
            <w:gridSpan w:val="21"/>
            <w:shd w:val="clear" w:color="auto" w:fill="FFFFFF"/>
          </w:tcPr>
          <w:p w14:paraId="505BCC16" w14:textId="3ADC4D81" w:rsidR="003A23C5" w:rsidRDefault="003A23C5" w:rsidP="007313E2">
            <w:pPr>
              <w:spacing w:after="120" w:line="240" w:lineRule="auto"/>
              <w:jc w:val="both"/>
              <w:rPr>
                <w:rFonts w:ascii="Times New Roman" w:hAnsi="Times New Roman"/>
                <w:color w:val="000000"/>
                <w:spacing w:val="-2"/>
              </w:rPr>
            </w:pPr>
            <w:r>
              <w:rPr>
                <w:rFonts w:ascii="Times New Roman" w:hAnsi="Times New Roman"/>
                <w:color w:val="000000"/>
                <w:spacing w:val="-2"/>
              </w:rPr>
              <w:t>Przeprowadzenie k</w:t>
            </w:r>
            <w:r w:rsidR="00A04984" w:rsidRPr="00A04984">
              <w:rPr>
                <w:rFonts w:ascii="Times New Roman" w:hAnsi="Times New Roman"/>
                <w:color w:val="000000"/>
                <w:spacing w:val="-2"/>
              </w:rPr>
              <w:t>onsultacj</w:t>
            </w:r>
            <w:r w:rsidR="00B95199">
              <w:rPr>
                <w:rFonts w:ascii="Times New Roman" w:hAnsi="Times New Roman"/>
                <w:color w:val="000000"/>
                <w:spacing w:val="-2"/>
              </w:rPr>
              <w:t>i</w:t>
            </w:r>
            <w:r w:rsidR="00A04984" w:rsidRPr="00A04984">
              <w:rPr>
                <w:rFonts w:ascii="Times New Roman" w:hAnsi="Times New Roman"/>
                <w:color w:val="000000"/>
                <w:spacing w:val="-2"/>
              </w:rPr>
              <w:t xml:space="preserve"> </w:t>
            </w:r>
            <w:r w:rsidR="0064708A">
              <w:rPr>
                <w:rFonts w:ascii="Times New Roman" w:hAnsi="Times New Roman"/>
                <w:color w:val="000000"/>
                <w:spacing w:val="-2"/>
              </w:rPr>
              <w:t xml:space="preserve">publicznych </w:t>
            </w:r>
            <w:r>
              <w:rPr>
                <w:rFonts w:ascii="Times New Roman" w:hAnsi="Times New Roman"/>
                <w:i/>
                <w:color w:val="000000"/>
                <w:spacing w:val="-2"/>
              </w:rPr>
              <w:t>Krajowego</w:t>
            </w:r>
            <w:r w:rsidRPr="008D25B2">
              <w:rPr>
                <w:rFonts w:ascii="Times New Roman" w:hAnsi="Times New Roman"/>
                <w:i/>
                <w:color w:val="000000"/>
                <w:spacing w:val="-2"/>
              </w:rPr>
              <w:t xml:space="preserve"> Program</w:t>
            </w:r>
            <w:r>
              <w:rPr>
                <w:rFonts w:ascii="Times New Roman" w:hAnsi="Times New Roman"/>
                <w:i/>
                <w:color w:val="000000"/>
                <w:spacing w:val="-2"/>
              </w:rPr>
              <w:t>u Żeglugowego</w:t>
            </w:r>
            <w:r w:rsidRPr="008D25B2">
              <w:rPr>
                <w:rFonts w:ascii="Times New Roman" w:hAnsi="Times New Roman"/>
                <w:i/>
                <w:color w:val="000000"/>
                <w:spacing w:val="-2"/>
              </w:rPr>
              <w:t xml:space="preserve"> do </w:t>
            </w:r>
            <w:r>
              <w:rPr>
                <w:rFonts w:ascii="Times New Roman" w:hAnsi="Times New Roman"/>
                <w:i/>
                <w:color w:val="000000"/>
                <w:spacing w:val="-2"/>
              </w:rPr>
              <w:t xml:space="preserve">roku </w:t>
            </w:r>
            <w:r w:rsidRPr="008D25B2">
              <w:rPr>
                <w:rFonts w:ascii="Times New Roman" w:hAnsi="Times New Roman"/>
                <w:i/>
                <w:color w:val="000000"/>
                <w:spacing w:val="-2"/>
              </w:rPr>
              <w:t>2030</w:t>
            </w:r>
            <w:r>
              <w:rPr>
                <w:rFonts w:ascii="Times New Roman" w:hAnsi="Times New Roman"/>
                <w:i/>
                <w:color w:val="000000"/>
                <w:spacing w:val="-2"/>
              </w:rPr>
              <w:t xml:space="preserve"> </w:t>
            </w:r>
            <w:r>
              <w:rPr>
                <w:rFonts w:ascii="Times New Roman" w:hAnsi="Times New Roman"/>
                <w:color w:val="000000"/>
                <w:spacing w:val="-2"/>
              </w:rPr>
              <w:t>zaplanowane został</w:t>
            </w:r>
            <w:r w:rsidR="00B95199">
              <w:rPr>
                <w:rFonts w:ascii="Times New Roman" w:hAnsi="Times New Roman"/>
                <w:color w:val="000000"/>
                <w:spacing w:val="-2"/>
              </w:rPr>
              <w:t>o</w:t>
            </w:r>
            <w:r w:rsidR="00083D1D">
              <w:rPr>
                <w:rFonts w:ascii="Times New Roman" w:hAnsi="Times New Roman"/>
                <w:color w:val="000000"/>
                <w:spacing w:val="-2"/>
              </w:rPr>
              <w:t xml:space="preserve"> </w:t>
            </w:r>
            <w:r w:rsidR="00700A9A">
              <w:rPr>
                <w:rFonts w:ascii="Times New Roman" w:hAnsi="Times New Roman"/>
                <w:color w:val="000000"/>
                <w:spacing w:val="-2"/>
              </w:rPr>
              <w:t>po uzgodnieniach międzyresortowych oraz</w:t>
            </w:r>
            <w:r w:rsidR="00083D1D">
              <w:rPr>
                <w:rFonts w:ascii="Times New Roman" w:hAnsi="Times New Roman"/>
                <w:color w:val="000000"/>
                <w:spacing w:val="-2"/>
              </w:rPr>
              <w:t xml:space="preserve"> na etapie procedury Strategicznej Oceny Oddziaływania na Środowisko</w:t>
            </w:r>
            <w:r w:rsidR="00A15541">
              <w:rPr>
                <w:rFonts w:ascii="Times New Roman" w:hAnsi="Times New Roman"/>
                <w:color w:val="000000"/>
                <w:spacing w:val="-2"/>
              </w:rPr>
              <w:t>.</w:t>
            </w:r>
            <w:r w:rsidR="00941CB9" w:rsidDel="00941CB9">
              <w:rPr>
                <w:rFonts w:ascii="Times New Roman" w:hAnsi="Times New Roman"/>
                <w:color w:val="000000"/>
                <w:spacing w:val="-2"/>
              </w:rPr>
              <w:t xml:space="preserve"> </w:t>
            </w:r>
          </w:p>
          <w:p w14:paraId="2F537C42" w14:textId="5980E160" w:rsidR="003A23C5" w:rsidRPr="003A23C5" w:rsidRDefault="003A23C5" w:rsidP="007313E2">
            <w:pPr>
              <w:spacing w:before="120" w:after="120" w:line="252" w:lineRule="auto"/>
              <w:jc w:val="both"/>
              <w:rPr>
                <w:rFonts w:ascii="Times New Roman" w:hAnsi="Times New Roman"/>
                <w:color w:val="000000"/>
                <w:spacing w:val="-2"/>
              </w:rPr>
            </w:pPr>
            <w:r w:rsidRPr="005555E5">
              <w:rPr>
                <w:rFonts w:ascii="Times New Roman" w:hAnsi="Times New Roman"/>
                <w:color w:val="000000"/>
                <w:spacing w:val="-2"/>
              </w:rPr>
              <w:t xml:space="preserve">Projekt KPŻ2030 </w:t>
            </w:r>
            <w:r w:rsidR="00B95199">
              <w:rPr>
                <w:rFonts w:ascii="Times New Roman" w:hAnsi="Times New Roman"/>
                <w:color w:val="000000"/>
                <w:spacing w:val="-2"/>
              </w:rPr>
              <w:t xml:space="preserve">na podstawie </w:t>
            </w:r>
            <w:r w:rsidRPr="007313E2">
              <w:rPr>
                <w:rFonts w:ascii="Times New Roman" w:hAnsi="Times New Roman"/>
                <w:color w:val="000000"/>
                <w:spacing w:val="-2"/>
              </w:rPr>
              <w:t xml:space="preserve">art. 6 oraz art. 19a ustawy z dnia 6 grudnia 2006 r. </w:t>
            </w:r>
            <w:r w:rsidRPr="007313E2">
              <w:rPr>
                <w:rFonts w:ascii="Times New Roman" w:hAnsi="Times New Roman"/>
                <w:i/>
                <w:color w:val="000000"/>
                <w:spacing w:val="-2"/>
              </w:rPr>
              <w:t>o zasadach prowadzenia polityki rozwoju</w:t>
            </w:r>
            <w:r w:rsidR="005555E5">
              <w:rPr>
                <w:rFonts w:ascii="Times New Roman" w:hAnsi="Times New Roman"/>
                <w:color w:val="000000"/>
                <w:spacing w:val="-2"/>
              </w:rPr>
              <w:t xml:space="preserve"> </w:t>
            </w:r>
            <w:r w:rsidRPr="003A23C5">
              <w:rPr>
                <w:rFonts w:ascii="Times New Roman" w:hAnsi="Times New Roman"/>
                <w:color w:val="000000"/>
                <w:spacing w:val="-2"/>
              </w:rPr>
              <w:t>został skierowany do konsultacji publicznych</w:t>
            </w:r>
            <w:r w:rsidR="007313E2">
              <w:rPr>
                <w:rFonts w:ascii="Times New Roman" w:hAnsi="Times New Roman"/>
                <w:color w:val="000000"/>
                <w:spacing w:val="-2"/>
              </w:rPr>
              <w:t xml:space="preserve"> 16 grudnia 2021 </w:t>
            </w:r>
            <w:r w:rsidR="007313E2" w:rsidRPr="003A23C5">
              <w:rPr>
                <w:rFonts w:ascii="Times New Roman" w:hAnsi="Times New Roman"/>
                <w:color w:val="000000"/>
                <w:spacing w:val="-2"/>
              </w:rPr>
              <w:t>r.</w:t>
            </w:r>
            <w:r w:rsidR="005555E5">
              <w:rPr>
                <w:rFonts w:ascii="Times New Roman" w:hAnsi="Times New Roman"/>
                <w:color w:val="000000"/>
                <w:spacing w:val="-2"/>
              </w:rPr>
              <w:t>, po zakończe</w:t>
            </w:r>
            <w:r w:rsidR="007313E2">
              <w:rPr>
                <w:rFonts w:ascii="Times New Roman" w:hAnsi="Times New Roman"/>
                <w:color w:val="000000"/>
                <w:spacing w:val="-2"/>
              </w:rPr>
              <w:t>niu uzgodnień międzyresortowych.</w:t>
            </w:r>
            <w:r w:rsidR="005555E5">
              <w:rPr>
                <w:rFonts w:ascii="Times New Roman" w:hAnsi="Times New Roman"/>
                <w:color w:val="000000"/>
                <w:spacing w:val="-2"/>
              </w:rPr>
              <w:t xml:space="preserve"> </w:t>
            </w:r>
            <w:r w:rsidRPr="003A23C5">
              <w:rPr>
                <w:rFonts w:ascii="Times New Roman" w:hAnsi="Times New Roman"/>
                <w:color w:val="000000"/>
                <w:spacing w:val="-2"/>
              </w:rPr>
              <w:t xml:space="preserve">Zgodnie z obowiązującymi przepisami zaproszenie do udziału w konsultacjach zostało upublicznione poprzez: </w:t>
            </w:r>
          </w:p>
          <w:p w14:paraId="30D2C253" w14:textId="364143E0" w:rsidR="003A23C5" w:rsidRPr="007313E2" w:rsidRDefault="003A23C5" w:rsidP="007313E2">
            <w:pPr>
              <w:pStyle w:val="Akapitzlist"/>
              <w:numPr>
                <w:ilvl w:val="0"/>
                <w:numId w:val="36"/>
              </w:numPr>
              <w:spacing w:after="120" w:line="240" w:lineRule="auto"/>
              <w:jc w:val="both"/>
              <w:rPr>
                <w:rFonts w:ascii="Times New Roman" w:hAnsi="Times New Roman"/>
                <w:color w:val="000000"/>
                <w:spacing w:val="-2"/>
              </w:rPr>
            </w:pPr>
            <w:r w:rsidRPr="007313E2">
              <w:rPr>
                <w:rFonts w:ascii="Times New Roman" w:hAnsi="Times New Roman"/>
                <w:color w:val="000000"/>
                <w:spacing w:val="-2"/>
              </w:rPr>
              <w:t>zamieszczenie ogłoszeń na tablicach informacyjnych Ministerstw</w:t>
            </w:r>
            <w:r w:rsidR="00F43501">
              <w:rPr>
                <w:rFonts w:ascii="Times New Roman" w:hAnsi="Times New Roman"/>
                <w:color w:val="000000"/>
                <w:spacing w:val="-2"/>
              </w:rPr>
              <w:t>a</w:t>
            </w:r>
            <w:r w:rsidRPr="007313E2">
              <w:rPr>
                <w:rFonts w:ascii="Times New Roman" w:hAnsi="Times New Roman"/>
                <w:color w:val="000000"/>
                <w:spacing w:val="-2"/>
              </w:rPr>
              <w:t xml:space="preserve"> Infrastruktury w siedzibie urzędu przy ulicy Nowy Świat 6/12 w Warszawie,</w:t>
            </w:r>
          </w:p>
          <w:p w14:paraId="2075B588" w14:textId="00D15FE4" w:rsidR="003A23C5" w:rsidRPr="007313E2" w:rsidRDefault="003A23C5" w:rsidP="007313E2">
            <w:pPr>
              <w:pStyle w:val="Akapitzlist"/>
              <w:numPr>
                <w:ilvl w:val="0"/>
                <w:numId w:val="36"/>
              </w:numPr>
              <w:spacing w:after="120" w:line="240" w:lineRule="auto"/>
              <w:jc w:val="both"/>
              <w:rPr>
                <w:rFonts w:ascii="Times New Roman" w:hAnsi="Times New Roman"/>
                <w:color w:val="000000"/>
                <w:spacing w:val="-2"/>
              </w:rPr>
            </w:pPr>
            <w:r w:rsidRPr="007313E2">
              <w:rPr>
                <w:rFonts w:ascii="Times New Roman" w:hAnsi="Times New Roman"/>
                <w:color w:val="000000"/>
                <w:spacing w:val="-2"/>
              </w:rPr>
              <w:t>zamieszczenie ogłoszeń oraz dokumentów na stronie internetowej Ministerstwa Infrastruktury,</w:t>
            </w:r>
          </w:p>
          <w:p w14:paraId="5EC1F1E7" w14:textId="69711130" w:rsidR="003A23C5" w:rsidRPr="007313E2" w:rsidRDefault="003A23C5" w:rsidP="007313E2">
            <w:pPr>
              <w:pStyle w:val="Akapitzlist"/>
              <w:numPr>
                <w:ilvl w:val="0"/>
                <w:numId w:val="36"/>
              </w:numPr>
              <w:spacing w:after="120" w:line="240" w:lineRule="auto"/>
              <w:jc w:val="both"/>
              <w:rPr>
                <w:rFonts w:ascii="Times New Roman" w:hAnsi="Times New Roman"/>
                <w:color w:val="000000"/>
                <w:spacing w:val="-2"/>
              </w:rPr>
            </w:pPr>
            <w:r w:rsidRPr="007313E2">
              <w:rPr>
                <w:rFonts w:ascii="Times New Roman" w:hAnsi="Times New Roman"/>
                <w:color w:val="000000"/>
                <w:spacing w:val="-2"/>
              </w:rPr>
              <w:t>udostępnienie do wglądu wersji papierowej w siedzibie urzędu przy ulicy Nowy Świat 6/12 w Warszawie,</w:t>
            </w:r>
          </w:p>
          <w:p w14:paraId="516A2068" w14:textId="5865EBBB" w:rsidR="003A23C5" w:rsidRPr="007313E2" w:rsidRDefault="003A23C5" w:rsidP="007313E2">
            <w:pPr>
              <w:pStyle w:val="Akapitzlist"/>
              <w:numPr>
                <w:ilvl w:val="0"/>
                <w:numId w:val="36"/>
              </w:numPr>
              <w:spacing w:after="120" w:line="240" w:lineRule="auto"/>
              <w:jc w:val="both"/>
              <w:rPr>
                <w:rFonts w:ascii="Times New Roman" w:hAnsi="Times New Roman"/>
                <w:color w:val="000000"/>
                <w:spacing w:val="-2"/>
              </w:rPr>
            </w:pPr>
            <w:r w:rsidRPr="007313E2">
              <w:rPr>
                <w:rFonts w:ascii="Times New Roman" w:hAnsi="Times New Roman"/>
                <w:color w:val="000000"/>
                <w:spacing w:val="-2"/>
              </w:rPr>
              <w:t xml:space="preserve">na portalach społecznościowych Ministerstwa Infrastruktury oraz </w:t>
            </w:r>
            <w:r w:rsidR="00894E62">
              <w:rPr>
                <w:rFonts w:ascii="Times New Roman" w:hAnsi="Times New Roman"/>
                <w:color w:val="000000"/>
                <w:spacing w:val="-2"/>
              </w:rPr>
              <w:t>PGW WP</w:t>
            </w:r>
            <w:r w:rsidRPr="007313E2">
              <w:rPr>
                <w:rFonts w:ascii="Times New Roman" w:hAnsi="Times New Roman"/>
                <w:color w:val="000000"/>
                <w:spacing w:val="-2"/>
              </w:rPr>
              <w:t>.</w:t>
            </w:r>
          </w:p>
          <w:p w14:paraId="6F6A086D" w14:textId="77777777" w:rsidR="003A23C5" w:rsidRPr="003A23C5" w:rsidRDefault="003A23C5" w:rsidP="007313E2">
            <w:pPr>
              <w:spacing w:after="120" w:line="240" w:lineRule="auto"/>
              <w:jc w:val="both"/>
              <w:rPr>
                <w:rFonts w:ascii="Times New Roman" w:hAnsi="Times New Roman"/>
                <w:color w:val="000000"/>
                <w:spacing w:val="-2"/>
              </w:rPr>
            </w:pPr>
            <w:r w:rsidRPr="003A23C5">
              <w:rPr>
                <w:rFonts w:ascii="Times New Roman" w:hAnsi="Times New Roman"/>
                <w:color w:val="000000"/>
                <w:spacing w:val="-2"/>
              </w:rPr>
              <w:t xml:space="preserve">Informacja na temat prowadzonych działań konsultacyjnych była również przekazywana w ramach prowadzonej polityki informacyjnej Ministerstwa, w tym m.in. w ramach działalności Rady Żeglugi Śródlądowej. </w:t>
            </w:r>
          </w:p>
          <w:p w14:paraId="0BEB45C9" w14:textId="342EC8A5" w:rsidR="003A23C5" w:rsidRPr="007313E2" w:rsidRDefault="003A23C5" w:rsidP="002329A2">
            <w:pPr>
              <w:spacing w:after="120" w:line="240" w:lineRule="auto"/>
              <w:jc w:val="both"/>
              <w:rPr>
                <w:rFonts w:ascii="Times New Roman" w:hAnsi="Times New Roman"/>
                <w:color w:val="000000"/>
                <w:spacing w:val="-2"/>
              </w:rPr>
            </w:pPr>
            <w:r w:rsidRPr="003A23C5">
              <w:rPr>
                <w:rFonts w:ascii="Times New Roman" w:hAnsi="Times New Roman"/>
                <w:color w:val="000000"/>
                <w:spacing w:val="-2"/>
              </w:rPr>
              <w:t xml:space="preserve">Minister Infrastruktury skierował także bezpośrednie zaproszenie do udziału w konsultacjach publicznych KPŻ230 (przesłane pocztą tradycyjną oraz drogą elektroniczną poprzez wiadomość e-mail lub </w:t>
            </w:r>
            <w:proofErr w:type="spellStart"/>
            <w:r w:rsidRPr="003A23C5">
              <w:rPr>
                <w:rFonts w:ascii="Times New Roman" w:hAnsi="Times New Roman"/>
                <w:color w:val="000000"/>
                <w:spacing w:val="-2"/>
              </w:rPr>
              <w:t>e</w:t>
            </w:r>
            <w:r w:rsidR="005555E5">
              <w:rPr>
                <w:rFonts w:ascii="Times New Roman" w:hAnsi="Times New Roman"/>
                <w:color w:val="000000"/>
                <w:spacing w:val="-2"/>
              </w:rPr>
              <w:t>PUAP</w:t>
            </w:r>
            <w:proofErr w:type="spellEnd"/>
            <w:r w:rsidR="005555E5">
              <w:rPr>
                <w:rFonts w:ascii="Times New Roman" w:hAnsi="Times New Roman"/>
                <w:color w:val="000000"/>
                <w:spacing w:val="-2"/>
              </w:rPr>
              <w:t>)</w:t>
            </w:r>
            <w:r w:rsidRPr="003A23C5">
              <w:rPr>
                <w:rFonts w:ascii="Times New Roman" w:hAnsi="Times New Roman"/>
                <w:color w:val="000000"/>
                <w:spacing w:val="-2"/>
              </w:rPr>
              <w:t xml:space="preserve"> do następujących partnerów gospodarczych i społecznych</w:t>
            </w:r>
            <w:r w:rsidR="005555E5">
              <w:rPr>
                <w:rFonts w:ascii="Times New Roman" w:hAnsi="Times New Roman"/>
                <w:color w:val="000000"/>
                <w:spacing w:val="-2"/>
              </w:rPr>
              <w:t>:</w:t>
            </w:r>
            <w:r w:rsidR="0039711E">
              <w:rPr>
                <w:rFonts w:ascii="Times New Roman" w:hAnsi="Times New Roman"/>
                <w:color w:val="000000"/>
                <w:spacing w:val="-2"/>
              </w:rPr>
              <w:t xml:space="preserve"> </w:t>
            </w:r>
            <w:r w:rsidRPr="007313E2">
              <w:rPr>
                <w:rFonts w:ascii="Times New Roman" w:hAnsi="Times New Roman"/>
                <w:color w:val="000000"/>
                <w:spacing w:val="-2"/>
              </w:rPr>
              <w:t>Akademia Morska w Szczecinie,</w:t>
            </w:r>
            <w:r>
              <w:rPr>
                <w:rFonts w:ascii="Times New Roman" w:hAnsi="Times New Roman"/>
                <w:color w:val="000000"/>
                <w:spacing w:val="-2"/>
              </w:rPr>
              <w:t xml:space="preserve"> </w:t>
            </w:r>
            <w:r w:rsidRPr="007313E2">
              <w:rPr>
                <w:rFonts w:ascii="Times New Roman" w:hAnsi="Times New Roman"/>
                <w:color w:val="000000"/>
                <w:spacing w:val="-2"/>
              </w:rPr>
              <w:t>Business Centre Club,</w:t>
            </w:r>
            <w:r>
              <w:rPr>
                <w:rFonts w:ascii="Times New Roman" w:hAnsi="Times New Roman"/>
                <w:color w:val="000000"/>
                <w:spacing w:val="-2"/>
              </w:rPr>
              <w:t xml:space="preserve"> </w:t>
            </w:r>
            <w:r w:rsidRPr="007313E2">
              <w:rPr>
                <w:rFonts w:ascii="Times New Roman" w:hAnsi="Times New Roman"/>
                <w:color w:val="000000"/>
                <w:spacing w:val="-2"/>
              </w:rPr>
              <w:t>Federacja Przedsiębiorców Polskich,</w:t>
            </w:r>
            <w:r>
              <w:rPr>
                <w:rFonts w:ascii="Times New Roman" w:hAnsi="Times New Roman"/>
                <w:color w:val="000000"/>
                <w:spacing w:val="-2"/>
              </w:rPr>
              <w:t xml:space="preserve"> </w:t>
            </w:r>
            <w:r w:rsidRPr="007313E2">
              <w:rPr>
                <w:rFonts w:ascii="Times New Roman" w:hAnsi="Times New Roman"/>
                <w:color w:val="000000"/>
                <w:spacing w:val="-2"/>
              </w:rPr>
              <w:t>Forum Związków Zawodowych,</w:t>
            </w:r>
            <w:r>
              <w:rPr>
                <w:rFonts w:ascii="Times New Roman" w:hAnsi="Times New Roman"/>
                <w:color w:val="000000"/>
                <w:spacing w:val="-2"/>
              </w:rPr>
              <w:t xml:space="preserve"> </w:t>
            </w:r>
            <w:r w:rsidRPr="007313E2">
              <w:rPr>
                <w:rFonts w:ascii="Times New Roman" w:hAnsi="Times New Roman"/>
                <w:color w:val="000000"/>
                <w:spacing w:val="-2"/>
              </w:rPr>
              <w:t>Fundacja WWF Polska,</w:t>
            </w:r>
            <w:r>
              <w:rPr>
                <w:rFonts w:ascii="Times New Roman" w:hAnsi="Times New Roman"/>
                <w:color w:val="000000"/>
                <w:spacing w:val="-2"/>
              </w:rPr>
              <w:t xml:space="preserve"> </w:t>
            </w:r>
            <w:r w:rsidRPr="007313E2">
              <w:rPr>
                <w:rFonts w:ascii="Times New Roman" w:hAnsi="Times New Roman"/>
                <w:color w:val="000000"/>
                <w:spacing w:val="-2"/>
              </w:rPr>
              <w:t>Izba Pracodawców Polskich,</w:t>
            </w:r>
            <w:r>
              <w:rPr>
                <w:rFonts w:ascii="Times New Roman" w:hAnsi="Times New Roman"/>
                <w:color w:val="000000"/>
                <w:spacing w:val="-2"/>
              </w:rPr>
              <w:t xml:space="preserve"> </w:t>
            </w:r>
            <w:r w:rsidRPr="007313E2">
              <w:rPr>
                <w:rFonts w:ascii="Times New Roman" w:hAnsi="Times New Roman"/>
                <w:color w:val="000000"/>
                <w:spacing w:val="-2"/>
              </w:rPr>
              <w:t>Izba Przemysłowo-Handlowa Inwestorów w Polsce,</w:t>
            </w:r>
            <w:r>
              <w:rPr>
                <w:rFonts w:ascii="Times New Roman" w:hAnsi="Times New Roman"/>
                <w:color w:val="000000"/>
                <w:spacing w:val="-2"/>
              </w:rPr>
              <w:t xml:space="preserve"> </w:t>
            </w:r>
            <w:r w:rsidRPr="007313E2">
              <w:rPr>
                <w:rFonts w:ascii="Times New Roman" w:hAnsi="Times New Roman"/>
                <w:color w:val="000000"/>
                <w:spacing w:val="-2"/>
              </w:rPr>
              <w:t>Koalicja „Ratujmy Rzeki”</w:t>
            </w:r>
            <w:r w:rsidR="002329A2">
              <w:rPr>
                <w:rFonts w:ascii="Times New Roman" w:hAnsi="Times New Roman"/>
                <w:color w:val="000000"/>
                <w:spacing w:val="-2"/>
              </w:rPr>
              <w:t xml:space="preserve"> (organizacja</w:t>
            </w:r>
            <w:r w:rsidR="002329A2" w:rsidRPr="002329A2">
              <w:rPr>
                <w:rFonts w:ascii="Times New Roman" w:hAnsi="Times New Roman"/>
                <w:color w:val="000000"/>
                <w:spacing w:val="-2"/>
              </w:rPr>
              <w:t xml:space="preserve"> zrzeszająca najważniejsze organizacje ekologiczne w Polsce, w tym m.in. Fundację </w:t>
            </w:r>
            <w:proofErr w:type="spellStart"/>
            <w:r w:rsidR="002329A2" w:rsidRPr="002329A2">
              <w:rPr>
                <w:rFonts w:ascii="Times New Roman" w:hAnsi="Times New Roman"/>
                <w:color w:val="000000"/>
                <w:spacing w:val="-2"/>
              </w:rPr>
              <w:t>Greenmind</w:t>
            </w:r>
            <w:proofErr w:type="spellEnd"/>
            <w:r w:rsidR="002329A2" w:rsidRPr="002329A2">
              <w:rPr>
                <w:rFonts w:ascii="Times New Roman" w:hAnsi="Times New Roman"/>
                <w:color w:val="000000"/>
                <w:spacing w:val="-2"/>
              </w:rPr>
              <w:t>, Fundację WWF Polska, Ogólnopolskie Towarzystwo Ochrony Ptaków oraz Stowarzyszenie Ekologiczne</w:t>
            </w:r>
            <w:r w:rsidR="002329A2">
              <w:rPr>
                <w:rFonts w:ascii="Times New Roman" w:hAnsi="Times New Roman"/>
                <w:color w:val="000000"/>
                <w:spacing w:val="-2"/>
              </w:rPr>
              <w:t xml:space="preserve"> EKO-UNIA, w momencie realizacji konsultacji publicznych zrzeszała 51. o</w:t>
            </w:r>
            <w:r w:rsidR="002329A2" w:rsidRPr="002329A2">
              <w:rPr>
                <w:rFonts w:ascii="Times New Roman" w:hAnsi="Times New Roman"/>
                <w:color w:val="000000"/>
                <w:spacing w:val="-2"/>
              </w:rPr>
              <w:t>rganizacji, 37. osób indywidualnych, ekspertów, naukowców i  aktywistów, 2. partnerów zagra</w:t>
            </w:r>
            <w:r w:rsidR="002329A2">
              <w:rPr>
                <w:rFonts w:ascii="Times New Roman" w:hAnsi="Times New Roman"/>
                <w:color w:val="000000"/>
                <w:spacing w:val="-2"/>
              </w:rPr>
              <w:t>nicznych oraz media wspierające)</w:t>
            </w:r>
            <w:r w:rsidRPr="007313E2">
              <w:rPr>
                <w:rFonts w:ascii="Times New Roman" w:hAnsi="Times New Roman"/>
                <w:color w:val="000000"/>
                <w:spacing w:val="-2"/>
              </w:rPr>
              <w:t>,</w:t>
            </w:r>
            <w:r>
              <w:rPr>
                <w:rFonts w:ascii="Times New Roman" w:hAnsi="Times New Roman"/>
                <w:color w:val="000000"/>
                <w:spacing w:val="-2"/>
              </w:rPr>
              <w:t xml:space="preserve"> </w:t>
            </w:r>
            <w:r w:rsidRPr="007313E2">
              <w:rPr>
                <w:rFonts w:ascii="Times New Roman" w:hAnsi="Times New Roman"/>
                <w:color w:val="000000"/>
                <w:spacing w:val="-2"/>
              </w:rPr>
              <w:t>Konfederacja Lewiatan,</w:t>
            </w:r>
            <w:r>
              <w:rPr>
                <w:rFonts w:ascii="Times New Roman" w:hAnsi="Times New Roman"/>
                <w:color w:val="000000"/>
                <w:spacing w:val="-2"/>
              </w:rPr>
              <w:t xml:space="preserve"> </w:t>
            </w:r>
            <w:r w:rsidRPr="007313E2">
              <w:rPr>
                <w:rFonts w:ascii="Times New Roman" w:hAnsi="Times New Roman"/>
                <w:color w:val="000000"/>
                <w:spacing w:val="-2"/>
              </w:rPr>
              <w:t>Kongres Polskiego Biznesu,</w:t>
            </w:r>
            <w:r>
              <w:rPr>
                <w:rFonts w:ascii="Times New Roman" w:hAnsi="Times New Roman"/>
                <w:color w:val="000000"/>
                <w:spacing w:val="-2"/>
              </w:rPr>
              <w:t xml:space="preserve"> </w:t>
            </w:r>
            <w:r w:rsidRPr="007313E2">
              <w:rPr>
                <w:rFonts w:ascii="Times New Roman" w:hAnsi="Times New Roman"/>
                <w:color w:val="000000"/>
                <w:spacing w:val="-2"/>
              </w:rPr>
              <w:t>Krajowa Izba Gospodarcza</w:t>
            </w:r>
            <w:r w:rsidRPr="005555E5">
              <w:rPr>
                <w:rFonts w:ascii="Times New Roman" w:hAnsi="Times New Roman"/>
                <w:color w:val="000000"/>
                <w:spacing w:val="-2"/>
              </w:rPr>
              <w:t xml:space="preserve">, </w:t>
            </w:r>
            <w:r w:rsidRPr="007313E2">
              <w:rPr>
                <w:rFonts w:ascii="Times New Roman" w:hAnsi="Times New Roman"/>
                <w:color w:val="000000"/>
                <w:spacing w:val="-2"/>
              </w:rPr>
              <w:t>Krajowa Rada Spółdzielcza,</w:t>
            </w:r>
            <w:r>
              <w:rPr>
                <w:rFonts w:ascii="Times New Roman" w:hAnsi="Times New Roman"/>
                <w:color w:val="000000"/>
                <w:spacing w:val="-2"/>
              </w:rPr>
              <w:t xml:space="preserve"> </w:t>
            </w:r>
            <w:r w:rsidRPr="007313E2">
              <w:rPr>
                <w:rFonts w:ascii="Times New Roman" w:hAnsi="Times New Roman"/>
                <w:color w:val="000000"/>
                <w:spacing w:val="-2"/>
              </w:rPr>
              <w:t>Naczelna Organizacja Techniczna,</w:t>
            </w:r>
            <w:r>
              <w:rPr>
                <w:rFonts w:ascii="Times New Roman" w:hAnsi="Times New Roman"/>
                <w:color w:val="000000"/>
                <w:spacing w:val="-2"/>
              </w:rPr>
              <w:t xml:space="preserve"> </w:t>
            </w:r>
            <w:r w:rsidRPr="007313E2">
              <w:rPr>
                <w:rFonts w:ascii="Times New Roman" w:hAnsi="Times New Roman"/>
                <w:color w:val="000000"/>
                <w:spacing w:val="-2"/>
              </w:rPr>
              <w:t>NSZZ Solidarność,</w:t>
            </w:r>
            <w:r>
              <w:rPr>
                <w:rFonts w:ascii="Times New Roman" w:hAnsi="Times New Roman"/>
                <w:color w:val="000000"/>
                <w:spacing w:val="-2"/>
              </w:rPr>
              <w:t xml:space="preserve"> </w:t>
            </w:r>
            <w:r w:rsidRPr="007313E2">
              <w:rPr>
                <w:rFonts w:ascii="Times New Roman" w:hAnsi="Times New Roman"/>
                <w:color w:val="000000"/>
                <w:spacing w:val="-2"/>
              </w:rPr>
              <w:t>Ogólnopolska Federacja Przedsiębiorców i Pracodawców Przedsiębiorcy.pl,</w:t>
            </w:r>
            <w:r>
              <w:rPr>
                <w:rFonts w:ascii="Times New Roman" w:hAnsi="Times New Roman"/>
                <w:color w:val="000000"/>
                <w:spacing w:val="-2"/>
              </w:rPr>
              <w:t xml:space="preserve"> </w:t>
            </w:r>
            <w:r w:rsidRPr="007313E2">
              <w:rPr>
                <w:rFonts w:ascii="Times New Roman" w:hAnsi="Times New Roman"/>
                <w:color w:val="000000"/>
                <w:spacing w:val="-2"/>
              </w:rPr>
              <w:t xml:space="preserve">Ogólnopolskie </w:t>
            </w:r>
            <w:r w:rsidRPr="007313E2">
              <w:rPr>
                <w:rFonts w:ascii="Times New Roman" w:hAnsi="Times New Roman"/>
                <w:color w:val="000000"/>
                <w:spacing w:val="-2"/>
              </w:rPr>
              <w:lastRenderedPageBreak/>
              <w:t>Porozumienie Związków Zawodowych,</w:t>
            </w:r>
            <w:r>
              <w:rPr>
                <w:rFonts w:ascii="Times New Roman" w:hAnsi="Times New Roman"/>
                <w:color w:val="000000"/>
                <w:spacing w:val="-2"/>
              </w:rPr>
              <w:t xml:space="preserve"> </w:t>
            </w:r>
            <w:r w:rsidRPr="007313E2">
              <w:rPr>
                <w:rFonts w:ascii="Times New Roman" w:hAnsi="Times New Roman"/>
                <w:color w:val="000000"/>
                <w:spacing w:val="-2"/>
              </w:rPr>
              <w:t xml:space="preserve">OT </w:t>
            </w:r>
            <w:proofErr w:type="spellStart"/>
            <w:r w:rsidRPr="007313E2">
              <w:rPr>
                <w:rFonts w:ascii="Times New Roman" w:hAnsi="Times New Roman"/>
                <w:color w:val="000000"/>
                <w:spacing w:val="-2"/>
              </w:rPr>
              <w:t>Logisitics</w:t>
            </w:r>
            <w:proofErr w:type="spellEnd"/>
            <w:r w:rsidRPr="007313E2">
              <w:rPr>
                <w:rFonts w:ascii="Times New Roman" w:hAnsi="Times New Roman"/>
                <w:color w:val="000000"/>
                <w:spacing w:val="-2"/>
              </w:rPr>
              <w:t xml:space="preserve"> S.A.,</w:t>
            </w:r>
            <w:r>
              <w:rPr>
                <w:rFonts w:ascii="Times New Roman" w:hAnsi="Times New Roman"/>
                <w:color w:val="000000"/>
                <w:spacing w:val="-2"/>
              </w:rPr>
              <w:t xml:space="preserve"> </w:t>
            </w:r>
            <w:r w:rsidRPr="007313E2">
              <w:rPr>
                <w:rFonts w:ascii="Times New Roman" w:hAnsi="Times New Roman"/>
                <w:color w:val="000000"/>
                <w:spacing w:val="-2"/>
              </w:rPr>
              <w:t>Państwowa Rada Gospodarki Wodnej,</w:t>
            </w:r>
            <w:r>
              <w:rPr>
                <w:rFonts w:ascii="Times New Roman" w:hAnsi="Times New Roman"/>
                <w:color w:val="000000"/>
                <w:spacing w:val="-2"/>
              </w:rPr>
              <w:t xml:space="preserve"> </w:t>
            </w:r>
            <w:r w:rsidRPr="007313E2">
              <w:rPr>
                <w:rFonts w:ascii="Times New Roman" w:hAnsi="Times New Roman"/>
                <w:color w:val="000000"/>
                <w:spacing w:val="-2"/>
              </w:rPr>
              <w:t>Polska Izba Cła Logistyki i Spedycji,</w:t>
            </w:r>
            <w:r>
              <w:rPr>
                <w:rFonts w:ascii="Times New Roman" w:hAnsi="Times New Roman"/>
                <w:color w:val="000000"/>
                <w:spacing w:val="-2"/>
              </w:rPr>
              <w:t xml:space="preserve"> </w:t>
            </w:r>
            <w:r w:rsidRPr="007313E2">
              <w:rPr>
                <w:rFonts w:ascii="Times New Roman" w:hAnsi="Times New Roman"/>
                <w:color w:val="000000"/>
                <w:spacing w:val="-2"/>
              </w:rPr>
              <w:t>Polska Izba Spedycji i Logistyki,</w:t>
            </w:r>
            <w:r>
              <w:rPr>
                <w:rFonts w:ascii="Times New Roman" w:hAnsi="Times New Roman"/>
                <w:color w:val="000000"/>
                <w:spacing w:val="-2"/>
              </w:rPr>
              <w:t xml:space="preserve"> </w:t>
            </w:r>
            <w:r w:rsidRPr="007313E2">
              <w:rPr>
                <w:rFonts w:ascii="Times New Roman" w:hAnsi="Times New Roman"/>
                <w:color w:val="000000"/>
                <w:spacing w:val="-2"/>
              </w:rPr>
              <w:t>Polska Rada Biznesu,</w:t>
            </w:r>
            <w:r>
              <w:rPr>
                <w:rFonts w:ascii="Times New Roman" w:hAnsi="Times New Roman"/>
                <w:color w:val="000000"/>
                <w:spacing w:val="-2"/>
              </w:rPr>
              <w:t xml:space="preserve"> </w:t>
            </w:r>
            <w:r w:rsidRPr="007313E2">
              <w:rPr>
                <w:rFonts w:ascii="Times New Roman" w:hAnsi="Times New Roman"/>
                <w:color w:val="000000"/>
                <w:spacing w:val="-2"/>
              </w:rPr>
              <w:t>Polski Związek Żeglarski, Polskie Towarzystwo Gospodarcze, Pracodawcy Rzeczypospolitej Polskiej, Przedsiębiorstwo Żegluga Augustowska Sp. z o.o., Rada Żeglugi Śródlądowej przy ministrze właściwym ds. żeglugi śródlądowej, Stowarzyszenie „Rada</w:t>
            </w:r>
            <w:r w:rsidR="005555E5" w:rsidRPr="005555E5">
              <w:rPr>
                <w:rFonts w:ascii="Times New Roman" w:hAnsi="Times New Roman"/>
                <w:color w:val="000000"/>
                <w:spacing w:val="-2"/>
              </w:rPr>
              <w:t xml:space="preserve"> Kapitanów Żeglugi Śródlądowej”, </w:t>
            </w:r>
            <w:r w:rsidRPr="007313E2">
              <w:rPr>
                <w:rFonts w:ascii="Times New Roman" w:hAnsi="Times New Roman"/>
                <w:color w:val="000000"/>
                <w:spacing w:val="-2"/>
              </w:rPr>
              <w:t xml:space="preserve">Stowarzyszenie Inżynierów i Techników Komunikacji RP, Stowarzyszenie na Rzecz Gospodarczego Rozwoju Dorzecza Odry „Teraz Odra”, Technikum Żeglugi Śródlądowej we Wrocławiu, Uniwersytet Morski w Gdyni, Zespół Szkół Żeglugi Śródlądowej im. Bohaterów Westerplatte w Kędzierzynie-Koźlu, Zespół Szkół Żeglugi Śródlądowej im. </w:t>
            </w:r>
            <w:proofErr w:type="spellStart"/>
            <w:r w:rsidRPr="007313E2">
              <w:rPr>
                <w:rFonts w:ascii="Times New Roman" w:hAnsi="Times New Roman"/>
                <w:color w:val="000000"/>
                <w:spacing w:val="-2"/>
              </w:rPr>
              <w:t>kmdr</w:t>
            </w:r>
            <w:proofErr w:type="spellEnd"/>
            <w:r w:rsidRPr="007313E2">
              <w:rPr>
                <w:rFonts w:ascii="Times New Roman" w:hAnsi="Times New Roman"/>
                <w:color w:val="000000"/>
                <w:spacing w:val="-2"/>
              </w:rPr>
              <w:t>. Bolesława Romanowskiego w Nakle nad Notecią, Związek Gmin Wiejskich RP, Związek Miast Polskich, Związek Polskich Armatorów Śródlądowych, Związek Powiatów Polskich i Unii Metropolii Polskich, Związek Przedsiębiorców i Pracodawców, Związek Rzemiosła Polskiego, Związek Województw RP, Żegluga Bydgoska Sp. z o.o., Żegluga Gdańska Sp. z o.o., Żegluga Mazurska Sp. z o.o., Żegluga Ostródzko-Elbląska Sp. z o.o.</w:t>
            </w:r>
          </w:p>
          <w:p w14:paraId="453E7F75" w14:textId="77777777" w:rsidR="003A23C5" w:rsidRDefault="003A23C5" w:rsidP="007313E2">
            <w:pPr>
              <w:spacing w:after="120" w:line="240" w:lineRule="auto"/>
              <w:jc w:val="both"/>
              <w:rPr>
                <w:rFonts w:ascii="Times New Roman" w:hAnsi="Times New Roman"/>
                <w:color w:val="000000"/>
                <w:spacing w:val="-2"/>
              </w:rPr>
            </w:pPr>
            <w:r w:rsidRPr="003A23C5">
              <w:rPr>
                <w:rFonts w:ascii="Times New Roman" w:hAnsi="Times New Roman"/>
                <w:color w:val="000000"/>
                <w:spacing w:val="-2"/>
              </w:rPr>
              <w:t>Konsultacje trwały 35 dni od dnia ogłoszenia na stronie internetowej Ministerstwa Infrastruktury, tj. do 19 stycznia 2022 r.</w:t>
            </w:r>
          </w:p>
          <w:p w14:paraId="2776633D" w14:textId="34A19C27" w:rsidR="005555E5" w:rsidRDefault="005555E5" w:rsidP="007313E2">
            <w:pPr>
              <w:spacing w:after="120" w:line="240" w:lineRule="auto"/>
              <w:jc w:val="both"/>
              <w:rPr>
                <w:rFonts w:ascii="Times New Roman" w:hAnsi="Times New Roman"/>
                <w:color w:val="000000"/>
                <w:spacing w:val="-2"/>
              </w:rPr>
            </w:pPr>
            <w:r w:rsidRPr="005555E5">
              <w:rPr>
                <w:rFonts w:ascii="Times New Roman" w:hAnsi="Times New Roman"/>
                <w:color w:val="000000"/>
                <w:spacing w:val="-2"/>
              </w:rPr>
              <w:t>Zgłaszane uwagi dotyczyły najczęściej zakresu projektu KPŻ2030 i załączników.</w:t>
            </w:r>
            <w:r w:rsidR="0039711E">
              <w:rPr>
                <w:rFonts w:ascii="Times New Roman" w:hAnsi="Times New Roman"/>
                <w:color w:val="000000"/>
                <w:spacing w:val="-2"/>
              </w:rPr>
              <w:t xml:space="preserve"> </w:t>
            </w:r>
            <w:r w:rsidRPr="005555E5">
              <w:rPr>
                <w:rFonts w:ascii="Times New Roman" w:hAnsi="Times New Roman"/>
                <w:color w:val="000000"/>
                <w:spacing w:val="-2"/>
              </w:rPr>
              <w:t>Nieliczne organizacje odniosły się również do Oceny Skutków Regulacji KPŻ2030, którego zapi</w:t>
            </w:r>
            <w:r>
              <w:rPr>
                <w:rFonts w:ascii="Times New Roman" w:hAnsi="Times New Roman"/>
                <w:color w:val="000000"/>
                <w:spacing w:val="-2"/>
              </w:rPr>
              <w:t xml:space="preserve">sy wynikają z treści </w:t>
            </w:r>
            <w:r w:rsidR="0064708A">
              <w:rPr>
                <w:rFonts w:ascii="Times New Roman" w:hAnsi="Times New Roman"/>
                <w:color w:val="000000"/>
                <w:spacing w:val="-2"/>
              </w:rPr>
              <w:t>p</w:t>
            </w:r>
            <w:r>
              <w:rPr>
                <w:rFonts w:ascii="Times New Roman" w:hAnsi="Times New Roman"/>
                <w:color w:val="000000"/>
                <w:spacing w:val="-2"/>
              </w:rPr>
              <w:t xml:space="preserve">rogramu. </w:t>
            </w:r>
            <w:r w:rsidRPr="005555E5">
              <w:rPr>
                <w:rFonts w:ascii="Times New Roman" w:hAnsi="Times New Roman"/>
                <w:color w:val="000000"/>
                <w:spacing w:val="-2"/>
              </w:rPr>
              <w:t>Do projektu KPŻ2030 łącznie wpłynęły 42 formularze konsultacyjne, na których zgłoszono 327 uwag. W konsultacjach publicznych projektu KPŻ2030 wzięło udział 36 podmiotów instytucjonalnych oraz 6 osób fizycznych</w:t>
            </w:r>
            <w:r>
              <w:rPr>
                <w:rFonts w:ascii="Times New Roman" w:hAnsi="Times New Roman"/>
                <w:color w:val="000000"/>
                <w:spacing w:val="-2"/>
              </w:rPr>
              <w:t>.</w:t>
            </w:r>
          </w:p>
          <w:p w14:paraId="7CD5C0B7" w14:textId="77777777" w:rsidR="005555E5" w:rsidRPr="005555E5" w:rsidRDefault="005555E5" w:rsidP="005555E5">
            <w:pPr>
              <w:spacing w:line="240" w:lineRule="auto"/>
              <w:jc w:val="both"/>
              <w:rPr>
                <w:rFonts w:ascii="Times New Roman" w:hAnsi="Times New Roman"/>
                <w:color w:val="000000"/>
                <w:spacing w:val="-2"/>
              </w:rPr>
            </w:pPr>
            <w:r w:rsidRPr="005555E5">
              <w:rPr>
                <w:rFonts w:ascii="Times New Roman" w:hAnsi="Times New Roman"/>
                <w:color w:val="000000"/>
                <w:spacing w:val="-2"/>
              </w:rPr>
              <w:t>Najczęściej pojawiające się uwagi można podzielić na zgłoszenia dotyczące:</w:t>
            </w:r>
          </w:p>
          <w:p w14:paraId="2F4F2E08" w14:textId="06A3C414" w:rsidR="005555E5" w:rsidRPr="007313E2" w:rsidRDefault="007313E2" w:rsidP="007313E2">
            <w:pPr>
              <w:pStyle w:val="Akapitzlist"/>
              <w:numPr>
                <w:ilvl w:val="0"/>
                <w:numId w:val="44"/>
              </w:numPr>
              <w:spacing w:line="240" w:lineRule="auto"/>
              <w:jc w:val="both"/>
              <w:rPr>
                <w:rFonts w:ascii="Times New Roman" w:hAnsi="Times New Roman"/>
                <w:color w:val="000000"/>
                <w:spacing w:val="-2"/>
              </w:rPr>
            </w:pPr>
            <w:r>
              <w:rPr>
                <w:rFonts w:ascii="Times New Roman" w:hAnsi="Times New Roman"/>
                <w:color w:val="000000"/>
                <w:spacing w:val="-2"/>
              </w:rPr>
              <w:t>zakresu interwencji,</w:t>
            </w:r>
          </w:p>
          <w:p w14:paraId="0BA5C4FF" w14:textId="2A95C9A4" w:rsidR="005555E5" w:rsidRPr="007313E2" w:rsidRDefault="005555E5" w:rsidP="007313E2">
            <w:pPr>
              <w:pStyle w:val="Akapitzlist"/>
              <w:numPr>
                <w:ilvl w:val="0"/>
                <w:numId w:val="43"/>
              </w:numPr>
              <w:spacing w:line="240" w:lineRule="auto"/>
              <w:jc w:val="both"/>
              <w:rPr>
                <w:rFonts w:ascii="Times New Roman" w:hAnsi="Times New Roman"/>
                <w:color w:val="000000"/>
                <w:spacing w:val="-2"/>
              </w:rPr>
            </w:pPr>
            <w:r w:rsidRPr="007313E2">
              <w:rPr>
                <w:rFonts w:ascii="Times New Roman" w:hAnsi="Times New Roman"/>
                <w:color w:val="000000"/>
                <w:spacing w:val="-2"/>
              </w:rPr>
              <w:t>modyfikacji celu główneg</w:t>
            </w:r>
            <w:r w:rsidR="007313E2">
              <w:rPr>
                <w:rFonts w:ascii="Times New Roman" w:hAnsi="Times New Roman"/>
                <w:color w:val="000000"/>
                <w:spacing w:val="-2"/>
              </w:rPr>
              <w:t>o oraz/lub celu szczegółowego 3,</w:t>
            </w:r>
          </w:p>
          <w:p w14:paraId="4F82E08F" w14:textId="306DAEBA" w:rsidR="005555E5" w:rsidRPr="007313E2" w:rsidRDefault="005555E5" w:rsidP="007313E2">
            <w:pPr>
              <w:pStyle w:val="Akapitzlist"/>
              <w:numPr>
                <w:ilvl w:val="0"/>
                <w:numId w:val="43"/>
              </w:numPr>
              <w:spacing w:line="240" w:lineRule="auto"/>
              <w:jc w:val="both"/>
              <w:rPr>
                <w:rFonts w:ascii="Times New Roman" w:hAnsi="Times New Roman"/>
                <w:color w:val="000000"/>
                <w:spacing w:val="-2"/>
              </w:rPr>
            </w:pPr>
            <w:r w:rsidRPr="007313E2">
              <w:rPr>
                <w:rFonts w:ascii="Times New Roman" w:hAnsi="Times New Roman"/>
                <w:color w:val="000000"/>
                <w:spacing w:val="-2"/>
              </w:rPr>
              <w:t xml:space="preserve">uwzględnienia lub modyfikacji </w:t>
            </w:r>
            <w:r w:rsidR="007313E2">
              <w:rPr>
                <w:rFonts w:ascii="Times New Roman" w:hAnsi="Times New Roman"/>
                <w:color w:val="000000"/>
                <w:spacing w:val="-2"/>
              </w:rPr>
              <w:t>definicji przedstawianych pojęć,</w:t>
            </w:r>
          </w:p>
          <w:p w14:paraId="6AEDA77C" w14:textId="42AB1DB7" w:rsidR="005555E5" w:rsidRPr="007313E2" w:rsidRDefault="007313E2" w:rsidP="007313E2">
            <w:pPr>
              <w:pStyle w:val="Akapitzlist"/>
              <w:numPr>
                <w:ilvl w:val="0"/>
                <w:numId w:val="43"/>
              </w:numPr>
              <w:spacing w:line="240" w:lineRule="auto"/>
              <w:jc w:val="both"/>
              <w:rPr>
                <w:rFonts w:ascii="Times New Roman" w:hAnsi="Times New Roman"/>
                <w:color w:val="000000"/>
                <w:spacing w:val="-2"/>
              </w:rPr>
            </w:pPr>
            <w:r>
              <w:rPr>
                <w:rFonts w:ascii="Times New Roman" w:hAnsi="Times New Roman"/>
                <w:color w:val="000000"/>
                <w:spacing w:val="-2"/>
              </w:rPr>
              <w:t>kwestii środowiskowych,</w:t>
            </w:r>
          </w:p>
          <w:p w14:paraId="79E019BC" w14:textId="36F0571D" w:rsidR="005555E5" w:rsidRDefault="005555E5" w:rsidP="007313E2">
            <w:pPr>
              <w:pStyle w:val="Akapitzlist"/>
              <w:numPr>
                <w:ilvl w:val="0"/>
                <w:numId w:val="43"/>
              </w:numPr>
              <w:spacing w:line="240" w:lineRule="auto"/>
              <w:jc w:val="both"/>
              <w:rPr>
                <w:rFonts w:ascii="Times New Roman" w:hAnsi="Times New Roman"/>
                <w:color w:val="000000"/>
                <w:spacing w:val="-2"/>
              </w:rPr>
            </w:pPr>
            <w:r w:rsidRPr="007313E2">
              <w:rPr>
                <w:rFonts w:ascii="Times New Roman" w:hAnsi="Times New Roman"/>
                <w:color w:val="000000"/>
                <w:spacing w:val="-2"/>
              </w:rPr>
              <w:t xml:space="preserve">kwestii finansowania </w:t>
            </w:r>
            <w:r w:rsidR="0064708A">
              <w:rPr>
                <w:rFonts w:ascii="Times New Roman" w:hAnsi="Times New Roman"/>
                <w:color w:val="000000"/>
                <w:spacing w:val="-2"/>
              </w:rPr>
              <w:t>KPŻ2030</w:t>
            </w:r>
            <w:r w:rsidRPr="007313E2">
              <w:rPr>
                <w:rFonts w:ascii="Times New Roman" w:hAnsi="Times New Roman"/>
                <w:color w:val="000000"/>
                <w:spacing w:val="-2"/>
              </w:rPr>
              <w:t>.</w:t>
            </w:r>
          </w:p>
          <w:p w14:paraId="794FF982" w14:textId="7ED214B4" w:rsidR="005555E5" w:rsidRDefault="005555E5" w:rsidP="007313E2">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Ministerstwo Infrastruktury podsumowało proces konsultacji oraz szczegółowo odniosło się do zgłoszonych wniosków w raporcie sporządzonym po konsultacjach, który został opublikowany na stronie internetowej Ministerstwa. </w:t>
            </w:r>
          </w:p>
          <w:p w14:paraId="68BFAD8D" w14:textId="0942C83C" w:rsidR="005555E5" w:rsidRPr="007313E2" w:rsidRDefault="00D569C2">
            <w:pPr>
              <w:spacing w:before="120" w:after="120" w:line="240" w:lineRule="auto"/>
              <w:jc w:val="both"/>
              <w:rPr>
                <w:rFonts w:eastAsia="Arial" w:cstheme="minorHAnsi"/>
                <w:lang w:val="pl" w:eastAsia="pl-PL"/>
              </w:rPr>
            </w:pPr>
            <w:r>
              <w:rPr>
                <w:rFonts w:ascii="Times New Roman" w:hAnsi="Times New Roman"/>
                <w:color w:val="000000"/>
                <w:spacing w:val="-2"/>
              </w:rPr>
              <w:t xml:space="preserve">Od 10 lutego 2022 r. trwa strategiczna ocena oddziaływania na środowisko wraz z oceną transgraniczną. Na tym etapie zaplanowano przeprowadzanie konsultacji społecznych </w:t>
            </w:r>
            <w:r w:rsidR="00716A70">
              <w:rPr>
                <w:rFonts w:ascii="Times New Roman" w:hAnsi="Times New Roman"/>
                <w:color w:val="000000"/>
                <w:spacing w:val="-2"/>
              </w:rPr>
              <w:t>na podstawie przepisów</w:t>
            </w:r>
            <w:r w:rsidR="005555E5" w:rsidRPr="007313E2">
              <w:rPr>
                <w:rFonts w:ascii="Times New Roman" w:hAnsi="Times New Roman"/>
                <w:color w:val="000000"/>
                <w:spacing w:val="-2"/>
              </w:rPr>
              <w:t xml:space="preserve"> ustawy z dnia 3 października 2008 r. </w:t>
            </w:r>
            <w:r w:rsidR="005555E5" w:rsidRPr="007313E2">
              <w:rPr>
                <w:rFonts w:ascii="Times New Roman" w:hAnsi="Times New Roman"/>
                <w:i/>
                <w:color w:val="000000"/>
                <w:spacing w:val="-2"/>
              </w:rPr>
              <w:t>o udostępnianiu informacji o środowisku i jego ochronie, udziale społeczeństwa w ochronie środowiska oraz o ocenach oddziaływania na środowisko</w:t>
            </w:r>
            <w:r>
              <w:rPr>
                <w:rFonts w:ascii="Times New Roman" w:hAnsi="Times New Roman"/>
                <w:i/>
                <w:color w:val="000000"/>
                <w:spacing w:val="-2"/>
              </w:rPr>
              <w:t xml:space="preserve"> </w:t>
            </w:r>
            <w:r w:rsidR="00716A70">
              <w:rPr>
                <w:rFonts w:ascii="Times New Roman" w:hAnsi="Times New Roman"/>
                <w:color w:val="000000"/>
                <w:spacing w:val="-2"/>
              </w:rPr>
              <w:t xml:space="preserve">(Dz. U. z 2022 r. poz. 1029, z </w:t>
            </w:r>
            <w:proofErr w:type="spellStart"/>
            <w:r w:rsidR="00716A70">
              <w:rPr>
                <w:rFonts w:ascii="Times New Roman" w:hAnsi="Times New Roman"/>
                <w:color w:val="000000"/>
                <w:spacing w:val="-2"/>
              </w:rPr>
              <w:t>późn</w:t>
            </w:r>
            <w:proofErr w:type="spellEnd"/>
            <w:r w:rsidR="00716A70">
              <w:rPr>
                <w:rFonts w:ascii="Times New Roman" w:hAnsi="Times New Roman"/>
                <w:color w:val="000000"/>
                <w:spacing w:val="-2"/>
              </w:rPr>
              <w:t xml:space="preserve">. zm.) </w:t>
            </w:r>
            <w:r>
              <w:rPr>
                <w:rFonts w:ascii="Times New Roman" w:hAnsi="Times New Roman"/>
                <w:color w:val="000000"/>
                <w:spacing w:val="-2"/>
              </w:rPr>
              <w:t>oraz konsultacji transgranicznych z Republiką Federalną Niemiec</w:t>
            </w:r>
            <w:r w:rsidR="005555E5" w:rsidRPr="00F17F70">
              <w:rPr>
                <w:rFonts w:eastAsia="Arial" w:cstheme="minorHAnsi"/>
                <w:lang w:val="pl" w:eastAsia="pl-PL"/>
              </w:rPr>
              <w:t xml:space="preserve">. </w:t>
            </w:r>
          </w:p>
        </w:tc>
      </w:tr>
      <w:tr w:rsidR="006A701A" w:rsidRPr="008B4FE6" w14:paraId="6359403F" w14:textId="77777777" w:rsidTr="00676C8D">
        <w:trPr>
          <w:gridAfter w:val="1"/>
          <w:wAfter w:w="10" w:type="dxa"/>
          <w:trHeight w:val="363"/>
        </w:trPr>
        <w:tc>
          <w:tcPr>
            <w:tcW w:w="10937" w:type="dxa"/>
            <w:gridSpan w:val="21"/>
            <w:shd w:val="clear" w:color="auto" w:fill="99CCFF"/>
            <w:vAlign w:val="center"/>
          </w:tcPr>
          <w:p w14:paraId="5A50A866" w14:textId="77777777" w:rsidR="006A701A" w:rsidRPr="008B4FE6" w:rsidRDefault="006A701A" w:rsidP="0072636A">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260F33" w:rsidRPr="008B4FE6" w14:paraId="33224403" w14:textId="77777777" w:rsidTr="00676C8D">
        <w:trPr>
          <w:gridAfter w:val="1"/>
          <w:wAfter w:w="10" w:type="dxa"/>
          <w:trHeight w:val="142"/>
        </w:trPr>
        <w:tc>
          <w:tcPr>
            <w:tcW w:w="3133" w:type="dxa"/>
            <w:gridSpan w:val="4"/>
            <w:vMerge w:val="restart"/>
            <w:shd w:val="clear" w:color="auto" w:fill="FFFFFF"/>
          </w:tcPr>
          <w:p w14:paraId="4A1A44A9" w14:textId="77777777" w:rsidR="00260F33" w:rsidRDefault="00821717" w:rsidP="00821717">
            <w:pPr>
              <w:spacing w:before="40" w:after="40"/>
              <w:rPr>
                <w:rFonts w:ascii="Times New Roman" w:hAnsi="Times New Roman"/>
                <w:color w:val="000000"/>
                <w:sz w:val="21"/>
                <w:szCs w:val="21"/>
              </w:rPr>
            </w:pPr>
            <w:r w:rsidRPr="006F78C4">
              <w:rPr>
                <w:rFonts w:ascii="Times New Roman" w:hAnsi="Times New Roman"/>
                <w:color w:val="000000"/>
                <w:sz w:val="21"/>
                <w:szCs w:val="21"/>
              </w:rPr>
              <w:t xml:space="preserve">(ceny </w:t>
            </w:r>
            <w:r w:rsidR="00CF5F4F">
              <w:rPr>
                <w:rFonts w:ascii="Times New Roman" w:hAnsi="Times New Roman"/>
                <w:color w:val="000000"/>
                <w:sz w:val="21"/>
                <w:szCs w:val="21"/>
              </w:rPr>
              <w:t>stałe</w:t>
            </w:r>
            <w:r w:rsidRPr="006F78C4">
              <w:rPr>
                <w:rFonts w:ascii="Times New Roman" w:hAnsi="Times New Roman"/>
                <w:color w:val="000000"/>
                <w:sz w:val="21"/>
                <w:szCs w:val="21"/>
              </w:rPr>
              <w:t xml:space="preserve"> z</w:t>
            </w:r>
            <w:r w:rsidR="001E2468">
              <w:rPr>
                <w:rFonts w:ascii="Times New Roman" w:hAnsi="Times New Roman"/>
                <w:color w:val="000000"/>
                <w:sz w:val="21"/>
                <w:szCs w:val="21"/>
              </w:rPr>
              <w:t xml:space="preserve"> 2021</w:t>
            </w:r>
            <w:r w:rsidRPr="006F78C4">
              <w:rPr>
                <w:rFonts w:ascii="Times New Roman" w:hAnsi="Times New Roman"/>
                <w:color w:val="000000"/>
                <w:sz w:val="21"/>
                <w:szCs w:val="21"/>
              </w:rPr>
              <w:t xml:space="preserve"> r.)</w:t>
            </w:r>
          </w:p>
          <w:p w14:paraId="7202A001" w14:textId="7CB74338" w:rsidR="000F44F1" w:rsidRPr="00C53F26" w:rsidRDefault="000F44F1" w:rsidP="00821717">
            <w:pPr>
              <w:spacing w:before="40" w:after="40"/>
              <w:rPr>
                <w:rFonts w:ascii="Times New Roman" w:hAnsi="Times New Roman"/>
                <w:i/>
                <w:color w:val="000000"/>
                <w:sz w:val="21"/>
                <w:szCs w:val="21"/>
              </w:rPr>
            </w:pPr>
          </w:p>
        </w:tc>
        <w:tc>
          <w:tcPr>
            <w:tcW w:w="7804" w:type="dxa"/>
            <w:gridSpan w:val="17"/>
            <w:shd w:val="clear" w:color="auto" w:fill="FFFFFF"/>
          </w:tcPr>
          <w:p w14:paraId="69C12E83" w14:textId="77777777" w:rsidR="00260F33" w:rsidRPr="00C53F26" w:rsidRDefault="00260F33" w:rsidP="00260F33">
            <w:pPr>
              <w:spacing w:before="40" w:after="40" w:line="240" w:lineRule="auto"/>
              <w:jc w:val="center"/>
              <w:rPr>
                <w:rFonts w:ascii="Times New Roman" w:hAnsi="Times New Roman"/>
                <w:i/>
                <w:color w:val="000000"/>
                <w:spacing w:val="-2"/>
                <w:sz w:val="21"/>
                <w:szCs w:val="21"/>
              </w:rPr>
            </w:pPr>
            <w:r w:rsidRPr="009B387A">
              <w:rPr>
                <w:rFonts w:ascii="Times New Roman" w:hAnsi="Times New Roman"/>
                <w:color w:val="000000"/>
                <w:sz w:val="21"/>
                <w:szCs w:val="21"/>
              </w:rPr>
              <w:t>Skutki w okresie 10 lat od wejścia w życie zmian</w:t>
            </w:r>
            <w:r w:rsidRPr="00C53F26">
              <w:rPr>
                <w:rFonts w:ascii="Times New Roman" w:hAnsi="Times New Roman"/>
                <w:color w:val="000000"/>
                <w:sz w:val="21"/>
                <w:szCs w:val="21"/>
              </w:rPr>
              <w:t xml:space="preserve"> [</w:t>
            </w:r>
            <w:r w:rsidR="00A056CB">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1E2468" w:rsidRPr="008B4FE6" w14:paraId="2784A6D4" w14:textId="77777777" w:rsidTr="000102EE">
        <w:trPr>
          <w:gridAfter w:val="1"/>
          <w:wAfter w:w="10" w:type="dxa"/>
          <w:trHeight w:val="142"/>
        </w:trPr>
        <w:tc>
          <w:tcPr>
            <w:tcW w:w="3133" w:type="dxa"/>
            <w:gridSpan w:val="4"/>
            <w:vMerge/>
            <w:shd w:val="clear" w:color="auto" w:fill="FFFFFF"/>
          </w:tcPr>
          <w:p w14:paraId="4497FA8F" w14:textId="77777777" w:rsidR="0057668E" w:rsidRPr="00C53F26" w:rsidRDefault="0057668E" w:rsidP="00A52ADB">
            <w:pPr>
              <w:spacing w:before="40" w:after="40" w:line="240" w:lineRule="auto"/>
              <w:rPr>
                <w:rFonts w:ascii="Times New Roman" w:hAnsi="Times New Roman"/>
                <w:i/>
                <w:color w:val="000000"/>
                <w:sz w:val="21"/>
                <w:szCs w:val="21"/>
              </w:rPr>
            </w:pPr>
          </w:p>
        </w:tc>
        <w:tc>
          <w:tcPr>
            <w:tcW w:w="299" w:type="dxa"/>
            <w:shd w:val="clear" w:color="auto" w:fill="FFFFFF"/>
          </w:tcPr>
          <w:p w14:paraId="15742721" w14:textId="4AE8E458" w:rsidR="000F44F1" w:rsidRPr="006B5DAF" w:rsidRDefault="0057668E" w:rsidP="00A15541">
            <w:pPr>
              <w:spacing w:line="240" w:lineRule="auto"/>
              <w:jc w:val="center"/>
              <w:rPr>
                <w:rFonts w:ascii="Times New Roman" w:hAnsi="Times New Roman"/>
                <w:color w:val="000000"/>
                <w:sz w:val="21"/>
                <w:szCs w:val="21"/>
              </w:rPr>
            </w:pPr>
            <w:r w:rsidRPr="006B5DAF">
              <w:rPr>
                <w:rFonts w:ascii="Times New Roman" w:hAnsi="Times New Roman"/>
                <w:bCs/>
                <w:sz w:val="16"/>
                <w:szCs w:val="16"/>
              </w:rPr>
              <w:t>0</w:t>
            </w:r>
          </w:p>
        </w:tc>
        <w:tc>
          <w:tcPr>
            <w:tcW w:w="567" w:type="dxa"/>
            <w:gridSpan w:val="2"/>
            <w:shd w:val="clear" w:color="auto" w:fill="FFFFFF"/>
          </w:tcPr>
          <w:p w14:paraId="31C5DD81" w14:textId="77777777" w:rsidR="0057668E" w:rsidRPr="006B5DAF" w:rsidRDefault="0057668E" w:rsidP="00A15541">
            <w:pPr>
              <w:spacing w:line="240" w:lineRule="auto"/>
              <w:jc w:val="center"/>
              <w:rPr>
                <w:rFonts w:ascii="Times New Roman" w:hAnsi="Times New Roman"/>
                <w:bCs/>
                <w:sz w:val="16"/>
                <w:szCs w:val="16"/>
              </w:rPr>
            </w:pPr>
            <w:r w:rsidRPr="006B5DAF">
              <w:rPr>
                <w:rFonts w:ascii="Times New Roman" w:hAnsi="Times New Roman"/>
                <w:bCs/>
                <w:sz w:val="16"/>
                <w:szCs w:val="16"/>
              </w:rPr>
              <w:t>1</w:t>
            </w:r>
          </w:p>
          <w:p w14:paraId="240DD509" w14:textId="75D6FE47" w:rsidR="000F44F1" w:rsidRPr="006B5DAF" w:rsidRDefault="000F44F1" w:rsidP="006B5DAF">
            <w:pPr>
              <w:spacing w:line="240" w:lineRule="auto"/>
              <w:rPr>
                <w:rFonts w:ascii="Times New Roman" w:hAnsi="Times New Roman"/>
                <w:bCs/>
                <w:sz w:val="16"/>
                <w:szCs w:val="16"/>
              </w:rPr>
            </w:pPr>
          </w:p>
        </w:tc>
        <w:tc>
          <w:tcPr>
            <w:tcW w:w="708" w:type="dxa"/>
            <w:shd w:val="clear" w:color="auto" w:fill="FFFFFF"/>
          </w:tcPr>
          <w:p w14:paraId="49EA67A5" w14:textId="23007113" w:rsidR="0057668E" w:rsidRPr="006B5DAF" w:rsidRDefault="0057668E" w:rsidP="00A15541">
            <w:pPr>
              <w:spacing w:line="240" w:lineRule="auto"/>
              <w:jc w:val="center"/>
              <w:rPr>
                <w:rFonts w:ascii="Times New Roman" w:hAnsi="Times New Roman"/>
                <w:bCs/>
                <w:sz w:val="16"/>
                <w:szCs w:val="16"/>
              </w:rPr>
            </w:pPr>
            <w:r w:rsidRPr="006B5DAF">
              <w:rPr>
                <w:rFonts w:ascii="Times New Roman" w:hAnsi="Times New Roman"/>
                <w:bCs/>
                <w:sz w:val="16"/>
                <w:szCs w:val="16"/>
              </w:rPr>
              <w:t>2</w:t>
            </w:r>
          </w:p>
          <w:p w14:paraId="41B28F03" w14:textId="53E5EFEA" w:rsidR="000F44F1" w:rsidRPr="006B5DAF" w:rsidRDefault="000F44F1" w:rsidP="00A15541">
            <w:pPr>
              <w:spacing w:line="240" w:lineRule="auto"/>
              <w:jc w:val="center"/>
              <w:rPr>
                <w:rFonts w:ascii="Times New Roman" w:hAnsi="Times New Roman"/>
                <w:bCs/>
                <w:sz w:val="16"/>
                <w:szCs w:val="16"/>
              </w:rPr>
            </w:pPr>
          </w:p>
        </w:tc>
        <w:tc>
          <w:tcPr>
            <w:tcW w:w="567" w:type="dxa"/>
            <w:shd w:val="clear" w:color="auto" w:fill="FFFFFF"/>
          </w:tcPr>
          <w:p w14:paraId="5BCA5F11" w14:textId="3A3E6307" w:rsidR="0057668E" w:rsidRPr="006B5DAF" w:rsidRDefault="0057668E" w:rsidP="00A15541">
            <w:pPr>
              <w:spacing w:line="240" w:lineRule="auto"/>
              <w:jc w:val="center"/>
              <w:rPr>
                <w:rFonts w:ascii="Times New Roman" w:hAnsi="Times New Roman"/>
                <w:bCs/>
                <w:sz w:val="16"/>
                <w:szCs w:val="16"/>
              </w:rPr>
            </w:pPr>
            <w:r w:rsidRPr="006B5DAF">
              <w:rPr>
                <w:rFonts w:ascii="Times New Roman" w:hAnsi="Times New Roman"/>
                <w:bCs/>
                <w:sz w:val="16"/>
                <w:szCs w:val="16"/>
              </w:rPr>
              <w:t>3</w:t>
            </w:r>
          </w:p>
          <w:p w14:paraId="7A2550A2" w14:textId="3731C33E" w:rsidR="000F44F1" w:rsidRPr="006B5DAF" w:rsidRDefault="000F44F1" w:rsidP="00A15541">
            <w:pPr>
              <w:spacing w:line="240" w:lineRule="auto"/>
              <w:jc w:val="center"/>
              <w:rPr>
                <w:rFonts w:ascii="Times New Roman" w:hAnsi="Times New Roman"/>
                <w:bCs/>
                <w:sz w:val="16"/>
                <w:szCs w:val="16"/>
              </w:rPr>
            </w:pPr>
          </w:p>
        </w:tc>
        <w:tc>
          <w:tcPr>
            <w:tcW w:w="709" w:type="dxa"/>
            <w:gridSpan w:val="2"/>
            <w:shd w:val="clear" w:color="auto" w:fill="FFFFFF"/>
          </w:tcPr>
          <w:p w14:paraId="24F9645E" w14:textId="48050C76" w:rsidR="0057668E" w:rsidRPr="006B5DAF" w:rsidRDefault="0057668E" w:rsidP="00A15541">
            <w:pPr>
              <w:spacing w:line="240" w:lineRule="auto"/>
              <w:jc w:val="center"/>
              <w:rPr>
                <w:rFonts w:ascii="Times New Roman" w:hAnsi="Times New Roman"/>
                <w:bCs/>
                <w:sz w:val="16"/>
                <w:szCs w:val="16"/>
              </w:rPr>
            </w:pPr>
            <w:r w:rsidRPr="006B5DAF">
              <w:rPr>
                <w:rFonts w:ascii="Times New Roman" w:hAnsi="Times New Roman"/>
                <w:bCs/>
                <w:sz w:val="16"/>
                <w:szCs w:val="16"/>
              </w:rPr>
              <w:t>4</w:t>
            </w:r>
          </w:p>
          <w:p w14:paraId="0493624C" w14:textId="0B1BF632" w:rsidR="000F44F1" w:rsidRPr="006B5DAF" w:rsidRDefault="000F44F1" w:rsidP="00A15541">
            <w:pPr>
              <w:spacing w:line="240" w:lineRule="auto"/>
              <w:jc w:val="center"/>
              <w:rPr>
                <w:rFonts w:ascii="Times New Roman" w:hAnsi="Times New Roman"/>
                <w:bCs/>
                <w:sz w:val="16"/>
                <w:szCs w:val="16"/>
              </w:rPr>
            </w:pPr>
          </w:p>
        </w:tc>
        <w:tc>
          <w:tcPr>
            <w:tcW w:w="709" w:type="dxa"/>
            <w:gridSpan w:val="2"/>
            <w:shd w:val="clear" w:color="auto" w:fill="FFFFFF"/>
          </w:tcPr>
          <w:p w14:paraId="73448C0B" w14:textId="597E3957" w:rsidR="0057668E" w:rsidRPr="006B5DAF" w:rsidRDefault="0057668E" w:rsidP="00A15541">
            <w:pPr>
              <w:spacing w:line="240" w:lineRule="auto"/>
              <w:jc w:val="center"/>
              <w:rPr>
                <w:rFonts w:ascii="Times New Roman" w:hAnsi="Times New Roman"/>
                <w:bCs/>
                <w:sz w:val="16"/>
                <w:szCs w:val="16"/>
              </w:rPr>
            </w:pPr>
            <w:r w:rsidRPr="006B5DAF">
              <w:rPr>
                <w:rFonts w:ascii="Times New Roman" w:hAnsi="Times New Roman"/>
                <w:bCs/>
                <w:sz w:val="16"/>
                <w:szCs w:val="16"/>
              </w:rPr>
              <w:t>5</w:t>
            </w:r>
          </w:p>
          <w:p w14:paraId="252EB270" w14:textId="4AC09961" w:rsidR="000F44F1" w:rsidRPr="006B5DAF" w:rsidRDefault="000F44F1" w:rsidP="00A15541">
            <w:pPr>
              <w:spacing w:line="240" w:lineRule="auto"/>
              <w:jc w:val="center"/>
              <w:rPr>
                <w:rFonts w:ascii="Times New Roman" w:hAnsi="Times New Roman"/>
                <w:bCs/>
                <w:sz w:val="16"/>
                <w:szCs w:val="16"/>
              </w:rPr>
            </w:pPr>
          </w:p>
        </w:tc>
        <w:tc>
          <w:tcPr>
            <w:tcW w:w="709" w:type="dxa"/>
            <w:shd w:val="clear" w:color="auto" w:fill="FFFFFF"/>
          </w:tcPr>
          <w:p w14:paraId="26BFEE89" w14:textId="278C7158" w:rsidR="0057668E" w:rsidRPr="006B5DAF" w:rsidRDefault="0057668E" w:rsidP="00A15541">
            <w:pPr>
              <w:spacing w:line="240" w:lineRule="auto"/>
              <w:jc w:val="center"/>
              <w:rPr>
                <w:rFonts w:ascii="Times New Roman" w:hAnsi="Times New Roman"/>
                <w:bCs/>
                <w:sz w:val="16"/>
                <w:szCs w:val="16"/>
              </w:rPr>
            </w:pPr>
            <w:r w:rsidRPr="006B5DAF">
              <w:rPr>
                <w:rFonts w:ascii="Times New Roman" w:hAnsi="Times New Roman"/>
                <w:bCs/>
                <w:sz w:val="16"/>
                <w:szCs w:val="16"/>
              </w:rPr>
              <w:t>6</w:t>
            </w:r>
          </w:p>
          <w:p w14:paraId="0B802857" w14:textId="59C90770" w:rsidR="000F44F1" w:rsidRPr="006B5DAF" w:rsidRDefault="000F44F1" w:rsidP="00A15541">
            <w:pPr>
              <w:spacing w:line="240" w:lineRule="auto"/>
              <w:jc w:val="center"/>
              <w:rPr>
                <w:rFonts w:ascii="Times New Roman" w:hAnsi="Times New Roman"/>
                <w:bCs/>
                <w:sz w:val="16"/>
                <w:szCs w:val="16"/>
              </w:rPr>
            </w:pPr>
          </w:p>
        </w:tc>
        <w:tc>
          <w:tcPr>
            <w:tcW w:w="425" w:type="dxa"/>
            <w:shd w:val="clear" w:color="auto" w:fill="FFFFFF"/>
          </w:tcPr>
          <w:p w14:paraId="0529B1E3" w14:textId="77777777" w:rsidR="0057668E" w:rsidRDefault="0057668E" w:rsidP="00A15541">
            <w:pPr>
              <w:spacing w:line="240" w:lineRule="auto"/>
              <w:jc w:val="center"/>
              <w:rPr>
                <w:rFonts w:ascii="Times New Roman" w:hAnsi="Times New Roman"/>
                <w:bCs/>
                <w:sz w:val="16"/>
                <w:szCs w:val="16"/>
              </w:rPr>
            </w:pPr>
            <w:r w:rsidRPr="006B5DAF">
              <w:rPr>
                <w:rFonts w:ascii="Times New Roman" w:hAnsi="Times New Roman"/>
                <w:bCs/>
                <w:sz w:val="16"/>
                <w:szCs w:val="16"/>
              </w:rPr>
              <w:t>7</w:t>
            </w:r>
          </w:p>
          <w:p w14:paraId="4E98472E" w14:textId="102F2E6E" w:rsidR="00B12CC7" w:rsidRPr="006B5DAF" w:rsidRDefault="00B12CC7" w:rsidP="00A15541">
            <w:pPr>
              <w:spacing w:line="240" w:lineRule="auto"/>
              <w:jc w:val="center"/>
              <w:rPr>
                <w:rFonts w:ascii="Times New Roman" w:hAnsi="Times New Roman"/>
                <w:bCs/>
                <w:sz w:val="16"/>
                <w:szCs w:val="16"/>
              </w:rPr>
            </w:pPr>
          </w:p>
        </w:tc>
        <w:tc>
          <w:tcPr>
            <w:tcW w:w="567" w:type="dxa"/>
            <w:gridSpan w:val="2"/>
            <w:shd w:val="clear" w:color="auto" w:fill="FFFFFF"/>
          </w:tcPr>
          <w:p w14:paraId="446656D3" w14:textId="77777777" w:rsidR="007E404F" w:rsidRDefault="0057668E" w:rsidP="006B5DAF">
            <w:pPr>
              <w:spacing w:line="240" w:lineRule="auto"/>
              <w:jc w:val="center"/>
              <w:rPr>
                <w:rFonts w:ascii="Times New Roman" w:hAnsi="Times New Roman"/>
                <w:bCs/>
                <w:sz w:val="16"/>
                <w:szCs w:val="16"/>
              </w:rPr>
            </w:pPr>
            <w:r w:rsidRPr="006B5DAF">
              <w:rPr>
                <w:rFonts w:ascii="Times New Roman" w:hAnsi="Times New Roman"/>
                <w:bCs/>
                <w:sz w:val="16"/>
                <w:szCs w:val="16"/>
              </w:rPr>
              <w:t>8</w:t>
            </w:r>
          </w:p>
          <w:p w14:paraId="42EF84AE" w14:textId="7D14E429" w:rsidR="009B387A" w:rsidRPr="006B5DAF" w:rsidRDefault="009B387A" w:rsidP="006B5DAF">
            <w:pPr>
              <w:spacing w:line="240" w:lineRule="auto"/>
              <w:jc w:val="center"/>
              <w:rPr>
                <w:rFonts w:ascii="Times New Roman" w:hAnsi="Times New Roman"/>
                <w:bCs/>
                <w:sz w:val="16"/>
                <w:szCs w:val="16"/>
              </w:rPr>
            </w:pPr>
          </w:p>
        </w:tc>
        <w:tc>
          <w:tcPr>
            <w:tcW w:w="709" w:type="dxa"/>
            <w:gridSpan w:val="2"/>
            <w:shd w:val="clear" w:color="auto" w:fill="FFFFFF"/>
          </w:tcPr>
          <w:p w14:paraId="52B432CA" w14:textId="77777777" w:rsidR="0057668E" w:rsidRPr="006B5DAF" w:rsidRDefault="0057668E" w:rsidP="00A15541">
            <w:pPr>
              <w:spacing w:line="240" w:lineRule="auto"/>
              <w:jc w:val="center"/>
              <w:rPr>
                <w:rFonts w:ascii="Times New Roman" w:hAnsi="Times New Roman"/>
                <w:bCs/>
                <w:sz w:val="16"/>
                <w:szCs w:val="16"/>
              </w:rPr>
            </w:pPr>
            <w:r w:rsidRPr="006B5DAF">
              <w:rPr>
                <w:rFonts w:ascii="Times New Roman" w:hAnsi="Times New Roman"/>
                <w:bCs/>
                <w:sz w:val="16"/>
                <w:szCs w:val="16"/>
              </w:rPr>
              <w:t>9</w:t>
            </w:r>
          </w:p>
          <w:p w14:paraId="79C1E04C" w14:textId="0AD28502" w:rsidR="000F44F1" w:rsidRPr="006B5DAF" w:rsidRDefault="000F44F1" w:rsidP="00A15541">
            <w:pPr>
              <w:spacing w:line="240" w:lineRule="auto"/>
              <w:jc w:val="center"/>
              <w:rPr>
                <w:rFonts w:ascii="Times New Roman" w:hAnsi="Times New Roman"/>
                <w:bCs/>
                <w:sz w:val="16"/>
                <w:szCs w:val="16"/>
              </w:rPr>
            </w:pPr>
          </w:p>
        </w:tc>
        <w:tc>
          <w:tcPr>
            <w:tcW w:w="708" w:type="dxa"/>
            <w:shd w:val="clear" w:color="auto" w:fill="FFFFFF"/>
          </w:tcPr>
          <w:p w14:paraId="1DC6C2B1" w14:textId="77777777" w:rsidR="0057668E" w:rsidRPr="00A15541" w:rsidRDefault="0057668E" w:rsidP="00A15541">
            <w:pPr>
              <w:spacing w:line="240" w:lineRule="auto"/>
              <w:jc w:val="center"/>
              <w:rPr>
                <w:rFonts w:ascii="Times New Roman" w:hAnsi="Times New Roman"/>
                <w:bCs/>
                <w:sz w:val="16"/>
                <w:szCs w:val="16"/>
              </w:rPr>
            </w:pPr>
            <w:r w:rsidRPr="00A15541">
              <w:rPr>
                <w:rFonts w:ascii="Times New Roman" w:hAnsi="Times New Roman"/>
                <w:bCs/>
                <w:sz w:val="16"/>
                <w:szCs w:val="16"/>
              </w:rPr>
              <w:t>10</w:t>
            </w:r>
          </w:p>
        </w:tc>
        <w:tc>
          <w:tcPr>
            <w:tcW w:w="1127" w:type="dxa"/>
            <w:shd w:val="clear" w:color="auto" w:fill="FFFFFF"/>
          </w:tcPr>
          <w:p w14:paraId="6D27B62C" w14:textId="77777777" w:rsidR="0057668E" w:rsidRPr="00C53F26" w:rsidRDefault="0057668E" w:rsidP="00A52ADB">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sidR="00CF5F4F">
              <w:rPr>
                <w:rFonts w:ascii="Times New Roman" w:hAnsi="Times New Roman"/>
                <w:i/>
                <w:color w:val="000000"/>
                <w:spacing w:val="-2"/>
                <w:sz w:val="21"/>
                <w:szCs w:val="21"/>
              </w:rPr>
              <w:t xml:space="preserve"> (0-10)</w:t>
            </w:r>
          </w:p>
        </w:tc>
      </w:tr>
      <w:tr w:rsidR="00A15541" w:rsidRPr="008B4FE6" w14:paraId="25298AC1" w14:textId="77777777" w:rsidTr="000102EE">
        <w:trPr>
          <w:trHeight w:val="321"/>
        </w:trPr>
        <w:tc>
          <w:tcPr>
            <w:tcW w:w="3133" w:type="dxa"/>
            <w:gridSpan w:val="4"/>
            <w:shd w:val="clear" w:color="auto" w:fill="FFFFFF"/>
            <w:vAlign w:val="center"/>
          </w:tcPr>
          <w:p w14:paraId="2700DBC6" w14:textId="77777777"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299" w:type="dxa"/>
            <w:shd w:val="clear" w:color="auto" w:fill="FFFFFF"/>
            <w:vAlign w:val="center"/>
          </w:tcPr>
          <w:p w14:paraId="66FBFCB7" w14:textId="4666C7BC" w:rsidR="00A15541" w:rsidRPr="00461F1E" w:rsidRDefault="00A15541" w:rsidP="00A15541">
            <w:pPr>
              <w:spacing w:line="240" w:lineRule="auto"/>
              <w:jc w:val="center"/>
              <w:rPr>
                <w:rFonts w:ascii="Times New Roman" w:hAnsi="Times New Roman"/>
                <w:b/>
                <w:color w:val="000000"/>
                <w:sz w:val="16"/>
                <w:szCs w:val="16"/>
              </w:rPr>
            </w:pPr>
            <w:r w:rsidRPr="00461F1E">
              <w:rPr>
                <w:rFonts w:ascii="Times New Roman" w:hAnsi="Times New Roman"/>
                <w:b/>
                <w:bCs/>
                <w:sz w:val="16"/>
                <w:szCs w:val="16"/>
              </w:rPr>
              <w:t>0</w:t>
            </w:r>
          </w:p>
        </w:tc>
        <w:tc>
          <w:tcPr>
            <w:tcW w:w="567" w:type="dxa"/>
            <w:gridSpan w:val="2"/>
            <w:shd w:val="clear" w:color="auto" w:fill="FFFFFF"/>
            <w:vAlign w:val="center"/>
          </w:tcPr>
          <w:p w14:paraId="6C1AE4C0" w14:textId="02FF87EF"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p>
        </w:tc>
        <w:tc>
          <w:tcPr>
            <w:tcW w:w="708" w:type="dxa"/>
            <w:shd w:val="clear" w:color="auto" w:fill="FFFFFF"/>
            <w:vAlign w:val="center"/>
          </w:tcPr>
          <w:p w14:paraId="5EC685A5" w14:textId="67604861"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p>
        </w:tc>
        <w:tc>
          <w:tcPr>
            <w:tcW w:w="567" w:type="dxa"/>
            <w:shd w:val="clear" w:color="auto" w:fill="FFFFFF"/>
            <w:vAlign w:val="center"/>
          </w:tcPr>
          <w:p w14:paraId="0101FA5D" w14:textId="7F04CF2E"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p>
        </w:tc>
        <w:tc>
          <w:tcPr>
            <w:tcW w:w="709" w:type="dxa"/>
            <w:gridSpan w:val="2"/>
            <w:shd w:val="clear" w:color="auto" w:fill="FFFFFF"/>
            <w:vAlign w:val="center"/>
          </w:tcPr>
          <w:p w14:paraId="43EE7915" w14:textId="768D0148"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p>
        </w:tc>
        <w:tc>
          <w:tcPr>
            <w:tcW w:w="709" w:type="dxa"/>
            <w:gridSpan w:val="2"/>
            <w:shd w:val="clear" w:color="auto" w:fill="FFFFFF"/>
            <w:vAlign w:val="center"/>
          </w:tcPr>
          <w:p w14:paraId="2EA7F66B" w14:textId="1A7724D0"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p>
        </w:tc>
        <w:tc>
          <w:tcPr>
            <w:tcW w:w="709" w:type="dxa"/>
            <w:shd w:val="clear" w:color="auto" w:fill="FFFFFF"/>
            <w:vAlign w:val="center"/>
          </w:tcPr>
          <w:p w14:paraId="7CA5395D" w14:textId="67CC0A90"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p>
        </w:tc>
        <w:tc>
          <w:tcPr>
            <w:tcW w:w="425" w:type="dxa"/>
            <w:shd w:val="clear" w:color="auto" w:fill="FFFFFF"/>
            <w:vAlign w:val="center"/>
          </w:tcPr>
          <w:p w14:paraId="6996A476" w14:textId="19BE2FB3"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p>
        </w:tc>
        <w:tc>
          <w:tcPr>
            <w:tcW w:w="567" w:type="dxa"/>
            <w:gridSpan w:val="2"/>
            <w:shd w:val="clear" w:color="auto" w:fill="FFFFFF"/>
            <w:vAlign w:val="center"/>
          </w:tcPr>
          <w:p w14:paraId="5330307D" w14:textId="048359C0"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r>
              <w:rPr>
                <w:rFonts w:ascii="Times New Roman" w:hAnsi="Times New Roman"/>
                <w:b/>
                <w:bCs/>
                <w:sz w:val="16"/>
                <w:szCs w:val="16"/>
              </w:rPr>
              <w:t>8</w:t>
            </w:r>
          </w:p>
        </w:tc>
        <w:tc>
          <w:tcPr>
            <w:tcW w:w="709" w:type="dxa"/>
            <w:gridSpan w:val="2"/>
            <w:shd w:val="clear" w:color="auto" w:fill="FFFFFF"/>
            <w:vAlign w:val="center"/>
          </w:tcPr>
          <w:p w14:paraId="7AC0FB48" w14:textId="6426E9BA"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p>
        </w:tc>
        <w:tc>
          <w:tcPr>
            <w:tcW w:w="708" w:type="dxa"/>
            <w:shd w:val="clear" w:color="auto" w:fill="FFFFFF"/>
            <w:vAlign w:val="center"/>
          </w:tcPr>
          <w:p w14:paraId="5874EB1F" w14:textId="387E79BB" w:rsidR="00A15541" w:rsidRPr="00461F1E" w:rsidRDefault="00A15541" w:rsidP="00A15541">
            <w:pPr>
              <w:spacing w:line="240" w:lineRule="auto"/>
              <w:jc w:val="center"/>
              <w:rPr>
                <w:rFonts w:ascii="Times New Roman" w:hAnsi="Times New Roman"/>
                <w:b/>
                <w:sz w:val="16"/>
                <w:szCs w:val="16"/>
              </w:rPr>
            </w:pPr>
            <w:r w:rsidRPr="00461F1E">
              <w:rPr>
                <w:rFonts w:ascii="Times New Roman" w:hAnsi="Times New Roman"/>
                <w:b/>
                <w:bCs/>
                <w:sz w:val="16"/>
                <w:szCs w:val="16"/>
              </w:rPr>
              <w:t>0</w:t>
            </w:r>
          </w:p>
        </w:tc>
        <w:tc>
          <w:tcPr>
            <w:tcW w:w="1137" w:type="dxa"/>
            <w:gridSpan w:val="2"/>
            <w:shd w:val="clear" w:color="auto" w:fill="FFFFFF"/>
            <w:vAlign w:val="center"/>
          </w:tcPr>
          <w:p w14:paraId="186CE8BE" w14:textId="0A4BCBC2" w:rsidR="00A15541" w:rsidRPr="00461F1E" w:rsidRDefault="00A15541" w:rsidP="00A15541">
            <w:pPr>
              <w:spacing w:line="240" w:lineRule="auto"/>
              <w:rPr>
                <w:rFonts w:ascii="Times New Roman" w:hAnsi="Times New Roman"/>
                <w:b/>
                <w:spacing w:val="-2"/>
                <w:sz w:val="16"/>
                <w:szCs w:val="16"/>
              </w:rPr>
            </w:pPr>
            <w:r w:rsidRPr="00461F1E">
              <w:rPr>
                <w:rFonts w:ascii="Times New Roman" w:hAnsi="Times New Roman"/>
                <w:b/>
                <w:bCs/>
                <w:sz w:val="16"/>
                <w:szCs w:val="16"/>
              </w:rPr>
              <w:t>0,</w:t>
            </w:r>
            <w:r>
              <w:rPr>
                <w:rFonts w:ascii="Times New Roman" w:hAnsi="Times New Roman"/>
                <w:b/>
                <w:bCs/>
                <w:sz w:val="16"/>
                <w:szCs w:val="16"/>
              </w:rPr>
              <w:t>8</w:t>
            </w:r>
          </w:p>
        </w:tc>
      </w:tr>
      <w:tr w:rsidR="00A15541" w:rsidRPr="008B4FE6" w14:paraId="0384500B" w14:textId="77777777" w:rsidTr="000102EE">
        <w:trPr>
          <w:trHeight w:val="321"/>
        </w:trPr>
        <w:tc>
          <w:tcPr>
            <w:tcW w:w="3133" w:type="dxa"/>
            <w:gridSpan w:val="4"/>
            <w:shd w:val="clear" w:color="auto" w:fill="FFFFFF"/>
            <w:vAlign w:val="center"/>
          </w:tcPr>
          <w:p w14:paraId="45BCDDC3" w14:textId="77777777"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299" w:type="dxa"/>
            <w:shd w:val="clear" w:color="auto" w:fill="FFFFFF"/>
            <w:vAlign w:val="center"/>
          </w:tcPr>
          <w:p w14:paraId="79945EE6" w14:textId="670ABC72" w:rsidR="00A15541" w:rsidRPr="00461F1E" w:rsidRDefault="00A15541" w:rsidP="00A15541">
            <w:pPr>
              <w:spacing w:line="240" w:lineRule="auto"/>
              <w:jc w:val="center"/>
              <w:rPr>
                <w:rFonts w:ascii="Times New Roman" w:hAnsi="Times New Roman"/>
                <w:color w:val="000000"/>
                <w:sz w:val="16"/>
                <w:szCs w:val="16"/>
              </w:rPr>
            </w:pPr>
            <w:r w:rsidRPr="00461F1E">
              <w:rPr>
                <w:rFonts w:ascii="Times New Roman" w:hAnsi="Times New Roman"/>
                <w:sz w:val="16"/>
                <w:szCs w:val="16"/>
              </w:rPr>
              <w:t> </w:t>
            </w:r>
          </w:p>
        </w:tc>
        <w:tc>
          <w:tcPr>
            <w:tcW w:w="567" w:type="dxa"/>
            <w:gridSpan w:val="2"/>
            <w:shd w:val="clear" w:color="auto" w:fill="FFFFFF"/>
            <w:vAlign w:val="center"/>
          </w:tcPr>
          <w:p w14:paraId="4C098E52" w14:textId="21EC5435"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8" w:type="dxa"/>
            <w:shd w:val="clear" w:color="auto" w:fill="FFFFFF"/>
            <w:vAlign w:val="center"/>
          </w:tcPr>
          <w:p w14:paraId="25A5C7DE" w14:textId="02673339"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shd w:val="clear" w:color="auto" w:fill="FFFFFF"/>
            <w:vAlign w:val="center"/>
          </w:tcPr>
          <w:p w14:paraId="63F14E96" w14:textId="43E15DE3"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3B60C083" w14:textId="37DB94B9"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09C62A46" w14:textId="7DE54D14"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shd w:val="clear" w:color="auto" w:fill="FFFFFF"/>
            <w:vAlign w:val="center"/>
          </w:tcPr>
          <w:p w14:paraId="12507A40" w14:textId="60CAEA3B"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425" w:type="dxa"/>
            <w:shd w:val="clear" w:color="auto" w:fill="FFFFFF"/>
            <w:vAlign w:val="center"/>
          </w:tcPr>
          <w:p w14:paraId="346EB348" w14:textId="6388BDE9"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15E09651" w14:textId="0FEA83BE"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63F36E00" w14:textId="32CCB94F" w:rsidR="00A15541" w:rsidRPr="00461F1E" w:rsidRDefault="00A15541" w:rsidP="00A15541">
            <w:pPr>
              <w:spacing w:line="240" w:lineRule="auto"/>
              <w:jc w:val="center"/>
              <w:rPr>
                <w:rFonts w:ascii="Times New Roman" w:hAnsi="Times New Roman"/>
                <w:sz w:val="16"/>
                <w:szCs w:val="16"/>
              </w:rPr>
            </w:pPr>
          </w:p>
        </w:tc>
        <w:tc>
          <w:tcPr>
            <w:tcW w:w="708" w:type="dxa"/>
            <w:shd w:val="clear" w:color="auto" w:fill="FFFFFF"/>
            <w:vAlign w:val="center"/>
          </w:tcPr>
          <w:p w14:paraId="0CCFE845" w14:textId="1A06B339" w:rsidR="00A15541" w:rsidRPr="00461F1E" w:rsidRDefault="00A15541" w:rsidP="00A15541">
            <w:pPr>
              <w:spacing w:line="240" w:lineRule="auto"/>
              <w:jc w:val="center"/>
              <w:rPr>
                <w:rFonts w:ascii="Times New Roman" w:hAnsi="Times New Roman"/>
                <w:sz w:val="16"/>
                <w:szCs w:val="16"/>
              </w:rPr>
            </w:pPr>
          </w:p>
        </w:tc>
        <w:tc>
          <w:tcPr>
            <w:tcW w:w="1137" w:type="dxa"/>
            <w:gridSpan w:val="2"/>
            <w:shd w:val="clear" w:color="auto" w:fill="FFFFFF"/>
            <w:vAlign w:val="center"/>
          </w:tcPr>
          <w:p w14:paraId="1F0E529F" w14:textId="400B81F6" w:rsidR="00A15541" w:rsidRPr="00461F1E" w:rsidRDefault="00A15541" w:rsidP="00A15541">
            <w:pPr>
              <w:spacing w:line="240" w:lineRule="auto"/>
              <w:rPr>
                <w:rFonts w:ascii="Times New Roman" w:hAnsi="Times New Roman"/>
                <w:spacing w:val="-2"/>
                <w:sz w:val="16"/>
                <w:szCs w:val="16"/>
              </w:rPr>
            </w:pPr>
            <w:r w:rsidRPr="00461F1E">
              <w:rPr>
                <w:rFonts w:ascii="Times New Roman" w:hAnsi="Times New Roman"/>
                <w:sz w:val="16"/>
                <w:szCs w:val="16"/>
              </w:rPr>
              <w:t> </w:t>
            </w:r>
          </w:p>
        </w:tc>
      </w:tr>
      <w:tr w:rsidR="00A15541" w:rsidRPr="008B4FE6" w14:paraId="46CE407F" w14:textId="77777777" w:rsidTr="000102EE">
        <w:trPr>
          <w:trHeight w:val="344"/>
        </w:trPr>
        <w:tc>
          <w:tcPr>
            <w:tcW w:w="3133" w:type="dxa"/>
            <w:gridSpan w:val="4"/>
            <w:shd w:val="clear" w:color="auto" w:fill="FFFFFF"/>
            <w:vAlign w:val="center"/>
          </w:tcPr>
          <w:p w14:paraId="05FF64E8" w14:textId="77777777"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299" w:type="dxa"/>
            <w:shd w:val="clear" w:color="auto" w:fill="FFFFFF"/>
            <w:vAlign w:val="center"/>
          </w:tcPr>
          <w:p w14:paraId="31CEC085" w14:textId="14858CDE" w:rsidR="00A15541" w:rsidRPr="00461F1E" w:rsidRDefault="00A15541" w:rsidP="00A15541">
            <w:pPr>
              <w:spacing w:line="240" w:lineRule="auto"/>
              <w:jc w:val="center"/>
              <w:rPr>
                <w:rFonts w:ascii="Times New Roman" w:hAnsi="Times New Roman"/>
                <w:color w:val="000000"/>
                <w:sz w:val="16"/>
                <w:szCs w:val="16"/>
              </w:rPr>
            </w:pPr>
            <w:r w:rsidRPr="00461F1E">
              <w:rPr>
                <w:rFonts w:ascii="Times New Roman" w:hAnsi="Times New Roman"/>
                <w:sz w:val="16"/>
                <w:szCs w:val="16"/>
              </w:rPr>
              <w:t> </w:t>
            </w:r>
          </w:p>
        </w:tc>
        <w:tc>
          <w:tcPr>
            <w:tcW w:w="567" w:type="dxa"/>
            <w:gridSpan w:val="2"/>
            <w:shd w:val="clear" w:color="auto" w:fill="FFFFFF"/>
            <w:vAlign w:val="center"/>
          </w:tcPr>
          <w:p w14:paraId="63BC768C" w14:textId="6279D399"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8" w:type="dxa"/>
            <w:shd w:val="clear" w:color="auto" w:fill="FFFFFF"/>
            <w:vAlign w:val="center"/>
          </w:tcPr>
          <w:p w14:paraId="501CB698" w14:textId="76B78233"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shd w:val="clear" w:color="auto" w:fill="FFFFFF"/>
            <w:vAlign w:val="center"/>
          </w:tcPr>
          <w:p w14:paraId="7895C7F9" w14:textId="72EDE8C2"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252584BC" w14:textId="2C074B3F"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2B61DBB7" w14:textId="2EDE719A"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shd w:val="clear" w:color="auto" w:fill="FFFFFF"/>
            <w:vAlign w:val="center"/>
          </w:tcPr>
          <w:p w14:paraId="6436D6E4" w14:textId="26B8DFE3"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425" w:type="dxa"/>
            <w:shd w:val="clear" w:color="auto" w:fill="FFFFFF"/>
            <w:vAlign w:val="center"/>
          </w:tcPr>
          <w:p w14:paraId="26DED9BF" w14:textId="1D71D11F"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4E5443F6" w14:textId="32705AF1"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11C00A77" w14:textId="1B5DB0BC" w:rsidR="00A15541" w:rsidRPr="00461F1E" w:rsidRDefault="00A15541" w:rsidP="00A15541">
            <w:pPr>
              <w:spacing w:line="240" w:lineRule="auto"/>
              <w:jc w:val="center"/>
              <w:rPr>
                <w:rFonts w:ascii="Times New Roman" w:hAnsi="Times New Roman"/>
                <w:sz w:val="16"/>
                <w:szCs w:val="16"/>
              </w:rPr>
            </w:pPr>
          </w:p>
        </w:tc>
        <w:tc>
          <w:tcPr>
            <w:tcW w:w="708" w:type="dxa"/>
            <w:shd w:val="clear" w:color="auto" w:fill="FFFFFF"/>
            <w:vAlign w:val="center"/>
          </w:tcPr>
          <w:p w14:paraId="0F5E1F65" w14:textId="0E16548C" w:rsidR="00A15541" w:rsidRPr="00461F1E" w:rsidRDefault="00A15541" w:rsidP="00A15541">
            <w:pPr>
              <w:spacing w:line="240" w:lineRule="auto"/>
              <w:jc w:val="center"/>
              <w:rPr>
                <w:rFonts w:ascii="Times New Roman" w:hAnsi="Times New Roman"/>
                <w:sz w:val="16"/>
                <w:szCs w:val="16"/>
              </w:rPr>
            </w:pPr>
          </w:p>
        </w:tc>
        <w:tc>
          <w:tcPr>
            <w:tcW w:w="1137" w:type="dxa"/>
            <w:gridSpan w:val="2"/>
            <w:shd w:val="clear" w:color="auto" w:fill="FFFFFF"/>
            <w:vAlign w:val="center"/>
          </w:tcPr>
          <w:p w14:paraId="28E726F5" w14:textId="440405A8" w:rsidR="00A15541" w:rsidRPr="00461F1E" w:rsidRDefault="00A15541" w:rsidP="00A15541">
            <w:pPr>
              <w:spacing w:line="240" w:lineRule="auto"/>
              <w:rPr>
                <w:rFonts w:ascii="Times New Roman" w:hAnsi="Times New Roman"/>
                <w:sz w:val="16"/>
                <w:szCs w:val="16"/>
              </w:rPr>
            </w:pPr>
            <w:r w:rsidRPr="00461F1E">
              <w:rPr>
                <w:rFonts w:ascii="Times New Roman" w:hAnsi="Times New Roman"/>
                <w:sz w:val="16"/>
                <w:szCs w:val="16"/>
              </w:rPr>
              <w:t> </w:t>
            </w:r>
          </w:p>
        </w:tc>
      </w:tr>
      <w:tr w:rsidR="00A15541" w:rsidRPr="008B4FE6" w14:paraId="3BF7AAAE" w14:textId="77777777" w:rsidTr="000102EE">
        <w:trPr>
          <w:trHeight w:val="344"/>
        </w:trPr>
        <w:tc>
          <w:tcPr>
            <w:tcW w:w="3133" w:type="dxa"/>
            <w:gridSpan w:val="4"/>
            <w:shd w:val="clear" w:color="auto" w:fill="FFFFFF"/>
            <w:vAlign w:val="center"/>
          </w:tcPr>
          <w:p w14:paraId="718D2A84" w14:textId="59115135" w:rsidR="00A15541" w:rsidRPr="00C53F26" w:rsidRDefault="00A15541" w:rsidP="00894E62">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r>
              <w:rPr>
                <w:rFonts w:ascii="Times New Roman" w:hAnsi="Times New Roman"/>
                <w:color w:val="000000"/>
                <w:sz w:val="21"/>
                <w:szCs w:val="21"/>
              </w:rPr>
              <w:t xml:space="preserve"> – </w:t>
            </w:r>
            <w:r w:rsidR="00894E62">
              <w:rPr>
                <w:rFonts w:ascii="Times New Roman" w:hAnsi="Times New Roman"/>
                <w:color w:val="000000"/>
                <w:sz w:val="21"/>
                <w:szCs w:val="21"/>
              </w:rPr>
              <w:t>PGW WP</w:t>
            </w:r>
          </w:p>
        </w:tc>
        <w:tc>
          <w:tcPr>
            <w:tcW w:w="299" w:type="dxa"/>
            <w:shd w:val="clear" w:color="auto" w:fill="FFFFFF"/>
            <w:vAlign w:val="center"/>
          </w:tcPr>
          <w:p w14:paraId="4FA4F6C0" w14:textId="6959E116" w:rsidR="00A15541" w:rsidRPr="00461F1E" w:rsidRDefault="00A15541" w:rsidP="00A15541">
            <w:pPr>
              <w:spacing w:line="240" w:lineRule="auto"/>
              <w:jc w:val="center"/>
              <w:rPr>
                <w:rFonts w:ascii="Times New Roman" w:hAnsi="Times New Roman"/>
                <w:color w:val="000000"/>
                <w:sz w:val="16"/>
                <w:szCs w:val="16"/>
              </w:rPr>
            </w:pPr>
            <w:r w:rsidRPr="00461F1E">
              <w:rPr>
                <w:rFonts w:ascii="Times New Roman" w:hAnsi="Times New Roman"/>
                <w:sz w:val="16"/>
                <w:szCs w:val="16"/>
              </w:rPr>
              <w:t> </w:t>
            </w:r>
          </w:p>
        </w:tc>
        <w:tc>
          <w:tcPr>
            <w:tcW w:w="567" w:type="dxa"/>
            <w:gridSpan w:val="2"/>
            <w:shd w:val="clear" w:color="auto" w:fill="FFFFFF"/>
            <w:vAlign w:val="center"/>
          </w:tcPr>
          <w:p w14:paraId="069AF3B4" w14:textId="381CE7C7"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8" w:type="dxa"/>
            <w:shd w:val="clear" w:color="auto" w:fill="FFFFFF"/>
            <w:vAlign w:val="center"/>
          </w:tcPr>
          <w:p w14:paraId="0183EC9A" w14:textId="47F48E84"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shd w:val="clear" w:color="auto" w:fill="FFFFFF"/>
            <w:vAlign w:val="center"/>
          </w:tcPr>
          <w:p w14:paraId="3D1889DE" w14:textId="7451E653"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716DCCC8" w14:textId="04FDE9AE"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1C5616BC" w14:textId="1BFA5E80"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shd w:val="clear" w:color="auto" w:fill="FFFFFF"/>
            <w:vAlign w:val="center"/>
          </w:tcPr>
          <w:p w14:paraId="2DB2EA5D" w14:textId="6F08275E"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425" w:type="dxa"/>
            <w:shd w:val="clear" w:color="auto" w:fill="FFFFFF"/>
            <w:vAlign w:val="center"/>
          </w:tcPr>
          <w:p w14:paraId="43D5B0E0" w14:textId="26DB3D4E"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77EF58F7" w14:textId="2AB884EE"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0,</w:t>
            </w:r>
            <w:r>
              <w:rPr>
                <w:rFonts w:ascii="Times New Roman" w:hAnsi="Times New Roman"/>
                <w:sz w:val="16"/>
                <w:szCs w:val="16"/>
              </w:rPr>
              <w:t>8</w:t>
            </w:r>
          </w:p>
        </w:tc>
        <w:tc>
          <w:tcPr>
            <w:tcW w:w="709" w:type="dxa"/>
            <w:gridSpan w:val="2"/>
            <w:shd w:val="clear" w:color="auto" w:fill="FFFFFF"/>
            <w:vAlign w:val="center"/>
          </w:tcPr>
          <w:p w14:paraId="3434E288" w14:textId="34DF514D" w:rsidR="00A15541" w:rsidRPr="00461F1E" w:rsidRDefault="00A15541" w:rsidP="00A15541">
            <w:pPr>
              <w:spacing w:line="240" w:lineRule="auto"/>
              <w:jc w:val="center"/>
              <w:rPr>
                <w:rFonts w:ascii="Times New Roman" w:hAnsi="Times New Roman"/>
                <w:sz w:val="16"/>
                <w:szCs w:val="16"/>
              </w:rPr>
            </w:pPr>
          </w:p>
        </w:tc>
        <w:tc>
          <w:tcPr>
            <w:tcW w:w="708" w:type="dxa"/>
            <w:shd w:val="clear" w:color="auto" w:fill="FFFFFF"/>
            <w:vAlign w:val="center"/>
          </w:tcPr>
          <w:p w14:paraId="6BE35D56" w14:textId="09B6333D" w:rsidR="00A15541" w:rsidRPr="00461F1E" w:rsidRDefault="00A15541" w:rsidP="00A15541">
            <w:pPr>
              <w:spacing w:line="240" w:lineRule="auto"/>
              <w:jc w:val="center"/>
              <w:rPr>
                <w:rFonts w:ascii="Times New Roman" w:hAnsi="Times New Roman"/>
                <w:sz w:val="16"/>
                <w:szCs w:val="16"/>
              </w:rPr>
            </w:pPr>
          </w:p>
        </w:tc>
        <w:tc>
          <w:tcPr>
            <w:tcW w:w="1137" w:type="dxa"/>
            <w:gridSpan w:val="2"/>
            <w:shd w:val="clear" w:color="auto" w:fill="FFFFFF"/>
            <w:vAlign w:val="center"/>
          </w:tcPr>
          <w:p w14:paraId="0C809598" w14:textId="6A9F0D73" w:rsidR="00A15541" w:rsidRPr="00461F1E" w:rsidRDefault="00A15541" w:rsidP="00A15541">
            <w:pPr>
              <w:spacing w:line="240" w:lineRule="auto"/>
              <w:rPr>
                <w:rFonts w:ascii="Times New Roman" w:hAnsi="Times New Roman"/>
                <w:sz w:val="16"/>
                <w:szCs w:val="16"/>
              </w:rPr>
            </w:pPr>
            <w:r w:rsidRPr="00461F1E">
              <w:rPr>
                <w:rFonts w:ascii="Times New Roman" w:hAnsi="Times New Roman"/>
                <w:sz w:val="16"/>
                <w:szCs w:val="16"/>
              </w:rPr>
              <w:t>0,</w:t>
            </w:r>
            <w:r>
              <w:rPr>
                <w:rFonts w:ascii="Times New Roman" w:hAnsi="Times New Roman"/>
                <w:sz w:val="16"/>
                <w:szCs w:val="16"/>
              </w:rPr>
              <w:t>8</w:t>
            </w:r>
          </w:p>
        </w:tc>
      </w:tr>
      <w:tr w:rsidR="00A15541" w:rsidRPr="008B4FE6" w14:paraId="21A11627" w14:textId="77777777" w:rsidTr="000102EE">
        <w:trPr>
          <w:trHeight w:val="330"/>
        </w:trPr>
        <w:tc>
          <w:tcPr>
            <w:tcW w:w="3133" w:type="dxa"/>
            <w:gridSpan w:val="4"/>
            <w:shd w:val="clear" w:color="auto" w:fill="FFFFFF"/>
            <w:vAlign w:val="center"/>
          </w:tcPr>
          <w:p w14:paraId="275BB379" w14:textId="77777777"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299" w:type="dxa"/>
            <w:shd w:val="clear" w:color="auto" w:fill="FFFFFF"/>
            <w:vAlign w:val="center"/>
          </w:tcPr>
          <w:p w14:paraId="0400EFC5" w14:textId="605FFC72" w:rsidR="00A15541" w:rsidRPr="00461F1E" w:rsidRDefault="00A15541" w:rsidP="00A15541">
            <w:pPr>
              <w:spacing w:line="240" w:lineRule="auto"/>
              <w:jc w:val="center"/>
              <w:rPr>
                <w:rFonts w:ascii="Times New Roman" w:hAnsi="Times New Roman"/>
                <w:b/>
                <w:color w:val="000000"/>
                <w:sz w:val="16"/>
                <w:szCs w:val="16"/>
              </w:rPr>
            </w:pPr>
            <w:r w:rsidRPr="00461F1E">
              <w:rPr>
                <w:rFonts w:ascii="Times New Roman" w:hAnsi="Times New Roman"/>
                <w:b/>
                <w:bCs/>
                <w:sz w:val="16"/>
                <w:szCs w:val="16"/>
              </w:rPr>
              <w:t>0</w:t>
            </w:r>
          </w:p>
        </w:tc>
        <w:tc>
          <w:tcPr>
            <w:tcW w:w="567" w:type="dxa"/>
            <w:gridSpan w:val="2"/>
            <w:shd w:val="clear" w:color="auto" w:fill="FFFFFF"/>
            <w:vAlign w:val="center"/>
          </w:tcPr>
          <w:p w14:paraId="32FAFEA2" w14:textId="74F5A5F8" w:rsidR="00A15541" w:rsidRPr="00461F1E" w:rsidRDefault="00A15541" w:rsidP="00A15541">
            <w:pPr>
              <w:spacing w:line="240" w:lineRule="auto"/>
              <w:jc w:val="center"/>
              <w:rPr>
                <w:rFonts w:ascii="Times New Roman" w:hAnsi="Times New Roman"/>
                <w:b/>
                <w:color w:val="000000"/>
                <w:sz w:val="16"/>
                <w:szCs w:val="16"/>
              </w:rPr>
            </w:pPr>
            <w:r w:rsidRPr="00461F1E">
              <w:rPr>
                <w:rFonts w:ascii="Times New Roman" w:hAnsi="Times New Roman"/>
                <w:b/>
                <w:bCs/>
                <w:sz w:val="16"/>
                <w:szCs w:val="16"/>
              </w:rPr>
              <w:t>0</w:t>
            </w:r>
          </w:p>
        </w:tc>
        <w:tc>
          <w:tcPr>
            <w:tcW w:w="708" w:type="dxa"/>
            <w:shd w:val="clear" w:color="auto" w:fill="FFFFFF"/>
            <w:vAlign w:val="center"/>
          </w:tcPr>
          <w:p w14:paraId="62074AD1" w14:textId="380C5211" w:rsidR="00A15541" w:rsidRPr="00461F1E" w:rsidRDefault="00A15541" w:rsidP="00A15541">
            <w:pPr>
              <w:spacing w:line="240" w:lineRule="auto"/>
              <w:jc w:val="center"/>
              <w:rPr>
                <w:rFonts w:ascii="Times New Roman" w:hAnsi="Times New Roman"/>
                <w:b/>
                <w:color w:val="000000"/>
                <w:sz w:val="16"/>
                <w:szCs w:val="16"/>
              </w:rPr>
            </w:pPr>
            <w:r w:rsidRPr="00461F1E">
              <w:rPr>
                <w:rFonts w:ascii="Times New Roman" w:hAnsi="Times New Roman"/>
                <w:b/>
                <w:bCs/>
                <w:sz w:val="16"/>
                <w:szCs w:val="16"/>
              </w:rPr>
              <w:t>0</w:t>
            </w:r>
          </w:p>
        </w:tc>
        <w:tc>
          <w:tcPr>
            <w:tcW w:w="567" w:type="dxa"/>
            <w:shd w:val="clear" w:color="auto" w:fill="FFFFFF"/>
            <w:vAlign w:val="center"/>
          </w:tcPr>
          <w:p w14:paraId="4CCE1615" w14:textId="72D3F534" w:rsidR="00A15541" w:rsidRPr="00461F1E" w:rsidRDefault="00B12CC7" w:rsidP="00A15541">
            <w:pPr>
              <w:spacing w:line="240" w:lineRule="auto"/>
              <w:jc w:val="center"/>
              <w:rPr>
                <w:rFonts w:ascii="Times New Roman" w:hAnsi="Times New Roman"/>
                <w:b/>
                <w:color w:val="000000"/>
                <w:sz w:val="16"/>
                <w:szCs w:val="16"/>
              </w:rPr>
            </w:pPr>
            <w:r>
              <w:rPr>
                <w:rFonts w:ascii="Times New Roman" w:hAnsi="Times New Roman"/>
                <w:b/>
                <w:bCs/>
                <w:sz w:val="16"/>
                <w:szCs w:val="16"/>
              </w:rPr>
              <w:t>0</w:t>
            </w:r>
          </w:p>
        </w:tc>
        <w:tc>
          <w:tcPr>
            <w:tcW w:w="709" w:type="dxa"/>
            <w:gridSpan w:val="2"/>
            <w:shd w:val="clear" w:color="auto" w:fill="FFFFFF"/>
            <w:vAlign w:val="center"/>
          </w:tcPr>
          <w:p w14:paraId="1931FB86" w14:textId="4872B278" w:rsidR="00A15541" w:rsidRPr="000B6106" w:rsidRDefault="000B6106" w:rsidP="00A15541">
            <w:pPr>
              <w:spacing w:line="240" w:lineRule="auto"/>
              <w:jc w:val="center"/>
              <w:rPr>
                <w:rFonts w:ascii="Times New Roman" w:hAnsi="Times New Roman"/>
                <w:b/>
                <w:color w:val="000000"/>
                <w:sz w:val="16"/>
                <w:szCs w:val="16"/>
              </w:rPr>
            </w:pPr>
            <w:r w:rsidRPr="000102EE">
              <w:rPr>
                <w:rFonts w:ascii="Times New Roman" w:hAnsi="Times New Roman"/>
                <w:b/>
                <w:sz w:val="16"/>
                <w:szCs w:val="16"/>
              </w:rPr>
              <w:t>31,7</w:t>
            </w:r>
          </w:p>
        </w:tc>
        <w:tc>
          <w:tcPr>
            <w:tcW w:w="709" w:type="dxa"/>
            <w:gridSpan w:val="2"/>
            <w:shd w:val="clear" w:color="auto" w:fill="FFFFFF"/>
            <w:vAlign w:val="center"/>
          </w:tcPr>
          <w:p w14:paraId="2D8AF9A1" w14:textId="733572B1" w:rsidR="00A15541" w:rsidRPr="000B6106" w:rsidRDefault="000B6106" w:rsidP="00A15541">
            <w:pPr>
              <w:spacing w:line="240" w:lineRule="auto"/>
              <w:jc w:val="center"/>
              <w:rPr>
                <w:rFonts w:ascii="Times New Roman" w:hAnsi="Times New Roman"/>
                <w:b/>
                <w:color w:val="000000"/>
                <w:sz w:val="16"/>
                <w:szCs w:val="16"/>
              </w:rPr>
            </w:pPr>
            <w:r w:rsidRPr="000102EE">
              <w:rPr>
                <w:rFonts w:ascii="Times New Roman" w:hAnsi="Times New Roman"/>
                <w:b/>
                <w:sz w:val="16"/>
                <w:szCs w:val="16"/>
              </w:rPr>
              <w:t>60,0</w:t>
            </w:r>
          </w:p>
        </w:tc>
        <w:tc>
          <w:tcPr>
            <w:tcW w:w="709" w:type="dxa"/>
            <w:shd w:val="clear" w:color="auto" w:fill="FFFFFF"/>
            <w:vAlign w:val="center"/>
          </w:tcPr>
          <w:p w14:paraId="479766EF" w14:textId="647DECFB" w:rsidR="00A15541" w:rsidRPr="00461F1E" w:rsidRDefault="000B6106" w:rsidP="00A15541">
            <w:pPr>
              <w:spacing w:line="240" w:lineRule="auto"/>
              <w:jc w:val="center"/>
              <w:rPr>
                <w:rFonts w:ascii="Times New Roman" w:hAnsi="Times New Roman"/>
                <w:b/>
                <w:color w:val="000000"/>
                <w:sz w:val="16"/>
                <w:szCs w:val="16"/>
              </w:rPr>
            </w:pPr>
            <w:r>
              <w:rPr>
                <w:rFonts w:ascii="Times New Roman" w:hAnsi="Times New Roman"/>
                <w:b/>
                <w:bCs/>
                <w:sz w:val="16"/>
                <w:szCs w:val="16"/>
              </w:rPr>
              <w:t>51,6</w:t>
            </w:r>
          </w:p>
        </w:tc>
        <w:tc>
          <w:tcPr>
            <w:tcW w:w="425" w:type="dxa"/>
            <w:shd w:val="clear" w:color="auto" w:fill="FFFFFF"/>
            <w:vAlign w:val="center"/>
          </w:tcPr>
          <w:p w14:paraId="1654C9AD" w14:textId="0601AD05" w:rsidR="00A15541" w:rsidRPr="00461F1E" w:rsidRDefault="00A15541" w:rsidP="00A15541">
            <w:pPr>
              <w:spacing w:line="240" w:lineRule="auto"/>
              <w:jc w:val="center"/>
              <w:rPr>
                <w:rFonts w:ascii="Times New Roman" w:hAnsi="Times New Roman"/>
                <w:b/>
                <w:color w:val="000000"/>
                <w:sz w:val="16"/>
                <w:szCs w:val="16"/>
              </w:rPr>
            </w:pPr>
            <w:r w:rsidRPr="00461F1E">
              <w:rPr>
                <w:rFonts w:ascii="Times New Roman" w:hAnsi="Times New Roman"/>
                <w:b/>
                <w:bCs/>
                <w:sz w:val="16"/>
                <w:szCs w:val="16"/>
              </w:rPr>
              <w:t>0</w:t>
            </w:r>
          </w:p>
        </w:tc>
        <w:tc>
          <w:tcPr>
            <w:tcW w:w="567" w:type="dxa"/>
            <w:gridSpan w:val="2"/>
            <w:shd w:val="clear" w:color="auto" w:fill="FFFFFF"/>
            <w:vAlign w:val="center"/>
          </w:tcPr>
          <w:p w14:paraId="4DC9A612" w14:textId="4DF93C9D" w:rsidR="00A15541" w:rsidRPr="00461F1E" w:rsidRDefault="000B6106" w:rsidP="00A15541">
            <w:pPr>
              <w:spacing w:line="240" w:lineRule="auto"/>
              <w:jc w:val="center"/>
              <w:rPr>
                <w:rFonts w:ascii="Times New Roman" w:hAnsi="Times New Roman"/>
                <w:b/>
                <w:color w:val="000000"/>
                <w:sz w:val="16"/>
                <w:szCs w:val="16"/>
              </w:rPr>
            </w:pPr>
            <w:r>
              <w:rPr>
                <w:rFonts w:ascii="Times New Roman" w:hAnsi="Times New Roman"/>
                <w:sz w:val="16"/>
                <w:szCs w:val="16"/>
              </w:rPr>
              <w:t>15,6</w:t>
            </w:r>
          </w:p>
        </w:tc>
        <w:tc>
          <w:tcPr>
            <w:tcW w:w="709" w:type="dxa"/>
            <w:gridSpan w:val="2"/>
            <w:shd w:val="clear" w:color="auto" w:fill="FFFFFF"/>
            <w:vAlign w:val="center"/>
          </w:tcPr>
          <w:p w14:paraId="4BF4F188" w14:textId="6D972E4C" w:rsidR="00A15541" w:rsidRPr="00461F1E" w:rsidRDefault="000B6106" w:rsidP="00A15541">
            <w:pPr>
              <w:spacing w:line="240" w:lineRule="auto"/>
              <w:jc w:val="center"/>
              <w:rPr>
                <w:rFonts w:ascii="Times New Roman" w:hAnsi="Times New Roman"/>
                <w:b/>
                <w:color w:val="000000"/>
                <w:sz w:val="16"/>
                <w:szCs w:val="16"/>
              </w:rPr>
            </w:pPr>
            <w:r>
              <w:rPr>
                <w:rFonts w:ascii="Times New Roman" w:hAnsi="Times New Roman"/>
                <w:b/>
                <w:bCs/>
                <w:sz w:val="16"/>
                <w:szCs w:val="16"/>
              </w:rPr>
              <w:t>0</w:t>
            </w:r>
          </w:p>
        </w:tc>
        <w:tc>
          <w:tcPr>
            <w:tcW w:w="708" w:type="dxa"/>
            <w:shd w:val="clear" w:color="auto" w:fill="FFFFFF"/>
            <w:vAlign w:val="center"/>
          </w:tcPr>
          <w:p w14:paraId="0EE2C4F4" w14:textId="070353F6" w:rsidR="00A15541" w:rsidRPr="00461F1E" w:rsidRDefault="00243C09" w:rsidP="00A15541">
            <w:pPr>
              <w:spacing w:line="240" w:lineRule="auto"/>
              <w:jc w:val="center"/>
              <w:rPr>
                <w:rFonts w:ascii="Times New Roman" w:hAnsi="Times New Roman"/>
                <w:b/>
                <w:color w:val="000000"/>
                <w:sz w:val="16"/>
                <w:szCs w:val="16"/>
              </w:rPr>
            </w:pPr>
            <w:r>
              <w:rPr>
                <w:rFonts w:ascii="Times New Roman" w:hAnsi="Times New Roman"/>
                <w:b/>
                <w:color w:val="000000"/>
                <w:sz w:val="16"/>
                <w:szCs w:val="16"/>
              </w:rPr>
              <w:t>0</w:t>
            </w:r>
          </w:p>
        </w:tc>
        <w:tc>
          <w:tcPr>
            <w:tcW w:w="1137" w:type="dxa"/>
            <w:gridSpan w:val="2"/>
            <w:shd w:val="clear" w:color="auto" w:fill="FFFFFF"/>
            <w:vAlign w:val="center"/>
          </w:tcPr>
          <w:p w14:paraId="2CAA7040" w14:textId="5BD7FC97" w:rsidR="00A15541" w:rsidRPr="00941CB9" w:rsidRDefault="000B6106" w:rsidP="00A15541">
            <w:pPr>
              <w:spacing w:line="240" w:lineRule="auto"/>
              <w:rPr>
                <w:rFonts w:ascii="Times New Roman" w:hAnsi="Times New Roman"/>
                <w:b/>
                <w:color w:val="FF0000"/>
                <w:sz w:val="16"/>
                <w:szCs w:val="16"/>
              </w:rPr>
            </w:pPr>
            <w:r>
              <w:rPr>
                <w:rFonts w:ascii="Times New Roman" w:hAnsi="Times New Roman"/>
                <w:b/>
                <w:bCs/>
                <w:sz w:val="16"/>
                <w:szCs w:val="16"/>
              </w:rPr>
              <w:t>158,9</w:t>
            </w:r>
          </w:p>
        </w:tc>
      </w:tr>
      <w:tr w:rsidR="00A15541" w:rsidRPr="008B4FE6" w14:paraId="153AC638" w14:textId="77777777" w:rsidTr="000102EE">
        <w:trPr>
          <w:trHeight w:val="330"/>
        </w:trPr>
        <w:tc>
          <w:tcPr>
            <w:tcW w:w="3133" w:type="dxa"/>
            <w:gridSpan w:val="4"/>
            <w:shd w:val="clear" w:color="auto" w:fill="FFFFFF"/>
            <w:vAlign w:val="center"/>
          </w:tcPr>
          <w:p w14:paraId="3BDB93E9" w14:textId="77777777"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299" w:type="dxa"/>
            <w:shd w:val="clear" w:color="auto" w:fill="FFFFFF"/>
            <w:vAlign w:val="center"/>
          </w:tcPr>
          <w:p w14:paraId="71C61EE5" w14:textId="6F0BE4A4"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589C1B72" w14:textId="364F5ECA"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8" w:type="dxa"/>
            <w:shd w:val="clear" w:color="auto" w:fill="FFFFFF"/>
            <w:vAlign w:val="center"/>
          </w:tcPr>
          <w:p w14:paraId="77D5BFC0" w14:textId="1DF444ED"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shd w:val="clear" w:color="auto" w:fill="FFFFFF"/>
            <w:vAlign w:val="center"/>
          </w:tcPr>
          <w:p w14:paraId="5E2A12B2" w14:textId="237A4912"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0F1C30E0" w14:textId="2551EA58"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478BBEAB" w14:textId="080204C0" w:rsidR="00A15541" w:rsidRPr="00461F1E" w:rsidRDefault="00A15541" w:rsidP="00A15541">
            <w:pPr>
              <w:spacing w:line="240" w:lineRule="auto"/>
              <w:jc w:val="center"/>
              <w:rPr>
                <w:rFonts w:ascii="Times New Roman" w:hAnsi="Times New Roman"/>
                <w:sz w:val="16"/>
                <w:szCs w:val="16"/>
              </w:rPr>
            </w:pPr>
          </w:p>
        </w:tc>
        <w:tc>
          <w:tcPr>
            <w:tcW w:w="709" w:type="dxa"/>
            <w:shd w:val="clear" w:color="auto" w:fill="FFFFFF"/>
            <w:vAlign w:val="center"/>
          </w:tcPr>
          <w:p w14:paraId="571E6FED" w14:textId="528E282B" w:rsidR="00A15541" w:rsidRPr="00461F1E" w:rsidRDefault="000B6106" w:rsidP="00A15541">
            <w:pPr>
              <w:spacing w:line="240" w:lineRule="auto"/>
              <w:jc w:val="center"/>
              <w:rPr>
                <w:rFonts w:ascii="Times New Roman" w:hAnsi="Times New Roman"/>
                <w:sz w:val="16"/>
                <w:szCs w:val="16"/>
              </w:rPr>
            </w:pPr>
            <w:r>
              <w:rPr>
                <w:rFonts w:ascii="Times New Roman" w:hAnsi="Times New Roman"/>
                <w:sz w:val="16"/>
                <w:szCs w:val="16"/>
              </w:rPr>
              <w:t>4</w:t>
            </w:r>
            <w:r w:rsidR="00A15541" w:rsidRPr="00461F1E">
              <w:rPr>
                <w:rFonts w:ascii="Times New Roman" w:hAnsi="Times New Roman"/>
                <w:sz w:val="16"/>
                <w:szCs w:val="16"/>
              </w:rPr>
              <w:t> </w:t>
            </w:r>
          </w:p>
        </w:tc>
        <w:tc>
          <w:tcPr>
            <w:tcW w:w="425" w:type="dxa"/>
            <w:shd w:val="clear" w:color="auto" w:fill="FFFFFF"/>
            <w:vAlign w:val="center"/>
          </w:tcPr>
          <w:p w14:paraId="45B8ADB7" w14:textId="56FF20DA"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58ED1E6B" w14:textId="7B27ABA9" w:rsidR="00A15541" w:rsidRPr="00461F1E" w:rsidRDefault="00A15541">
            <w:pPr>
              <w:spacing w:line="240" w:lineRule="auto"/>
              <w:jc w:val="center"/>
              <w:rPr>
                <w:rFonts w:ascii="Times New Roman" w:hAnsi="Times New Roman"/>
                <w:sz w:val="16"/>
                <w:szCs w:val="16"/>
              </w:rPr>
            </w:pPr>
          </w:p>
        </w:tc>
        <w:tc>
          <w:tcPr>
            <w:tcW w:w="709" w:type="dxa"/>
            <w:gridSpan w:val="2"/>
            <w:shd w:val="clear" w:color="auto" w:fill="FFFFFF"/>
            <w:vAlign w:val="center"/>
          </w:tcPr>
          <w:p w14:paraId="1BB4E004" w14:textId="507CEFB3" w:rsidR="00A15541" w:rsidRPr="00461F1E" w:rsidRDefault="00A15541" w:rsidP="00A15541">
            <w:pPr>
              <w:spacing w:line="240" w:lineRule="auto"/>
              <w:jc w:val="center"/>
              <w:rPr>
                <w:rFonts w:ascii="Times New Roman" w:hAnsi="Times New Roman"/>
                <w:sz w:val="16"/>
                <w:szCs w:val="16"/>
              </w:rPr>
            </w:pPr>
          </w:p>
        </w:tc>
        <w:tc>
          <w:tcPr>
            <w:tcW w:w="708" w:type="dxa"/>
            <w:shd w:val="clear" w:color="auto" w:fill="FFFFFF"/>
            <w:vAlign w:val="center"/>
          </w:tcPr>
          <w:p w14:paraId="0502B793" w14:textId="04BE44EC" w:rsidR="00A15541" w:rsidRPr="00461F1E" w:rsidRDefault="00A15541" w:rsidP="00A15541">
            <w:pPr>
              <w:spacing w:line="240" w:lineRule="auto"/>
              <w:jc w:val="center"/>
              <w:rPr>
                <w:rFonts w:ascii="Times New Roman" w:hAnsi="Times New Roman"/>
                <w:sz w:val="16"/>
                <w:szCs w:val="16"/>
              </w:rPr>
            </w:pPr>
          </w:p>
        </w:tc>
        <w:tc>
          <w:tcPr>
            <w:tcW w:w="1137" w:type="dxa"/>
            <w:gridSpan w:val="2"/>
            <w:shd w:val="clear" w:color="auto" w:fill="FFFFFF"/>
            <w:vAlign w:val="center"/>
          </w:tcPr>
          <w:p w14:paraId="544925C5" w14:textId="1A6847CF" w:rsidR="00A15541" w:rsidRPr="00941CB9" w:rsidRDefault="000B6106" w:rsidP="00A15541">
            <w:pPr>
              <w:spacing w:line="240" w:lineRule="auto"/>
              <w:rPr>
                <w:rFonts w:ascii="Times New Roman" w:hAnsi="Times New Roman"/>
                <w:color w:val="FF0000"/>
                <w:sz w:val="16"/>
                <w:szCs w:val="16"/>
              </w:rPr>
            </w:pPr>
            <w:r>
              <w:rPr>
                <w:rFonts w:ascii="Times New Roman" w:hAnsi="Times New Roman"/>
                <w:sz w:val="16"/>
                <w:szCs w:val="16"/>
              </w:rPr>
              <w:t>4</w:t>
            </w:r>
          </w:p>
        </w:tc>
      </w:tr>
      <w:tr w:rsidR="00A15541" w:rsidRPr="008B4FE6" w14:paraId="304EE9AA" w14:textId="77777777" w:rsidTr="000102EE">
        <w:trPr>
          <w:trHeight w:val="351"/>
        </w:trPr>
        <w:tc>
          <w:tcPr>
            <w:tcW w:w="3133" w:type="dxa"/>
            <w:gridSpan w:val="4"/>
            <w:shd w:val="clear" w:color="auto" w:fill="FFFFFF"/>
            <w:vAlign w:val="center"/>
          </w:tcPr>
          <w:p w14:paraId="0AD3090C" w14:textId="77777777"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299" w:type="dxa"/>
            <w:shd w:val="clear" w:color="auto" w:fill="FFFFFF"/>
            <w:vAlign w:val="center"/>
          </w:tcPr>
          <w:p w14:paraId="5D0EB566" w14:textId="3C647067"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1851F20F" w14:textId="7438FF40"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8" w:type="dxa"/>
            <w:shd w:val="clear" w:color="auto" w:fill="FFFFFF"/>
            <w:vAlign w:val="center"/>
          </w:tcPr>
          <w:p w14:paraId="1ABFE16C" w14:textId="49A52EB0"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shd w:val="clear" w:color="auto" w:fill="FFFFFF"/>
            <w:vAlign w:val="center"/>
          </w:tcPr>
          <w:p w14:paraId="4E37BA02" w14:textId="551F7A3F"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4AE7CD65" w14:textId="33A19C6D"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gridSpan w:val="2"/>
            <w:shd w:val="clear" w:color="auto" w:fill="FFFFFF"/>
            <w:vAlign w:val="center"/>
          </w:tcPr>
          <w:p w14:paraId="39BF8065" w14:textId="59FADDC2"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9" w:type="dxa"/>
            <w:shd w:val="clear" w:color="auto" w:fill="FFFFFF"/>
            <w:vAlign w:val="center"/>
          </w:tcPr>
          <w:p w14:paraId="02AD8154" w14:textId="081A455B"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425" w:type="dxa"/>
            <w:shd w:val="clear" w:color="auto" w:fill="FFFFFF"/>
            <w:vAlign w:val="center"/>
          </w:tcPr>
          <w:p w14:paraId="554736CD" w14:textId="72E35A6B"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280E34A9" w14:textId="6E6B7DF1" w:rsidR="00A15541" w:rsidRPr="00461F1E" w:rsidRDefault="00A15541" w:rsidP="00A15541">
            <w:pPr>
              <w:spacing w:line="240" w:lineRule="auto"/>
              <w:jc w:val="center"/>
              <w:rPr>
                <w:rFonts w:ascii="Times New Roman" w:hAnsi="Times New Roman"/>
                <w:sz w:val="16"/>
                <w:szCs w:val="16"/>
              </w:rPr>
            </w:pPr>
          </w:p>
        </w:tc>
        <w:tc>
          <w:tcPr>
            <w:tcW w:w="709" w:type="dxa"/>
            <w:gridSpan w:val="2"/>
            <w:shd w:val="clear" w:color="auto" w:fill="FFFFFF"/>
            <w:vAlign w:val="center"/>
          </w:tcPr>
          <w:p w14:paraId="44070E3D" w14:textId="77E599A5" w:rsidR="00A15541" w:rsidRPr="00461F1E" w:rsidRDefault="00A15541" w:rsidP="00A15541">
            <w:pPr>
              <w:spacing w:line="240" w:lineRule="auto"/>
              <w:jc w:val="center"/>
              <w:rPr>
                <w:rFonts w:ascii="Times New Roman" w:hAnsi="Times New Roman"/>
                <w:sz w:val="16"/>
                <w:szCs w:val="16"/>
              </w:rPr>
            </w:pPr>
          </w:p>
        </w:tc>
        <w:tc>
          <w:tcPr>
            <w:tcW w:w="708" w:type="dxa"/>
            <w:shd w:val="clear" w:color="auto" w:fill="FFFFFF"/>
            <w:vAlign w:val="center"/>
          </w:tcPr>
          <w:p w14:paraId="5DBA01A4" w14:textId="2DD85D5D" w:rsidR="00A15541" w:rsidRPr="00461F1E" w:rsidRDefault="00A15541" w:rsidP="00A15541">
            <w:pPr>
              <w:spacing w:line="240" w:lineRule="auto"/>
              <w:jc w:val="center"/>
              <w:rPr>
                <w:rFonts w:ascii="Times New Roman" w:hAnsi="Times New Roman"/>
                <w:sz w:val="16"/>
                <w:szCs w:val="16"/>
              </w:rPr>
            </w:pPr>
          </w:p>
        </w:tc>
        <w:tc>
          <w:tcPr>
            <w:tcW w:w="1137" w:type="dxa"/>
            <w:gridSpan w:val="2"/>
            <w:shd w:val="clear" w:color="auto" w:fill="FFFFFF"/>
            <w:vAlign w:val="center"/>
          </w:tcPr>
          <w:p w14:paraId="43DDD55B" w14:textId="1F6D0425" w:rsidR="00A15541" w:rsidRPr="00461F1E" w:rsidRDefault="00A15541" w:rsidP="00A15541">
            <w:pPr>
              <w:spacing w:line="240" w:lineRule="auto"/>
              <w:rPr>
                <w:rFonts w:ascii="Times New Roman" w:hAnsi="Times New Roman"/>
                <w:sz w:val="16"/>
                <w:szCs w:val="16"/>
              </w:rPr>
            </w:pPr>
            <w:r w:rsidRPr="00461F1E">
              <w:rPr>
                <w:rFonts w:ascii="Times New Roman" w:hAnsi="Times New Roman"/>
                <w:sz w:val="16"/>
                <w:szCs w:val="16"/>
              </w:rPr>
              <w:t> </w:t>
            </w:r>
          </w:p>
        </w:tc>
      </w:tr>
      <w:tr w:rsidR="00A15541" w:rsidRPr="008B4FE6" w14:paraId="2BA91BF8" w14:textId="77777777" w:rsidTr="000102EE">
        <w:trPr>
          <w:trHeight w:val="351"/>
        </w:trPr>
        <w:tc>
          <w:tcPr>
            <w:tcW w:w="3133" w:type="dxa"/>
            <w:gridSpan w:val="4"/>
            <w:shd w:val="clear" w:color="auto" w:fill="FFFFFF"/>
            <w:vAlign w:val="center"/>
          </w:tcPr>
          <w:p w14:paraId="5E66DDEC" w14:textId="5BA2C5C5"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r>
              <w:rPr>
                <w:rFonts w:ascii="Times New Roman" w:hAnsi="Times New Roman"/>
                <w:color w:val="000000"/>
                <w:sz w:val="21"/>
                <w:szCs w:val="21"/>
              </w:rPr>
              <w:t xml:space="preserve"> – Państwowe Gospodarstwo Wodne Wody Polskie </w:t>
            </w:r>
          </w:p>
        </w:tc>
        <w:tc>
          <w:tcPr>
            <w:tcW w:w="299" w:type="dxa"/>
            <w:shd w:val="clear" w:color="auto" w:fill="FFFFFF"/>
            <w:vAlign w:val="center"/>
          </w:tcPr>
          <w:p w14:paraId="2B5C854C" w14:textId="3444CD4B"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bottom"/>
          </w:tcPr>
          <w:p w14:paraId="177270EE" w14:textId="4E848585"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708" w:type="dxa"/>
            <w:shd w:val="clear" w:color="auto" w:fill="FFFFFF"/>
            <w:vAlign w:val="center"/>
          </w:tcPr>
          <w:p w14:paraId="1C631668" w14:textId="4D031FE6"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shd w:val="clear" w:color="auto" w:fill="FFFFFF"/>
            <w:vAlign w:val="center"/>
          </w:tcPr>
          <w:p w14:paraId="205F533F" w14:textId="2D97846D" w:rsidR="00A15541" w:rsidRPr="00461F1E" w:rsidRDefault="00A15541" w:rsidP="00A15541">
            <w:pPr>
              <w:spacing w:line="240" w:lineRule="auto"/>
              <w:jc w:val="center"/>
              <w:rPr>
                <w:rFonts w:ascii="Times New Roman" w:hAnsi="Times New Roman"/>
                <w:sz w:val="16"/>
                <w:szCs w:val="16"/>
              </w:rPr>
            </w:pPr>
          </w:p>
        </w:tc>
        <w:tc>
          <w:tcPr>
            <w:tcW w:w="709" w:type="dxa"/>
            <w:gridSpan w:val="2"/>
            <w:shd w:val="clear" w:color="auto" w:fill="FFFFFF"/>
            <w:vAlign w:val="center"/>
          </w:tcPr>
          <w:p w14:paraId="04096BF6" w14:textId="28C0143A" w:rsidR="00A15541" w:rsidRPr="00461F1E" w:rsidRDefault="000B6106" w:rsidP="00A15541">
            <w:pPr>
              <w:spacing w:line="240" w:lineRule="auto"/>
              <w:jc w:val="center"/>
              <w:rPr>
                <w:rFonts w:ascii="Times New Roman" w:hAnsi="Times New Roman"/>
                <w:sz w:val="16"/>
                <w:szCs w:val="16"/>
              </w:rPr>
            </w:pPr>
            <w:r>
              <w:rPr>
                <w:rFonts w:ascii="Times New Roman" w:hAnsi="Times New Roman"/>
                <w:sz w:val="16"/>
                <w:szCs w:val="16"/>
              </w:rPr>
              <w:t>31,7</w:t>
            </w:r>
          </w:p>
        </w:tc>
        <w:tc>
          <w:tcPr>
            <w:tcW w:w="709" w:type="dxa"/>
            <w:gridSpan w:val="2"/>
            <w:shd w:val="clear" w:color="auto" w:fill="FFFFFF"/>
            <w:vAlign w:val="center"/>
          </w:tcPr>
          <w:p w14:paraId="787F6832" w14:textId="6BD4CB9C" w:rsidR="00A15541" w:rsidRPr="00461F1E" w:rsidRDefault="000B6106" w:rsidP="00A15541">
            <w:pPr>
              <w:spacing w:line="240" w:lineRule="auto"/>
              <w:jc w:val="center"/>
              <w:rPr>
                <w:rFonts w:ascii="Times New Roman" w:hAnsi="Times New Roman"/>
                <w:sz w:val="16"/>
                <w:szCs w:val="16"/>
              </w:rPr>
            </w:pPr>
            <w:r>
              <w:rPr>
                <w:rFonts w:ascii="Times New Roman" w:hAnsi="Times New Roman"/>
                <w:sz w:val="16"/>
                <w:szCs w:val="16"/>
              </w:rPr>
              <w:t>60,0</w:t>
            </w:r>
          </w:p>
        </w:tc>
        <w:tc>
          <w:tcPr>
            <w:tcW w:w="709" w:type="dxa"/>
            <w:shd w:val="clear" w:color="auto" w:fill="FFFFFF"/>
            <w:vAlign w:val="center"/>
          </w:tcPr>
          <w:p w14:paraId="4ACD5055" w14:textId="5D941801" w:rsidR="00A15541" w:rsidRPr="00461F1E" w:rsidRDefault="000B6106" w:rsidP="00A15541">
            <w:pPr>
              <w:spacing w:line="240" w:lineRule="auto"/>
              <w:jc w:val="center"/>
              <w:rPr>
                <w:rFonts w:ascii="Times New Roman" w:hAnsi="Times New Roman"/>
                <w:sz w:val="16"/>
                <w:szCs w:val="16"/>
              </w:rPr>
            </w:pPr>
            <w:r>
              <w:rPr>
                <w:rFonts w:ascii="Times New Roman" w:hAnsi="Times New Roman"/>
                <w:sz w:val="16"/>
                <w:szCs w:val="16"/>
              </w:rPr>
              <w:t>47,6</w:t>
            </w:r>
          </w:p>
        </w:tc>
        <w:tc>
          <w:tcPr>
            <w:tcW w:w="425" w:type="dxa"/>
            <w:shd w:val="clear" w:color="auto" w:fill="FFFFFF"/>
            <w:vAlign w:val="center"/>
          </w:tcPr>
          <w:p w14:paraId="418FA49F" w14:textId="1569D3C7" w:rsidR="00A15541" w:rsidRPr="00461F1E" w:rsidRDefault="00A15541" w:rsidP="00A15541">
            <w:pPr>
              <w:spacing w:line="240" w:lineRule="auto"/>
              <w:jc w:val="center"/>
              <w:rPr>
                <w:rFonts w:ascii="Times New Roman" w:hAnsi="Times New Roman"/>
                <w:sz w:val="16"/>
                <w:szCs w:val="16"/>
              </w:rPr>
            </w:pPr>
          </w:p>
        </w:tc>
        <w:tc>
          <w:tcPr>
            <w:tcW w:w="567" w:type="dxa"/>
            <w:gridSpan w:val="2"/>
            <w:shd w:val="clear" w:color="auto" w:fill="FFFFFF"/>
            <w:vAlign w:val="center"/>
          </w:tcPr>
          <w:p w14:paraId="3EAB3623" w14:textId="17EE44F9" w:rsidR="00A15541" w:rsidRPr="00461F1E" w:rsidRDefault="00B12CC7" w:rsidP="00A15541">
            <w:pPr>
              <w:spacing w:line="240" w:lineRule="auto"/>
              <w:jc w:val="center"/>
              <w:rPr>
                <w:rFonts w:ascii="Times New Roman" w:hAnsi="Times New Roman"/>
                <w:sz w:val="16"/>
                <w:szCs w:val="16"/>
              </w:rPr>
            </w:pPr>
            <w:r>
              <w:rPr>
                <w:rFonts w:ascii="Times New Roman" w:hAnsi="Times New Roman"/>
                <w:sz w:val="16"/>
                <w:szCs w:val="16"/>
              </w:rPr>
              <w:t>15,6</w:t>
            </w:r>
          </w:p>
        </w:tc>
        <w:tc>
          <w:tcPr>
            <w:tcW w:w="709" w:type="dxa"/>
            <w:gridSpan w:val="2"/>
            <w:shd w:val="clear" w:color="auto" w:fill="FFFFFF"/>
            <w:vAlign w:val="center"/>
          </w:tcPr>
          <w:p w14:paraId="4948B667" w14:textId="01F45B10" w:rsidR="00A15541" w:rsidRPr="00461F1E" w:rsidRDefault="00A15541" w:rsidP="00A15541">
            <w:pPr>
              <w:spacing w:line="240" w:lineRule="auto"/>
              <w:jc w:val="center"/>
              <w:rPr>
                <w:rFonts w:ascii="Times New Roman" w:hAnsi="Times New Roman"/>
                <w:sz w:val="16"/>
                <w:szCs w:val="16"/>
              </w:rPr>
            </w:pPr>
          </w:p>
        </w:tc>
        <w:tc>
          <w:tcPr>
            <w:tcW w:w="708" w:type="dxa"/>
            <w:shd w:val="clear" w:color="auto" w:fill="FFFFFF"/>
            <w:vAlign w:val="center"/>
          </w:tcPr>
          <w:p w14:paraId="058A7785" w14:textId="60828715" w:rsidR="00A15541" w:rsidRPr="00461F1E" w:rsidRDefault="00A15541" w:rsidP="00A15541">
            <w:pPr>
              <w:spacing w:line="240" w:lineRule="auto"/>
              <w:jc w:val="center"/>
              <w:rPr>
                <w:rFonts w:ascii="Times New Roman" w:hAnsi="Times New Roman"/>
                <w:sz w:val="16"/>
                <w:szCs w:val="16"/>
              </w:rPr>
            </w:pPr>
          </w:p>
        </w:tc>
        <w:tc>
          <w:tcPr>
            <w:tcW w:w="1137" w:type="dxa"/>
            <w:gridSpan w:val="2"/>
            <w:shd w:val="clear" w:color="auto" w:fill="FFFFFF"/>
            <w:vAlign w:val="center"/>
          </w:tcPr>
          <w:p w14:paraId="2C17E496" w14:textId="2AD8C978" w:rsidR="00A15541" w:rsidRPr="00461F1E" w:rsidRDefault="000B6106" w:rsidP="00A15541">
            <w:pPr>
              <w:spacing w:line="240" w:lineRule="auto"/>
              <w:rPr>
                <w:rFonts w:ascii="Times New Roman" w:hAnsi="Times New Roman"/>
                <w:sz w:val="16"/>
                <w:szCs w:val="16"/>
              </w:rPr>
            </w:pPr>
            <w:r>
              <w:rPr>
                <w:rFonts w:ascii="Times New Roman" w:hAnsi="Times New Roman"/>
                <w:sz w:val="16"/>
                <w:szCs w:val="16"/>
              </w:rPr>
              <w:t>154,9</w:t>
            </w:r>
          </w:p>
        </w:tc>
      </w:tr>
      <w:tr w:rsidR="00A15541" w:rsidRPr="008B4FE6" w14:paraId="5EBB970D" w14:textId="77777777" w:rsidTr="000102EE">
        <w:trPr>
          <w:trHeight w:val="360"/>
        </w:trPr>
        <w:tc>
          <w:tcPr>
            <w:tcW w:w="3133" w:type="dxa"/>
            <w:gridSpan w:val="4"/>
            <w:shd w:val="clear" w:color="auto" w:fill="FFFFFF"/>
            <w:vAlign w:val="center"/>
          </w:tcPr>
          <w:p w14:paraId="11A2CBE5" w14:textId="77777777"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299" w:type="dxa"/>
            <w:shd w:val="clear" w:color="auto" w:fill="FFFFFF"/>
            <w:vAlign w:val="center"/>
          </w:tcPr>
          <w:p w14:paraId="2D74B8A7" w14:textId="4976A6F0" w:rsidR="00A15541" w:rsidRPr="00461F1E" w:rsidRDefault="00A15541" w:rsidP="00A15541">
            <w:pPr>
              <w:spacing w:line="240" w:lineRule="auto"/>
              <w:jc w:val="center"/>
              <w:rPr>
                <w:rFonts w:ascii="Times New Roman" w:hAnsi="Times New Roman"/>
                <w:b/>
                <w:color w:val="000000"/>
                <w:sz w:val="16"/>
                <w:szCs w:val="16"/>
              </w:rPr>
            </w:pPr>
            <w:r w:rsidRPr="00461F1E">
              <w:rPr>
                <w:rFonts w:ascii="Times New Roman" w:hAnsi="Times New Roman"/>
                <w:b/>
                <w:bCs/>
                <w:sz w:val="16"/>
                <w:szCs w:val="16"/>
              </w:rPr>
              <w:t>0</w:t>
            </w:r>
          </w:p>
        </w:tc>
        <w:tc>
          <w:tcPr>
            <w:tcW w:w="567" w:type="dxa"/>
            <w:gridSpan w:val="2"/>
            <w:shd w:val="clear" w:color="auto" w:fill="FFFFFF"/>
            <w:vAlign w:val="center"/>
          </w:tcPr>
          <w:p w14:paraId="71DCBBCD" w14:textId="5D9149AD" w:rsidR="00A15541" w:rsidRPr="00461F1E" w:rsidRDefault="00A15541" w:rsidP="00A15541">
            <w:pPr>
              <w:spacing w:line="240" w:lineRule="auto"/>
              <w:jc w:val="center"/>
              <w:rPr>
                <w:rFonts w:ascii="Times New Roman" w:hAnsi="Times New Roman"/>
                <w:b/>
                <w:color w:val="000000"/>
                <w:sz w:val="16"/>
                <w:szCs w:val="16"/>
              </w:rPr>
            </w:pPr>
            <w:r w:rsidRPr="00461F1E">
              <w:rPr>
                <w:rFonts w:ascii="Times New Roman" w:hAnsi="Times New Roman"/>
                <w:b/>
                <w:bCs/>
                <w:sz w:val="16"/>
                <w:szCs w:val="16"/>
              </w:rPr>
              <w:t>0</w:t>
            </w:r>
          </w:p>
        </w:tc>
        <w:tc>
          <w:tcPr>
            <w:tcW w:w="708" w:type="dxa"/>
            <w:shd w:val="clear" w:color="auto" w:fill="FFFFFF"/>
            <w:vAlign w:val="center"/>
          </w:tcPr>
          <w:p w14:paraId="3C1D9F35" w14:textId="6D1C53A3" w:rsidR="00A15541" w:rsidRPr="00461F1E" w:rsidRDefault="00A15541" w:rsidP="00A15541">
            <w:pPr>
              <w:spacing w:line="240" w:lineRule="auto"/>
              <w:jc w:val="center"/>
              <w:rPr>
                <w:rFonts w:ascii="Times New Roman" w:hAnsi="Times New Roman"/>
                <w:b/>
                <w:color w:val="000000"/>
                <w:sz w:val="16"/>
                <w:szCs w:val="16"/>
              </w:rPr>
            </w:pPr>
            <w:r w:rsidRPr="00461F1E">
              <w:rPr>
                <w:rFonts w:ascii="Times New Roman" w:hAnsi="Times New Roman"/>
                <w:b/>
                <w:bCs/>
                <w:sz w:val="16"/>
                <w:szCs w:val="16"/>
              </w:rPr>
              <w:t>0</w:t>
            </w:r>
          </w:p>
        </w:tc>
        <w:tc>
          <w:tcPr>
            <w:tcW w:w="567" w:type="dxa"/>
            <w:shd w:val="clear" w:color="auto" w:fill="FFFFFF"/>
            <w:vAlign w:val="center"/>
          </w:tcPr>
          <w:p w14:paraId="57719848" w14:textId="2C7634F1" w:rsidR="00A15541" w:rsidRPr="00461F1E" w:rsidRDefault="000B6106" w:rsidP="00243C09">
            <w:pPr>
              <w:spacing w:line="240" w:lineRule="auto"/>
              <w:jc w:val="center"/>
              <w:rPr>
                <w:rFonts w:ascii="Times New Roman" w:hAnsi="Times New Roman"/>
                <w:b/>
                <w:color w:val="000000"/>
                <w:sz w:val="16"/>
                <w:szCs w:val="16"/>
              </w:rPr>
            </w:pPr>
            <w:r>
              <w:rPr>
                <w:rFonts w:ascii="Times New Roman" w:hAnsi="Times New Roman"/>
                <w:b/>
                <w:bCs/>
                <w:sz w:val="16"/>
                <w:szCs w:val="16"/>
              </w:rPr>
              <w:t>0</w:t>
            </w:r>
          </w:p>
        </w:tc>
        <w:tc>
          <w:tcPr>
            <w:tcW w:w="709" w:type="dxa"/>
            <w:gridSpan w:val="2"/>
            <w:shd w:val="clear" w:color="auto" w:fill="FFFFFF"/>
            <w:vAlign w:val="center"/>
          </w:tcPr>
          <w:p w14:paraId="3BEBEECE" w14:textId="39A87E2A" w:rsidR="00A15541" w:rsidRPr="00461F1E" w:rsidRDefault="000B6106" w:rsidP="00243C09">
            <w:pPr>
              <w:spacing w:line="240" w:lineRule="auto"/>
              <w:jc w:val="center"/>
              <w:rPr>
                <w:rFonts w:ascii="Times New Roman" w:hAnsi="Times New Roman"/>
                <w:b/>
                <w:color w:val="000000"/>
                <w:sz w:val="16"/>
                <w:szCs w:val="16"/>
              </w:rPr>
            </w:pPr>
            <w:r>
              <w:rPr>
                <w:rFonts w:ascii="Times New Roman" w:hAnsi="Times New Roman"/>
                <w:b/>
                <w:bCs/>
                <w:sz w:val="16"/>
                <w:szCs w:val="16"/>
              </w:rPr>
              <w:t>-31,7</w:t>
            </w:r>
          </w:p>
        </w:tc>
        <w:tc>
          <w:tcPr>
            <w:tcW w:w="709" w:type="dxa"/>
            <w:gridSpan w:val="2"/>
            <w:shd w:val="clear" w:color="auto" w:fill="FFFFFF"/>
            <w:vAlign w:val="center"/>
          </w:tcPr>
          <w:p w14:paraId="653516D9" w14:textId="0FFCE960" w:rsidR="00A15541" w:rsidRPr="00461F1E" w:rsidRDefault="000B6106" w:rsidP="00243C09">
            <w:pPr>
              <w:spacing w:line="240" w:lineRule="auto"/>
              <w:jc w:val="center"/>
              <w:rPr>
                <w:rFonts w:ascii="Times New Roman" w:hAnsi="Times New Roman"/>
                <w:b/>
                <w:color w:val="000000"/>
                <w:sz w:val="16"/>
                <w:szCs w:val="16"/>
              </w:rPr>
            </w:pPr>
            <w:r>
              <w:rPr>
                <w:rFonts w:ascii="Times New Roman" w:hAnsi="Times New Roman"/>
                <w:b/>
                <w:bCs/>
                <w:sz w:val="16"/>
                <w:szCs w:val="16"/>
              </w:rPr>
              <w:t>-60,0</w:t>
            </w:r>
          </w:p>
        </w:tc>
        <w:tc>
          <w:tcPr>
            <w:tcW w:w="709" w:type="dxa"/>
            <w:shd w:val="clear" w:color="auto" w:fill="FFFFFF"/>
            <w:vAlign w:val="center"/>
          </w:tcPr>
          <w:p w14:paraId="40BA5DA5" w14:textId="7491D2BA" w:rsidR="00A15541" w:rsidRPr="00461F1E" w:rsidRDefault="000B6106" w:rsidP="00A15541">
            <w:pPr>
              <w:spacing w:line="240" w:lineRule="auto"/>
              <w:jc w:val="center"/>
              <w:rPr>
                <w:rFonts w:ascii="Times New Roman" w:hAnsi="Times New Roman"/>
                <w:b/>
                <w:color w:val="000000"/>
                <w:sz w:val="16"/>
                <w:szCs w:val="16"/>
              </w:rPr>
            </w:pPr>
            <w:r>
              <w:rPr>
                <w:rFonts w:ascii="Times New Roman" w:hAnsi="Times New Roman"/>
                <w:b/>
                <w:bCs/>
                <w:sz w:val="16"/>
                <w:szCs w:val="16"/>
              </w:rPr>
              <w:t>-51,6</w:t>
            </w:r>
          </w:p>
        </w:tc>
        <w:tc>
          <w:tcPr>
            <w:tcW w:w="425" w:type="dxa"/>
            <w:shd w:val="clear" w:color="auto" w:fill="FFFFFF"/>
            <w:vAlign w:val="center"/>
          </w:tcPr>
          <w:p w14:paraId="48A7627A" w14:textId="194E1505" w:rsidR="00A15541" w:rsidRPr="00461F1E" w:rsidRDefault="000B6106" w:rsidP="00A15541">
            <w:pPr>
              <w:spacing w:line="240" w:lineRule="auto"/>
              <w:jc w:val="center"/>
              <w:rPr>
                <w:rFonts w:ascii="Times New Roman" w:hAnsi="Times New Roman"/>
                <w:b/>
                <w:color w:val="000000"/>
                <w:sz w:val="16"/>
                <w:szCs w:val="16"/>
              </w:rPr>
            </w:pPr>
            <w:r>
              <w:rPr>
                <w:rFonts w:ascii="Times New Roman" w:hAnsi="Times New Roman"/>
                <w:b/>
                <w:bCs/>
                <w:sz w:val="16"/>
                <w:szCs w:val="16"/>
              </w:rPr>
              <w:t>0</w:t>
            </w:r>
          </w:p>
        </w:tc>
        <w:tc>
          <w:tcPr>
            <w:tcW w:w="567" w:type="dxa"/>
            <w:gridSpan w:val="2"/>
            <w:shd w:val="clear" w:color="auto" w:fill="FFFFFF"/>
            <w:vAlign w:val="center"/>
          </w:tcPr>
          <w:p w14:paraId="5879AC80" w14:textId="1F99B35D" w:rsidR="00A15541" w:rsidRPr="00941CB9" w:rsidRDefault="000B6106" w:rsidP="009B387A">
            <w:pPr>
              <w:spacing w:line="240" w:lineRule="auto"/>
              <w:jc w:val="center"/>
              <w:rPr>
                <w:rFonts w:ascii="Times New Roman" w:hAnsi="Times New Roman"/>
                <w:b/>
                <w:color w:val="FF0000"/>
                <w:sz w:val="16"/>
                <w:szCs w:val="16"/>
              </w:rPr>
            </w:pPr>
            <w:r>
              <w:rPr>
                <w:rFonts w:ascii="Times New Roman" w:hAnsi="Times New Roman"/>
                <w:b/>
                <w:bCs/>
                <w:sz w:val="16"/>
                <w:szCs w:val="16"/>
              </w:rPr>
              <w:t>-14,8</w:t>
            </w:r>
          </w:p>
        </w:tc>
        <w:tc>
          <w:tcPr>
            <w:tcW w:w="709" w:type="dxa"/>
            <w:gridSpan w:val="2"/>
            <w:shd w:val="clear" w:color="auto" w:fill="FFFFFF"/>
            <w:vAlign w:val="center"/>
          </w:tcPr>
          <w:p w14:paraId="4EDB7D98" w14:textId="6682C815" w:rsidR="00A15541" w:rsidRPr="00461F1E" w:rsidRDefault="000B6106" w:rsidP="00A15541">
            <w:pPr>
              <w:spacing w:line="240" w:lineRule="auto"/>
              <w:jc w:val="center"/>
              <w:rPr>
                <w:rFonts w:ascii="Times New Roman" w:hAnsi="Times New Roman"/>
                <w:b/>
                <w:color w:val="000000"/>
                <w:sz w:val="16"/>
                <w:szCs w:val="16"/>
              </w:rPr>
            </w:pPr>
            <w:r>
              <w:rPr>
                <w:rFonts w:ascii="Times New Roman" w:hAnsi="Times New Roman"/>
                <w:b/>
                <w:bCs/>
                <w:sz w:val="16"/>
                <w:szCs w:val="16"/>
              </w:rPr>
              <w:t>0</w:t>
            </w:r>
          </w:p>
        </w:tc>
        <w:tc>
          <w:tcPr>
            <w:tcW w:w="708" w:type="dxa"/>
            <w:shd w:val="clear" w:color="auto" w:fill="FFFFFF"/>
            <w:vAlign w:val="center"/>
          </w:tcPr>
          <w:p w14:paraId="556E1AEA" w14:textId="4242AA8A" w:rsidR="00A15541" w:rsidRPr="00461F1E" w:rsidRDefault="000B6106" w:rsidP="00A15541">
            <w:pPr>
              <w:spacing w:line="240" w:lineRule="auto"/>
              <w:jc w:val="center"/>
              <w:rPr>
                <w:rFonts w:ascii="Times New Roman" w:hAnsi="Times New Roman"/>
                <w:b/>
                <w:color w:val="000000"/>
                <w:sz w:val="16"/>
                <w:szCs w:val="16"/>
              </w:rPr>
            </w:pPr>
            <w:r>
              <w:rPr>
                <w:rFonts w:ascii="Times New Roman" w:hAnsi="Times New Roman"/>
                <w:b/>
                <w:color w:val="000000"/>
                <w:sz w:val="16"/>
                <w:szCs w:val="16"/>
              </w:rPr>
              <w:t>0</w:t>
            </w:r>
          </w:p>
        </w:tc>
        <w:tc>
          <w:tcPr>
            <w:tcW w:w="1137" w:type="dxa"/>
            <w:gridSpan w:val="2"/>
            <w:shd w:val="clear" w:color="auto" w:fill="FFFFFF"/>
            <w:vAlign w:val="center"/>
          </w:tcPr>
          <w:p w14:paraId="7C0B7605" w14:textId="63711941" w:rsidR="00AA62C1" w:rsidRPr="00941CB9" w:rsidRDefault="000B6106">
            <w:pPr>
              <w:spacing w:line="240" w:lineRule="auto"/>
              <w:rPr>
                <w:rFonts w:ascii="Times New Roman" w:hAnsi="Times New Roman"/>
                <w:b/>
                <w:bCs/>
                <w:color w:val="FF0000"/>
                <w:sz w:val="16"/>
                <w:szCs w:val="16"/>
              </w:rPr>
            </w:pPr>
            <w:r>
              <w:rPr>
                <w:rFonts w:ascii="Times New Roman" w:hAnsi="Times New Roman"/>
                <w:b/>
                <w:bCs/>
                <w:sz w:val="16"/>
                <w:szCs w:val="16"/>
              </w:rPr>
              <w:t>158,1</w:t>
            </w:r>
          </w:p>
        </w:tc>
      </w:tr>
      <w:tr w:rsidR="00A15541" w:rsidRPr="008B4FE6" w14:paraId="2D0D3899" w14:textId="77777777" w:rsidTr="000102EE">
        <w:trPr>
          <w:trHeight w:val="360"/>
        </w:trPr>
        <w:tc>
          <w:tcPr>
            <w:tcW w:w="3133" w:type="dxa"/>
            <w:gridSpan w:val="4"/>
            <w:shd w:val="clear" w:color="auto" w:fill="FFFFFF"/>
            <w:vAlign w:val="center"/>
          </w:tcPr>
          <w:p w14:paraId="5D9EA3AA" w14:textId="77777777"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299" w:type="dxa"/>
            <w:shd w:val="clear" w:color="auto" w:fill="FFFFFF"/>
            <w:vAlign w:val="center"/>
          </w:tcPr>
          <w:p w14:paraId="29F997B6" w14:textId="091B1F6B" w:rsidR="00A15541" w:rsidRPr="00461F1E" w:rsidRDefault="00A15541" w:rsidP="00A15541">
            <w:pPr>
              <w:spacing w:line="240" w:lineRule="auto"/>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673DEA9F" w14:textId="7091033E" w:rsidR="00A15541" w:rsidRPr="00461F1E" w:rsidRDefault="00A15541" w:rsidP="00A15541">
            <w:pPr>
              <w:spacing w:line="240" w:lineRule="auto"/>
              <w:rPr>
                <w:rFonts w:ascii="Times New Roman" w:hAnsi="Times New Roman"/>
                <w:sz w:val="16"/>
                <w:szCs w:val="16"/>
              </w:rPr>
            </w:pPr>
            <w:r w:rsidRPr="00461F1E">
              <w:rPr>
                <w:rFonts w:ascii="Times New Roman" w:hAnsi="Times New Roman"/>
                <w:sz w:val="16"/>
                <w:szCs w:val="16"/>
              </w:rPr>
              <w:t> </w:t>
            </w:r>
          </w:p>
        </w:tc>
        <w:tc>
          <w:tcPr>
            <w:tcW w:w="708" w:type="dxa"/>
            <w:shd w:val="clear" w:color="auto" w:fill="FFFFFF"/>
            <w:vAlign w:val="center"/>
          </w:tcPr>
          <w:p w14:paraId="4D5EB6DE" w14:textId="06364448"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shd w:val="clear" w:color="auto" w:fill="FFFFFF"/>
            <w:vAlign w:val="center"/>
          </w:tcPr>
          <w:p w14:paraId="459A4C13" w14:textId="04E2CDCD" w:rsidR="00A15541" w:rsidRPr="00461F1E" w:rsidRDefault="00A15541" w:rsidP="00A15541">
            <w:pPr>
              <w:spacing w:line="240" w:lineRule="auto"/>
              <w:jc w:val="center"/>
              <w:rPr>
                <w:rFonts w:ascii="Times New Roman" w:hAnsi="Times New Roman"/>
                <w:sz w:val="16"/>
                <w:szCs w:val="16"/>
              </w:rPr>
            </w:pPr>
          </w:p>
        </w:tc>
        <w:tc>
          <w:tcPr>
            <w:tcW w:w="709" w:type="dxa"/>
            <w:gridSpan w:val="2"/>
            <w:shd w:val="clear" w:color="auto" w:fill="FFFFFF"/>
            <w:vAlign w:val="center"/>
          </w:tcPr>
          <w:p w14:paraId="4B653E2F" w14:textId="0BFDD644" w:rsidR="00A15541" w:rsidRPr="00461F1E" w:rsidRDefault="00A15541" w:rsidP="00A15541">
            <w:pPr>
              <w:spacing w:line="240" w:lineRule="auto"/>
              <w:jc w:val="center"/>
              <w:rPr>
                <w:rFonts w:ascii="Times New Roman" w:hAnsi="Times New Roman"/>
                <w:sz w:val="16"/>
                <w:szCs w:val="16"/>
              </w:rPr>
            </w:pPr>
          </w:p>
        </w:tc>
        <w:tc>
          <w:tcPr>
            <w:tcW w:w="709" w:type="dxa"/>
            <w:gridSpan w:val="2"/>
            <w:shd w:val="clear" w:color="auto" w:fill="FFFFFF"/>
            <w:vAlign w:val="center"/>
          </w:tcPr>
          <w:p w14:paraId="060F5D48" w14:textId="7EDC249A" w:rsidR="00A15541" w:rsidRPr="00461F1E" w:rsidRDefault="00A15541" w:rsidP="00A15541">
            <w:pPr>
              <w:spacing w:line="240" w:lineRule="auto"/>
              <w:jc w:val="center"/>
              <w:rPr>
                <w:rFonts w:ascii="Times New Roman" w:hAnsi="Times New Roman"/>
                <w:sz w:val="16"/>
                <w:szCs w:val="16"/>
              </w:rPr>
            </w:pPr>
          </w:p>
        </w:tc>
        <w:tc>
          <w:tcPr>
            <w:tcW w:w="709" w:type="dxa"/>
            <w:shd w:val="clear" w:color="auto" w:fill="FFFFFF"/>
            <w:vAlign w:val="center"/>
          </w:tcPr>
          <w:p w14:paraId="167A3C38" w14:textId="5E7519C3" w:rsidR="00A15541" w:rsidRPr="00461F1E" w:rsidRDefault="000B6106" w:rsidP="00A15541">
            <w:pPr>
              <w:spacing w:line="240" w:lineRule="auto"/>
              <w:jc w:val="center"/>
              <w:rPr>
                <w:rFonts w:ascii="Times New Roman" w:hAnsi="Times New Roman"/>
                <w:sz w:val="16"/>
                <w:szCs w:val="16"/>
              </w:rPr>
            </w:pPr>
            <w:r>
              <w:rPr>
                <w:rFonts w:ascii="Times New Roman" w:hAnsi="Times New Roman"/>
                <w:sz w:val="16"/>
                <w:szCs w:val="16"/>
              </w:rPr>
              <w:t>-4</w:t>
            </w:r>
          </w:p>
        </w:tc>
        <w:tc>
          <w:tcPr>
            <w:tcW w:w="425" w:type="dxa"/>
            <w:shd w:val="clear" w:color="auto" w:fill="FFFFFF"/>
            <w:vAlign w:val="center"/>
          </w:tcPr>
          <w:p w14:paraId="6A64F87F" w14:textId="4D6A2462" w:rsidR="00A15541" w:rsidRPr="00461F1E" w:rsidRDefault="00A15541" w:rsidP="00A15541">
            <w:pPr>
              <w:spacing w:line="240" w:lineRule="auto"/>
              <w:jc w:val="center"/>
              <w:rPr>
                <w:rFonts w:ascii="Times New Roman" w:hAnsi="Times New Roman"/>
                <w:sz w:val="16"/>
                <w:szCs w:val="16"/>
              </w:rPr>
            </w:pPr>
          </w:p>
        </w:tc>
        <w:tc>
          <w:tcPr>
            <w:tcW w:w="567" w:type="dxa"/>
            <w:gridSpan w:val="2"/>
            <w:shd w:val="clear" w:color="auto" w:fill="FFFFFF"/>
            <w:vAlign w:val="center"/>
          </w:tcPr>
          <w:p w14:paraId="3E9E1D44" w14:textId="138C2928" w:rsidR="00A15541" w:rsidRPr="00941CB9" w:rsidRDefault="000B6106" w:rsidP="00A15541">
            <w:pPr>
              <w:spacing w:line="240" w:lineRule="auto"/>
              <w:jc w:val="center"/>
              <w:rPr>
                <w:rFonts w:ascii="Times New Roman" w:hAnsi="Times New Roman"/>
                <w:color w:val="FF0000"/>
                <w:sz w:val="16"/>
                <w:szCs w:val="16"/>
              </w:rPr>
            </w:pPr>
            <w:r>
              <w:rPr>
                <w:rFonts w:ascii="Times New Roman" w:hAnsi="Times New Roman"/>
                <w:sz w:val="16"/>
                <w:szCs w:val="16"/>
              </w:rPr>
              <w:t>0,8</w:t>
            </w:r>
          </w:p>
        </w:tc>
        <w:tc>
          <w:tcPr>
            <w:tcW w:w="709" w:type="dxa"/>
            <w:gridSpan w:val="2"/>
            <w:shd w:val="clear" w:color="auto" w:fill="FFFFFF"/>
            <w:vAlign w:val="center"/>
          </w:tcPr>
          <w:p w14:paraId="52D5A094" w14:textId="03139164" w:rsidR="00A15541" w:rsidRPr="00461F1E" w:rsidRDefault="00A15541" w:rsidP="00A15541">
            <w:pPr>
              <w:spacing w:line="240" w:lineRule="auto"/>
              <w:jc w:val="center"/>
              <w:rPr>
                <w:rFonts w:ascii="Times New Roman" w:hAnsi="Times New Roman"/>
                <w:sz w:val="16"/>
                <w:szCs w:val="16"/>
              </w:rPr>
            </w:pPr>
          </w:p>
        </w:tc>
        <w:tc>
          <w:tcPr>
            <w:tcW w:w="708" w:type="dxa"/>
            <w:shd w:val="clear" w:color="auto" w:fill="FFFFFF"/>
            <w:vAlign w:val="center"/>
          </w:tcPr>
          <w:p w14:paraId="687E36AA" w14:textId="0B3B3F35" w:rsidR="00A15541" w:rsidRPr="00461F1E" w:rsidRDefault="00A15541" w:rsidP="00A15541">
            <w:pPr>
              <w:spacing w:line="240" w:lineRule="auto"/>
              <w:jc w:val="center"/>
              <w:rPr>
                <w:rFonts w:ascii="Times New Roman" w:hAnsi="Times New Roman"/>
                <w:sz w:val="16"/>
                <w:szCs w:val="16"/>
              </w:rPr>
            </w:pPr>
          </w:p>
        </w:tc>
        <w:tc>
          <w:tcPr>
            <w:tcW w:w="1137" w:type="dxa"/>
            <w:gridSpan w:val="2"/>
            <w:shd w:val="clear" w:color="auto" w:fill="FFFFFF"/>
            <w:vAlign w:val="center"/>
          </w:tcPr>
          <w:p w14:paraId="4D03FCFC" w14:textId="28A7C4F4" w:rsidR="00A15541" w:rsidRPr="00941CB9" w:rsidRDefault="000B6106">
            <w:pPr>
              <w:spacing w:line="240" w:lineRule="auto"/>
              <w:rPr>
                <w:rFonts w:ascii="Times New Roman" w:hAnsi="Times New Roman"/>
                <w:color w:val="FF0000"/>
                <w:sz w:val="16"/>
                <w:szCs w:val="16"/>
              </w:rPr>
            </w:pPr>
            <w:r>
              <w:rPr>
                <w:rFonts w:ascii="Times New Roman" w:hAnsi="Times New Roman"/>
                <w:sz w:val="16"/>
                <w:szCs w:val="16"/>
              </w:rPr>
              <w:t>-3,2</w:t>
            </w:r>
          </w:p>
        </w:tc>
      </w:tr>
      <w:tr w:rsidR="00A15541" w:rsidRPr="008B4FE6" w14:paraId="2B5FD6BE" w14:textId="77777777" w:rsidTr="000102EE">
        <w:trPr>
          <w:trHeight w:val="357"/>
        </w:trPr>
        <w:tc>
          <w:tcPr>
            <w:tcW w:w="3133" w:type="dxa"/>
            <w:gridSpan w:val="4"/>
            <w:shd w:val="clear" w:color="auto" w:fill="FFFFFF"/>
            <w:vAlign w:val="center"/>
          </w:tcPr>
          <w:p w14:paraId="6F411262" w14:textId="77777777" w:rsidR="00A15541" w:rsidRPr="00C53F26" w:rsidRDefault="00A15541" w:rsidP="00A1554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299" w:type="dxa"/>
            <w:shd w:val="clear" w:color="auto" w:fill="FFFFFF"/>
            <w:vAlign w:val="center"/>
          </w:tcPr>
          <w:p w14:paraId="2E6B1A69" w14:textId="600F9CCD" w:rsidR="00A15541" w:rsidRPr="00461F1E" w:rsidRDefault="00A15541" w:rsidP="00A15541">
            <w:pPr>
              <w:spacing w:line="240" w:lineRule="auto"/>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5DE0FBB2" w14:textId="51FF4308" w:rsidR="00A15541" w:rsidRPr="00461F1E" w:rsidRDefault="00A15541" w:rsidP="00A15541">
            <w:pPr>
              <w:spacing w:line="240" w:lineRule="auto"/>
              <w:rPr>
                <w:rFonts w:ascii="Times New Roman" w:hAnsi="Times New Roman"/>
                <w:sz w:val="16"/>
                <w:szCs w:val="16"/>
              </w:rPr>
            </w:pPr>
            <w:r w:rsidRPr="00461F1E">
              <w:rPr>
                <w:rFonts w:ascii="Times New Roman" w:hAnsi="Times New Roman"/>
                <w:sz w:val="16"/>
                <w:szCs w:val="16"/>
              </w:rPr>
              <w:t> </w:t>
            </w:r>
          </w:p>
        </w:tc>
        <w:tc>
          <w:tcPr>
            <w:tcW w:w="708" w:type="dxa"/>
            <w:shd w:val="clear" w:color="auto" w:fill="FFFFFF"/>
            <w:vAlign w:val="center"/>
          </w:tcPr>
          <w:p w14:paraId="1B24B56E" w14:textId="48BB6C96"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shd w:val="clear" w:color="auto" w:fill="FFFFFF"/>
            <w:vAlign w:val="center"/>
          </w:tcPr>
          <w:p w14:paraId="6A5107AA" w14:textId="473B9C4E" w:rsidR="00A15541" w:rsidRPr="00461F1E" w:rsidRDefault="00A15541" w:rsidP="00A15541">
            <w:pPr>
              <w:spacing w:line="240" w:lineRule="auto"/>
              <w:jc w:val="center"/>
              <w:rPr>
                <w:rFonts w:ascii="Times New Roman" w:hAnsi="Times New Roman"/>
                <w:sz w:val="16"/>
                <w:szCs w:val="16"/>
              </w:rPr>
            </w:pPr>
          </w:p>
        </w:tc>
        <w:tc>
          <w:tcPr>
            <w:tcW w:w="709" w:type="dxa"/>
            <w:gridSpan w:val="2"/>
            <w:shd w:val="clear" w:color="auto" w:fill="FFFFFF"/>
            <w:vAlign w:val="center"/>
          </w:tcPr>
          <w:p w14:paraId="419FE245" w14:textId="54E84A1B" w:rsidR="00A15541" w:rsidRPr="00461F1E" w:rsidRDefault="00A15541" w:rsidP="00A15541">
            <w:pPr>
              <w:spacing w:line="240" w:lineRule="auto"/>
              <w:jc w:val="center"/>
              <w:rPr>
                <w:rFonts w:ascii="Times New Roman" w:hAnsi="Times New Roman"/>
                <w:sz w:val="16"/>
                <w:szCs w:val="16"/>
              </w:rPr>
            </w:pPr>
          </w:p>
        </w:tc>
        <w:tc>
          <w:tcPr>
            <w:tcW w:w="709" w:type="dxa"/>
            <w:gridSpan w:val="2"/>
            <w:shd w:val="clear" w:color="auto" w:fill="FFFFFF"/>
            <w:vAlign w:val="center"/>
          </w:tcPr>
          <w:p w14:paraId="2DB83EEB" w14:textId="6E6FCB9E" w:rsidR="00A15541" w:rsidRPr="00461F1E" w:rsidRDefault="00A15541" w:rsidP="00A15541">
            <w:pPr>
              <w:spacing w:line="240" w:lineRule="auto"/>
              <w:jc w:val="center"/>
              <w:rPr>
                <w:rFonts w:ascii="Times New Roman" w:hAnsi="Times New Roman"/>
                <w:sz w:val="16"/>
                <w:szCs w:val="16"/>
              </w:rPr>
            </w:pPr>
          </w:p>
        </w:tc>
        <w:tc>
          <w:tcPr>
            <w:tcW w:w="709" w:type="dxa"/>
            <w:shd w:val="clear" w:color="auto" w:fill="FFFFFF"/>
            <w:vAlign w:val="center"/>
          </w:tcPr>
          <w:p w14:paraId="10528CA6" w14:textId="51E3561F" w:rsidR="00A15541" w:rsidRPr="00461F1E" w:rsidRDefault="00A15541" w:rsidP="00A15541">
            <w:pPr>
              <w:spacing w:line="240" w:lineRule="auto"/>
              <w:jc w:val="center"/>
              <w:rPr>
                <w:rFonts w:ascii="Times New Roman" w:hAnsi="Times New Roman"/>
                <w:sz w:val="16"/>
                <w:szCs w:val="16"/>
              </w:rPr>
            </w:pPr>
          </w:p>
        </w:tc>
        <w:tc>
          <w:tcPr>
            <w:tcW w:w="425" w:type="dxa"/>
            <w:shd w:val="clear" w:color="auto" w:fill="FFFFFF"/>
            <w:vAlign w:val="center"/>
          </w:tcPr>
          <w:p w14:paraId="49EA7686" w14:textId="196BC87E" w:rsidR="00A15541" w:rsidRPr="00461F1E" w:rsidRDefault="00A15541" w:rsidP="00A15541">
            <w:pPr>
              <w:spacing w:line="240" w:lineRule="auto"/>
              <w:jc w:val="center"/>
              <w:rPr>
                <w:rFonts w:ascii="Times New Roman" w:hAnsi="Times New Roman"/>
                <w:sz w:val="16"/>
                <w:szCs w:val="16"/>
              </w:rPr>
            </w:pPr>
          </w:p>
        </w:tc>
        <w:tc>
          <w:tcPr>
            <w:tcW w:w="567" w:type="dxa"/>
            <w:gridSpan w:val="2"/>
            <w:shd w:val="clear" w:color="auto" w:fill="FFFFFF"/>
            <w:vAlign w:val="center"/>
          </w:tcPr>
          <w:p w14:paraId="42D1D1B0" w14:textId="6232F03C" w:rsidR="00A15541" w:rsidRPr="00461F1E" w:rsidRDefault="00A15541" w:rsidP="00A15541">
            <w:pPr>
              <w:spacing w:line="240" w:lineRule="auto"/>
              <w:jc w:val="center"/>
              <w:rPr>
                <w:rFonts w:ascii="Times New Roman" w:hAnsi="Times New Roman"/>
                <w:sz w:val="16"/>
                <w:szCs w:val="16"/>
              </w:rPr>
            </w:pPr>
          </w:p>
        </w:tc>
        <w:tc>
          <w:tcPr>
            <w:tcW w:w="709" w:type="dxa"/>
            <w:gridSpan w:val="2"/>
            <w:shd w:val="clear" w:color="auto" w:fill="FFFFFF"/>
            <w:vAlign w:val="center"/>
          </w:tcPr>
          <w:p w14:paraId="06663312" w14:textId="6C063E2A" w:rsidR="00A15541" w:rsidRPr="00461F1E" w:rsidRDefault="00A15541" w:rsidP="00A15541">
            <w:pPr>
              <w:spacing w:line="240" w:lineRule="auto"/>
              <w:jc w:val="center"/>
              <w:rPr>
                <w:rFonts w:ascii="Times New Roman" w:hAnsi="Times New Roman"/>
                <w:sz w:val="16"/>
                <w:szCs w:val="16"/>
              </w:rPr>
            </w:pPr>
          </w:p>
        </w:tc>
        <w:tc>
          <w:tcPr>
            <w:tcW w:w="708" w:type="dxa"/>
            <w:shd w:val="clear" w:color="auto" w:fill="FFFFFF"/>
            <w:vAlign w:val="center"/>
          </w:tcPr>
          <w:p w14:paraId="19C1DCC2" w14:textId="0A8529B7" w:rsidR="00A15541" w:rsidRPr="00461F1E" w:rsidRDefault="00A15541" w:rsidP="00A15541">
            <w:pPr>
              <w:spacing w:line="240" w:lineRule="auto"/>
              <w:jc w:val="center"/>
              <w:rPr>
                <w:rFonts w:ascii="Times New Roman" w:hAnsi="Times New Roman"/>
                <w:sz w:val="16"/>
                <w:szCs w:val="16"/>
              </w:rPr>
            </w:pPr>
          </w:p>
        </w:tc>
        <w:tc>
          <w:tcPr>
            <w:tcW w:w="1137" w:type="dxa"/>
            <w:gridSpan w:val="2"/>
            <w:shd w:val="clear" w:color="auto" w:fill="FFFFFF"/>
            <w:vAlign w:val="center"/>
          </w:tcPr>
          <w:p w14:paraId="3D3EC030" w14:textId="56F74C75" w:rsidR="00A15541" w:rsidRPr="00461F1E" w:rsidRDefault="00A15541" w:rsidP="00A15541">
            <w:pPr>
              <w:spacing w:line="240" w:lineRule="auto"/>
              <w:rPr>
                <w:rFonts w:ascii="Times New Roman" w:hAnsi="Times New Roman"/>
                <w:sz w:val="16"/>
                <w:szCs w:val="16"/>
              </w:rPr>
            </w:pPr>
          </w:p>
        </w:tc>
      </w:tr>
      <w:tr w:rsidR="00A15541" w:rsidRPr="008B4FE6" w14:paraId="61838D50" w14:textId="77777777" w:rsidTr="000102EE">
        <w:trPr>
          <w:trHeight w:val="357"/>
        </w:trPr>
        <w:tc>
          <w:tcPr>
            <w:tcW w:w="3133" w:type="dxa"/>
            <w:gridSpan w:val="4"/>
            <w:shd w:val="clear" w:color="auto" w:fill="FFFFFF"/>
            <w:vAlign w:val="center"/>
          </w:tcPr>
          <w:p w14:paraId="16BE00AE" w14:textId="08653ACB" w:rsidR="00A15541" w:rsidRPr="00C53F26" w:rsidRDefault="00A15541" w:rsidP="00894E62">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r>
              <w:rPr>
                <w:rFonts w:ascii="Times New Roman" w:hAnsi="Times New Roman"/>
                <w:color w:val="000000"/>
                <w:sz w:val="21"/>
                <w:szCs w:val="21"/>
              </w:rPr>
              <w:t xml:space="preserve"> – </w:t>
            </w:r>
            <w:r w:rsidR="00894E62">
              <w:rPr>
                <w:rFonts w:ascii="Times New Roman" w:hAnsi="Times New Roman"/>
                <w:color w:val="000000"/>
                <w:sz w:val="21"/>
                <w:szCs w:val="21"/>
              </w:rPr>
              <w:t>PGW WP</w:t>
            </w:r>
          </w:p>
        </w:tc>
        <w:tc>
          <w:tcPr>
            <w:tcW w:w="299" w:type="dxa"/>
            <w:shd w:val="clear" w:color="auto" w:fill="FFFFFF"/>
            <w:vAlign w:val="center"/>
          </w:tcPr>
          <w:p w14:paraId="122CDBE5" w14:textId="688CD81A" w:rsidR="00A15541" w:rsidRPr="00461F1E" w:rsidRDefault="00A15541" w:rsidP="00A15541">
            <w:pPr>
              <w:spacing w:line="240" w:lineRule="auto"/>
              <w:rPr>
                <w:rFonts w:ascii="Times New Roman" w:hAnsi="Times New Roman"/>
                <w:sz w:val="16"/>
                <w:szCs w:val="16"/>
              </w:rPr>
            </w:pPr>
            <w:r w:rsidRPr="00461F1E">
              <w:rPr>
                <w:rFonts w:ascii="Times New Roman" w:hAnsi="Times New Roman"/>
                <w:sz w:val="16"/>
                <w:szCs w:val="16"/>
              </w:rPr>
              <w:t> </w:t>
            </w:r>
          </w:p>
        </w:tc>
        <w:tc>
          <w:tcPr>
            <w:tcW w:w="567" w:type="dxa"/>
            <w:gridSpan w:val="2"/>
            <w:shd w:val="clear" w:color="auto" w:fill="FFFFFF"/>
            <w:vAlign w:val="center"/>
          </w:tcPr>
          <w:p w14:paraId="5DFC9B02" w14:textId="7E4B4DC2" w:rsidR="00A15541" w:rsidRPr="00461F1E" w:rsidRDefault="00A15541" w:rsidP="00A15541">
            <w:pPr>
              <w:spacing w:line="240" w:lineRule="auto"/>
              <w:rPr>
                <w:rFonts w:ascii="Times New Roman" w:hAnsi="Times New Roman"/>
                <w:sz w:val="16"/>
                <w:szCs w:val="16"/>
              </w:rPr>
            </w:pPr>
            <w:r w:rsidRPr="00461F1E">
              <w:rPr>
                <w:rFonts w:ascii="Times New Roman" w:hAnsi="Times New Roman"/>
                <w:sz w:val="16"/>
                <w:szCs w:val="16"/>
              </w:rPr>
              <w:t> </w:t>
            </w:r>
          </w:p>
        </w:tc>
        <w:tc>
          <w:tcPr>
            <w:tcW w:w="708" w:type="dxa"/>
            <w:shd w:val="clear" w:color="auto" w:fill="FFFFFF"/>
            <w:vAlign w:val="center"/>
          </w:tcPr>
          <w:p w14:paraId="3ED38C1F" w14:textId="29F31665" w:rsidR="00A15541" w:rsidRPr="00461F1E" w:rsidRDefault="00A15541" w:rsidP="00A15541">
            <w:pPr>
              <w:spacing w:line="240" w:lineRule="auto"/>
              <w:jc w:val="center"/>
              <w:rPr>
                <w:rFonts w:ascii="Times New Roman" w:hAnsi="Times New Roman"/>
                <w:sz w:val="16"/>
                <w:szCs w:val="16"/>
              </w:rPr>
            </w:pPr>
            <w:r w:rsidRPr="00461F1E">
              <w:rPr>
                <w:rFonts w:ascii="Times New Roman" w:hAnsi="Times New Roman"/>
                <w:sz w:val="16"/>
                <w:szCs w:val="16"/>
              </w:rPr>
              <w:t> </w:t>
            </w:r>
          </w:p>
        </w:tc>
        <w:tc>
          <w:tcPr>
            <w:tcW w:w="567" w:type="dxa"/>
            <w:shd w:val="clear" w:color="auto" w:fill="FFFFFF"/>
            <w:vAlign w:val="center"/>
          </w:tcPr>
          <w:p w14:paraId="54B3466B" w14:textId="0AC1DBEF" w:rsidR="00A15541" w:rsidRPr="004B7FED" w:rsidRDefault="00A15541" w:rsidP="00A15541">
            <w:pPr>
              <w:spacing w:line="240" w:lineRule="auto"/>
              <w:jc w:val="center"/>
              <w:rPr>
                <w:rFonts w:ascii="Times New Roman" w:hAnsi="Times New Roman"/>
                <w:sz w:val="16"/>
                <w:szCs w:val="16"/>
              </w:rPr>
            </w:pPr>
          </w:p>
        </w:tc>
        <w:tc>
          <w:tcPr>
            <w:tcW w:w="709" w:type="dxa"/>
            <w:gridSpan w:val="2"/>
            <w:shd w:val="clear" w:color="auto" w:fill="FFFFFF"/>
            <w:vAlign w:val="center"/>
          </w:tcPr>
          <w:p w14:paraId="7CA169CF" w14:textId="235CD7DB" w:rsidR="00A15541" w:rsidRPr="00461F1E" w:rsidRDefault="000B6106" w:rsidP="00243C09">
            <w:pPr>
              <w:spacing w:line="240" w:lineRule="auto"/>
              <w:jc w:val="center"/>
              <w:rPr>
                <w:rFonts w:ascii="Times New Roman" w:hAnsi="Times New Roman"/>
                <w:sz w:val="16"/>
                <w:szCs w:val="16"/>
              </w:rPr>
            </w:pPr>
            <w:r>
              <w:rPr>
                <w:rFonts w:ascii="Times New Roman" w:hAnsi="Times New Roman"/>
                <w:sz w:val="16"/>
                <w:szCs w:val="16"/>
              </w:rPr>
              <w:t>-31,7</w:t>
            </w:r>
          </w:p>
        </w:tc>
        <w:tc>
          <w:tcPr>
            <w:tcW w:w="709" w:type="dxa"/>
            <w:gridSpan w:val="2"/>
            <w:shd w:val="clear" w:color="auto" w:fill="FFFFFF"/>
            <w:vAlign w:val="center"/>
          </w:tcPr>
          <w:p w14:paraId="57651C77" w14:textId="777062D9" w:rsidR="00A15541" w:rsidRPr="00461F1E" w:rsidRDefault="000B6106" w:rsidP="00A15541">
            <w:pPr>
              <w:spacing w:line="240" w:lineRule="auto"/>
              <w:jc w:val="center"/>
              <w:rPr>
                <w:rFonts w:ascii="Times New Roman" w:hAnsi="Times New Roman"/>
                <w:sz w:val="16"/>
                <w:szCs w:val="16"/>
              </w:rPr>
            </w:pPr>
            <w:r>
              <w:rPr>
                <w:rFonts w:ascii="Times New Roman" w:hAnsi="Times New Roman"/>
                <w:sz w:val="16"/>
                <w:szCs w:val="16"/>
              </w:rPr>
              <w:t>-60,0</w:t>
            </w:r>
          </w:p>
        </w:tc>
        <w:tc>
          <w:tcPr>
            <w:tcW w:w="709" w:type="dxa"/>
            <w:shd w:val="clear" w:color="auto" w:fill="FFFFFF"/>
            <w:vAlign w:val="center"/>
          </w:tcPr>
          <w:p w14:paraId="5D01DB38" w14:textId="2D8D130C" w:rsidR="00A15541" w:rsidRPr="00461F1E" w:rsidRDefault="000B6106" w:rsidP="00A15541">
            <w:pPr>
              <w:spacing w:line="240" w:lineRule="auto"/>
              <w:jc w:val="center"/>
              <w:rPr>
                <w:rFonts w:ascii="Times New Roman" w:hAnsi="Times New Roman"/>
                <w:sz w:val="16"/>
                <w:szCs w:val="16"/>
              </w:rPr>
            </w:pPr>
            <w:r>
              <w:rPr>
                <w:rFonts w:ascii="Times New Roman" w:hAnsi="Times New Roman"/>
                <w:sz w:val="16"/>
                <w:szCs w:val="16"/>
              </w:rPr>
              <w:t>-47,6</w:t>
            </w:r>
          </w:p>
        </w:tc>
        <w:tc>
          <w:tcPr>
            <w:tcW w:w="425" w:type="dxa"/>
            <w:shd w:val="clear" w:color="auto" w:fill="FFFFFF"/>
            <w:vAlign w:val="center"/>
          </w:tcPr>
          <w:p w14:paraId="2B43D2F4" w14:textId="182082B6" w:rsidR="00A15541" w:rsidRPr="00461F1E" w:rsidRDefault="00A15541" w:rsidP="00A15541">
            <w:pPr>
              <w:spacing w:line="240" w:lineRule="auto"/>
              <w:jc w:val="center"/>
              <w:rPr>
                <w:rFonts w:ascii="Times New Roman" w:hAnsi="Times New Roman"/>
                <w:sz w:val="16"/>
                <w:szCs w:val="16"/>
              </w:rPr>
            </w:pPr>
          </w:p>
        </w:tc>
        <w:tc>
          <w:tcPr>
            <w:tcW w:w="567" w:type="dxa"/>
            <w:gridSpan w:val="2"/>
            <w:shd w:val="clear" w:color="auto" w:fill="FFFFFF"/>
            <w:vAlign w:val="center"/>
          </w:tcPr>
          <w:p w14:paraId="6400ABC9" w14:textId="592D2839" w:rsidR="00A15541" w:rsidRPr="00461F1E" w:rsidRDefault="000B6106">
            <w:pPr>
              <w:spacing w:line="240" w:lineRule="auto"/>
              <w:jc w:val="center"/>
              <w:rPr>
                <w:rFonts w:ascii="Times New Roman" w:hAnsi="Times New Roman"/>
                <w:sz w:val="16"/>
                <w:szCs w:val="16"/>
              </w:rPr>
            </w:pPr>
            <w:r>
              <w:rPr>
                <w:rFonts w:ascii="Times New Roman" w:hAnsi="Times New Roman"/>
                <w:sz w:val="16"/>
                <w:szCs w:val="16"/>
              </w:rPr>
              <w:t>-15,6</w:t>
            </w:r>
          </w:p>
        </w:tc>
        <w:tc>
          <w:tcPr>
            <w:tcW w:w="709" w:type="dxa"/>
            <w:gridSpan w:val="2"/>
            <w:shd w:val="clear" w:color="auto" w:fill="FFFFFF"/>
            <w:vAlign w:val="center"/>
          </w:tcPr>
          <w:p w14:paraId="08CB335C" w14:textId="62BC7BE3" w:rsidR="00A15541" w:rsidRPr="00461F1E" w:rsidRDefault="00A15541" w:rsidP="00A15541">
            <w:pPr>
              <w:spacing w:line="240" w:lineRule="auto"/>
              <w:jc w:val="center"/>
              <w:rPr>
                <w:rFonts w:ascii="Times New Roman" w:hAnsi="Times New Roman"/>
                <w:sz w:val="16"/>
                <w:szCs w:val="16"/>
              </w:rPr>
            </w:pPr>
          </w:p>
        </w:tc>
        <w:tc>
          <w:tcPr>
            <w:tcW w:w="708" w:type="dxa"/>
            <w:shd w:val="clear" w:color="auto" w:fill="FFFFFF"/>
            <w:vAlign w:val="center"/>
          </w:tcPr>
          <w:p w14:paraId="767E1521" w14:textId="319E1957" w:rsidR="00A15541" w:rsidRPr="00461F1E" w:rsidRDefault="00A15541" w:rsidP="00A15541">
            <w:pPr>
              <w:spacing w:line="240" w:lineRule="auto"/>
              <w:jc w:val="center"/>
              <w:rPr>
                <w:rFonts w:ascii="Times New Roman" w:hAnsi="Times New Roman"/>
                <w:sz w:val="16"/>
                <w:szCs w:val="16"/>
              </w:rPr>
            </w:pPr>
          </w:p>
        </w:tc>
        <w:tc>
          <w:tcPr>
            <w:tcW w:w="1137" w:type="dxa"/>
            <w:gridSpan w:val="2"/>
            <w:shd w:val="clear" w:color="auto" w:fill="FFFFFF"/>
            <w:vAlign w:val="center"/>
          </w:tcPr>
          <w:p w14:paraId="5DFD827B" w14:textId="53A152AD" w:rsidR="00A15541" w:rsidRPr="00461F1E" w:rsidRDefault="000B6106">
            <w:pPr>
              <w:spacing w:line="240" w:lineRule="auto"/>
              <w:rPr>
                <w:rFonts w:ascii="Times New Roman" w:hAnsi="Times New Roman"/>
                <w:sz w:val="16"/>
                <w:szCs w:val="16"/>
              </w:rPr>
            </w:pPr>
            <w:r>
              <w:rPr>
                <w:rFonts w:ascii="Times New Roman" w:hAnsi="Times New Roman"/>
                <w:sz w:val="16"/>
                <w:szCs w:val="16"/>
              </w:rPr>
              <w:t>-154,9</w:t>
            </w:r>
          </w:p>
        </w:tc>
      </w:tr>
      <w:tr w:rsidR="00381215" w:rsidRPr="008B4FE6" w14:paraId="2E8FD597" w14:textId="77777777" w:rsidTr="00676C8D">
        <w:trPr>
          <w:gridAfter w:val="1"/>
          <w:wAfter w:w="10" w:type="dxa"/>
          <w:trHeight w:val="348"/>
        </w:trPr>
        <w:tc>
          <w:tcPr>
            <w:tcW w:w="2243" w:type="dxa"/>
            <w:gridSpan w:val="2"/>
            <w:shd w:val="clear" w:color="auto" w:fill="FFFFFF"/>
            <w:vAlign w:val="center"/>
          </w:tcPr>
          <w:p w14:paraId="0ED10DBB" w14:textId="77777777" w:rsidR="00381215" w:rsidRPr="00C53F26" w:rsidRDefault="00381215" w:rsidP="00381215">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94" w:type="dxa"/>
            <w:gridSpan w:val="19"/>
            <w:shd w:val="clear" w:color="auto" w:fill="FFFFFF"/>
            <w:vAlign w:val="center"/>
          </w:tcPr>
          <w:p w14:paraId="751C339E" w14:textId="2E8D3DBC" w:rsidR="00381215" w:rsidRDefault="00381215" w:rsidP="007313E2">
            <w:pPr>
              <w:spacing w:before="120" w:after="120" w:line="240" w:lineRule="auto"/>
              <w:jc w:val="both"/>
              <w:rPr>
                <w:rFonts w:ascii="Times New Roman" w:hAnsi="Times New Roman"/>
                <w:color w:val="000000"/>
              </w:rPr>
            </w:pPr>
            <w:r>
              <w:rPr>
                <w:rFonts w:ascii="Times New Roman" w:hAnsi="Times New Roman"/>
                <w:color w:val="000000"/>
              </w:rPr>
              <w:t xml:space="preserve">Potencjalne źródła finansowania: </w:t>
            </w:r>
            <w:r w:rsidR="00802168">
              <w:rPr>
                <w:rFonts w:ascii="Times New Roman" w:hAnsi="Times New Roman"/>
                <w:color w:val="000000"/>
              </w:rPr>
              <w:t>środki krajowe:</w:t>
            </w:r>
            <w:r>
              <w:rPr>
                <w:rFonts w:ascii="Times New Roman" w:hAnsi="Times New Roman"/>
                <w:color w:val="000000"/>
              </w:rPr>
              <w:t xml:space="preserve"> budżet państwa</w:t>
            </w:r>
            <w:r w:rsidR="000F5F0F">
              <w:rPr>
                <w:rFonts w:ascii="Times New Roman" w:hAnsi="Times New Roman"/>
                <w:color w:val="000000"/>
              </w:rPr>
              <w:t xml:space="preserve"> cz. 69</w:t>
            </w:r>
            <w:r>
              <w:rPr>
                <w:rFonts w:ascii="Times New Roman" w:hAnsi="Times New Roman"/>
                <w:color w:val="000000"/>
              </w:rPr>
              <w:t>, budżet PGW WP</w:t>
            </w:r>
            <w:r w:rsidR="002D34B6">
              <w:rPr>
                <w:rFonts w:ascii="Times New Roman" w:hAnsi="Times New Roman"/>
                <w:color w:val="000000"/>
              </w:rPr>
              <w:t xml:space="preserve"> (</w:t>
            </w:r>
            <w:r>
              <w:rPr>
                <w:rFonts w:ascii="Times New Roman" w:hAnsi="Times New Roman"/>
                <w:color w:val="000000"/>
              </w:rPr>
              <w:t>współfinansowanie wkładu, przy założeniu współfinansowania ze środków UE na poziomie 85%</w:t>
            </w:r>
            <w:r w:rsidR="00F77747">
              <w:rPr>
                <w:rFonts w:ascii="Times New Roman" w:hAnsi="Times New Roman"/>
                <w:color w:val="000000"/>
              </w:rPr>
              <w:t xml:space="preserve"> dla projektów z listy podstawowej</w:t>
            </w:r>
            <w:r w:rsidR="002D34B6">
              <w:rPr>
                <w:rFonts w:ascii="Times New Roman" w:hAnsi="Times New Roman"/>
                <w:color w:val="000000"/>
              </w:rPr>
              <w:t>)</w:t>
            </w:r>
            <w:r w:rsidR="00802168">
              <w:rPr>
                <w:rFonts w:ascii="Times New Roman" w:hAnsi="Times New Roman"/>
                <w:color w:val="000000"/>
              </w:rPr>
              <w:t>,</w:t>
            </w:r>
            <w:r w:rsidR="00BA3245">
              <w:rPr>
                <w:rFonts w:ascii="Times New Roman" w:hAnsi="Times New Roman"/>
                <w:color w:val="000000"/>
              </w:rPr>
              <w:t xml:space="preserve"> </w:t>
            </w:r>
            <w:r w:rsidR="00802168">
              <w:rPr>
                <w:rFonts w:ascii="Times New Roman" w:hAnsi="Times New Roman"/>
                <w:color w:val="000000"/>
              </w:rPr>
              <w:t>ś</w:t>
            </w:r>
            <w:r w:rsidR="00BA3245">
              <w:rPr>
                <w:rFonts w:ascii="Times New Roman" w:hAnsi="Times New Roman"/>
                <w:color w:val="000000"/>
              </w:rPr>
              <w:t xml:space="preserve">rodki </w:t>
            </w:r>
            <w:r w:rsidR="0090559D">
              <w:rPr>
                <w:rFonts w:ascii="Times New Roman" w:hAnsi="Times New Roman"/>
                <w:color w:val="000000"/>
              </w:rPr>
              <w:t xml:space="preserve">UE: Polityka </w:t>
            </w:r>
            <w:r w:rsidR="005219C1">
              <w:rPr>
                <w:rFonts w:ascii="Times New Roman" w:hAnsi="Times New Roman"/>
                <w:color w:val="000000"/>
              </w:rPr>
              <w:t>S</w:t>
            </w:r>
            <w:r w:rsidR="0090559D">
              <w:rPr>
                <w:rFonts w:ascii="Times New Roman" w:hAnsi="Times New Roman"/>
                <w:color w:val="000000"/>
              </w:rPr>
              <w:t>pójności 2021</w:t>
            </w:r>
            <w:r w:rsidR="007268C8">
              <w:rPr>
                <w:rFonts w:ascii="Times New Roman" w:hAnsi="Times New Roman"/>
                <w:color w:val="000000"/>
              </w:rPr>
              <w:t>–</w:t>
            </w:r>
            <w:r w:rsidR="0090559D">
              <w:rPr>
                <w:rFonts w:ascii="Times New Roman" w:hAnsi="Times New Roman"/>
                <w:color w:val="000000"/>
              </w:rPr>
              <w:t>2027</w:t>
            </w:r>
            <w:r w:rsidR="00D569C2">
              <w:rPr>
                <w:rFonts w:ascii="Times New Roman" w:hAnsi="Times New Roman"/>
                <w:color w:val="000000"/>
              </w:rPr>
              <w:t>.</w:t>
            </w:r>
          </w:p>
          <w:p w14:paraId="046EED3C" w14:textId="22BE28F4" w:rsidR="005219C1" w:rsidRPr="007313E2" w:rsidRDefault="00A16A1E" w:rsidP="00802168">
            <w:pPr>
              <w:spacing w:before="120" w:after="120" w:line="240" w:lineRule="auto"/>
              <w:jc w:val="both"/>
              <w:rPr>
                <w:rFonts w:ascii="Times New Roman" w:hAnsi="Times New Roman"/>
                <w:color w:val="000000"/>
              </w:rPr>
            </w:pPr>
            <w:r>
              <w:rPr>
                <w:rFonts w:ascii="Times New Roman" w:hAnsi="Times New Roman"/>
                <w:color w:val="000000"/>
              </w:rPr>
              <w:lastRenderedPageBreak/>
              <w:t>Przy czym działania w zakresie KPŻ</w:t>
            </w:r>
            <w:r w:rsidRPr="00A16A1E">
              <w:rPr>
                <w:rFonts w:ascii="Times New Roman" w:hAnsi="Times New Roman"/>
                <w:color w:val="000000"/>
              </w:rPr>
              <w:t>2030 realizowane przez ministra właściwego ds. żeglugi śródlądowej będą finansowane ze środków budżetu państwa w ramach przyznanego corocznie limitu wydatków oraz nie będą generować dodatkowych kosztów dla budżetu państwa</w:t>
            </w:r>
            <w:r>
              <w:rPr>
                <w:rFonts w:ascii="Times New Roman" w:hAnsi="Times New Roman"/>
                <w:color w:val="000000"/>
              </w:rPr>
              <w:t>.</w:t>
            </w:r>
          </w:p>
        </w:tc>
      </w:tr>
      <w:tr w:rsidR="00381215" w:rsidRPr="008B4FE6" w14:paraId="6C9544A4" w14:textId="77777777" w:rsidTr="00676C8D">
        <w:trPr>
          <w:gridAfter w:val="1"/>
          <w:wAfter w:w="10" w:type="dxa"/>
          <w:trHeight w:val="1926"/>
        </w:trPr>
        <w:tc>
          <w:tcPr>
            <w:tcW w:w="2243" w:type="dxa"/>
            <w:gridSpan w:val="2"/>
            <w:shd w:val="clear" w:color="auto" w:fill="FFFFFF"/>
          </w:tcPr>
          <w:p w14:paraId="5F01BD92" w14:textId="77777777" w:rsidR="00381215" w:rsidRPr="00C53F26" w:rsidRDefault="00381215" w:rsidP="00381215">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Dodatkowe informacje, w tym wskazanie źródeł danych i przyjętych do obliczeń założeń</w:t>
            </w:r>
          </w:p>
        </w:tc>
        <w:tc>
          <w:tcPr>
            <w:tcW w:w="8694" w:type="dxa"/>
            <w:gridSpan w:val="19"/>
            <w:shd w:val="clear" w:color="auto" w:fill="FFFFFF"/>
          </w:tcPr>
          <w:p w14:paraId="719868AD" w14:textId="72270B93" w:rsidR="00DC46A3" w:rsidRDefault="00381215" w:rsidP="007313E2">
            <w:pPr>
              <w:spacing w:before="120" w:after="120" w:line="240" w:lineRule="auto"/>
              <w:jc w:val="both"/>
              <w:rPr>
                <w:rFonts w:ascii="Times New Roman" w:hAnsi="Times New Roman"/>
                <w:color w:val="000000"/>
                <w:sz w:val="21"/>
                <w:szCs w:val="21"/>
              </w:rPr>
            </w:pPr>
            <w:r w:rsidRPr="0013118F">
              <w:rPr>
                <w:rFonts w:ascii="Times New Roman" w:hAnsi="Times New Roman"/>
                <w:color w:val="000000"/>
                <w:sz w:val="21"/>
                <w:szCs w:val="21"/>
              </w:rPr>
              <w:t>W perspektywie obowiązywania KPŻ2030 planuje się dokończenie realizacji projektów z Programu Operacyjnego Infrastruktura i Środowisko 2014</w:t>
            </w:r>
            <w:r w:rsidR="007268C8">
              <w:rPr>
                <w:rFonts w:ascii="Times New Roman" w:hAnsi="Times New Roman"/>
                <w:color w:val="000000"/>
                <w:sz w:val="21"/>
                <w:szCs w:val="21"/>
              </w:rPr>
              <w:t>–</w:t>
            </w:r>
            <w:r w:rsidRPr="0013118F">
              <w:rPr>
                <w:rFonts w:ascii="Times New Roman" w:hAnsi="Times New Roman"/>
                <w:color w:val="000000"/>
                <w:sz w:val="21"/>
                <w:szCs w:val="21"/>
              </w:rPr>
              <w:t>2020</w:t>
            </w:r>
            <w:r w:rsidR="007313E2">
              <w:rPr>
                <w:rFonts w:ascii="Times New Roman" w:hAnsi="Times New Roman"/>
                <w:color w:val="000000"/>
                <w:sz w:val="21"/>
                <w:szCs w:val="21"/>
              </w:rPr>
              <w:t xml:space="preserve"> (dalej: </w:t>
            </w:r>
            <w:proofErr w:type="spellStart"/>
            <w:r w:rsidR="007313E2">
              <w:rPr>
                <w:rFonts w:ascii="Times New Roman" w:hAnsi="Times New Roman"/>
                <w:color w:val="000000"/>
                <w:sz w:val="21"/>
                <w:szCs w:val="21"/>
              </w:rPr>
              <w:t>POIiŚ</w:t>
            </w:r>
            <w:proofErr w:type="spellEnd"/>
            <w:r w:rsidR="007313E2">
              <w:rPr>
                <w:rFonts w:ascii="Times New Roman" w:hAnsi="Times New Roman"/>
                <w:color w:val="000000"/>
                <w:sz w:val="21"/>
                <w:szCs w:val="21"/>
              </w:rPr>
              <w:t xml:space="preserve"> 2014</w:t>
            </w:r>
            <w:r w:rsidR="007268C8">
              <w:rPr>
                <w:rFonts w:ascii="Times New Roman" w:hAnsi="Times New Roman"/>
                <w:color w:val="000000"/>
                <w:sz w:val="21"/>
                <w:szCs w:val="21"/>
              </w:rPr>
              <w:t>–</w:t>
            </w:r>
            <w:r w:rsidR="007313E2">
              <w:rPr>
                <w:rFonts w:ascii="Times New Roman" w:hAnsi="Times New Roman"/>
                <w:color w:val="000000"/>
                <w:sz w:val="21"/>
                <w:szCs w:val="21"/>
              </w:rPr>
              <w:t>2020)</w:t>
            </w:r>
            <w:r w:rsidRPr="0013118F">
              <w:rPr>
                <w:rFonts w:ascii="Times New Roman" w:hAnsi="Times New Roman"/>
                <w:color w:val="000000"/>
                <w:sz w:val="21"/>
                <w:szCs w:val="21"/>
              </w:rPr>
              <w:t xml:space="preserve"> oraz realizację projektów w przyszłej perspektywie finansowej U</w:t>
            </w:r>
            <w:r w:rsidR="007313E2">
              <w:rPr>
                <w:rFonts w:ascii="Times New Roman" w:hAnsi="Times New Roman"/>
                <w:color w:val="000000"/>
                <w:sz w:val="21"/>
                <w:szCs w:val="21"/>
              </w:rPr>
              <w:t xml:space="preserve">nii </w:t>
            </w:r>
            <w:r w:rsidRPr="0013118F">
              <w:rPr>
                <w:rFonts w:ascii="Times New Roman" w:hAnsi="Times New Roman"/>
                <w:color w:val="000000"/>
                <w:sz w:val="21"/>
                <w:szCs w:val="21"/>
              </w:rPr>
              <w:t>E</w:t>
            </w:r>
            <w:r w:rsidR="007313E2">
              <w:rPr>
                <w:rFonts w:ascii="Times New Roman" w:hAnsi="Times New Roman"/>
                <w:color w:val="000000"/>
                <w:sz w:val="21"/>
                <w:szCs w:val="21"/>
              </w:rPr>
              <w:t>uropejskiej na lata</w:t>
            </w:r>
            <w:r w:rsidRPr="0013118F">
              <w:rPr>
                <w:rFonts w:ascii="Times New Roman" w:hAnsi="Times New Roman"/>
                <w:color w:val="000000"/>
                <w:sz w:val="21"/>
                <w:szCs w:val="21"/>
              </w:rPr>
              <w:t xml:space="preserve"> 2021</w:t>
            </w:r>
            <w:r w:rsidR="007268C8">
              <w:rPr>
                <w:rFonts w:ascii="Times New Roman" w:hAnsi="Times New Roman"/>
                <w:color w:val="000000"/>
                <w:sz w:val="21"/>
                <w:szCs w:val="21"/>
              </w:rPr>
              <w:t>–</w:t>
            </w:r>
            <w:r w:rsidRPr="0013118F">
              <w:rPr>
                <w:rFonts w:ascii="Times New Roman" w:hAnsi="Times New Roman"/>
                <w:color w:val="000000"/>
                <w:sz w:val="21"/>
                <w:szCs w:val="21"/>
              </w:rPr>
              <w:t xml:space="preserve">2027. </w:t>
            </w:r>
          </w:p>
          <w:p w14:paraId="286A12B0" w14:textId="4EAC084D" w:rsidR="00B50FD5" w:rsidRDefault="00FA4B3E" w:rsidP="008D25B2">
            <w:pPr>
              <w:spacing w:after="120" w:line="240" w:lineRule="auto"/>
              <w:jc w:val="both"/>
              <w:rPr>
                <w:rFonts w:ascii="Times New Roman" w:hAnsi="Times New Roman"/>
                <w:color w:val="000000"/>
                <w:sz w:val="21"/>
                <w:szCs w:val="21"/>
              </w:rPr>
            </w:pPr>
            <w:r>
              <w:rPr>
                <w:rFonts w:ascii="Times New Roman" w:hAnsi="Times New Roman"/>
                <w:color w:val="000000"/>
                <w:sz w:val="21"/>
                <w:szCs w:val="21"/>
              </w:rPr>
              <w:t>Finansowanie</w:t>
            </w:r>
            <w:r w:rsidRPr="0013118F">
              <w:rPr>
                <w:rFonts w:ascii="Times New Roman" w:hAnsi="Times New Roman"/>
                <w:color w:val="000000"/>
                <w:sz w:val="21"/>
                <w:szCs w:val="21"/>
              </w:rPr>
              <w:t xml:space="preserve"> </w:t>
            </w:r>
            <w:r>
              <w:rPr>
                <w:rFonts w:ascii="Times New Roman" w:hAnsi="Times New Roman"/>
                <w:color w:val="000000"/>
                <w:sz w:val="21"/>
                <w:szCs w:val="21"/>
              </w:rPr>
              <w:t>d</w:t>
            </w:r>
            <w:r w:rsidR="00381215" w:rsidRPr="0013118F">
              <w:rPr>
                <w:rFonts w:ascii="Times New Roman" w:hAnsi="Times New Roman"/>
                <w:color w:val="000000"/>
                <w:sz w:val="21"/>
                <w:szCs w:val="21"/>
              </w:rPr>
              <w:t>la projektów</w:t>
            </w:r>
            <w:r>
              <w:rPr>
                <w:rFonts w:ascii="Times New Roman" w:hAnsi="Times New Roman"/>
                <w:color w:val="000000"/>
                <w:sz w:val="21"/>
                <w:szCs w:val="21"/>
              </w:rPr>
              <w:t xml:space="preserve"> realizowanych</w:t>
            </w:r>
            <w:r w:rsidR="00381215" w:rsidRPr="0013118F">
              <w:rPr>
                <w:rFonts w:ascii="Times New Roman" w:hAnsi="Times New Roman"/>
                <w:color w:val="000000"/>
                <w:sz w:val="21"/>
                <w:szCs w:val="21"/>
              </w:rPr>
              <w:t xml:space="preserve"> </w:t>
            </w:r>
            <w:r>
              <w:rPr>
                <w:rFonts w:ascii="Times New Roman" w:hAnsi="Times New Roman"/>
                <w:color w:val="000000"/>
                <w:sz w:val="21"/>
                <w:szCs w:val="21"/>
              </w:rPr>
              <w:t>w</w:t>
            </w:r>
            <w:r w:rsidRPr="00FF40BF">
              <w:rPr>
                <w:rFonts w:ascii="Times New Roman" w:hAnsi="Times New Roman"/>
                <w:color w:val="000000"/>
                <w:sz w:val="21"/>
                <w:szCs w:val="21"/>
              </w:rPr>
              <w:t xml:space="preserve"> ramach </w:t>
            </w:r>
            <w:proofErr w:type="spellStart"/>
            <w:r w:rsidRPr="00FF40BF">
              <w:rPr>
                <w:rFonts w:ascii="Times New Roman" w:hAnsi="Times New Roman"/>
                <w:color w:val="000000"/>
                <w:sz w:val="21"/>
                <w:szCs w:val="21"/>
              </w:rPr>
              <w:t>POIiŚ</w:t>
            </w:r>
            <w:proofErr w:type="spellEnd"/>
            <w:r w:rsidRPr="00FF40BF">
              <w:rPr>
                <w:rFonts w:ascii="Times New Roman" w:hAnsi="Times New Roman"/>
                <w:color w:val="000000"/>
                <w:sz w:val="21"/>
                <w:szCs w:val="21"/>
              </w:rPr>
              <w:t xml:space="preserve"> 2014</w:t>
            </w:r>
            <w:r w:rsidR="007268C8">
              <w:rPr>
                <w:rFonts w:ascii="Times New Roman" w:hAnsi="Times New Roman"/>
                <w:color w:val="000000"/>
                <w:sz w:val="21"/>
                <w:szCs w:val="21"/>
              </w:rPr>
              <w:t>–</w:t>
            </w:r>
            <w:r w:rsidRPr="00FF40BF">
              <w:rPr>
                <w:rFonts w:ascii="Times New Roman" w:hAnsi="Times New Roman"/>
                <w:color w:val="000000"/>
                <w:sz w:val="21"/>
                <w:szCs w:val="21"/>
              </w:rPr>
              <w:t xml:space="preserve">2020 </w:t>
            </w:r>
            <w:r w:rsidR="00381215" w:rsidRPr="00802168">
              <w:rPr>
                <w:rFonts w:ascii="Times New Roman" w:hAnsi="Times New Roman"/>
                <w:color w:val="000000"/>
                <w:sz w:val="21"/>
                <w:szCs w:val="21"/>
              </w:rPr>
              <w:t xml:space="preserve">utrzymane </w:t>
            </w:r>
            <w:r>
              <w:rPr>
                <w:rFonts w:ascii="Times New Roman" w:hAnsi="Times New Roman"/>
                <w:color w:val="000000"/>
                <w:sz w:val="21"/>
                <w:szCs w:val="21"/>
              </w:rPr>
              <w:t>jest</w:t>
            </w:r>
            <w:r w:rsidR="00381215" w:rsidRPr="00802168">
              <w:rPr>
                <w:rFonts w:ascii="Times New Roman" w:hAnsi="Times New Roman"/>
                <w:color w:val="000000"/>
                <w:sz w:val="21"/>
                <w:szCs w:val="21"/>
              </w:rPr>
              <w:t xml:space="preserve"> na obecnym poziomie i</w:t>
            </w:r>
            <w:r w:rsidR="00941CB9" w:rsidRPr="00802168">
              <w:rPr>
                <w:rFonts w:ascii="Times New Roman" w:hAnsi="Times New Roman"/>
                <w:color w:val="000000"/>
                <w:sz w:val="21"/>
                <w:szCs w:val="21"/>
              </w:rPr>
              <w:t> </w:t>
            </w:r>
            <w:r w:rsidR="00381215" w:rsidRPr="00FF40BF">
              <w:rPr>
                <w:rFonts w:ascii="Times New Roman" w:hAnsi="Times New Roman"/>
                <w:color w:val="000000"/>
                <w:sz w:val="21"/>
                <w:szCs w:val="21"/>
              </w:rPr>
              <w:t>nie</w:t>
            </w:r>
            <w:r w:rsidR="00941CB9" w:rsidRPr="00FF40BF">
              <w:rPr>
                <w:rFonts w:ascii="Times New Roman" w:hAnsi="Times New Roman"/>
                <w:color w:val="000000"/>
                <w:sz w:val="21"/>
                <w:szCs w:val="21"/>
              </w:rPr>
              <w:t> </w:t>
            </w:r>
            <w:r w:rsidR="00381215" w:rsidRPr="00FF40BF">
              <w:rPr>
                <w:rFonts w:ascii="Times New Roman" w:hAnsi="Times New Roman"/>
                <w:color w:val="000000"/>
                <w:sz w:val="21"/>
                <w:szCs w:val="21"/>
              </w:rPr>
              <w:t>przewiduje się zwiększenia środków na ich realizację.</w:t>
            </w:r>
            <w:r w:rsidR="002D34B6" w:rsidRPr="00FF40BF">
              <w:rPr>
                <w:rFonts w:ascii="Times New Roman" w:hAnsi="Times New Roman"/>
                <w:color w:val="000000"/>
                <w:sz w:val="21"/>
                <w:szCs w:val="21"/>
              </w:rPr>
              <w:t xml:space="preserve"> W ramach </w:t>
            </w:r>
            <w:proofErr w:type="spellStart"/>
            <w:r w:rsidR="002D34B6" w:rsidRPr="00FF40BF">
              <w:rPr>
                <w:rFonts w:ascii="Times New Roman" w:hAnsi="Times New Roman"/>
                <w:color w:val="000000"/>
                <w:sz w:val="21"/>
                <w:szCs w:val="21"/>
              </w:rPr>
              <w:t>POIiŚ</w:t>
            </w:r>
            <w:proofErr w:type="spellEnd"/>
            <w:r w:rsidR="002D34B6" w:rsidRPr="00FF40BF">
              <w:rPr>
                <w:rFonts w:ascii="Times New Roman" w:hAnsi="Times New Roman"/>
                <w:color w:val="000000"/>
                <w:sz w:val="21"/>
                <w:szCs w:val="21"/>
              </w:rPr>
              <w:t xml:space="preserve"> 2014</w:t>
            </w:r>
            <w:r w:rsidR="007268C8">
              <w:rPr>
                <w:rFonts w:ascii="Times New Roman" w:hAnsi="Times New Roman"/>
                <w:color w:val="000000"/>
                <w:sz w:val="21"/>
                <w:szCs w:val="21"/>
              </w:rPr>
              <w:t>–</w:t>
            </w:r>
            <w:r w:rsidR="00B50FD5" w:rsidRPr="00FF40BF">
              <w:rPr>
                <w:rFonts w:ascii="Times New Roman" w:hAnsi="Times New Roman"/>
                <w:color w:val="000000"/>
                <w:sz w:val="21"/>
                <w:szCs w:val="21"/>
              </w:rPr>
              <w:t>2020 prowadzone są prace przygotowawcze dla inwestycji, które będą kontynuowane w ramach KPŻ2030. Dotychczas</w:t>
            </w:r>
            <w:r w:rsidR="007313E2" w:rsidRPr="00FF40BF">
              <w:rPr>
                <w:rFonts w:ascii="Times New Roman" w:hAnsi="Times New Roman"/>
                <w:color w:val="000000"/>
                <w:sz w:val="21"/>
                <w:szCs w:val="21"/>
              </w:rPr>
              <w:t>,</w:t>
            </w:r>
            <w:r w:rsidR="00B50FD5" w:rsidRPr="00FF40BF">
              <w:rPr>
                <w:rFonts w:ascii="Times New Roman" w:hAnsi="Times New Roman"/>
                <w:color w:val="000000"/>
                <w:sz w:val="21"/>
                <w:szCs w:val="21"/>
              </w:rPr>
              <w:t xml:space="preserve"> z</w:t>
            </w:r>
            <w:r w:rsidR="00941CB9" w:rsidRPr="00FF40BF">
              <w:rPr>
                <w:rFonts w:ascii="Times New Roman" w:hAnsi="Times New Roman"/>
                <w:color w:val="000000"/>
                <w:sz w:val="21"/>
                <w:szCs w:val="21"/>
              </w:rPr>
              <w:t> </w:t>
            </w:r>
            <w:r w:rsidR="00B50FD5" w:rsidRPr="00FF40BF">
              <w:rPr>
                <w:rFonts w:ascii="Times New Roman" w:hAnsi="Times New Roman"/>
                <w:color w:val="000000"/>
                <w:sz w:val="21"/>
                <w:szCs w:val="21"/>
              </w:rPr>
              <w:t>powyższych środków</w:t>
            </w:r>
            <w:r w:rsidR="007313E2" w:rsidRPr="00FF40BF">
              <w:rPr>
                <w:rFonts w:ascii="Times New Roman" w:hAnsi="Times New Roman"/>
                <w:color w:val="000000"/>
                <w:sz w:val="21"/>
                <w:szCs w:val="21"/>
              </w:rPr>
              <w:t>,</w:t>
            </w:r>
            <w:r w:rsidR="00B50FD5" w:rsidRPr="00FF40BF">
              <w:rPr>
                <w:rFonts w:ascii="Times New Roman" w:hAnsi="Times New Roman"/>
                <w:color w:val="000000"/>
                <w:sz w:val="21"/>
                <w:szCs w:val="21"/>
              </w:rPr>
              <w:t xml:space="preserve"> sfi</w:t>
            </w:r>
            <w:r w:rsidR="007313E2" w:rsidRPr="00FF40BF">
              <w:rPr>
                <w:rFonts w:ascii="Times New Roman" w:hAnsi="Times New Roman"/>
                <w:color w:val="000000"/>
                <w:sz w:val="21"/>
                <w:szCs w:val="21"/>
              </w:rPr>
              <w:t xml:space="preserve">nansowano inwestycję pod nazwą </w:t>
            </w:r>
            <w:r w:rsidR="00B50FD5" w:rsidRPr="00FF40BF">
              <w:rPr>
                <w:rFonts w:ascii="Times New Roman" w:hAnsi="Times New Roman"/>
                <w:i/>
                <w:color w:val="000000"/>
                <w:sz w:val="21"/>
                <w:szCs w:val="21"/>
              </w:rPr>
              <w:t>Budowa jazu klapowego na stopniu wodnym Ujście Nysy w km 180,50 rzeki Odry wraz z infrastrukturą towarzyszącą - prace przygotowawcze</w:t>
            </w:r>
            <w:r w:rsidR="00B50FD5" w:rsidRPr="00FF40BF">
              <w:rPr>
                <w:rFonts w:ascii="Times New Roman" w:hAnsi="Times New Roman"/>
                <w:color w:val="000000"/>
                <w:sz w:val="21"/>
                <w:szCs w:val="21"/>
              </w:rPr>
              <w:t xml:space="preserve">, której łączną wartość </w:t>
            </w:r>
            <w:r w:rsidR="007224D8" w:rsidRPr="00FF40BF">
              <w:rPr>
                <w:rFonts w:ascii="Times New Roman" w:hAnsi="Times New Roman"/>
                <w:color w:val="000000"/>
                <w:sz w:val="21"/>
                <w:szCs w:val="21"/>
              </w:rPr>
              <w:t>szacuje się na 4 </w:t>
            </w:r>
            <w:r w:rsidR="00B50FD5" w:rsidRPr="00FF40BF">
              <w:rPr>
                <w:rFonts w:ascii="Times New Roman" w:hAnsi="Times New Roman"/>
                <w:color w:val="000000"/>
                <w:sz w:val="21"/>
                <w:szCs w:val="21"/>
              </w:rPr>
              <w:t xml:space="preserve">178 253,20 zł (w tym wysokość środków kwalifikowanych współfinansowanych z budżetu UE – </w:t>
            </w:r>
            <w:r w:rsidR="00BD238A" w:rsidRPr="00FF40BF">
              <w:rPr>
                <w:rFonts w:ascii="Times New Roman" w:hAnsi="Times New Roman"/>
                <w:color w:val="000000"/>
                <w:sz w:val="21"/>
                <w:szCs w:val="21"/>
              </w:rPr>
              <w:t xml:space="preserve">2 381 202,72 </w:t>
            </w:r>
            <w:r w:rsidR="00B50FD5" w:rsidRPr="00FF40BF">
              <w:rPr>
                <w:rFonts w:ascii="Times New Roman" w:hAnsi="Times New Roman"/>
                <w:color w:val="000000"/>
                <w:sz w:val="21"/>
                <w:szCs w:val="21"/>
              </w:rPr>
              <w:t xml:space="preserve">zł). Od początku realizacji projektu do </w:t>
            </w:r>
            <w:r w:rsidR="00802168" w:rsidRPr="00FF40BF">
              <w:rPr>
                <w:rFonts w:ascii="Times New Roman" w:hAnsi="Times New Roman"/>
                <w:color w:val="000000"/>
                <w:sz w:val="21"/>
                <w:szCs w:val="21"/>
              </w:rPr>
              <w:t>końca grudnia 2022 r. wydatkowano 4 077 187,73</w:t>
            </w:r>
            <w:r w:rsidR="00B50FD5" w:rsidRPr="00FF40BF">
              <w:rPr>
                <w:rFonts w:ascii="Times New Roman" w:hAnsi="Times New Roman"/>
                <w:color w:val="000000"/>
                <w:sz w:val="21"/>
                <w:szCs w:val="21"/>
              </w:rPr>
              <w:t>. Kwota</w:t>
            </w:r>
            <w:r w:rsidR="00B50FD5">
              <w:rPr>
                <w:rFonts w:ascii="Times New Roman" w:hAnsi="Times New Roman"/>
                <w:color w:val="000000"/>
                <w:sz w:val="21"/>
                <w:szCs w:val="21"/>
              </w:rPr>
              <w:t xml:space="preserve"> ta nie została uwzględniona w</w:t>
            </w:r>
            <w:r>
              <w:rPr>
                <w:rFonts w:ascii="Times New Roman" w:hAnsi="Times New Roman"/>
                <w:color w:val="000000"/>
                <w:sz w:val="21"/>
                <w:szCs w:val="21"/>
              </w:rPr>
              <w:t> </w:t>
            </w:r>
            <w:r w:rsidR="00B50FD5">
              <w:rPr>
                <w:rFonts w:ascii="Times New Roman" w:hAnsi="Times New Roman"/>
                <w:color w:val="000000"/>
                <w:sz w:val="21"/>
                <w:szCs w:val="21"/>
              </w:rPr>
              <w:t xml:space="preserve">OSR ze względu na fakt, że nie powoduje powstania dodatkowych kosztów realizacji. </w:t>
            </w:r>
          </w:p>
          <w:p w14:paraId="1F2530B0" w14:textId="1C1F18CA" w:rsidR="00706CEF" w:rsidRDefault="00DC46A3" w:rsidP="008D25B2">
            <w:pPr>
              <w:spacing w:after="120" w:line="240" w:lineRule="auto"/>
              <w:jc w:val="both"/>
              <w:rPr>
                <w:rFonts w:ascii="Times New Roman" w:hAnsi="Times New Roman"/>
                <w:color w:val="000000"/>
                <w:sz w:val="21"/>
                <w:szCs w:val="21"/>
              </w:rPr>
            </w:pPr>
            <w:r>
              <w:rPr>
                <w:rFonts w:ascii="Times New Roman" w:hAnsi="Times New Roman"/>
                <w:color w:val="000000"/>
                <w:sz w:val="21"/>
                <w:szCs w:val="21"/>
              </w:rPr>
              <w:t>W KPŻ2030 wskazano 1</w:t>
            </w:r>
            <w:r w:rsidR="00706CEF">
              <w:rPr>
                <w:rFonts w:ascii="Times New Roman" w:hAnsi="Times New Roman"/>
                <w:color w:val="000000"/>
                <w:sz w:val="21"/>
                <w:szCs w:val="21"/>
              </w:rPr>
              <w:t>1</w:t>
            </w:r>
            <w:r>
              <w:rPr>
                <w:rFonts w:ascii="Times New Roman" w:hAnsi="Times New Roman"/>
                <w:color w:val="000000"/>
                <w:sz w:val="21"/>
                <w:szCs w:val="21"/>
              </w:rPr>
              <w:t xml:space="preserve"> inwestycji niezbędnych do realizacji celu nadrzędnego. Jednak mając na uwadze fakt, że </w:t>
            </w:r>
            <w:r w:rsidR="00706CEF">
              <w:rPr>
                <w:rFonts w:ascii="Times New Roman" w:hAnsi="Times New Roman"/>
                <w:color w:val="000000"/>
                <w:sz w:val="21"/>
                <w:szCs w:val="21"/>
              </w:rPr>
              <w:t>5</w:t>
            </w:r>
            <w:r>
              <w:rPr>
                <w:rFonts w:ascii="Times New Roman" w:hAnsi="Times New Roman"/>
                <w:color w:val="000000"/>
                <w:sz w:val="21"/>
                <w:szCs w:val="21"/>
              </w:rPr>
              <w:t xml:space="preserve"> z nich (w momencie przygotowywania projektu uchwały) nie mają wskazanego źródła finansowania, </w:t>
            </w:r>
            <w:r w:rsidR="00B50FD5" w:rsidRPr="00941CB9">
              <w:rPr>
                <w:rFonts w:ascii="Times New Roman" w:hAnsi="Times New Roman"/>
                <w:b/>
                <w:color w:val="000000"/>
                <w:sz w:val="21"/>
                <w:szCs w:val="21"/>
              </w:rPr>
              <w:t xml:space="preserve">dokonano </w:t>
            </w:r>
            <w:r w:rsidR="004A7700">
              <w:rPr>
                <w:rFonts w:ascii="Times New Roman" w:hAnsi="Times New Roman"/>
                <w:b/>
                <w:color w:val="000000"/>
                <w:sz w:val="21"/>
                <w:szCs w:val="21"/>
              </w:rPr>
              <w:t>kategoryzacji inwestycji</w:t>
            </w:r>
            <w:r w:rsidR="004A7700" w:rsidRPr="00941CB9">
              <w:rPr>
                <w:rFonts w:ascii="Times New Roman" w:hAnsi="Times New Roman"/>
                <w:b/>
                <w:color w:val="000000"/>
                <w:sz w:val="21"/>
                <w:szCs w:val="21"/>
              </w:rPr>
              <w:t xml:space="preserve"> </w:t>
            </w:r>
            <w:r w:rsidR="00B50FD5" w:rsidRPr="00941CB9">
              <w:rPr>
                <w:rFonts w:ascii="Times New Roman" w:hAnsi="Times New Roman"/>
                <w:b/>
                <w:color w:val="000000"/>
                <w:sz w:val="21"/>
                <w:szCs w:val="21"/>
              </w:rPr>
              <w:t xml:space="preserve">na projekty </w:t>
            </w:r>
            <w:r w:rsidR="00DB31D7">
              <w:rPr>
                <w:rFonts w:ascii="Times New Roman" w:hAnsi="Times New Roman"/>
                <w:b/>
                <w:color w:val="000000"/>
                <w:sz w:val="21"/>
                <w:szCs w:val="21"/>
              </w:rPr>
              <w:t>priorytetowe i</w:t>
            </w:r>
            <w:r w:rsidR="0056467C">
              <w:rPr>
                <w:rFonts w:ascii="Times New Roman" w:hAnsi="Times New Roman"/>
                <w:b/>
                <w:color w:val="000000"/>
                <w:sz w:val="21"/>
                <w:szCs w:val="21"/>
              </w:rPr>
              <w:t> </w:t>
            </w:r>
            <w:r w:rsidR="00DB31D7">
              <w:rPr>
                <w:rFonts w:ascii="Times New Roman" w:hAnsi="Times New Roman"/>
                <w:b/>
                <w:color w:val="000000"/>
                <w:sz w:val="21"/>
                <w:szCs w:val="21"/>
              </w:rPr>
              <w:t xml:space="preserve">uzupełniające. </w:t>
            </w:r>
            <w:r>
              <w:rPr>
                <w:rFonts w:ascii="Times New Roman" w:hAnsi="Times New Roman"/>
                <w:color w:val="000000"/>
                <w:sz w:val="21"/>
                <w:szCs w:val="21"/>
              </w:rPr>
              <w:t xml:space="preserve"> </w:t>
            </w:r>
          </w:p>
          <w:p w14:paraId="3ED83893" w14:textId="38C74059" w:rsidR="001C1517" w:rsidRDefault="00DC46A3" w:rsidP="008D25B2">
            <w:pPr>
              <w:spacing w:after="120" w:line="240" w:lineRule="auto"/>
              <w:jc w:val="both"/>
              <w:rPr>
                <w:rFonts w:ascii="Times New Roman" w:hAnsi="Times New Roman"/>
                <w:color w:val="000000"/>
                <w:sz w:val="21"/>
                <w:szCs w:val="21"/>
              </w:rPr>
            </w:pPr>
            <w:r>
              <w:rPr>
                <w:rFonts w:ascii="Times New Roman" w:hAnsi="Times New Roman"/>
                <w:color w:val="000000"/>
                <w:sz w:val="21"/>
                <w:szCs w:val="21"/>
              </w:rPr>
              <w:t xml:space="preserve">Dla 6 inwestycji </w:t>
            </w:r>
            <w:r w:rsidR="00DB31D7">
              <w:rPr>
                <w:rFonts w:ascii="Times New Roman" w:hAnsi="Times New Roman"/>
                <w:color w:val="000000"/>
                <w:sz w:val="21"/>
                <w:szCs w:val="21"/>
              </w:rPr>
              <w:t xml:space="preserve">priorytetowych </w:t>
            </w:r>
            <w:r>
              <w:rPr>
                <w:rFonts w:ascii="Times New Roman" w:hAnsi="Times New Roman"/>
                <w:color w:val="000000"/>
                <w:sz w:val="21"/>
                <w:szCs w:val="21"/>
              </w:rPr>
              <w:t>wskazano źródło finansowania</w:t>
            </w:r>
            <w:r w:rsidR="00987EEA">
              <w:rPr>
                <w:rFonts w:ascii="Times New Roman" w:hAnsi="Times New Roman"/>
                <w:color w:val="000000"/>
                <w:sz w:val="21"/>
                <w:szCs w:val="21"/>
              </w:rPr>
              <w:t>.</w:t>
            </w:r>
            <w:r>
              <w:rPr>
                <w:rFonts w:ascii="Times New Roman" w:hAnsi="Times New Roman"/>
                <w:color w:val="000000"/>
                <w:sz w:val="21"/>
                <w:szCs w:val="21"/>
              </w:rPr>
              <w:t xml:space="preserve"> </w:t>
            </w:r>
            <w:r w:rsidR="00987EEA">
              <w:rPr>
                <w:rFonts w:ascii="Times New Roman" w:hAnsi="Times New Roman"/>
                <w:color w:val="000000"/>
                <w:sz w:val="21"/>
                <w:szCs w:val="21"/>
              </w:rPr>
              <w:t>D</w:t>
            </w:r>
            <w:r>
              <w:rPr>
                <w:rFonts w:ascii="Times New Roman" w:hAnsi="Times New Roman"/>
                <w:color w:val="000000"/>
                <w:sz w:val="21"/>
                <w:szCs w:val="21"/>
              </w:rPr>
              <w:t>ziałania te będą finansowane z</w:t>
            </w:r>
            <w:r w:rsidR="001942B9">
              <w:rPr>
                <w:rFonts w:ascii="Times New Roman" w:hAnsi="Times New Roman"/>
                <w:color w:val="000000"/>
                <w:sz w:val="21"/>
                <w:szCs w:val="21"/>
              </w:rPr>
              <w:t> </w:t>
            </w:r>
            <w:r w:rsidR="00FA4B3E">
              <w:rPr>
                <w:rFonts w:ascii="Times New Roman" w:hAnsi="Times New Roman"/>
                <w:color w:val="000000"/>
                <w:sz w:val="21"/>
                <w:szCs w:val="21"/>
              </w:rPr>
              <w:t>P</w:t>
            </w:r>
            <w:r>
              <w:rPr>
                <w:rFonts w:ascii="Times New Roman" w:hAnsi="Times New Roman"/>
                <w:color w:val="000000"/>
                <w:sz w:val="21"/>
                <w:szCs w:val="21"/>
              </w:rPr>
              <w:t xml:space="preserve">olityki </w:t>
            </w:r>
            <w:r w:rsidR="00FA4B3E">
              <w:rPr>
                <w:rFonts w:ascii="Times New Roman" w:hAnsi="Times New Roman"/>
                <w:color w:val="000000"/>
                <w:sz w:val="21"/>
                <w:szCs w:val="21"/>
              </w:rPr>
              <w:t>S</w:t>
            </w:r>
            <w:r>
              <w:rPr>
                <w:rFonts w:ascii="Times New Roman" w:hAnsi="Times New Roman"/>
                <w:color w:val="000000"/>
                <w:sz w:val="21"/>
                <w:szCs w:val="21"/>
              </w:rPr>
              <w:t xml:space="preserve">pójności </w:t>
            </w:r>
            <w:r w:rsidR="00706CEF">
              <w:rPr>
                <w:rFonts w:ascii="Times New Roman" w:hAnsi="Times New Roman"/>
                <w:color w:val="000000"/>
                <w:sz w:val="21"/>
                <w:szCs w:val="21"/>
              </w:rPr>
              <w:t xml:space="preserve">UE </w:t>
            </w:r>
            <w:r>
              <w:rPr>
                <w:rFonts w:ascii="Times New Roman" w:hAnsi="Times New Roman"/>
                <w:color w:val="000000"/>
                <w:sz w:val="21"/>
                <w:szCs w:val="21"/>
              </w:rPr>
              <w:t>oraz ze środków własnych inwestora</w:t>
            </w:r>
            <w:r w:rsidR="00B95199">
              <w:rPr>
                <w:rFonts w:ascii="Times New Roman" w:hAnsi="Times New Roman"/>
                <w:color w:val="000000"/>
                <w:sz w:val="21"/>
                <w:szCs w:val="21"/>
              </w:rPr>
              <w:t xml:space="preserve"> lub budżetu państwa</w:t>
            </w:r>
            <w:r>
              <w:rPr>
                <w:rFonts w:ascii="Times New Roman" w:hAnsi="Times New Roman"/>
                <w:color w:val="000000"/>
                <w:sz w:val="21"/>
                <w:szCs w:val="21"/>
              </w:rPr>
              <w:t xml:space="preserve">. </w:t>
            </w:r>
            <w:r w:rsidR="004A7700">
              <w:rPr>
                <w:rFonts w:ascii="Times New Roman" w:hAnsi="Times New Roman"/>
                <w:color w:val="000000"/>
                <w:sz w:val="21"/>
                <w:szCs w:val="21"/>
              </w:rPr>
              <w:t xml:space="preserve">Projekty </w:t>
            </w:r>
            <w:r w:rsidR="00DB31D7">
              <w:rPr>
                <w:rFonts w:ascii="Times New Roman" w:hAnsi="Times New Roman"/>
                <w:color w:val="000000"/>
                <w:sz w:val="21"/>
                <w:szCs w:val="21"/>
              </w:rPr>
              <w:t>uzupełniające</w:t>
            </w:r>
            <w:r w:rsidR="004A7700">
              <w:rPr>
                <w:rFonts w:ascii="Times New Roman" w:hAnsi="Times New Roman"/>
                <w:color w:val="000000"/>
                <w:sz w:val="21"/>
                <w:szCs w:val="21"/>
              </w:rPr>
              <w:t>, jak wskazano wyżej, aktualnie nie mają określonego źródła</w:t>
            </w:r>
            <w:r w:rsidR="00B50FD5">
              <w:rPr>
                <w:rFonts w:ascii="Times New Roman" w:hAnsi="Times New Roman"/>
                <w:color w:val="000000"/>
                <w:sz w:val="21"/>
                <w:szCs w:val="21"/>
              </w:rPr>
              <w:t xml:space="preserve"> finansowania</w:t>
            </w:r>
            <w:r w:rsidR="004A7700">
              <w:rPr>
                <w:rFonts w:ascii="Times New Roman" w:hAnsi="Times New Roman"/>
                <w:color w:val="000000"/>
                <w:sz w:val="21"/>
                <w:szCs w:val="21"/>
              </w:rPr>
              <w:t>.</w:t>
            </w:r>
            <w:r w:rsidR="00EA2BE6">
              <w:rPr>
                <w:rFonts w:ascii="Times New Roman" w:hAnsi="Times New Roman"/>
                <w:color w:val="000000"/>
                <w:sz w:val="21"/>
                <w:szCs w:val="21"/>
              </w:rPr>
              <w:t xml:space="preserve"> </w:t>
            </w:r>
            <w:r>
              <w:rPr>
                <w:rFonts w:ascii="Times New Roman" w:hAnsi="Times New Roman"/>
                <w:color w:val="000000"/>
                <w:sz w:val="21"/>
                <w:szCs w:val="21"/>
              </w:rPr>
              <w:t xml:space="preserve">Podstawą do podziału listy projektów jest przedstawiony, </w:t>
            </w:r>
            <w:r w:rsidR="00DB31D7">
              <w:rPr>
                <w:rFonts w:ascii="Times New Roman" w:hAnsi="Times New Roman"/>
                <w:color w:val="000000"/>
                <w:sz w:val="21"/>
                <w:szCs w:val="21"/>
              </w:rPr>
              <w:t xml:space="preserve">przydział </w:t>
            </w:r>
            <w:r>
              <w:rPr>
                <w:rFonts w:ascii="Times New Roman" w:hAnsi="Times New Roman"/>
                <w:color w:val="000000"/>
                <w:sz w:val="21"/>
                <w:szCs w:val="21"/>
              </w:rPr>
              <w:t>alokacji</w:t>
            </w:r>
            <w:r w:rsidR="00DB31D7">
              <w:rPr>
                <w:rFonts w:ascii="Times New Roman" w:hAnsi="Times New Roman"/>
                <w:color w:val="000000"/>
                <w:sz w:val="21"/>
                <w:szCs w:val="21"/>
              </w:rPr>
              <w:t xml:space="preserve"> z Programu Fundusze Europejskie na Klimat, Infrastrukturę i Środowisko 2021</w:t>
            </w:r>
            <w:r w:rsidR="007268C8">
              <w:rPr>
                <w:rFonts w:ascii="Times New Roman" w:hAnsi="Times New Roman"/>
                <w:color w:val="000000"/>
                <w:sz w:val="21"/>
                <w:szCs w:val="21"/>
              </w:rPr>
              <w:t>–</w:t>
            </w:r>
            <w:r w:rsidR="00DB31D7">
              <w:rPr>
                <w:rFonts w:ascii="Times New Roman" w:hAnsi="Times New Roman"/>
                <w:color w:val="000000"/>
                <w:sz w:val="21"/>
                <w:szCs w:val="21"/>
              </w:rPr>
              <w:t>2027</w:t>
            </w:r>
            <w:r>
              <w:rPr>
                <w:rFonts w:ascii="Times New Roman" w:hAnsi="Times New Roman"/>
                <w:color w:val="000000"/>
                <w:sz w:val="21"/>
                <w:szCs w:val="21"/>
              </w:rPr>
              <w:t xml:space="preserve"> na transport wodny śródlądowej w ramach Celu Polityki 3. </w:t>
            </w:r>
          </w:p>
          <w:p w14:paraId="79335BD6" w14:textId="200F6F11" w:rsidR="00B50FD5" w:rsidRDefault="00B50FD5" w:rsidP="008D25B2">
            <w:pPr>
              <w:spacing w:after="120" w:line="240" w:lineRule="auto"/>
              <w:jc w:val="both"/>
              <w:rPr>
                <w:rFonts w:ascii="Times New Roman" w:hAnsi="Times New Roman"/>
                <w:color w:val="000000"/>
                <w:sz w:val="21"/>
                <w:szCs w:val="21"/>
              </w:rPr>
            </w:pPr>
            <w:r>
              <w:rPr>
                <w:rFonts w:ascii="Times New Roman" w:hAnsi="Times New Roman"/>
                <w:color w:val="000000"/>
                <w:sz w:val="21"/>
                <w:szCs w:val="21"/>
              </w:rPr>
              <w:t xml:space="preserve">Szacowany podział finansowania inwestycji z listy </w:t>
            </w:r>
            <w:r w:rsidR="00B12CC7">
              <w:rPr>
                <w:rFonts w:ascii="Times New Roman" w:hAnsi="Times New Roman"/>
                <w:color w:val="000000"/>
                <w:sz w:val="21"/>
                <w:szCs w:val="21"/>
              </w:rPr>
              <w:t>inwestycji priorytetowych</w:t>
            </w:r>
            <w:r w:rsidR="00EC79B7">
              <w:rPr>
                <w:rFonts w:ascii="Times New Roman" w:hAnsi="Times New Roman"/>
                <w:color w:val="000000"/>
                <w:sz w:val="21"/>
                <w:szCs w:val="21"/>
              </w:rPr>
              <w:t xml:space="preserve"> </w:t>
            </w:r>
            <w:r>
              <w:rPr>
                <w:rFonts w:ascii="Times New Roman" w:hAnsi="Times New Roman"/>
                <w:color w:val="000000"/>
                <w:sz w:val="21"/>
                <w:szCs w:val="21"/>
              </w:rPr>
              <w:t>wygląda więc następująco:</w:t>
            </w:r>
          </w:p>
          <w:tbl>
            <w:tblPr>
              <w:tblStyle w:val="Tabelasiatki4akcent11"/>
              <w:tblW w:w="8448" w:type="dxa"/>
              <w:tblInd w:w="0" w:type="dxa"/>
              <w:tblLayout w:type="fixed"/>
              <w:tblLook w:val="04A0" w:firstRow="1" w:lastRow="0" w:firstColumn="1" w:lastColumn="0" w:noHBand="0" w:noVBand="1"/>
            </w:tblPr>
            <w:tblGrid>
              <w:gridCol w:w="651"/>
              <w:gridCol w:w="3119"/>
              <w:gridCol w:w="1701"/>
              <w:gridCol w:w="1559"/>
              <w:gridCol w:w="1418"/>
            </w:tblGrid>
            <w:tr w:rsidR="004A7700" w:rsidRPr="009679BC" w14:paraId="35D3A4C9" w14:textId="6744CF8B" w:rsidTr="006B5DAF">
              <w:trPr>
                <w:cnfStyle w:val="100000000000" w:firstRow="1" w:lastRow="0" w:firstColumn="0" w:lastColumn="0" w:oddVBand="0" w:evenVBand="0" w:oddHBand="0"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651" w:type="dxa"/>
                  <w:vMerge w:val="restart"/>
                  <w:vAlign w:val="center"/>
                </w:tcPr>
                <w:p w14:paraId="1ACEFA40" w14:textId="77777777" w:rsidR="004A7700" w:rsidRPr="006B5DAF" w:rsidRDefault="004A7700" w:rsidP="001C1517">
                  <w:pPr>
                    <w:jc w:val="center"/>
                    <w:rPr>
                      <w:rFonts w:ascii="Times New Roman" w:eastAsia="Calibri" w:hAnsi="Times New Roman" w:cs="Times New Roman"/>
                      <w:b w:val="0"/>
                      <w:bCs w:val="0"/>
                      <w:color w:val="000000"/>
                      <w:sz w:val="21"/>
                      <w:szCs w:val="21"/>
                    </w:rPr>
                  </w:pPr>
                  <w:r w:rsidRPr="006B5DAF">
                    <w:rPr>
                      <w:rFonts w:ascii="Times New Roman" w:eastAsia="Calibri" w:hAnsi="Times New Roman" w:cs="Times New Roman"/>
                      <w:color w:val="000000"/>
                      <w:sz w:val="21"/>
                      <w:szCs w:val="21"/>
                    </w:rPr>
                    <w:t>Lp.</w:t>
                  </w:r>
                </w:p>
              </w:tc>
              <w:tc>
                <w:tcPr>
                  <w:tcW w:w="3119" w:type="dxa"/>
                  <w:vMerge w:val="restart"/>
                  <w:vAlign w:val="center"/>
                </w:tcPr>
                <w:p w14:paraId="11631756" w14:textId="0B24A11E" w:rsidR="004A7700" w:rsidRPr="006B5DAF" w:rsidRDefault="00B12CC7" w:rsidP="001C1517">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color w:val="000000"/>
                      <w:sz w:val="21"/>
                      <w:szCs w:val="21"/>
                    </w:rPr>
                  </w:pPr>
                  <w:r>
                    <w:rPr>
                      <w:rFonts w:ascii="Times New Roman" w:eastAsia="Calibri" w:hAnsi="Times New Roman" w:cs="Times New Roman"/>
                      <w:color w:val="000000"/>
                      <w:sz w:val="21"/>
                      <w:szCs w:val="21"/>
                    </w:rPr>
                    <w:t>Inwestycja</w:t>
                  </w:r>
                </w:p>
              </w:tc>
              <w:tc>
                <w:tcPr>
                  <w:tcW w:w="3260" w:type="dxa"/>
                  <w:gridSpan w:val="2"/>
                  <w:vAlign w:val="center"/>
                </w:tcPr>
                <w:p w14:paraId="34621C08" w14:textId="77777777" w:rsidR="005D61A8" w:rsidRDefault="004A7700" w:rsidP="001C15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1"/>
                      <w:szCs w:val="21"/>
                    </w:rPr>
                  </w:pPr>
                  <w:r w:rsidRPr="006B5DAF">
                    <w:rPr>
                      <w:rFonts w:ascii="Times New Roman" w:hAnsi="Times New Roman"/>
                      <w:color w:val="000000"/>
                      <w:sz w:val="21"/>
                      <w:szCs w:val="21"/>
                    </w:rPr>
                    <w:t xml:space="preserve">Wartość dofinansowania </w:t>
                  </w:r>
                </w:p>
                <w:p w14:paraId="2182E68E" w14:textId="489134C2" w:rsidR="004A7700" w:rsidRPr="006B5DAF" w:rsidRDefault="005D61A8" w:rsidP="001C1517">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color w:val="000000"/>
                      <w:sz w:val="21"/>
                      <w:szCs w:val="21"/>
                    </w:rPr>
                  </w:pPr>
                  <w:r>
                    <w:rPr>
                      <w:rFonts w:ascii="Times New Roman" w:hAnsi="Times New Roman"/>
                      <w:color w:val="000000"/>
                      <w:sz w:val="21"/>
                      <w:szCs w:val="21"/>
                    </w:rPr>
                    <w:t>(</w:t>
                  </w:r>
                  <w:r w:rsidR="004A7700" w:rsidRPr="006B5DAF">
                    <w:rPr>
                      <w:rFonts w:ascii="Times New Roman" w:hAnsi="Times New Roman"/>
                      <w:color w:val="000000"/>
                      <w:sz w:val="21"/>
                      <w:szCs w:val="21"/>
                    </w:rPr>
                    <w:t>zł</w:t>
                  </w:r>
                  <w:r>
                    <w:rPr>
                      <w:rFonts w:ascii="Times New Roman" w:hAnsi="Times New Roman"/>
                      <w:color w:val="000000"/>
                      <w:sz w:val="21"/>
                      <w:szCs w:val="21"/>
                    </w:rPr>
                    <w:t xml:space="preserve"> brutto)</w:t>
                  </w:r>
                </w:p>
              </w:tc>
              <w:tc>
                <w:tcPr>
                  <w:tcW w:w="1418" w:type="dxa"/>
                  <w:vMerge w:val="restart"/>
                  <w:vAlign w:val="center"/>
                </w:tcPr>
                <w:p w14:paraId="55DAF80A" w14:textId="6BC490C4" w:rsidR="004A7700" w:rsidRPr="009679BC" w:rsidRDefault="003B13F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1"/>
                      <w:szCs w:val="21"/>
                    </w:rPr>
                  </w:pPr>
                  <w:r>
                    <w:rPr>
                      <w:rFonts w:ascii="Times New Roman" w:hAnsi="Times New Roman"/>
                      <w:color w:val="000000"/>
                      <w:sz w:val="21"/>
                      <w:szCs w:val="21"/>
                    </w:rPr>
                    <w:t>Beneficjent</w:t>
                  </w:r>
                </w:p>
              </w:tc>
            </w:tr>
            <w:tr w:rsidR="004A7700" w:rsidRPr="009679BC" w14:paraId="67864C33" w14:textId="4C6A6ABA" w:rsidTr="006B5DA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651" w:type="dxa"/>
                  <w:vMerge/>
                </w:tcPr>
                <w:p w14:paraId="13658CA3" w14:textId="77777777" w:rsidR="004A7700" w:rsidRPr="006B5DAF" w:rsidRDefault="004A7700" w:rsidP="001C1517">
                  <w:pPr>
                    <w:jc w:val="center"/>
                    <w:rPr>
                      <w:rFonts w:ascii="Times New Roman" w:eastAsia="Calibri" w:hAnsi="Times New Roman" w:cs="Times New Roman"/>
                      <w:b w:val="0"/>
                      <w:bCs w:val="0"/>
                      <w:color w:val="000000"/>
                      <w:sz w:val="21"/>
                      <w:szCs w:val="21"/>
                    </w:rPr>
                  </w:pPr>
                </w:p>
              </w:tc>
              <w:tc>
                <w:tcPr>
                  <w:tcW w:w="3119" w:type="dxa"/>
                  <w:vMerge/>
                  <w:vAlign w:val="center"/>
                </w:tcPr>
                <w:p w14:paraId="39D105FB" w14:textId="77777777" w:rsidR="004A7700" w:rsidRPr="006B5DAF" w:rsidRDefault="004A7700" w:rsidP="001C151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p>
              </w:tc>
              <w:tc>
                <w:tcPr>
                  <w:tcW w:w="1701" w:type="dxa"/>
                  <w:shd w:val="clear" w:color="auto" w:fill="5B9BD5" w:themeFill="accent1"/>
                  <w:vAlign w:val="center"/>
                </w:tcPr>
                <w:p w14:paraId="22DF53F0" w14:textId="77777777" w:rsidR="004A7700" w:rsidRPr="006B5DAF" w:rsidRDefault="004A7700" w:rsidP="001C151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hAnsi="Times New Roman"/>
                      <w:color w:val="000000"/>
                      <w:sz w:val="21"/>
                      <w:szCs w:val="21"/>
                    </w:rPr>
                    <w:t>środki krajowe</w:t>
                  </w:r>
                </w:p>
              </w:tc>
              <w:tc>
                <w:tcPr>
                  <w:tcW w:w="1559" w:type="dxa"/>
                  <w:shd w:val="clear" w:color="auto" w:fill="5B9BD5" w:themeFill="accent1"/>
                  <w:vAlign w:val="center"/>
                </w:tcPr>
                <w:p w14:paraId="6CA3EB49" w14:textId="77777777" w:rsidR="004A7700" w:rsidRPr="006B5DAF" w:rsidRDefault="004A7700" w:rsidP="001C151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hAnsi="Times New Roman"/>
                      <w:color w:val="000000"/>
                      <w:sz w:val="21"/>
                      <w:szCs w:val="21"/>
                    </w:rPr>
                    <w:t>środki unijne</w:t>
                  </w:r>
                </w:p>
              </w:tc>
              <w:tc>
                <w:tcPr>
                  <w:tcW w:w="1418" w:type="dxa"/>
                  <w:vMerge/>
                  <w:shd w:val="clear" w:color="auto" w:fill="5B9BD5" w:themeFill="accent1"/>
                </w:tcPr>
                <w:p w14:paraId="298D4C45" w14:textId="77777777" w:rsidR="004A7700" w:rsidRPr="009679BC" w:rsidRDefault="004A7700" w:rsidP="001C151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1"/>
                      <w:szCs w:val="21"/>
                    </w:rPr>
                  </w:pPr>
                </w:p>
              </w:tc>
            </w:tr>
            <w:tr w:rsidR="004A7700" w:rsidRPr="009679BC" w14:paraId="353756AC" w14:textId="2CB3BFB8" w:rsidTr="006B5DAF">
              <w:trPr>
                <w:trHeight w:val="342"/>
              </w:trPr>
              <w:tc>
                <w:tcPr>
                  <w:cnfStyle w:val="001000000000" w:firstRow="0" w:lastRow="0" w:firstColumn="1" w:lastColumn="0" w:oddVBand="0" w:evenVBand="0" w:oddHBand="0" w:evenHBand="0" w:firstRowFirstColumn="0" w:firstRowLastColumn="0" w:lastRowFirstColumn="0" w:lastRowLastColumn="0"/>
                  <w:tcW w:w="651" w:type="dxa"/>
                  <w:vMerge/>
                </w:tcPr>
                <w:p w14:paraId="262623F6" w14:textId="77777777" w:rsidR="004A7700" w:rsidRPr="006B5DAF" w:rsidRDefault="004A7700" w:rsidP="001C1517">
                  <w:pPr>
                    <w:rPr>
                      <w:rFonts w:ascii="Times New Roman" w:eastAsia="Calibri" w:hAnsi="Times New Roman" w:cs="Times New Roman"/>
                      <w:b w:val="0"/>
                      <w:bCs w:val="0"/>
                      <w:color w:val="000000"/>
                      <w:sz w:val="21"/>
                      <w:szCs w:val="21"/>
                    </w:rPr>
                  </w:pPr>
                </w:p>
              </w:tc>
              <w:tc>
                <w:tcPr>
                  <w:tcW w:w="3119" w:type="dxa"/>
                  <w:vMerge/>
                </w:tcPr>
                <w:p w14:paraId="203E4945" w14:textId="77777777" w:rsidR="004A7700" w:rsidRPr="006B5DAF" w:rsidRDefault="004A7700" w:rsidP="001C1517">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p>
              </w:tc>
              <w:tc>
                <w:tcPr>
                  <w:tcW w:w="1701" w:type="dxa"/>
                  <w:shd w:val="clear" w:color="auto" w:fill="5B9BD5" w:themeFill="accent1"/>
                  <w:vAlign w:val="center"/>
                </w:tcPr>
                <w:p w14:paraId="108D98B0" w14:textId="1745A962" w:rsidR="004A7700" w:rsidRPr="006B5DAF" w:rsidRDefault="004A7700" w:rsidP="00B12CC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hAnsi="Times New Roman"/>
                      <w:color w:val="000000"/>
                      <w:sz w:val="21"/>
                      <w:szCs w:val="21"/>
                    </w:rPr>
                    <w:t>(15%)</w:t>
                  </w:r>
                </w:p>
              </w:tc>
              <w:tc>
                <w:tcPr>
                  <w:tcW w:w="1559" w:type="dxa"/>
                  <w:shd w:val="clear" w:color="auto" w:fill="5B9BD5" w:themeFill="accent1"/>
                  <w:vAlign w:val="center"/>
                </w:tcPr>
                <w:p w14:paraId="23274964" w14:textId="667FD1E4" w:rsidR="004A7700" w:rsidRPr="006B5DAF" w:rsidRDefault="004A7700" w:rsidP="00B12CC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hAnsi="Times New Roman"/>
                      <w:color w:val="000000"/>
                      <w:sz w:val="21"/>
                      <w:szCs w:val="21"/>
                    </w:rPr>
                    <w:t>(85%)</w:t>
                  </w:r>
                </w:p>
              </w:tc>
              <w:tc>
                <w:tcPr>
                  <w:tcW w:w="1418" w:type="dxa"/>
                  <w:vMerge/>
                  <w:shd w:val="clear" w:color="auto" w:fill="5B9BD5" w:themeFill="accent1"/>
                </w:tcPr>
                <w:p w14:paraId="06CEC8B8" w14:textId="77777777" w:rsidR="004A7700" w:rsidRPr="009679BC" w:rsidRDefault="004A7700" w:rsidP="001C151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1"/>
                      <w:szCs w:val="21"/>
                    </w:rPr>
                  </w:pPr>
                </w:p>
              </w:tc>
            </w:tr>
            <w:tr w:rsidR="004A7700" w:rsidRPr="009679BC" w14:paraId="32D14FCD" w14:textId="45F6EA46" w:rsidTr="006B5DAF">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651" w:type="dxa"/>
                  <w:vAlign w:val="center"/>
                </w:tcPr>
                <w:p w14:paraId="2704DA0E" w14:textId="05A1DA23" w:rsidR="004A7700" w:rsidRPr="006B5DAF" w:rsidRDefault="004A7700" w:rsidP="001C1517">
                  <w:pPr>
                    <w:jc w:val="right"/>
                    <w:rPr>
                      <w:rFonts w:ascii="Times New Roman" w:eastAsia="Calibri" w:hAnsi="Times New Roman" w:cs="Times New Roman"/>
                      <w:b w:val="0"/>
                      <w:bCs w:val="0"/>
                      <w:color w:val="000000"/>
                      <w:sz w:val="21"/>
                      <w:szCs w:val="21"/>
                    </w:rPr>
                  </w:pPr>
                  <w:r w:rsidRPr="006B5DAF">
                    <w:rPr>
                      <w:rFonts w:ascii="Times New Roman" w:eastAsia="Calibri" w:hAnsi="Times New Roman" w:cs="Times New Roman"/>
                      <w:color w:val="000000"/>
                      <w:sz w:val="21"/>
                      <w:szCs w:val="21"/>
                    </w:rPr>
                    <w:t>1</w:t>
                  </w:r>
                </w:p>
              </w:tc>
              <w:tc>
                <w:tcPr>
                  <w:tcW w:w="3119" w:type="dxa"/>
                </w:tcPr>
                <w:p w14:paraId="002E0F33" w14:textId="77777777" w:rsidR="004A7700" w:rsidRPr="006B5DAF" w:rsidRDefault="004A7700" w:rsidP="001C1517">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Modernizacja śluzy oraz sterowni na stopniu wodnym Opole wraz z przebudową awanportów</w:t>
                  </w:r>
                </w:p>
              </w:tc>
              <w:tc>
                <w:tcPr>
                  <w:tcW w:w="1701" w:type="dxa"/>
                  <w:vAlign w:val="center"/>
                </w:tcPr>
                <w:p w14:paraId="0209CF47" w14:textId="2D3A1428" w:rsidR="004A7700" w:rsidRPr="006B5DAF" w:rsidRDefault="004A7700" w:rsidP="001C151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30 000 000</w:t>
                  </w:r>
                </w:p>
              </w:tc>
              <w:tc>
                <w:tcPr>
                  <w:tcW w:w="1559" w:type="dxa"/>
                  <w:vAlign w:val="center"/>
                </w:tcPr>
                <w:p w14:paraId="4D618FAA" w14:textId="28241926" w:rsidR="004A7700" w:rsidRPr="006B5DAF" w:rsidRDefault="004A7700" w:rsidP="001C151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170 000 000</w:t>
                  </w:r>
                </w:p>
              </w:tc>
              <w:tc>
                <w:tcPr>
                  <w:tcW w:w="1418" w:type="dxa"/>
                  <w:vAlign w:val="center"/>
                </w:tcPr>
                <w:p w14:paraId="2C865872" w14:textId="320948A3" w:rsidR="004A7700" w:rsidRPr="009679BC" w:rsidDel="003F4928" w:rsidRDefault="004A77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1"/>
                      <w:szCs w:val="21"/>
                    </w:rPr>
                  </w:pPr>
                  <w:r>
                    <w:rPr>
                      <w:rFonts w:ascii="Times New Roman" w:hAnsi="Times New Roman"/>
                      <w:color w:val="000000"/>
                      <w:sz w:val="21"/>
                      <w:szCs w:val="21"/>
                    </w:rPr>
                    <w:t>PGW WP</w:t>
                  </w:r>
                </w:p>
              </w:tc>
            </w:tr>
            <w:tr w:rsidR="004A7700" w:rsidRPr="009679BC" w14:paraId="78A772BB" w14:textId="38FBDF29" w:rsidTr="006B5DAF">
              <w:trPr>
                <w:trHeight w:val="310"/>
              </w:trPr>
              <w:tc>
                <w:tcPr>
                  <w:cnfStyle w:val="001000000000" w:firstRow="0" w:lastRow="0" w:firstColumn="1" w:lastColumn="0" w:oddVBand="0" w:evenVBand="0" w:oddHBand="0" w:evenHBand="0" w:firstRowFirstColumn="0" w:firstRowLastColumn="0" w:lastRowFirstColumn="0" w:lastRowLastColumn="0"/>
                  <w:tcW w:w="651" w:type="dxa"/>
                  <w:vAlign w:val="center"/>
                </w:tcPr>
                <w:p w14:paraId="22EF4A55" w14:textId="0BE59FC0" w:rsidR="004A7700" w:rsidRPr="006B5DAF" w:rsidRDefault="004A7700" w:rsidP="004A7700">
                  <w:pPr>
                    <w:jc w:val="right"/>
                    <w:rPr>
                      <w:rFonts w:ascii="Times New Roman" w:eastAsia="Calibri" w:hAnsi="Times New Roman" w:cs="Times New Roman"/>
                      <w:b w:val="0"/>
                      <w:bCs w:val="0"/>
                      <w:color w:val="000000"/>
                      <w:sz w:val="21"/>
                      <w:szCs w:val="21"/>
                    </w:rPr>
                  </w:pPr>
                  <w:r w:rsidRPr="006B5DAF">
                    <w:rPr>
                      <w:rFonts w:ascii="Times New Roman" w:eastAsia="Calibri" w:hAnsi="Times New Roman" w:cs="Times New Roman"/>
                      <w:color w:val="000000"/>
                      <w:sz w:val="21"/>
                      <w:szCs w:val="21"/>
                    </w:rPr>
                    <w:t>2</w:t>
                  </w:r>
                </w:p>
              </w:tc>
              <w:tc>
                <w:tcPr>
                  <w:tcW w:w="3119" w:type="dxa"/>
                </w:tcPr>
                <w:p w14:paraId="51037712" w14:textId="77777777" w:rsidR="004A7700" w:rsidRPr="006B5DAF" w:rsidRDefault="004A7700" w:rsidP="004A7700">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Budowa jazu klapowego na stopniu wodnym Ujście Nysy w km 180,50 rzeki Odry wraz z infrastrukturą towarzyszącą</w:t>
                  </w:r>
                </w:p>
              </w:tc>
              <w:tc>
                <w:tcPr>
                  <w:tcW w:w="1701" w:type="dxa"/>
                  <w:vAlign w:val="center"/>
                </w:tcPr>
                <w:p w14:paraId="0CFBBF5D" w14:textId="032E2D2B" w:rsidR="004A7700" w:rsidRPr="006B5DAF" w:rsidRDefault="004A7700" w:rsidP="004A7700">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31 650 000</w:t>
                  </w:r>
                </w:p>
              </w:tc>
              <w:tc>
                <w:tcPr>
                  <w:tcW w:w="1559" w:type="dxa"/>
                  <w:vAlign w:val="center"/>
                </w:tcPr>
                <w:p w14:paraId="30E913C0" w14:textId="1D8788BD" w:rsidR="004A7700" w:rsidRPr="006B5DAF" w:rsidRDefault="004A7700" w:rsidP="004A7700">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179 350 000</w:t>
                  </w:r>
                </w:p>
              </w:tc>
              <w:tc>
                <w:tcPr>
                  <w:tcW w:w="1418" w:type="dxa"/>
                  <w:vAlign w:val="center"/>
                </w:tcPr>
                <w:p w14:paraId="31AD0841" w14:textId="1583D8AD" w:rsidR="004A7700" w:rsidRPr="009679BC" w:rsidDel="003F4928" w:rsidRDefault="004A7700" w:rsidP="004A77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1"/>
                      <w:szCs w:val="21"/>
                    </w:rPr>
                  </w:pPr>
                  <w:r>
                    <w:rPr>
                      <w:rFonts w:ascii="Times New Roman" w:hAnsi="Times New Roman"/>
                      <w:color w:val="000000"/>
                      <w:sz w:val="21"/>
                      <w:szCs w:val="21"/>
                    </w:rPr>
                    <w:t>PGW WP</w:t>
                  </w:r>
                </w:p>
              </w:tc>
            </w:tr>
            <w:tr w:rsidR="004A7700" w:rsidRPr="009679BC" w14:paraId="7A5D80CA" w14:textId="56226FB7" w:rsidTr="006B5DAF">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651" w:type="dxa"/>
                  <w:vAlign w:val="center"/>
                </w:tcPr>
                <w:p w14:paraId="4AE962CC" w14:textId="73958464" w:rsidR="004A7700" w:rsidRPr="006B5DAF" w:rsidRDefault="004A7700" w:rsidP="004A7700">
                  <w:pPr>
                    <w:jc w:val="right"/>
                    <w:rPr>
                      <w:rFonts w:ascii="Times New Roman" w:eastAsia="Calibri" w:hAnsi="Times New Roman" w:cs="Times New Roman"/>
                      <w:b w:val="0"/>
                      <w:bCs w:val="0"/>
                      <w:color w:val="000000"/>
                      <w:sz w:val="21"/>
                      <w:szCs w:val="21"/>
                    </w:rPr>
                  </w:pPr>
                  <w:r w:rsidRPr="006B5DAF">
                    <w:rPr>
                      <w:rFonts w:ascii="Times New Roman" w:eastAsia="Calibri" w:hAnsi="Times New Roman" w:cs="Times New Roman"/>
                      <w:color w:val="000000"/>
                      <w:sz w:val="21"/>
                      <w:szCs w:val="21"/>
                    </w:rPr>
                    <w:t>3</w:t>
                  </w:r>
                </w:p>
              </w:tc>
              <w:tc>
                <w:tcPr>
                  <w:tcW w:w="3119" w:type="dxa"/>
                </w:tcPr>
                <w:p w14:paraId="7680177B" w14:textId="77777777" w:rsidR="004A7700" w:rsidRPr="006B5DAF" w:rsidRDefault="004A7700" w:rsidP="004A7700">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Modernizacja śluzy oraz sterowni na stopniu wodnym Ujście Nysy wraz z przebudową awanportów oraz obiektów towarzyszących</w:t>
                  </w:r>
                </w:p>
              </w:tc>
              <w:tc>
                <w:tcPr>
                  <w:tcW w:w="1701" w:type="dxa"/>
                  <w:vAlign w:val="center"/>
                </w:tcPr>
                <w:p w14:paraId="2B11AEB0" w14:textId="4A04D6FB" w:rsidR="004A7700" w:rsidRPr="006B5DAF" w:rsidRDefault="004A7700" w:rsidP="004A7700">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30 000 000</w:t>
                  </w:r>
                </w:p>
              </w:tc>
              <w:tc>
                <w:tcPr>
                  <w:tcW w:w="1559" w:type="dxa"/>
                  <w:vAlign w:val="center"/>
                </w:tcPr>
                <w:p w14:paraId="60676A15" w14:textId="36B82F54" w:rsidR="004A7700" w:rsidRPr="006B5DAF" w:rsidRDefault="004A7700" w:rsidP="004A7700">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170 000 000</w:t>
                  </w:r>
                </w:p>
              </w:tc>
              <w:tc>
                <w:tcPr>
                  <w:tcW w:w="1418" w:type="dxa"/>
                  <w:vAlign w:val="center"/>
                </w:tcPr>
                <w:p w14:paraId="0224B1FA" w14:textId="77141290" w:rsidR="004A7700" w:rsidRPr="009679BC" w:rsidDel="003F4928" w:rsidRDefault="004A7700" w:rsidP="004A77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1"/>
                      <w:szCs w:val="21"/>
                    </w:rPr>
                  </w:pPr>
                  <w:r>
                    <w:rPr>
                      <w:rFonts w:ascii="Times New Roman" w:hAnsi="Times New Roman"/>
                      <w:color w:val="000000"/>
                      <w:sz w:val="21"/>
                      <w:szCs w:val="21"/>
                    </w:rPr>
                    <w:t>PGW WP</w:t>
                  </w:r>
                </w:p>
              </w:tc>
            </w:tr>
            <w:tr w:rsidR="004A7700" w:rsidRPr="009679BC" w14:paraId="2E8B681D" w14:textId="54CC65E9" w:rsidTr="006B5DAF">
              <w:trPr>
                <w:trHeight w:val="310"/>
              </w:trPr>
              <w:tc>
                <w:tcPr>
                  <w:cnfStyle w:val="001000000000" w:firstRow="0" w:lastRow="0" w:firstColumn="1" w:lastColumn="0" w:oddVBand="0" w:evenVBand="0" w:oddHBand="0" w:evenHBand="0" w:firstRowFirstColumn="0" w:firstRowLastColumn="0" w:lastRowFirstColumn="0" w:lastRowLastColumn="0"/>
                  <w:tcW w:w="651" w:type="dxa"/>
                  <w:vAlign w:val="center"/>
                </w:tcPr>
                <w:p w14:paraId="7022CB6D" w14:textId="52FC82AE" w:rsidR="004A7700" w:rsidRPr="006B5DAF" w:rsidRDefault="004A7700" w:rsidP="004A7700">
                  <w:pPr>
                    <w:jc w:val="right"/>
                    <w:rPr>
                      <w:rFonts w:ascii="Times New Roman" w:eastAsia="Calibri" w:hAnsi="Times New Roman" w:cs="Times New Roman"/>
                      <w:b w:val="0"/>
                      <w:bCs w:val="0"/>
                      <w:color w:val="000000"/>
                      <w:sz w:val="21"/>
                      <w:szCs w:val="21"/>
                    </w:rPr>
                  </w:pPr>
                  <w:r w:rsidRPr="006B5DAF">
                    <w:rPr>
                      <w:rFonts w:ascii="Times New Roman" w:eastAsia="Calibri" w:hAnsi="Times New Roman" w:cs="Times New Roman"/>
                      <w:color w:val="000000"/>
                      <w:sz w:val="21"/>
                      <w:szCs w:val="21"/>
                    </w:rPr>
                    <w:t>4</w:t>
                  </w:r>
                </w:p>
              </w:tc>
              <w:tc>
                <w:tcPr>
                  <w:tcW w:w="3119" w:type="dxa"/>
                </w:tcPr>
                <w:p w14:paraId="01E31328" w14:textId="08A60ED0" w:rsidR="004A7700" w:rsidRPr="006B5DAF" w:rsidRDefault="004A7700" w:rsidP="004A7700">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Modernizacja zabudowy regulacyjnej na</w:t>
                  </w:r>
                  <w:r w:rsidR="0039711E">
                    <w:rPr>
                      <w:rFonts w:ascii="Times New Roman" w:eastAsia="Calibri" w:hAnsi="Times New Roman" w:cs="Times New Roman"/>
                      <w:color w:val="000000"/>
                      <w:sz w:val="21"/>
                      <w:szCs w:val="21"/>
                    </w:rPr>
                    <w:t xml:space="preserve"> </w:t>
                  </w:r>
                  <w:r w:rsidRPr="006B5DAF">
                    <w:rPr>
                      <w:rFonts w:ascii="Times New Roman" w:eastAsia="Calibri" w:hAnsi="Times New Roman" w:cs="Times New Roman"/>
                      <w:color w:val="000000"/>
                      <w:sz w:val="21"/>
                      <w:szCs w:val="21"/>
                    </w:rPr>
                    <w:t>Odrze granicznej Etap II</w:t>
                  </w:r>
                  <w:r w:rsidR="00B12CC7">
                    <w:rPr>
                      <w:rFonts w:ascii="Times New Roman" w:eastAsia="Calibri" w:hAnsi="Times New Roman" w:cs="Times New Roman"/>
                      <w:color w:val="000000"/>
                      <w:sz w:val="21"/>
                      <w:szCs w:val="21"/>
                    </w:rPr>
                    <w:t xml:space="preserve"> (odcinek 6a, 6b, 6c)</w:t>
                  </w:r>
                </w:p>
              </w:tc>
              <w:tc>
                <w:tcPr>
                  <w:tcW w:w="1701" w:type="dxa"/>
                  <w:vAlign w:val="center"/>
                </w:tcPr>
                <w:p w14:paraId="7F629110" w14:textId="50A407FF" w:rsidR="004A7700" w:rsidRPr="006B5DAF" w:rsidRDefault="00B12CC7" w:rsidP="004A7700">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47 558 250</w:t>
                  </w:r>
                </w:p>
              </w:tc>
              <w:tc>
                <w:tcPr>
                  <w:tcW w:w="1559" w:type="dxa"/>
                  <w:vAlign w:val="center"/>
                </w:tcPr>
                <w:p w14:paraId="0364011D" w14:textId="3FD39841" w:rsidR="004A7700" w:rsidRPr="006B5DAF" w:rsidRDefault="00B12CC7" w:rsidP="004A7700">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269 496 750</w:t>
                  </w:r>
                </w:p>
              </w:tc>
              <w:tc>
                <w:tcPr>
                  <w:tcW w:w="1418" w:type="dxa"/>
                  <w:vAlign w:val="center"/>
                </w:tcPr>
                <w:p w14:paraId="406E8E4A" w14:textId="16595778" w:rsidR="004A7700" w:rsidRPr="009679BC" w:rsidDel="003F4928" w:rsidRDefault="004A7700" w:rsidP="004A77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1"/>
                      <w:szCs w:val="21"/>
                    </w:rPr>
                  </w:pPr>
                  <w:r>
                    <w:rPr>
                      <w:rFonts w:ascii="Times New Roman" w:hAnsi="Times New Roman"/>
                      <w:color w:val="000000"/>
                      <w:sz w:val="21"/>
                      <w:szCs w:val="21"/>
                    </w:rPr>
                    <w:t>PGW WP</w:t>
                  </w:r>
                </w:p>
              </w:tc>
            </w:tr>
            <w:tr w:rsidR="004A7700" w:rsidRPr="009679BC" w14:paraId="13C93DE8" w14:textId="6C5573EA" w:rsidTr="006B5DAF">
              <w:trPr>
                <w:cnfStyle w:val="000000100000" w:firstRow="0" w:lastRow="0" w:firstColumn="0" w:lastColumn="0" w:oddVBand="0" w:evenVBand="0" w:oddHBand="1" w:evenHBand="0" w:firstRowFirstColumn="0" w:firstRowLastColumn="0" w:lastRowFirstColumn="0" w:lastRowLastColumn="0"/>
                <w:trHeight w:val="158"/>
              </w:trPr>
              <w:tc>
                <w:tcPr>
                  <w:cnfStyle w:val="001000000000" w:firstRow="0" w:lastRow="0" w:firstColumn="1" w:lastColumn="0" w:oddVBand="0" w:evenVBand="0" w:oddHBand="0" w:evenHBand="0" w:firstRowFirstColumn="0" w:firstRowLastColumn="0" w:lastRowFirstColumn="0" w:lastRowLastColumn="0"/>
                  <w:tcW w:w="651" w:type="dxa"/>
                  <w:vAlign w:val="center"/>
                </w:tcPr>
                <w:p w14:paraId="3525EB51" w14:textId="260D128E" w:rsidR="004A7700" w:rsidRPr="006B5DAF" w:rsidRDefault="004A7700" w:rsidP="004A7700">
                  <w:pPr>
                    <w:jc w:val="right"/>
                    <w:rPr>
                      <w:rFonts w:ascii="Times New Roman" w:eastAsia="Calibri" w:hAnsi="Times New Roman" w:cs="Times New Roman"/>
                      <w:b w:val="0"/>
                      <w:bCs w:val="0"/>
                      <w:color w:val="000000"/>
                      <w:sz w:val="21"/>
                      <w:szCs w:val="21"/>
                    </w:rPr>
                  </w:pPr>
                  <w:r w:rsidRPr="006B5DAF">
                    <w:rPr>
                      <w:rFonts w:ascii="Times New Roman" w:eastAsia="Calibri" w:hAnsi="Times New Roman" w:cs="Times New Roman"/>
                      <w:color w:val="000000"/>
                      <w:sz w:val="21"/>
                      <w:szCs w:val="21"/>
                    </w:rPr>
                    <w:t>5</w:t>
                  </w:r>
                </w:p>
              </w:tc>
              <w:tc>
                <w:tcPr>
                  <w:tcW w:w="3119" w:type="dxa"/>
                </w:tcPr>
                <w:p w14:paraId="0AC1408B" w14:textId="029C258B" w:rsidR="004A7700" w:rsidRPr="006B5DAF" w:rsidRDefault="004A7700" w:rsidP="004A7700">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0A7C90">
                    <w:rPr>
                      <w:rFonts w:ascii="Times New Roman" w:eastAsia="Calibri" w:hAnsi="Times New Roman" w:cs="Times New Roman"/>
                      <w:color w:val="000000"/>
                      <w:sz w:val="21"/>
                      <w:szCs w:val="21"/>
                    </w:rPr>
                    <w:t>Mo</w:t>
                  </w:r>
                  <w:r w:rsidR="00F529C3">
                    <w:rPr>
                      <w:rFonts w:ascii="Times New Roman" w:eastAsia="Calibri" w:hAnsi="Times New Roman" w:cs="Times New Roman"/>
                      <w:color w:val="000000"/>
                      <w:sz w:val="21"/>
                      <w:szCs w:val="21"/>
                    </w:rPr>
                    <w:t xml:space="preserve">dernizacja Kanału Gliwickiego </w:t>
                  </w:r>
                  <w:r w:rsidR="00F529C3" w:rsidRPr="00F529C3">
                    <w:rPr>
                      <w:rFonts w:ascii="Times New Roman" w:eastAsia="Calibri" w:hAnsi="Times New Roman" w:cs="Times New Roman"/>
                      <w:color w:val="000000"/>
                      <w:sz w:val="21"/>
                      <w:szCs w:val="21"/>
                    </w:rPr>
                    <w:t>– szlaku żeglownego i jego ubezpieczeń brzegowych- etap I (sekcja V i VI)</w:t>
                  </w:r>
                </w:p>
              </w:tc>
              <w:tc>
                <w:tcPr>
                  <w:tcW w:w="1701" w:type="dxa"/>
                  <w:vAlign w:val="center"/>
                </w:tcPr>
                <w:p w14:paraId="32D5DE3A" w14:textId="5FC20ABE" w:rsidR="004A7700" w:rsidRPr="006B5DAF" w:rsidRDefault="004A7700" w:rsidP="004A7700">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0A7C90">
                    <w:rPr>
                      <w:rFonts w:ascii="Times New Roman" w:eastAsia="Calibri" w:hAnsi="Times New Roman" w:cs="Times New Roman"/>
                      <w:color w:val="000000"/>
                      <w:sz w:val="21"/>
                      <w:szCs w:val="21"/>
                    </w:rPr>
                    <w:t>15 600 000</w:t>
                  </w:r>
                </w:p>
              </w:tc>
              <w:tc>
                <w:tcPr>
                  <w:tcW w:w="1559" w:type="dxa"/>
                  <w:vAlign w:val="center"/>
                </w:tcPr>
                <w:p w14:paraId="51BB26B8" w14:textId="020D147A" w:rsidR="004A7700" w:rsidRPr="006B5DAF" w:rsidRDefault="004A7700" w:rsidP="004A7700">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0A7C90">
                    <w:rPr>
                      <w:rFonts w:ascii="Times New Roman" w:eastAsia="Calibri" w:hAnsi="Times New Roman" w:cs="Times New Roman"/>
                      <w:color w:val="000000"/>
                      <w:sz w:val="21"/>
                      <w:szCs w:val="21"/>
                    </w:rPr>
                    <w:t>88 400 000</w:t>
                  </w:r>
                </w:p>
              </w:tc>
              <w:tc>
                <w:tcPr>
                  <w:tcW w:w="1418" w:type="dxa"/>
                  <w:vAlign w:val="center"/>
                </w:tcPr>
                <w:p w14:paraId="254CB957" w14:textId="77106208" w:rsidR="004A7700" w:rsidRPr="009679BC" w:rsidDel="003F4928" w:rsidRDefault="004A7700" w:rsidP="004A77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1"/>
                      <w:szCs w:val="21"/>
                    </w:rPr>
                  </w:pPr>
                  <w:r>
                    <w:rPr>
                      <w:rFonts w:ascii="Times New Roman" w:hAnsi="Times New Roman"/>
                      <w:color w:val="000000"/>
                      <w:sz w:val="21"/>
                      <w:szCs w:val="21"/>
                    </w:rPr>
                    <w:t>PGW WP</w:t>
                  </w:r>
                </w:p>
              </w:tc>
            </w:tr>
            <w:tr w:rsidR="004A7700" w:rsidRPr="009679BC" w14:paraId="70DF09FE" w14:textId="0B6F16A6" w:rsidTr="006B5DAF">
              <w:trPr>
                <w:trHeight w:val="152"/>
              </w:trPr>
              <w:tc>
                <w:tcPr>
                  <w:cnfStyle w:val="001000000000" w:firstRow="0" w:lastRow="0" w:firstColumn="1" w:lastColumn="0" w:oddVBand="0" w:evenVBand="0" w:oddHBand="0" w:evenHBand="0" w:firstRowFirstColumn="0" w:firstRowLastColumn="0" w:lastRowFirstColumn="0" w:lastRowLastColumn="0"/>
                  <w:tcW w:w="651" w:type="dxa"/>
                  <w:vAlign w:val="center"/>
                </w:tcPr>
                <w:p w14:paraId="2A58B7B0" w14:textId="4AD74FD5" w:rsidR="004A7700" w:rsidRPr="006B5DAF" w:rsidRDefault="004A7700" w:rsidP="004A7700">
                  <w:pPr>
                    <w:jc w:val="right"/>
                    <w:rPr>
                      <w:rFonts w:ascii="Times New Roman" w:eastAsia="Calibri" w:hAnsi="Times New Roman" w:cs="Times New Roman"/>
                      <w:b w:val="0"/>
                      <w:bCs w:val="0"/>
                      <w:color w:val="000000"/>
                      <w:sz w:val="21"/>
                      <w:szCs w:val="21"/>
                    </w:rPr>
                  </w:pPr>
                  <w:r w:rsidRPr="006B5DAF">
                    <w:rPr>
                      <w:rFonts w:ascii="Times New Roman" w:eastAsia="Calibri" w:hAnsi="Times New Roman" w:cs="Times New Roman"/>
                      <w:color w:val="000000"/>
                      <w:sz w:val="21"/>
                      <w:szCs w:val="21"/>
                    </w:rPr>
                    <w:t>6</w:t>
                  </w:r>
                </w:p>
              </w:tc>
              <w:tc>
                <w:tcPr>
                  <w:tcW w:w="3119" w:type="dxa"/>
                </w:tcPr>
                <w:p w14:paraId="288B9C94" w14:textId="411E6B1C" w:rsidR="004A7700" w:rsidRPr="006B5DAF" w:rsidRDefault="004A7700" w:rsidP="004A7700">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sidRPr="00A54CB6">
                    <w:rPr>
                      <w:rFonts w:ascii="Times New Roman" w:eastAsia="Calibri" w:hAnsi="Times New Roman" w:cs="Times New Roman"/>
                      <w:color w:val="000000"/>
                      <w:sz w:val="21"/>
                      <w:szCs w:val="21"/>
                    </w:rPr>
                    <w:t>Kompleksowe wdrożenie RIS Odrzańskiej Drogi Wodnej</w:t>
                  </w:r>
                </w:p>
              </w:tc>
              <w:tc>
                <w:tcPr>
                  <w:tcW w:w="1701" w:type="dxa"/>
                  <w:vAlign w:val="center"/>
                </w:tcPr>
                <w:p w14:paraId="0F0291BE" w14:textId="3384CE8E" w:rsidR="004A7700" w:rsidRPr="006B5DAF" w:rsidRDefault="00B12CC7" w:rsidP="004A7700">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3 975 000</w:t>
                  </w:r>
                </w:p>
              </w:tc>
              <w:tc>
                <w:tcPr>
                  <w:tcW w:w="1559" w:type="dxa"/>
                  <w:vAlign w:val="center"/>
                </w:tcPr>
                <w:p w14:paraId="709DCD6F" w14:textId="08F4E85E" w:rsidR="004A7700" w:rsidRPr="006B5DAF" w:rsidRDefault="00B12CC7" w:rsidP="004A7700">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22 525 000</w:t>
                  </w:r>
                </w:p>
              </w:tc>
              <w:tc>
                <w:tcPr>
                  <w:tcW w:w="1418" w:type="dxa"/>
                </w:tcPr>
                <w:p w14:paraId="3FC4A231" w14:textId="11F459AB" w:rsidR="004A7700" w:rsidRPr="009679BC" w:rsidDel="003F4928" w:rsidRDefault="004A7700" w:rsidP="004A77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1"/>
                      <w:szCs w:val="21"/>
                    </w:rPr>
                  </w:pPr>
                  <w:r>
                    <w:rPr>
                      <w:rFonts w:ascii="Times New Roman" w:hAnsi="Times New Roman"/>
                      <w:color w:val="000000"/>
                      <w:sz w:val="21"/>
                      <w:szCs w:val="21"/>
                    </w:rPr>
                    <w:t>UŻŚ w Szczecinie</w:t>
                  </w:r>
                </w:p>
              </w:tc>
            </w:tr>
            <w:tr w:rsidR="004A7700" w:rsidRPr="009679BC" w14:paraId="0D559474" w14:textId="758EFB01" w:rsidTr="006B5DAF">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651" w:type="dxa"/>
                </w:tcPr>
                <w:p w14:paraId="378F3A0E" w14:textId="77777777" w:rsidR="004A7700" w:rsidRPr="006B5DAF" w:rsidRDefault="004A7700" w:rsidP="004A7700">
                  <w:pPr>
                    <w:jc w:val="right"/>
                    <w:rPr>
                      <w:rFonts w:ascii="Times New Roman" w:eastAsia="Calibri" w:hAnsi="Times New Roman" w:cs="Times New Roman"/>
                      <w:b w:val="0"/>
                      <w:bCs w:val="0"/>
                      <w:color w:val="000000"/>
                      <w:sz w:val="21"/>
                      <w:szCs w:val="21"/>
                    </w:rPr>
                  </w:pPr>
                </w:p>
              </w:tc>
              <w:tc>
                <w:tcPr>
                  <w:tcW w:w="3119" w:type="dxa"/>
                </w:tcPr>
                <w:p w14:paraId="0CB2EA67" w14:textId="77777777" w:rsidR="004A7700" w:rsidRPr="006B5DAF" w:rsidRDefault="004A7700" w:rsidP="004A7700">
                  <w:pPr>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sidRPr="006B5DAF">
                    <w:rPr>
                      <w:rFonts w:ascii="Times New Roman" w:eastAsia="Calibri" w:hAnsi="Times New Roman" w:cs="Times New Roman"/>
                      <w:color w:val="000000"/>
                      <w:sz w:val="21"/>
                      <w:szCs w:val="21"/>
                    </w:rPr>
                    <w:t xml:space="preserve">Łącznie: </w:t>
                  </w:r>
                </w:p>
              </w:tc>
              <w:tc>
                <w:tcPr>
                  <w:tcW w:w="1701" w:type="dxa"/>
                  <w:vAlign w:val="center"/>
                </w:tcPr>
                <w:p w14:paraId="46D7378D" w14:textId="36831C44" w:rsidR="004A7700" w:rsidRPr="006B5DAF" w:rsidRDefault="00B12CC7" w:rsidP="004A7700">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154 808 250</w:t>
                  </w:r>
                </w:p>
              </w:tc>
              <w:tc>
                <w:tcPr>
                  <w:tcW w:w="1559" w:type="dxa"/>
                  <w:vAlign w:val="center"/>
                </w:tcPr>
                <w:p w14:paraId="497AF6A9" w14:textId="5EE0266E" w:rsidR="004A7700" w:rsidRPr="006B5DAF" w:rsidRDefault="00B12CC7" w:rsidP="004A7700">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877 246 750</w:t>
                  </w:r>
                </w:p>
              </w:tc>
              <w:tc>
                <w:tcPr>
                  <w:tcW w:w="1418" w:type="dxa"/>
                </w:tcPr>
                <w:p w14:paraId="094040F7" w14:textId="4B2C000F" w:rsidR="004A7700" w:rsidRPr="009679BC" w:rsidRDefault="00165398" w:rsidP="004A77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1"/>
                      <w:szCs w:val="21"/>
                    </w:rPr>
                  </w:pPr>
                  <w:r>
                    <w:rPr>
                      <w:rFonts w:ascii="Times New Roman" w:hAnsi="Times New Roman"/>
                      <w:color w:val="000000"/>
                      <w:sz w:val="21"/>
                      <w:szCs w:val="21"/>
                    </w:rPr>
                    <w:t>–</w:t>
                  </w:r>
                </w:p>
              </w:tc>
            </w:tr>
          </w:tbl>
          <w:p w14:paraId="0CFA83C4" w14:textId="77777777" w:rsidR="007E7A6C" w:rsidRDefault="007E7A6C" w:rsidP="008D25B2">
            <w:pPr>
              <w:spacing w:after="120" w:line="240" w:lineRule="auto"/>
              <w:jc w:val="both"/>
              <w:rPr>
                <w:rFonts w:ascii="Times New Roman" w:hAnsi="Times New Roman"/>
                <w:color w:val="000000"/>
                <w:sz w:val="21"/>
                <w:szCs w:val="21"/>
              </w:rPr>
            </w:pPr>
          </w:p>
          <w:p w14:paraId="6A604CF8" w14:textId="27174B3B" w:rsidR="00381215" w:rsidRDefault="00802168" w:rsidP="008D25B2">
            <w:pPr>
              <w:spacing w:after="120" w:line="240" w:lineRule="auto"/>
              <w:jc w:val="both"/>
              <w:rPr>
                <w:rFonts w:ascii="Times New Roman" w:hAnsi="Times New Roman"/>
                <w:color w:val="000000"/>
                <w:sz w:val="21"/>
                <w:szCs w:val="21"/>
              </w:rPr>
            </w:pPr>
            <w:r>
              <w:rPr>
                <w:rFonts w:ascii="Times New Roman" w:hAnsi="Times New Roman"/>
                <w:color w:val="000000"/>
                <w:sz w:val="21"/>
                <w:szCs w:val="21"/>
              </w:rPr>
              <w:t>G</w:t>
            </w:r>
            <w:r w:rsidR="00381215">
              <w:rPr>
                <w:rFonts w:ascii="Times New Roman" w:hAnsi="Times New Roman"/>
                <w:color w:val="000000"/>
                <w:sz w:val="21"/>
                <w:szCs w:val="21"/>
              </w:rPr>
              <w:t xml:space="preserve">łównym źródłem finansowania </w:t>
            </w:r>
            <w:r w:rsidR="004A7700">
              <w:rPr>
                <w:rFonts w:ascii="Times New Roman" w:hAnsi="Times New Roman"/>
                <w:color w:val="000000"/>
                <w:sz w:val="21"/>
                <w:szCs w:val="21"/>
              </w:rPr>
              <w:t xml:space="preserve">dla projektów z listy </w:t>
            </w:r>
            <w:r w:rsidR="00B12CC7">
              <w:rPr>
                <w:rFonts w:ascii="Times New Roman" w:hAnsi="Times New Roman"/>
                <w:color w:val="000000"/>
                <w:sz w:val="21"/>
                <w:szCs w:val="21"/>
              </w:rPr>
              <w:t>priorytetowej</w:t>
            </w:r>
            <w:r w:rsidR="004A7700">
              <w:rPr>
                <w:rFonts w:ascii="Times New Roman" w:hAnsi="Times New Roman"/>
                <w:color w:val="000000"/>
                <w:sz w:val="21"/>
                <w:szCs w:val="21"/>
              </w:rPr>
              <w:t xml:space="preserve"> </w:t>
            </w:r>
            <w:r w:rsidR="00381215">
              <w:rPr>
                <w:rFonts w:ascii="Times New Roman" w:hAnsi="Times New Roman"/>
                <w:color w:val="000000"/>
                <w:sz w:val="21"/>
                <w:szCs w:val="21"/>
              </w:rPr>
              <w:t xml:space="preserve">będzie </w:t>
            </w:r>
            <w:r w:rsidR="00B12CC7">
              <w:rPr>
                <w:rFonts w:ascii="Times New Roman" w:hAnsi="Times New Roman"/>
                <w:color w:val="000000"/>
                <w:sz w:val="21"/>
                <w:szCs w:val="21"/>
              </w:rPr>
              <w:t>P</w:t>
            </w:r>
            <w:r w:rsidR="00381215">
              <w:rPr>
                <w:rFonts w:ascii="Times New Roman" w:hAnsi="Times New Roman"/>
                <w:color w:val="000000"/>
                <w:sz w:val="21"/>
                <w:szCs w:val="21"/>
              </w:rPr>
              <w:t xml:space="preserve">olityka </w:t>
            </w:r>
            <w:r w:rsidR="00B12CC7">
              <w:rPr>
                <w:rFonts w:ascii="Times New Roman" w:hAnsi="Times New Roman"/>
                <w:color w:val="000000"/>
                <w:sz w:val="21"/>
                <w:szCs w:val="21"/>
              </w:rPr>
              <w:t>S</w:t>
            </w:r>
            <w:r w:rsidR="00381215">
              <w:rPr>
                <w:rFonts w:ascii="Times New Roman" w:hAnsi="Times New Roman"/>
                <w:color w:val="000000"/>
                <w:sz w:val="21"/>
                <w:szCs w:val="21"/>
              </w:rPr>
              <w:t>pójności UE.</w:t>
            </w:r>
            <w:r w:rsidR="00EA2BE6">
              <w:rPr>
                <w:rFonts w:ascii="Times New Roman" w:hAnsi="Times New Roman"/>
                <w:color w:val="000000"/>
                <w:sz w:val="21"/>
                <w:szCs w:val="21"/>
              </w:rPr>
              <w:t xml:space="preserve"> Tym samym dla podstaw obliczenia dodatkowych kosztów realizacji inwestycji założono dofinansowanie ze środków UE na poziomie 85%. </w:t>
            </w:r>
            <w:r w:rsidR="00381215">
              <w:rPr>
                <w:rFonts w:ascii="Times New Roman" w:hAnsi="Times New Roman"/>
                <w:color w:val="000000"/>
                <w:sz w:val="21"/>
                <w:szCs w:val="21"/>
              </w:rPr>
              <w:t>Koszt realizacji</w:t>
            </w:r>
            <w:r w:rsidR="00EA2BE6">
              <w:rPr>
                <w:rFonts w:ascii="Times New Roman" w:hAnsi="Times New Roman"/>
                <w:color w:val="000000"/>
                <w:sz w:val="21"/>
                <w:szCs w:val="21"/>
              </w:rPr>
              <w:t xml:space="preserve"> powyższych projektów</w:t>
            </w:r>
            <w:r w:rsidR="00381215">
              <w:rPr>
                <w:rFonts w:ascii="Times New Roman" w:hAnsi="Times New Roman"/>
                <w:color w:val="000000"/>
                <w:sz w:val="21"/>
                <w:szCs w:val="21"/>
              </w:rPr>
              <w:t xml:space="preserve"> </w:t>
            </w:r>
            <w:r w:rsidR="00381215">
              <w:rPr>
                <w:rFonts w:ascii="Times New Roman" w:hAnsi="Times New Roman"/>
                <w:color w:val="000000"/>
                <w:sz w:val="21"/>
                <w:szCs w:val="21"/>
              </w:rPr>
              <w:lastRenderedPageBreak/>
              <w:t>inwestycyjnych został przedstawiony jako konieczność poniesienia wkładów własnych przez beneficjentów</w:t>
            </w:r>
            <w:r w:rsidR="003B13F7">
              <w:rPr>
                <w:rFonts w:ascii="Times New Roman" w:hAnsi="Times New Roman"/>
                <w:color w:val="000000"/>
                <w:sz w:val="21"/>
                <w:szCs w:val="21"/>
              </w:rPr>
              <w:t xml:space="preserve"> </w:t>
            </w:r>
            <w:r w:rsidR="00381215">
              <w:rPr>
                <w:rFonts w:ascii="Times New Roman" w:hAnsi="Times New Roman"/>
                <w:color w:val="000000"/>
                <w:sz w:val="21"/>
                <w:szCs w:val="21"/>
              </w:rPr>
              <w:t>dla inwestycj</w:t>
            </w:r>
            <w:r w:rsidR="003B13F7">
              <w:rPr>
                <w:rFonts w:ascii="Times New Roman" w:hAnsi="Times New Roman"/>
                <w:color w:val="000000"/>
                <w:sz w:val="21"/>
                <w:szCs w:val="21"/>
              </w:rPr>
              <w:t>i</w:t>
            </w:r>
            <w:r w:rsidR="00370127">
              <w:rPr>
                <w:rFonts w:ascii="Times New Roman" w:hAnsi="Times New Roman"/>
                <w:color w:val="000000"/>
                <w:sz w:val="21"/>
                <w:szCs w:val="21"/>
              </w:rPr>
              <w:t xml:space="preserve"> </w:t>
            </w:r>
            <w:r w:rsidR="00DB31D7">
              <w:rPr>
                <w:rFonts w:ascii="Times New Roman" w:hAnsi="Times New Roman"/>
                <w:color w:val="000000"/>
                <w:sz w:val="21"/>
                <w:szCs w:val="21"/>
              </w:rPr>
              <w:t>priorytetowych</w:t>
            </w:r>
            <w:r w:rsidR="003B13F7">
              <w:rPr>
                <w:rFonts w:ascii="Times New Roman" w:hAnsi="Times New Roman"/>
                <w:color w:val="000000"/>
                <w:sz w:val="21"/>
                <w:szCs w:val="21"/>
              </w:rPr>
              <w:t>:</w:t>
            </w:r>
          </w:p>
          <w:p w14:paraId="79593FA0" w14:textId="20F562C0" w:rsidR="00381215" w:rsidRPr="007422C2" w:rsidRDefault="00987EEA" w:rsidP="001942B9">
            <w:pPr>
              <w:pStyle w:val="Akapitzlist"/>
              <w:numPr>
                <w:ilvl w:val="0"/>
                <w:numId w:val="46"/>
              </w:numPr>
              <w:spacing w:after="120" w:line="240" w:lineRule="auto"/>
              <w:jc w:val="both"/>
              <w:rPr>
                <w:rFonts w:ascii="Times New Roman" w:hAnsi="Times New Roman"/>
                <w:color w:val="000000"/>
                <w:sz w:val="21"/>
                <w:szCs w:val="21"/>
              </w:rPr>
            </w:pPr>
            <w:r>
              <w:rPr>
                <w:rFonts w:ascii="Times New Roman" w:hAnsi="Times New Roman"/>
                <w:color w:val="000000"/>
                <w:sz w:val="21"/>
                <w:szCs w:val="21"/>
              </w:rPr>
              <w:t>o</w:t>
            </w:r>
            <w:r w:rsidR="003B13F7">
              <w:rPr>
                <w:rFonts w:ascii="Times New Roman" w:hAnsi="Times New Roman"/>
                <w:color w:val="000000"/>
                <w:sz w:val="21"/>
                <w:szCs w:val="21"/>
              </w:rPr>
              <w:t>d</w:t>
            </w:r>
            <w:r>
              <w:rPr>
                <w:rFonts w:ascii="Times New Roman" w:hAnsi="Times New Roman"/>
                <w:color w:val="000000"/>
                <w:sz w:val="21"/>
                <w:szCs w:val="21"/>
              </w:rPr>
              <w:t xml:space="preserve"> nr</w:t>
            </w:r>
            <w:r w:rsidR="003B13F7">
              <w:rPr>
                <w:rFonts w:ascii="Times New Roman" w:hAnsi="Times New Roman"/>
                <w:color w:val="000000"/>
                <w:sz w:val="21"/>
                <w:szCs w:val="21"/>
              </w:rPr>
              <w:t xml:space="preserve"> 1 do </w:t>
            </w:r>
            <w:r w:rsidR="004A7700">
              <w:rPr>
                <w:rFonts w:ascii="Times New Roman" w:hAnsi="Times New Roman"/>
                <w:color w:val="000000"/>
                <w:sz w:val="21"/>
                <w:szCs w:val="21"/>
              </w:rPr>
              <w:t>5</w:t>
            </w:r>
            <w:r w:rsidR="003B13F7">
              <w:rPr>
                <w:rFonts w:ascii="Times New Roman" w:hAnsi="Times New Roman"/>
                <w:color w:val="000000"/>
                <w:sz w:val="21"/>
                <w:szCs w:val="21"/>
              </w:rPr>
              <w:t xml:space="preserve"> </w:t>
            </w:r>
            <w:r w:rsidR="00381215" w:rsidRPr="007422C2">
              <w:rPr>
                <w:rFonts w:ascii="Times New Roman" w:hAnsi="Times New Roman"/>
                <w:color w:val="000000"/>
                <w:sz w:val="21"/>
                <w:szCs w:val="21"/>
              </w:rPr>
              <w:t>– PGW WP (środki własne)</w:t>
            </w:r>
            <w:r w:rsidR="004A7700" w:rsidRPr="00894E62">
              <w:rPr>
                <w:rStyle w:val="Odwoanieprzypisudolnego"/>
                <w:rFonts w:ascii="Times New Roman" w:hAnsi="Times New Roman"/>
                <w:color w:val="000000"/>
                <w:sz w:val="21"/>
                <w:szCs w:val="21"/>
              </w:rPr>
              <w:footnoteReference w:id="2"/>
            </w:r>
            <w:r w:rsidR="001942B9">
              <w:rPr>
                <w:rFonts w:ascii="Times New Roman" w:hAnsi="Times New Roman"/>
                <w:color w:val="000000"/>
                <w:sz w:val="21"/>
                <w:szCs w:val="21"/>
              </w:rPr>
              <w:t>,</w:t>
            </w:r>
          </w:p>
          <w:p w14:paraId="0A04D8E7" w14:textId="00DA3134" w:rsidR="00B12CC7" w:rsidRDefault="003B13F7" w:rsidP="00B12CC7">
            <w:pPr>
              <w:pStyle w:val="Akapitzlist"/>
              <w:numPr>
                <w:ilvl w:val="0"/>
                <w:numId w:val="46"/>
              </w:numPr>
              <w:spacing w:after="120" w:line="240" w:lineRule="auto"/>
              <w:jc w:val="both"/>
              <w:rPr>
                <w:rFonts w:ascii="Times New Roman" w:hAnsi="Times New Roman"/>
                <w:color w:val="000000"/>
                <w:sz w:val="21"/>
                <w:szCs w:val="21"/>
              </w:rPr>
            </w:pPr>
            <w:r>
              <w:rPr>
                <w:rFonts w:ascii="Times New Roman" w:hAnsi="Times New Roman"/>
                <w:color w:val="000000"/>
                <w:sz w:val="21"/>
                <w:szCs w:val="21"/>
              </w:rPr>
              <w:t xml:space="preserve">nr </w:t>
            </w:r>
            <w:r w:rsidR="004A7700">
              <w:rPr>
                <w:rFonts w:ascii="Times New Roman" w:hAnsi="Times New Roman"/>
                <w:color w:val="000000"/>
                <w:sz w:val="21"/>
                <w:szCs w:val="21"/>
              </w:rPr>
              <w:t xml:space="preserve">6 </w:t>
            </w:r>
            <w:r w:rsidR="00381215">
              <w:rPr>
                <w:rFonts w:ascii="Times New Roman" w:hAnsi="Times New Roman"/>
                <w:color w:val="000000"/>
                <w:sz w:val="21"/>
                <w:szCs w:val="21"/>
              </w:rPr>
              <w:t>– Dyrektor UŻŚ</w:t>
            </w:r>
            <w:r w:rsidR="0090559D">
              <w:rPr>
                <w:rFonts w:ascii="Times New Roman" w:hAnsi="Times New Roman"/>
                <w:color w:val="000000"/>
                <w:sz w:val="21"/>
                <w:szCs w:val="21"/>
              </w:rPr>
              <w:t xml:space="preserve"> w Szcze</w:t>
            </w:r>
            <w:r w:rsidR="004A7700">
              <w:rPr>
                <w:rFonts w:ascii="Times New Roman" w:hAnsi="Times New Roman"/>
                <w:color w:val="000000"/>
                <w:sz w:val="21"/>
                <w:szCs w:val="21"/>
              </w:rPr>
              <w:t>ci</w:t>
            </w:r>
            <w:r w:rsidR="0090559D">
              <w:rPr>
                <w:rFonts w:ascii="Times New Roman" w:hAnsi="Times New Roman"/>
                <w:color w:val="000000"/>
                <w:sz w:val="21"/>
                <w:szCs w:val="21"/>
              </w:rPr>
              <w:t>nie</w:t>
            </w:r>
            <w:r w:rsidR="00381215">
              <w:rPr>
                <w:rFonts w:ascii="Times New Roman" w:hAnsi="Times New Roman"/>
                <w:color w:val="000000"/>
                <w:sz w:val="21"/>
                <w:szCs w:val="21"/>
              </w:rPr>
              <w:t xml:space="preserve"> (budżet państwa)</w:t>
            </w:r>
            <w:r w:rsidR="004A7700" w:rsidRPr="00894E62">
              <w:rPr>
                <w:rStyle w:val="Odwoanieprzypisudolnego"/>
                <w:rFonts w:ascii="Times New Roman" w:hAnsi="Times New Roman"/>
                <w:color w:val="000000"/>
                <w:sz w:val="21"/>
                <w:szCs w:val="21"/>
              </w:rPr>
              <w:footnoteReference w:id="3"/>
            </w:r>
            <w:r w:rsidR="00381215">
              <w:rPr>
                <w:rFonts w:ascii="Times New Roman" w:hAnsi="Times New Roman"/>
                <w:color w:val="000000"/>
                <w:sz w:val="21"/>
                <w:szCs w:val="21"/>
              </w:rPr>
              <w:t>.</w:t>
            </w:r>
          </w:p>
          <w:p w14:paraId="404E66C4" w14:textId="300B0EF6" w:rsidR="00B12CC7" w:rsidRPr="00B12CC7" w:rsidRDefault="00B12CC7" w:rsidP="00B12CC7">
            <w:pPr>
              <w:spacing w:after="120" w:line="240" w:lineRule="auto"/>
              <w:jc w:val="both"/>
              <w:rPr>
                <w:rFonts w:ascii="Times New Roman" w:hAnsi="Times New Roman"/>
                <w:color w:val="000000"/>
                <w:sz w:val="21"/>
                <w:szCs w:val="21"/>
              </w:rPr>
            </w:pPr>
            <w:r>
              <w:rPr>
                <w:rFonts w:ascii="Times New Roman" w:hAnsi="Times New Roman"/>
                <w:color w:val="000000"/>
                <w:sz w:val="21"/>
                <w:szCs w:val="21"/>
              </w:rPr>
              <w:t>Z</w:t>
            </w:r>
            <w:r w:rsidRPr="00B12CC7">
              <w:rPr>
                <w:rFonts w:ascii="Times New Roman" w:hAnsi="Times New Roman"/>
                <w:color w:val="000000"/>
                <w:sz w:val="21"/>
                <w:szCs w:val="21"/>
              </w:rPr>
              <w:t>e względu wysokość alokacji przyznanej ze środków unijnych dla transportu wodnego śródlądowego konieczne było fazowanie projektu pn</w:t>
            </w:r>
            <w:r w:rsidRPr="00B12CC7">
              <w:rPr>
                <w:rFonts w:ascii="Times New Roman" w:hAnsi="Times New Roman"/>
                <w:i/>
                <w:color w:val="000000"/>
                <w:sz w:val="21"/>
                <w:szCs w:val="21"/>
              </w:rPr>
              <w:t>. Modernizacja zabudowy regulacyjnej na Odrze granicznej – Etap II</w:t>
            </w:r>
            <w:r w:rsidRPr="00B12CC7">
              <w:rPr>
                <w:rFonts w:ascii="Times New Roman" w:hAnsi="Times New Roman"/>
                <w:color w:val="000000"/>
                <w:sz w:val="21"/>
                <w:szCs w:val="21"/>
              </w:rPr>
              <w:t xml:space="preserve"> na odcinki (</w:t>
            </w:r>
            <w:r>
              <w:rPr>
                <w:rFonts w:ascii="Times New Roman" w:hAnsi="Times New Roman"/>
                <w:color w:val="000000"/>
                <w:sz w:val="21"/>
                <w:szCs w:val="21"/>
              </w:rPr>
              <w:t>6a, 6b, 6c i 7</w:t>
            </w:r>
            <w:r w:rsidRPr="00B12CC7">
              <w:rPr>
                <w:rFonts w:ascii="Times New Roman" w:hAnsi="Times New Roman"/>
                <w:color w:val="000000"/>
                <w:sz w:val="21"/>
                <w:szCs w:val="21"/>
              </w:rPr>
              <w:t>). W ramach przyznanych środków zrealizowane zostaną odcinki 6a, 6b, i 6c, których łączna wartość wynosi 317 mln zł. Od</w:t>
            </w:r>
            <w:r>
              <w:rPr>
                <w:rFonts w:ascii="Times New Roman" w:hAnsi="Times New Roman"/>
                <w:color w:val="000000"/>
                <w:sz w:val="21"/>
                <w:szCs w:val="21"/>
              </w:rPr>
              <w:t>cinek 7 zostanie zrealizowany w </w:t>
            </w:r>
            <w:r w:rsidRPr="00B12CC7">
              <w:rPr>
                <w:rFonts w:ascii="Times New Roman" w:hAnsi="Times New Roman"/>
                <w:color w:val="000000"/>
                <w:sz w:val="21"/>
                <w:szCs w:val="21"/>
              </w:rPr>
              <w:t>ramach dostępnych krajowych środków publicznych oraz inny</w:t>
            </w:r>
            <w:r>
              <w:rPr>
                <w:rFonts w:ascii="Times New Roman" w:hAnsi="Times New Roman"/>
                <w:color w:val="000000"/>
                <w:sz w:val="21"/>
                <w:szCs w:val="21"/>
              </w:rPr>
              <w:t>ch instrumentów finansowych czy </w:t>
            </w:r>
            <w:r w:rsidRPr="00B12CC7">
              <w:rPr>
                <w:rFonts w:ascii="Times New Roman" w:hAnsi="Times New Roman"/>
                <w:color w:val="000000"/>
                <w:sz w:val="21"/>
                <w:szCs w:val="21"/>
              </w:rPr>
              <w:t>formy finansowania oferowanych przez banki krajowe i zagraniczne.</w:t>
            </w:r>
          </w:p>
          <w:p w14:paraId="5C962140" w14:textId="77777777" w:rsidR="0090559D" w:rsidRDefault="0090559D" w:rsidP="0090559D">
            <w:pPr>
              <w:spacing w:after="120" w:line="240" w:lineRule="auto"/>
              <w:jc w:val="both"/>
              <w:rPr>
                <w:rFonts w:ascii="Times New Roman" w:hAnsi="Times New Roman"/>
                <w:color w:val="000000"/>
                <w:sz w:val="21"/>
                <w:szCs w:val="21"/>
              </w:rPr>
            </w:pPr>
            <w:r>
              <w:rPr>
                <w:rFonts w:ascii="Times New Roman" w:hAnsi="Times New Roman"/>
                <w:color w:val="000000"/>
                <w:sz w:val="21"/>
                <w:szCs w:val="21"/>
              </w:rPr>
              <w:t xml:space="preserve">Podział na lata został oszacowany na podstawie okresów realizacji inwestycji wskazanych w KPŻ2030. </w:t>
            </w:r>
          </w:p>
          <w:p w14:paraId="228B1FFF" w14:textId="66290F18" w:rsidR="004A7700" w:rsidRDefault="004A7700" w:rsidP="004A7700">
            <w:pPr>
              <w:spacing w:after="120" w:line="240" w:lineRule="auto"/>
              <w:jc w:val="both"/>
              <w:rPr>
                <w:rFonts w:ascii="Times New Roman" w:hAnsi="Times New Roman"/>
                <w:color w:val="000000"/>
                <w:sz w:val="21"/>
                <w:szCs w:val="21"/>
              </w:rPr>
            </w:pPr>
            <w:r>
              <w:rPr>
                <w:rFonts w:ascii="Times New Roman" w:hAnsi="Times New Roman"/>
                <w:color w:val="000000"/>
                <w:sz w:val="21"/>
                <w:szCs w:val="21"/>
              </w:rPr>
              <w:t xml:space="preserve">Należy podkreślić, że PGW WP działa w oparciu o roczne plany finansowe. W związku </w:t>
            </w:r>
            <w:r>
              <w:rPr>
                <w:rFonts w:ascii="Times New Roman" w:hAnsi="Times New Roman"/>
                <w:color w:val="000000"/>
                <w:sz w:val="21"/>
                <w:szCs w:val="21"/>
              </w:rPr>
              <w:br/>
              <w:t xml:space="preserve">z powyższym </w:t>
            </w:r>
            <w:r w:rsidRPr="00B50FD5">
              <w:rPr>
                <w:rFonts w:ascii="Times New Roman" w:hAnsi="Times New Roman"/>
                <w:color w:val="000000"/>
                <w:sz w:val="21"/>
                <w:szCs w:val="21"/>
              </w:rPr>
              <w:t xml:space="preserve">przewiduje się, że </w:t>
            </w:r>
            <w:r w:rsidR="00941CB9">
              <w:rPr>
                <w:rFonts w:ascii="Times New Roman" w:hAnsi="Times New Roman"/>
                <w:color w:val="000000"/>
                <w:sz w:val="21"/>
                <w:szCs w:val="21"/>
              </w:rPr>
              <w:t>d</w:t>
            </w:r>
            <w:r w:rsidR="00941CB9" w:rsidRPr="00B50FD5">
              <w:rPr>
                <w:rFonts w:ascii="Times New Roman" w:hAnsi="Times New Roman"/>
                <w:color w:val="000000"/>
                <w:sz w:val="21"/>
                <w:szCs w:val="21"/>
              </w:rPr>
              <w:t xml:space="preserve">la inwestycji </w:t>
            </w:r>
            <w:r w:rsidR="00DB31D7" w:rsidRPr="00B50FD5">
              <w:rPr>
                <w:rFonts w:ascii="Times New Roman" w:hAnsi="Times New Roman"/>
                <w:color w:val="000000"/>
                <w:sz w:val="21"/>
                <w:szCs w:val="21"/>
              </w:rPr>
              <w:t>p</w:t>
            </w:r>
            <w:r w:rsidR="00DB31D7">
              <w:rPr>
                <w:rFonts w:ascii="Times New Roman" w:hAnsi="Times New Roman"/>
                <w:color w:val="000000"/>
                <w:sz w:val="21"/>
                <w:szCs w:val="21"/>
              </w:rPr>
              <w:t>riorytetowych</w:t>
            </w:r>
            <w:r w:rsidR="00DB31D7" w:rsidRPr="00B50FD5">
              <w:rPr>
                <w:rFonts w:ascii="Times New Roman" w:hAnsi="Times New Roman"/>
                <w:color w:val="000000"/>
                <w:sz w:val="21"/>
                <w:szCs w:val="21"/>
              </w:rPr>
              <w:t xml:space="preserve"> </w:t>
            </w:r>
            <w:r w:rsidRPr="00B50FD5">
              <w:rPr>
                <w:rFonts w:ascii="Times New Roman" w:hAnsi="Times New Roman"/>
                <w:color w:val="000000"/>
                <w:sz w:val="21"/>
                <w:szCs w:val="21"/>
              </w:rPr>
              <w:t>może zaistnieć konieczność sfinansowania wkładu własnego w wysokości 15% wysokości inwestycji</w:t>
            </w:r>
            <w:r w:rsidR="00941CB9">
              <w:rPr>
                <w:rFonts w:ascii="Times New Roman" w:hAnsi="Times New Roman"/>
                <w:color w:val="000000"/>
                <w:sz w:val="21"/>
                <w:szCs w:val="21"/>
              </w:rPr>
              <w:t>. J</w:t>
            </w:r>
            <w:r w:rsidR="00941CB9" w:rsidRPr="00B50FD5">
              <w:rPr>
                <w:rFonts w:ascii="Times New Roman" w:hAnsi="Times New Roman"/>
                <w:color w:val="000000"/>
                <w:sz w:val="21"/>
                <w:szCs w:val="21"/>
              </w:rPr>
              <w:t>eśli inwestor nie będzie w</w:t>
            </w:r>
            <w:r w:rsidR="00987EEA">
              <w:rPr>
                <w:rFonts w:ascii="Times New Roman" w:hAnsi="Times New Roman"/>
                <w:color w:val="000000"/>
                <w:sz w:val="21"/>
                <w:szCs w:val="21"/>
              </w:rPr>
              <w:t> </w:t>
            </w:r>
            <w:r w:rsidR="00941CB9" w:rsidRPr="00B50FD5">
              <w:rPr>
                <w:rFonts w:ascii="Times New Roman" w:hAnsi="Times New Roman"/>
                <w:color w:val="000000"/>
                <w:sz w:val="21"/>
                <w:szCs w:val="21"/>
              </w:rPr>
              <w:t>stanie zapewnić pełnej wysokośc</w:t>
            </w:r>
            <w:r w:rsidR="00941CB9">
              <w:rPr>
                <w:rFonts w:ascii="Times New Roman" w:hAnsi="Times New Roman"/>
                <w:color w:val="000000"/>
                <w:sz w:val="21"/>
                <w:szCs w:val="21"/>
              </w:rPr>
              <w:t>i finansowania wkładu własnego, zakłada się finansowanie powyższego wkładu</w:t>
            </w:r>
            <w:r w:rsidRPr="00B50FD5">
              <w:rPr>
                <w:rFonts w:ascii="Times New Roman" w:hAnsi="Times New Roman"/>
                <w:color w:val="000000"/>
                <w:sz w:val="21"/>
                <w:szCs w:val="21"/>
              </w:rPr>
              <w:t xml:space="preserve"> z dotacji celowej z części 69 budżetu państwa w latach 202</w:t>
            </w:r>
            <w:r w:rsidR="00B12CC7">
              <w:rPr>
                <w:rFonts w:ascii="Times New Roman" w:hAnsi="Times New Roman"/>
                <w:color w:val="000000"/>
                <w:sz w:val="21"/>
                <w:szCs w:val="21"/>
              </w:rPr>
              <w:t>6</w:t>
            </w:r>
            <w:r w:rsidR="009F099E">
              <w:rPr>
                <w:rFonts w:ascii="Times New Roman" w:hAnsi="Times New Roman"/>
                <w:color w:val="000000"/>
                <w:sz w:val="21"/>
                <w:szCs w:val="21"/>
              </w:rPr>
              <w:t>–</w:t>
            </w:r>
            <w:r w:rsidRPr="00B50FD5">
              <w:rPr>
                <w:rFonts w:ascii="Times New Roman" w:hAnsi="Times New Roman"/>
                <w:color w:val="000000"/>
                <w:sz w:val="21"/>
                <w:szCs w:val="21"/>
              </w:rPr>
              <w:t>2030</w:t>
            </w:r>
            <w:r w:rsidR="007F2EED">
              <w:rPr>
                <w:rFonts w:ascii="Times New Roman" w:hAnsi="Times New Roman"/>
                <w:color w:val="000000"/>
                <w:sz w:val="21"/>
                <w:szCs w:val="21"/>
              </w:rPr>
              <w:t xml:space="preserve"> </w:t>
            </w:r>
            <w:r w:rsidR="007F2EED" w:rsidRPr="007F2EED">
              <w:rPr>
                <w:rFonts w:ascii="Times New Roman" w:hAnsi="Times New Roman"/>
                <w:color w:val="000000"/>
                <w:sz w:val="21"/>
                <w:szCs w:val="21"/>
              </w:rPr>
              <w:t xml:space="preserve">(bez generowania dodatkowych obciążeń dla budżetu państwa) </w:t>
            </w:r>
            <w:r w:rsidRPr="00B50FD5">
              <w:rPr>
                <w:rFonts w:ascii="Times New Roman" w:hAnsi="Times New Roman"/>
                <w:color w:val="000000"/>
                <w:sz w:val="21"/>
                <w:szCs w:val="21"/>
              </w:rPr>
              <w:t xml:space="preserve"> lub innego źródła (np. zwrotne środki zagraniczne)</w:t>
            </w:r>
            <w:r w:rsidR="00941CB9">
              <w:rPr>
                <w:rFonts w:ascii="Times New Roman" w:hAnsi="Times New Roman"/>
                <w:color w:val="000000"/>
                <w:sz w:val="21"/>
                <w:szCs w:val="21"/>
              </w:rPr>
              <w:t>.</w:t>
            </w:r>
          </w:p>
          <w:p w14:paraId="2F0A4008" w14:textId="7180484D" w:rsidR="005D61A8" w:rsidRDefault="00EA2BE6" w:rsidP="008D25B2">
            <w:pPr>
              <w:spacing w:after="120" w:line="240" w:lineRule="auto"/>
              <w:jc w:val="both"/>
              <w:rPr>
                <w:rFonts w:ascii="Times New Roman" w:hAnsi="Times New Roman"/>
                <w:color w:val="000000"/>
                <w:sz w:val="21"/>
                <w:szCs w:val="21"/>
              </w:rPr>
            </w:pPr>
            <w:r>
              <w:rPr>
                <w:rFonts w:ascii="Times New Roman" w:hAnsi="Times New Roman"/>
                <w:color w:val="000000"/>
                <w:sz w:val="21"/>
                <w:szCs w:val="21"/>
              </w:rPr>
              <w:t xml:space="preserve">Inwestycje z listy </w:t>
            </w:r>
            <w:r w:rsidR="00DB31D7">
              <w:rPr>
                <w:rFonts w:ascii="Times New Roman" w:hAnsi="Times New Roman"/>
                <w:color w:val="000000"/>
                <w:sz w:val="21"/>
                <w:szCs w:val="21"/>
              </w:rPr>
              <w:t>uzupełniającej</w:t>
            </w:r>
            <w:r w:rsidR="003B13F7" w:rsidRPr="009F099E">
              <w:rPr>
                <w:rStyle w:val="Odwoanieprzypisudolnego"/>
                <w:rFonts w:ascii="Times New Roman" w:hAnsi="Times New Roman"/>
                <w:color w:val="000000"/>
                <w:sz w:val="21"/>
                <w:szCs w:val="21"/>
              </w:rPr>
              <w:footnoteReference w:id="4"/>
            </w:r>
            <w:r w:rsidR="0090559D">
              <w:rPr>
                <w:rFonts w:ascii="Times New Roman" w:hAnsi="Times New Roman"/>
                <w:color w:val="000000"/>
                <w:sz w:val="21"/>
                <w:szCs w:val="21"/>
              </w:rPr>
              <w:t xml:space="preserve"> nie zostały ujęte w tabeli w pkt 6 </w:t>
            </w:r>
            <w:r w:rsidR="003B13F7" w:rsidRPr="001942B9">
              <w:rPr>
                <w:rFonts w:ascii="Times New Roman" w:hAnsi="Times New Roman"/>
                <w:i/>
                <w:color w:val="000000"/>
                <w:sz w:val="21"/>
                <w:szCs w:val="21"/>
              </w:rPr>
              <w:t>W</w:t>
            </w:r>
            <w:r w:rsidR="0090559D" w:rsidRPr="001942B9">
              <w:rPr>
                <w:rFonts w:ascii="Times New Roman" w:hAnsi="Times New Roman"/>
                <w:i/>
                <w:color w:val="000000"/>
                <w:sz w:val="21"/>
                <w:szCs w:val="21"/>
              </w:rPr>
              <w:t>pływ na sektor finansów publicznych</w:t>
            </w:r>
            <w:r w:rsidR="0090559D">
              <w:rPr>
                <w:rFonts w:ascii="Times New Roman" w:hAnsi="Times New Roman"/>
                <w:color w:val="000000"/>
                <w:sz w:val="21"/>
                <w:szCs w:val="21"/>
              </w:rPr>
              <w:t xml:space="preserve"> ze względu na fakt, że na obecnym etapie procedury legislacyjnej projektu uchwały nie</w:t>
            </w:r>
            <w:r w:rsidR="0039711E">
              <w:rPr>
                <w:rFonts w:ascii="Times New Roman" w:hAnsi="Times New Roman"/>
                <w:color w:val="000000"/>
                <w:sz w:val="21"/>
                <w:szCs w:val="21"/>
              </w:rPr>
              <w:t xml:space="preserve"> </w:t>
            </w:r>
            <w:r w:rsidR="0090559D">
              <w:rPr>
                <w:rFonts w:ascii="Times New Roman" w:hAnsi="Times New Roman"/>
                <w:color w:val="000000"/>
                <w:sz w:val="21"/>
                <w:szCs w:val="21"/>
              </w:rPr>
              <w:t xml:space="preserve">posiadają dedykowanych źródeł finansowania. Lista projektów </w:t>
            </w:r>
            <w:r w:rsidR="00DB31D7">
              <w:rPr>
                <w:rFonts w:ascii="Times New Roman" w:hAnsi="Times New Roman"/>
                <w:color w:val="000000"/>
                <w:sz w:val="21"/>
                <w:szCs w:val="21"/>
              </w:rPr>
              <w:t xml:space="preserve">uzupełniających </w:t>
            </w:r>
            <w:r w:rsidR="0090559D">
              <w:rPr>
                <w:rFonts w:ascii="Times New Roman" w:hAnsi="Times New Roman"/>
                <w:color w:val="000000"/>
                <w:sz w:val="21"/>
                <w:szCs w:val="21"/>
              </w:rPr>
              <w:t>wraz z szacowanym kosztem przedstawia się następująco:</w:t>
            </w:r>
          </w:p>
          <w:tbl>
            <w:tblPr>
              <w:tblW w:w="8443" w:type="dxa"/>
              <w:tblLayout w:type="fixed"/>
              <w:tblCellMar>
                <w:left w:w="70" w:type="dxa"/>
                <w:right w:w="70" w:type="dxa"/>
              </w:tblCellMar>
              <w:tblLook w:val="04A0" w:firstRow="1" w:lastRow="0" w:firstColumn="1" w:lastColumn="0" w:noHBand="0" w:noVBand="1"/>
            </w:tblPr>
            <w:tblGrid>
              <w:gridCol w:w="500"/>
              <w:gridCol w:w="6100"/>
              <w:gridCol w:w="1843"/>
            </w:tblGrid>
            <w:tr w:rsidR="00516827" w:rsidRPr="005D61A8" w14:paraId="2FAC8B27" w14:textId="77777777" w:rsidTr="007E7A6C">
              <w:trPr>
                <w:trHeight w:val="290"/>
              </w:trPr>
              <w:tc>
                <w:tcPr>
                  <w:tcW w:w="500" w:type="dxa"/>
                  <w:vMerge w:val="restart"/>
                  <w:tcBorders>
                    <w:top w:val="single" w:sz="8" w:space="0" w:color="4472C4"/>
                    <w:left w:val="single" w:sz="8" w:space="0" w:color="4472C4"/>
                    <w:bottom w:val="single" w:sz="8" w:space="0" w:color="4472C4"/>
                    <w:right w:val="nil"/>
                  </w:tcBorders>
                  <w:shd w:val="clear" w:color="000000" w:fill="4472C4"/>
                  <w:noWrap/>
                  <w:vAlign w:val="center"/>
                  <w:hideMark/>
                </w:tcPr>
                <w:p w14:paraId="1B7E1D4D" w14:textId="77777777" w:rsidR="005D61A8" w:rsidRPr="006B5DAF" w:rsidRDefault="005D61A8" w:rsidP="006B5DAF">
                  <w:pPr>
                    <w:jc w:val="center"/>
                    <w:rPr>
                      <w:rFonts w:ascii="Times New Roman" w:hAnsi="Times New Roman"/>
                      <w:b/>
                      <w:bCs/>
                      <w:color w:val="000000"/>
                      <w:sz w:val="21"/>
                      <w:szCs w:val="21"/>
                    </w:rPr>
                  </w:pPr>
                  <w:bookmarkStart w:id="4" w:name="RANGE!A1"/>
                  <w:r w:rsidRPr="006B5DAF">
                    <w:rPr>
                      <w:rFonts w:ascii="Times New Roman" w:hAnsi="Times New Roman"/>
                      <w:b/>
                      <w:bCs/>
                      <w:color w:val="000000"/>
                      <w:sz w:val="21"/>
                      <w:szCs w:val="21"/>
                    </w:rPr>
                    <w:t>Lp.</w:t>
                  </w:r>
                  <w:bookmarkEnd w:id="4"/>
                </w:p>
              </w:tc>
              <w:tc>
                <w:tcPr>
                  <w:tcW w:w="6100" w:type="dxa"/>
                  <w:vMerge w:val="restart"/>
                  <w:tcBorders>
                    <w:top w:val="single" w:sz="8" w:space="0" w:color="4472C4"/>
                    <w:left w:val="nil"/>
                    <w:bottom w:val="single" w:sz="8" w:space="0" w:color="4472C4"/>
                    <w:right w:val="nil"/>
                  </w:tcBorders>
                  <w:shd w:val="clear" w:color="000000" w:fill="4472C4"/>
                  <w:noWrap/>
                  <w:vAlign w:val="center"/>
                  <w:hideMark/>
                </w:tcPr>
                <w:p w14:paraId="5036C5C6" w14:textId="77777777" w:rsidR="005D61A8" w:rsidRPr="006B5DAF" w:rsidRDefault="005D61A8" w:rsidP="006B5DAF">
                  <w:pPr>
                    <w:jc w:val="center"/>
                    <w:rPr>
                      <w:rFonts w:ascii="Times New Roman" w:hAnsi="Times New Roman"/>
                      <w:b/>
                      <w:bCs/>
                      <w:color w:val="000000"/>
                      <w:sz w:val="21"/>
                      <w:szCs w:val="21"/>
                    </w:rPr>
                  </w:pPr>
                  <w:r w:rsidRPr="006B5DAF">
                    <w:rPr>
                      <w:rFonts w:ascii="Times New Roman" w:hAnsi="Times New Roman"/>
                      <w:b/>
                      <w:bCs/>
                      <w:color w:val="000000"/>
                      <w:sz w:val="21"/>
                      <w:szCs w:val="21"/>
                    </w:rPr>
                    <w:t>Nazwa</w:t>
                  </w:r>
                </w:p>
              </w:tc>
              <w:tc>
                <w:tcPr>
                  <w:tcW w:w="1843" w:type="dxa"/>
                  <w:vMerge w:val="restart"/>
                  <w:tcBorders>
                    <w:top w:val="single" w:sz="8" w:space="0" w:color="4472C4"/>
                    <w:left w:val="nil"/>
                    <w:bottom w:val="single" w:sz="8" w:space="0" w:color="4472C4"/>
                    <w:right w:val="nil"/>
                  </w:tcBorders>
                  <w:shd w:val="clear" w:color="000000" w:fill="4472C4"/>
                  <w:vAlign w:val="center"/>
                  <w:hideMark/>
                </w:tcPr>
                <w:p w14:paraId="604E1C9D" w14:textId="291602EB" w:rsidR="005D61A8" w:rsidRPr="006B5DAF" w:rsidRDefault="005D61A8" w:rsidP="006B5DAF">
                  <w:pPr>
                    <w:jc w:val="center"/>
                    <w:rPr>
                      <w:rFonts w:ascii="Times New Roman" w:hAnsi="Times New Roman"/>
                      <w:b/>
                      <w:bCs/>
                      <w:color w:val="000000"/>
                      <w:sz w:val="21"/>
                      <w:szCs w:val="21"/>
                    </w:rPr>
                  </w:pPr>
                  <w:r w:rsidRPr="006B5DAF">
                    <w:rPr>
                      <w:rFonts w:ascii="Times New Roman" w:hAnsi="Times New Roman"/>
                      <w:b/>
                      <w:bCs/>
                      <w:color w:val="000000"/>
                      <w:sz w:val="21"/>
                      <w:szCs w:val="21"/>
                    </w:rPr>
                    <w:t>Wartość (zł</w:t>
                  </w:r>
                  <w:r>
                    <w:rPr>
                      <w:rFonts w:ascii="Times New Roman" w:hAnsi="Times New Roman"/>
                      <w:b/>
                      <w:bCs/>
                      <w:color w:val="000000"/>
                      <w:sz w:val="21"/>
                      <w:szCs w:val="21"/>
                    </w:rPr>
                    <w:t xml:space="preserve"> brutto</w:t>
                  </w:r>
                  <w:r w:rsidRPr="006B5DAF">
                    <w:rPr>
                      <w:rFonts w:ascii="Times New Roman" w:hAnsi="Times New Roman"/>
                      <w:b/>
                      <w:bCs/>
                      <w:color w:val="000000"/>
                      <w:sz w:val="21"/>
                      <w:szCs w:val="21"/>
                    </w:rPr>
                    <w:t>)</w:t>
                  </w:r>
                </w:p>
              </w:tc>
            </w:tr>
            <w:tr w:rsidR="005D61A8" w:rsidRPr="005D61A8" w14:paraId="6C6E1815" w14:textId="77777777" w:rsidTr="006B5DAF">
              <w:trPr>
                <w:trHeight w:val="300"/>
              </w:trPr>
              <w:tc>
                <w:tcPr>
                  <w:tcW w:w="500" w:type="dxa"/>
                  <w:vMerge/>
                  <w:tcBorders>
                    <w:top w:val="single" w:sz="8" w:space="0" w:color="4472C4"/>
                    <w:left w:val="single" w:sz="8" w:space="0" w:color="4472C4"/>
                    <w:bottom w:val="single" w:sz="8" w:space="0" w:color="4472C4"/>
                    <w:right w:val="nil"/>
                  </w:tcBorders>
                  <w:vAlign w:val="center"/>
                  <w:hideMark/>
                </w:tcPr>
                <w:p w14:paraId="09632206" w14:textId="77777777" w:rsidR="005D61A8" w:rsidRPr="005D61A8" w:rsidRDefault="005D61A8" w:rsidP="005D61A8">
                  <w:pPr>
                    <w:spacing w:line="240" w:lineRule="auto"/>
                    <w:rPr>
                      <w:rFonts w:eastAsia="Times New Roman" w:cs="Calibri"/>
                      <w:b/>
                      <w:bCs/>
                      <w:color w:val="FFFFFF"/>
                      <w:sz w:val="20"/>
                      <w:szCs w:val="20"/>
                      <w:lang w:eastAsia="pl-PL"/>
                    </w:rPr>
                  </w:pPr>
                </w:p>
              </w:tc>
              <w:tc>
                <w:tcPr>
                  <w:tcW w:w="6100" w:type="dxa"/>
                  <w:vMerge/>
                  <w:tcBorders>
                    <w:top w:val="single" w:sz="8" w:space="0" w:color="4472C4"/>
                    <w:left w:val="nil"/>
                    <w:bottom w:val="single" w:sz="8" w:space="0" w:color="4472C4"/>
                    <w:right w:val="nil"/>
                  </w:tcBorders>
                  <w:vAlign w:val="center"/>
                  <w:hideMark/>
                </w:tcPr>
                <w:p w14:paraId="3B1D0544" w14:textId="77777777" w:rsidR="005D61A8" w:rsidRPr="005D61A8" w:rsidRDefault="005D61A8" w:rsidP="005D61A8">
                  <w:pPr>
                    <w:spacing w:line="240" w:lineRule="auto"/>
                    <w:rPr>
                      <w:rFonts w:eastAsia="Times New Roman" w:cs="Calibri"/>
                      <w:b/>
                      <w:bCs/>
                      <w:color w:val="FFFFFF"/>
                      <w:sz w:val="20"/>
                      <w:szCs w:val="20"/>
                      <w:lang w:eastAsia="pl-PL"/>
                    </w:rPr>
                  </w:pPr>
                </w:p>
              </w:tc>
              <w:tc>
                <w:tcPr>
                  <w:tcW w:w="1843" w:type="dxa"/>
                  <w:vMerge/>
                  <w:tcBorders>
                    <w:top w:val="single" w:sz="8" w:space="0" w:color="4472C4"/>
                    <w:left w:val="nil"/>
                    <w:bottom w:val="single" w:sz="8" w:space="0" w:color="4472C4"/>
                    <w:right w:val="nil"/>
                  </w:tcBorders>
                  <w:vAlign w:val="center"/>
                  <w:hideMark/>
                </w:tcPr>
                <w:p w14:paraId="635FC74F" w14:textId="77777777" w:rsidR="005D61A8" w:rsidRPr="005D61A8" w:rsidRDefault="005D61A8" w:rsidP="005D61A8">
                  <w:pPr>
                    <w:spacing w:line="240" w:lineRule="auto"/>
                    <w:rPr>
                      <w:rFonts w:eastAsia="Times New Roman" w:cs="Calibri"/>
                      <w:b/>
                      <w:bCs/>
                      <w:color w:val="FFFFFF"/>
                      <w:sz w:val="20"/>
                      <w:szCs w:val="20"/>
                      <w:lang w:eastAsia="pl-PL"/>
                    </w:rPr>
                  </w:pPr>
                </w:p>
              </w:tc>
            </w:tr>
            <w:tr w:rsidR="005D61A8" w:rsidRPr="005D61A8" w14:paraId="583A21D7" w14:textId="77777777" w:rsidTr="006B5DAF">
              <w:trPr>
                <w:trHeight w:val="300"/>
              </w:trPr>
              <w:tc>
                <w:tcPr>
                  <w:tcW w:w="500" w:type="dxa"/>
                  <w:tcBorders>
                    <w:top w:val="nil"/>
                    <w:left w:val="single" w:sz="8" w:space="0" w:color="8EAADB"/>
                    <w:bottom w:val="single" w:sz="8" w:space="0" w:color="8EAADB"/>
                    <w:right w:val="single" w:sz="8" w:space="0" w:color="8EAADB"/>
                  </w:tcBorders>
                  <w:shd w:val="clear" w:color="auto" w:fill="auto"/>
                  <w:noWrap/>
                  <w:vAlign w:val="center"/>
                  <w:hideMark/>
                </w:tcPr>
                <w:p w14:paraId="569EDD88" w14:textId="77777777" w:rsidR="005D61A8" w:rsidRPr="006B5DAF" w:rsidRDefault="005D61A8" w:rsidP="006B5DAF">
                  <w:pPr>
                    <w:jc w:val="right"/>
                    <w:rPr>
                      <w:rFonts w:ascii="Times New Roman" w:hAnsi="Times New Roman"/>
                      <w:color w:val="000000"/>
                      <w:sz w:val="21"/>
                      <w:szCs w:val="21"/>
                    </w:rPr>
                  </w:pPr>
                  <w:r w:rsidRPr="006B5DAF">
                    <w:rPr>
                      <w:rFonts w:ascii="Times New Roman" w:hAnsi="Times New Roman"/>
                      <w:color w:val="000000"/>
                      <w:sz w:val="21"/>
                      <w:szCs w:val="21"/>
                    </w:rPr>
                    <w:t>1</w:t>
                  </w:r>
                </w:p>
              </w:tc>
              <w:tc>
                <w:tcPr>
                  <w:tcW w:w="6100" w:type="dxa"/>
                  <w:tcBorders>
                    <w:top w:val="nil"/>
                    <w:left w:val="nil"/>
                    <w:bottom w:val="single" w:sz="8" w:space="0" w:color="8EAADB"/>
                    <w:right w:val="single" w:sz="8" w:space="0" w:color="8EAADB"/>
                  </w:tcBorders>
                  <w:shd w:val="clear" w:color="auto" w:fill="auto"/>
                  <w:noWrap/>
                  <w:vAlign w:val="center"/>
                  <w:hideMark/>
                </w:tcPr>
                <w:p w14:paraId="27A586A5" w14:textId="110D7E10" w:rsidR="005D61A8" w:rsidRPr="006B5DAF" w:rsidRDefault="005D61A8" w:rsidP="006B5DAF">
                  <w:pPr>
                    <w:rPr>
                      <w:rFonts w:ascii="Times New Roman" w:hAnsi="Times New Roman"/>
                      <w:color w:val="000000"/>
                      <w:sz w:val="21"/>
                      <w:szCs w:val="21"/>
                    </w:rPr>
                  </w:pPr>
                  <w:r w:rsidRPr="006B5DAF">
                    <w:rPr>
                      <w:rFonts w:ascii="Times New Roman" w:hAnsi="Times New Roman"/>
                      <w:color w:val="000000"/>
                      <w:sz w:val="21"/>
                      <w:szCs w:val="21"/>
                    </w:rPr>
                    <w:t>Odbudowa budowli regulacyjnych na Dolnej Wiśle w km 933</w:t>
                  </w:r>
                  <w:r w:rsidR="009F099E">
                    <w:rPr>
                      <w:rFonts w:ascii="Times New Roman" w:hAnsi="Times New Roman"/>
                      <w:color w:val="000000"/>
                      <w:sz w:val="21"/>
                      <w:szCs w:val="21"/>
                    </w:rPr>
                    <w:t>–</w:t>
                  </w:r>
                  <w:r w:rsidRPr="006B5DAF">
                    <w:rPr>
                      <w:rFonts w:ascii="Times New Roman" w:hAnsi="Times New Roman"/>
                      <w:color w:val="000000"/>
                      <w:sz w:val="21"/>
                      <w:szCs w:val="21"/>
                    </w:rPr>
                    <w:t>847</w:t>
                  </w:r>
                </w:p>
              </w:tc>
              <w:tc>
                <w:tcPr>
                  <w:tcW w:w="1843" w:type="dxa"/>
                  <w:tcBorders>
                    <w:top w:val="nil"/>
                    <w:left w:val="nil"/>
                    <w:bottom w:val="single" w:sz="8" w:space="0" w:color="8EAADB"/>
                    <w:right w:val="single" w:sz="8" w:space="0" w:color="8EAADB"/>
                  </w:tcBorders>
                  <w:shd w:val="clear" w:color="auto" w:fill="auto"/>
                  <w:vAlign w:val="center"/>
                  <w:hideMark/>
                </w:tcPr>
                <w:p w14:paraId="142B326C" w14:textId="71ED5AD5" w:rsidR="005D61A8" w:rsidRPr="006B5DAF" w:rsidRDefault="001942B9" w:rsidP="006B5DAF">
                  <w:pPr>
                    <w:jc w:val="right"/>
                    <w:rPr>
                      <w:rFonts w:ascii="Times New Roman" w:hAnsi="Times New Roman"/>
                      <w:color w:val="000000"/>
                      <w:sz w:val="21"/>
                      <w:szCs w:val="21"/>
                    </w:rPr>
                  </w:pPr>
                  <w:r>
                    <w:rPr>
                      <w:rFonts w:ascii="Times New Roman" w:hAnsi="Times New Roman"/>
                      <w:color w:val="000000"/>
                      <w:sz w:val="21"/>
                      <w:szCs w:val="21"/>
                    </w:rPr>
                    <w:t>145 000 000</w:t>
                  </w:r>
                  <w:r w:rsidR="005D61A8" w:rsidRPr="006B5DAF">
                    <w:rPr>
                      <w:rFonts w:ascii="Times New Roman" w:hAnsi="Times New Roman"/>
                      <w:color w:val="000000"/>
                      <w:sz w:val="21"/>
                      <w:szCs w:val="21"/>
                    </w:rPr>
                    <w:t xml:space="preserve"> </w:t>
                  </w:r>
                </w:p>
              </w:tc>
            </w:tr>
            <w:tr w:rsidR="007E7A6C" w:rsidRPr="005D61A8" w14:paraId="51C3277D" w14:textId="77777777" w:rsidTr="006B5DAF">
              <w:trPr>
                <w:trHeight w:val="300"/>
              </w:trPr>
              <w:tc>
                <w:tcPr>
                  <w:tcW w:w="500" w:type="dxa"/>
                  <w:tcBorders>
                    <w:top w:val="nil"/>
                    <w:left w:val="single" w:sz="8" w:space="0" w:color="8EAADB"/>
                    <w:bottom w:val="single" w:sz="8" w:space="0" w:color="8EAADB"/>
                    <w:right w:val="single" w:sz="8" w:space="0" w:color="8EAADB"/>
                  </w:tcBorders>
                  <w:shd w:val="clear" w:color="auto" w:fill="auto"/>
                  <w:noWrap/>
                  <w:vAlign w:val="center"/>
                  <w:hideMark/>
                </w:tcPr>
                <w:p w14:paraId="49310F52" w14:textId="77777777" w:rsidR="005D61A8" w:rsidRPr="006B5DAF" w:rsidRDefault="005D61A8" w:rsidP="006B5DAF">
                  <w:pPr>
                    <w:jc w:val="right"/>
                    <w:rPr>
                      <w:rFonts w:ascii="Times New Roman" w:hAnsi="Times New Roman"/>
                      <w:color w:val="000000"/>
                      <w:sz w:val="21"/>
                      <w:szCs w:val="21"/>
                    </w:rPr>
                  </w:pPr>
                  <w:r w:rsidRPr="006B5DAF">
                    <w:rPr>
                      <w:rFonts w:ascii="Times New Roman" w:hAnsi="Times New Roman"/>
                      <w:color w:val="000000"/>
                      <w:sz w:val="21"/>
                      <w:szCs w:val="21"/>
                    </w:rPr>
                    <w:t>2</w:t>
                  </w:r>
                </w:p>
              </w:tc>
              <w:tc>
                <w:tcPr>
                  <w:tcW w:w="6100" w:type="dxa"/>
                  <w:tcBorders>
                    <w:top w:val="nil"/>
                    <w:left w:val="nil"/>
                    <w:bottom w:val="single" w:sz="8" w:space="0" w:color="8EAADB"/>
                    <w:right w:val="single" w:sz="8" w:space="0" w:color="8EAADB"/>
                  </w:tcBorders>
                  <w:shd w:val="clear" w:color="auto" w:fill="auto"/>
                  <w:noWrap/>
                  <w:vAlign w:val="center"/>
                  <w:hideMark/>
                </w:tcPr>
                <w:p w14:paraId="7A258AF0" w14:textId="3296CF9D" w:rsidR="005D61A8" w:rsidRPr="006B5DAF" w:rsidRDefault="005D61A8" w:rsidP="006B5DAF">
                  <w:pPr>
                    <w:rPr>
                      <w:rFonts w:ascii="Times New Roman" w:hAnsi="Times New Roman"/>
                      <w:color w:val="000000"/>
                      <w:sz w:val="21"/>
                      <w:szCs w:val="21"/>
                    </w:rPr>
                  </w:pPr>
                  <w:r w:rsidRPr="006B5DAF">
                    <w:rPr>
                      <w:rFonts w:ascii="Times New Roman" w:hAnsi="Times New Roman"/>
                      <w:color w:val="000000"/>
                      <w:sz w:val="21"/>
                      <w:szCs w:val="21"/>
                    </w:rPr>
                    <w:t>Odbudowa budowli regulacyjnych na Dolnej Wiśle w km 847</w:t>
                  </w:r>
                  <w:r w:rsidR="009F099E">
                    <w:rPr>
                      <w:rFonts w:ascii="Times New Roman" w:hAnsi="Times New Roman"/>
                      <w:color w:val="000000"/>
                      <w:sz w:val="21"/>
                      <w:szCs w:val="21"/>
                    </w:rPr>
                    <w:t>–</w:t>
                  </w:r>
                  <w:r w:rsidRPr="006B5DAF">
                    <w:rPr>
                      <w:rFonts w:ascii="Times New Roman" w:hAnsi="Times New Roman"/>
                      <w:color w:val="000000"/>
                      <w:sz w:val="21"/>
                      <w:szCs w:val="21"/>
                    </w:rPr>
                    <w:t>772</w:t>
                  </w:r>
                </w:p>
              </w:tc>
              <w:tc>
                <w:tcPr>
                  <w:tcW w:w="1843" w:type="dxa"/>
                  <w:tcBorders>
                    <w:top w:val="nil"/>
                    <w:left w:val="nil"/>
                    <w:bottom w:val="single" w:sz="8" w:space="0" w:color="8EAADB"/>
                    <w:right w:val="single" w:sz="8" w:space="0" w:color="8EAADB"/>
                  </w:tcBorders>
                  <w:shd w:val="clear" w:color="auto" w:fill="auto"/>
                  <w:vAlign w:val="center"/>
                  <w:hideMark/>
                </w:tcPr>
                <w:p w14:paraId="0D500457" w14:textId="5FA3668A" w:rsidR="005D61A8" w:rsidRPr="006B5DAF" w:rsidRDefault="001942B9" w:rsidP="006B5DAF">
                  <w:pPr>
                    <w:jc w:val="right"/>
                    <w:rPr>
                      <w:rFonts w:ascii="Times New Roman" w:hAnsi="Times New Roman"/>
                      <w:color w:val="000000"/>
                      <w:sz w:val="21"/>
                      <w:szCs w:val="21"/>
                    </w:rPr>
                  </w:pPr>
                  <w:r>
                    <w:rPr>
                      <w:rFonts w:ascii="Times New Roman" w:hAnsi="Times New Roman"/>
                      <w:color w:val="000000"/>
                      <w:sz w:val="21"/>
                      <w:szCs w:val="21"/>
                    </w:rPr>
                    <w:t>207 500 000</w:t>
                  </w:r>
                  <w:r w:rsidR="005D61A8" w:rsidRPr="006B5DAF">
                    <w:rPr>
                      <w:rFonts w:ascii="Times New Roman" w:hAnsi="Times New Roman"/>
                      <w:color w:val="000000"/>
                      <w:sz w:val="21"/>
                      <w:szCs w:val="21"/>
                    </w:rPr>
                    <w:t xml:space="preserve"> </w:t>
                  </w:r>
                </w:p>
              </w:tc>
            </w:tr>
            <w:tr w:rsidR="005D61A8" w:rsidRPr="005D61A8" w14:paraId="3E23249D" w14:textId="77777777" w:rsidTr="006B5DAF">
              <w:trPr>
                <w:trHeight w:val="300"/>
              </w:trPr>
              <w:tc>
                <w:tcPr>
                  <w:tcW w:w="500" w:type="dxa"/>
                  <w:tcBorders>
                    <w:top w:val="nil"/>
                    <w:left w:val="single" w:sz="8" w:space="0" w:color="8EAADB"/>
                    <w:bottom w:val="single" w:sz="8" w:space="0" w:color="8EAADB"/>
                    <w:right w:val="single" w:sz="8" w:space="0" w:color="8EAADB"/>
                  </w:tcBorders>
                  <w:shd w:val="clear" w:color="auto" w:fill="auto"/>
                  <w:noWrap/>
                  <w:vAlign w:val="center"/>
                  <w:hideMark/>
                </w:tcPr>
                <w:p w14:paraId="46CED4DB" w14:textId="77777777" w:rsidR="005D61A8" w:rsidRPr="006B5DAF" w:rsidRDefault="005D61A8" w:rsidP="006B5DAF">
                  <w:pPr>
                    <w:jc w:val="right"/>
                    <w:rPr>
                      <w:rFonts w:ascii="Times New Roman" w:hAnsi="Times New Roman"/>
                      <w:color w:val="000000"/>
                      <w:sz w:val="21"/>
                      <w:szCs w:val="21"/>
                    </w:rPr>
                  </w:pPr>
                  <w:r w:rsidRPr="006B5DAF">
                    <w:rPr>
                      <w:rFonts w:ascii="Times New Roman" w:hAnsi="Times New Roman"/>
                      <w:color w:val="000000"/>
                      <w:sz w:val="21"/>
                      <w:szCs w:val="21"/>
                    </w:rPr>
                    <w:t>3</w:t>
                  </w:r>
                </w:p>
              </w:tc>
              <w:tc>
                <w:tcPr>
                  <w:tcW w:w="6100" w:type="dxa"/>
                  <w:tcBorders>
                    <w:top w:val="nil"/>
                    <w:left w:val="nil"/>
                    <w:bottom w:val="single" w:sz="8" w:space="0" w:color="8EAADB"/>
                    <w:right w:val="single" w:sz="8" w:space="0" w:color="8EAADB"/>
                  </w:tcBorders>
                  <w:shd w:val="clear" w:color="auto" w:fill="auto"/>
                  <w:noWrap/>
                  <w:vAlign w:val="center"/>
                  <w:hideMark/>
                </w:tcPr>
                <w:p w14:paraId="07C8A55C" w14:textId="5E25C6F1" w:rsidR="005D61A8" w:rsidRPr="006B5DAF" w:rsidRDefault="005D61A8" w:rsidP="006B5DAF">
                  <w:pPr>
                    <w:rPr>
                      <w:rFonts w:ascii="Times New Roman" w:hAnsi="Times New Roman"/>
                      <w:color w:val="000000"/>
                      <w:sz w:val="21"/>
                      <w:szCs w:val="21"/>
                    </w:rPr>
                  </w:pPr>
                  <w:r w:rsidRPr="006B5DAF">
                    <w:rPr>
                      <w:rFonts w:ascii="Times New Roman" w:hAnsi="Times New Roman"/>
                      <w:color w:val="000000"/>
                      <w:sz w:val="21"/>
                      <w:szCs w:val="21"/>
                    </w:rPr>
                    <w:t>Odbudowa budowli regulacyjnych na Dolnej Wiśle w km 772</w:t>
                  </w:r>
                  <w:r w:rsidR="009F099E">
                    <w:rPr>
                      <w:rFonts w:ascii="Times New Roman" w:hAnsi="Times New Roman"/>
                      <w:color w:val="000000"/>
                      <w:sz w:val="21"/>
                      <w:szCs w:val="21"/>
                    </w:rPr>
                    <w:t>–</w:t>
                  </w:r>
                  <w:r w:rsidRPr="006B5DAF">
                    <w:rPr>
                      <w:rFonts w:ascii="Times New Roman" w:hAnsi="Times New Roman"/>
                      <w:color w:val="000000"/>
                      <w:sz w:val="21"/>
                      <w:szCs w:val="21"/>
                    </w:rPr>
                    <w:t>718</w:t>
                  </w:r>
                </w:p>
              </w:tc>
              <w:tc>
                <w:tcPr>
                  <w:tcW w:w="1843" w:type="dxa"/>
                  <w:tcBorders>
                    <w:top w:val="nil"/>
                    <w:left w:val="nil"/>
                    <w:bottom w:val="single" w:sz="8" w:space="0" w:color="8EAADB"/>
                    <w:right w:val="single" w:sz="8" w:space="0" w:color="8EAADB"/>
                  </w:tcBorders>
                  <w:shd w:val="clear" w:color="auto" w:fill="auto"/>
                  <w:vAlign w:val="center"/>
                  <w:hideMark/>
                </w:tcPr>
                <w:p w14:paraId="377C7F0F" w14:textId="757A17E4" w:rsidR="005D61A8" w:rsidRPr="006B5DAF" w:rsidRDefault="001942B9" w:rsidP="006B5DAF">
                  <w:pPr>
                    <w:jc w:val="right"/>
                    <w:rPr>
                      <w:rFonts w:ascii="Times New Roman" w:hAnsi="Times New Roman"/>
                      <w:color w:val="000000"/>
                      <w:sz w:val="21"/>
                      <w:szCs w:val="21"/>
                    </w:rPr>
                  </w:pPr>
                  <w:r>
                    <w:rPr>
                      <w:rFonts w:ascii="Times New Roman" w:hAnsi="Times New Roman"/>
                      <w:color w:val="000000"/>
                      <w:sz w:val="21"/>
                      <w:szCs w:val="21"/>
                    </w:rPr>
                    <w:t>207 500 000</w:t>
                  </w:r>
                </w:p>
              </w:tc>
            </w:tr>
            <w:tr w:rsidR="005D61A8" w:rsidRPr="005D61A8" w14:paraId="78107482" w14:textId="77777777" w:rsidTr="006B5DAF">
              <w:trPr>
                <w:trHeight w:val="300"/>
              </w:trPr>
              <w:tc>
                <w:tcPr>
                  <w:tcW w:w="500" w:type="dxa"/>
                  <w:tcBorders>
                    <w:top w:val="nil"/>
                    <w:left w:val="single" w:sz="8" w:space="0" w:color="8EAADB"/>
                    <w:bottom w:val="single" w:sz="8" w:space="0" w:color="8EAADB"/>
                    <w:right w:val="single" w:sz="8" w:space="0" w:color="8EAADB"/>
                  </w:tcBorders>
                  <w:shd w:val="clear" w:color="auto" w:fill="auto"/>
                  <w:noWrap/>
                  <w:vAlign w:val="center"/>
                  <w:hideMark/>
                </w:tcPr>
                <w:p w14:paraId="65405D6B" w14:textId="77777777" w:rsidR="005D61A8" w:rsidRPr="006B5DAF" w:rsidRDefault="005D61A8" w:rsidP="006B5DAF">
                  <w:pPr>
                    <w:jc w:val="right"/>
                    <w:rPr>
                      <w:rFonts w:ascii="Times New Roman" w:hAnsi="Times New Roman"/>
                      <w:color w:val="000000"/>
                      <w:sz w:val="21"/>
                      <w:szCs w:val="21"/>
                    </w:rPr>
                  </w:pPr>
                  <w:r w:rsidRPr="006B5DAF">
                    <w:rPr>
                      <w:rFonts w:ascii="Times New Roman" w:hAnsi="Times New Roman"/>
                      <w:color w:val="000000"/>
                      <w:sz w:val="21"/>
                      <w:szCs w:val="21"/>
                    </w:rPr>
                    <w:t>4</w:t>
                  </w:r>
                </w:p>
              </w:tc>
              <w:tc>
                <w:tcPr>
                  <w:tcW w:w="6100" w:type="dxa"/>
                  <w:tcBorders>
                    <w:top w:val="nil"/>
                    <w:left w:val="nil"/>
                    <w:bottom w:val="single" w:sz="8" w:space="0" w:color="8EAADB"/>
                    <w:right w:val="single" w:sz="8" w:space="0" w:color="8EAADB"/>
                  </w:tcBorders>
                  <w:shd w:val="clear" w:color="auto" w:fill="auto"/>
                  <w:noWrap/>
                  <w:vAlign w:val="center"/>
                  <w:hideMark/>
                </w:tcPr>
                <w:p w14:paraId="714CCF86" w14:textId="77777777" w:rsidR="005D61A8" w:rsidRPr="006B5DAF" w:rsidRDefault="005D61A8" w:rsidP="006B5DAF">
                  <w:pPr>
                    <w:rPr>
                      <w:rFonts w:ascii="Times New Roman" w:hAnsi="Times New Roman"/>
                      <w:color w:val="000000"/>
                      <w:sz w:val="21"/>
                      <w:szCs w:val="21"/>
                    </w:rPr>
                  </w:pPr>
                  <w:r w:rsidRPr="006B5DAF">
                    <w:rPr>
                      <w:rFonts w:ascii="Times New Roman" w:hAnsi="Times New Roman"/>
                      <w:color w:val="000000"/>
                      <w:sz w:val="21"/>
                      <w:szCs w:val="21"/>
                    </w:rPr>
                    <w:t>Pilotażowe wdrożenie RIS Dolnej Wisły</w:t>
                  </w:r>
                </w:p>
              </w:tc>
              <w:tc>
                <w:tcPr>
                  <w:tcW w:w="1843" w:type="dxa"/>
                  <w:tcBorders>
                    <w:top w:val="nil"/>
                    <w:left w:val="nil"/>
                    <w:bottom w:val="single" w:sz="8" w:space="0" w:color="8EAADB"/>
                    <w:right w:val="single" w:sz="8" w:space="0" w:color="8EAADB"/>
                  </w:tcBorders>
                  <w:shd w:val="clear" w:color="auto" w:fill="auto"/>
                  <w:vAlign w:val="center"/>
                  <w:hideMark/>
                </w:tcPr>
                <w:p w14:paraId="2AC238F9" w14:textId="1C3D43FD" w:rsidR="005D61A8" w:rsidRPr="006B5DAF" w:rsidRDefault="005D61A8" w:rsidP="006B5DAF">
                  <w:pPr>
                    <w:jc w:val="right"/>
                    <w:rPr>
                      <w:rFonts w:ascii="Times New Roman" w:hAnsi="Times New Roman"/>
                      <w:color w:val="000000"/>
                      <w:sz w:val="21"/>
                      <w:szCs w:val="21"/>
                    </w:rPr>
                  </w:pPr>
                  <w:r w:rsidRPr="006B5DAF">
                    <w:rPr>
                      <w:rFonts w:ascii="Times New Roman" w:hAnsi="Times New Roman"/>
                      <w:color w:val="000000"/>
                      <w:sz w:val="21"/>
                      <w:szCs w:val="21"/>
                    </w:rPr>
                    <w:t xml:space="preserve">54 000 000 </w:t>
                  </w:r>
                </w:p>
              </w:tc>
            </w:tr>
            <w:tr w:rsidR="00370127" w:rsidRPr="005D61A8" w14:paraId="537D9760" w14:textId="77777777" w:rsidTr="006B5DAF">
              <w:trPr>
                <w:trHeight w:val="300"/>
              </w:trPr>
              <w:tc>
                <w:tcPr>
                  <w:tcW w:w="500" w:type="dxa"/>
                  <w:tcBorders>
                    <w:top w:val="nil"/>
                    <w:left w:val="single" w:sz="8" w:space="0" w:color="8EAADB"/>
                    <w:bottom w:val="single" w:sz="8" w:space="0" w:color="8EAADB"/>
                    <w:right w:val="single" w:sz="8" w:space="0" w:color="8EAADB"/>
                  </w:tcBorders>
                  <w:shd w:val="clear" w:color="auto" w:fill="auto"/>
                  <w:noWrap/>
                  <w:vAlign w:val="center"/>
                </w:tcPr>
                <w:p w14:paraId="7DBFF9A9" w14:textId="14252BF3" w:rsidR="00370127" w:rsidRPr="006B5DAF" w:rsidRDefault="00370127" w:rsidP="006B5DAF">
                  <w:pPr>
                    <w:jc w:val="right"/>
                    <w:rPr>
                      <w:rFonts w:ascii="Times New Roman" w:hAnsi="Times New Roman"/>
                      <w:color w:val="000000"/>
                      <w:sz w:val="21"/>
                      <w:szCs w:val="21"/>
                    </w:rPr>
                  </w:pPr>
                  <w:r>
                    <w:rPr>
                      <w:rFonts w:ascii="Times New Roman" w:hAnsi="Times New Roman"/>
                      <w:color w:val="000000"/>
                      <w:sz w:val="21"/>
                      <w:szCs w:val="21"/>
                    </w:rPr>
                    <w:t>5</w:t>
                  </w:r>
                </w:p>
              </w:tc>
              <w:tc>
                <w:tcPr>
                  <w:tcW w:w="6100" w:type="dxa"/>
                  <w:tcBorders>
                    <w:top w:val="nil"/>
                    <w:left w:val="nil"/>
                    <w:bottom w:val="single" w:sz="8" w:space="0" w:color="8EAADB"/>
                    <w:right w:val="single" w:sz="8" w:space="0" w:color="8EAADB"/>
                  </w:tcBorders>
                  <w:shd w:val="clear" w:color="auto" w:fill="auto"/>
                  <w:noWrap/>
                  <w:vAlign w:val="center"/>
                </w:tcPr>
                <w:p w14:paraId="48D9CFCA" w14:textId="33F86184" w:rsidR="00370127" w:rsidRPr="006B5DAF" w:rsidRDefault="00370127" w:rsidP="006B5DAF">
                  <w:pPr>
                    <w:rPr>
                      <w:rFonts w:ascii="Times New Roman" w:hAnsi="Times New Roman"/>
                      <w:color w:val="000000"/>
                      <w:sz w:val="21"/>
                      <w:szCs w:val="21"/>
                    </w:rPr>
                  </w:pPr>
                  <w:r w:rsidRPr="001942B9">
                    <w:rPr>
                      <w:rFonts w:ascii="Times New Roman" w:hAnsi="Times New Roman"/>
                      <w:color w:val="000000"/>
                      <w:sz w:val="21"/>
                      <w:szCs w:val="21"/>
                    </w:rPr>
                    <w:t xml:space="preserve">Dokumentacja projektowa dla inwestycji pn. </w:t>
                  </w:r>
                  <w:r w:rsidRPr="001942B9">
                    <w:rPr>
                      <w:rFonts w:ascii="Times New Roman" w:hAnsi="Times New Roman"/>
                      <w:i/>
                      <w:color w:val="000000"/>
                      <w:sz w:val="21"/>
                      <w:szCs w:val="21"/>
                    </w:rPr>
                    <w:t>Budowa nabrzeża przeładunkowego na Wiśle w Solcu Kujawskim</w:t>
                  </w:r>
                </w:p>
              </w:tc>
              <w:tc>
                <w:tcPr>
                  <w:tcW w:w="1843" w:type="dxa"/>
                  <w:tcBorders>
                    <w:top w:val="nil"/>
                    <w:left w:val="nil"/>
                    <w:bottom w:val="single" w:sz="8" w:space="0" w:color="8EAADB"/>
                    <w:right w:val="single" w:sz="8" w:space="0" w:color="8EAADB"/>
                  </w:tcBorders>
                  <w:shd w:val="clear" w:color="auto" w:fill="auto"/>
                  <w:vAlign w:val="center"/>
                </w:tcPr>
                <w:p w14:paraId="67055AE9" w14:textId="4D50FDE3" w:rsidR="00370127" w:rsidRPr="006B5DAF" w:rsidRDefault="00370127" w:rsidP="006B5DAF">
                  <w:pPr>
                    <w:jc w:val="right"/>
                    <w:rPr>
                      <w:rFonts w:ascii="Times New Roman" w:hAnsi="Times New Roman"/>
                      <w:color w:val="000000"/>
                      <w:sz w:val="21"/>
                      <w:szCs w:val="21"/>
                    </w:rPr>
                  </w:pPr>
                  <w:r w:rsidRPr="00370127">
                    <w:rPr>
                      <w:rFonts w:ascii="Times New Roman" w:hAnsi="Times New Roman"/>
                      <w:color w:val="000000"/>
                      <w:sz w:val="21"/>
                      <w:szCs w:val="21"/>
                    </w:rPr>
                    <w:t>13 530 000</w:t>
                  </w:r>
                </w:p>
              </w:tc>
            </w:tr>
            <w:tr w:rsidR="005D61A8" w:rsidRPr="005D61A8" w14:paraId="2A1B4185" w14:textId="77777777" w:rsidTr="006B5DAF">
              <w:trPr>
                <w:trHeight w:val="300"/>
              </w:trPr>
              <w:tc>
                <w:tcPr>
                  <w:tcW w:w="6600" w:type="dxa"/>
                  <w:gridSpan w:val="2"/>
                  <w:tcBorders>
                    <w:top w:val="single" w:sz="8" w:space="0" w:color="8EAADB"/>
                    <w:left w:val="single" w:sz="8" w:space="0" w:color="8EAADB"/>
                    <w:bottom w:val="single" w:sz="8" w:space="0" w:color="8EAADB"/>
                    <w:right w:val="single" w:sz="8" w:space="0" w:color="8EAADB"/>
                  </w:tcBorders>
                  <w:shd w:val="clear" w:color="000000" w:fill="D9E2F3"/>
                  <w:noWrap/>
                  <w:vAlign w:val="center"/>
                  <w:hideMark/>
                </w:tcPr>
                <w:p w14:paraId="2A528714" w14:textId="77777777" w:rsidR="005D61A8" w:rsidRPr="00B90B3B" w:rsidRDefault="005D61A8" w:rsidP="005D61A8">
                  <w:pPr>
                    <w:spacing w:line="240" w:lineRule="auto"/>
                    <w:jc w:val="right"/>
                    <w:rPr>
                      <w:rFonts w:ascii="Times New Roman" w:eastAsia="Times New Roman" w:hAnsi="Times New Roman"/>
                      <w:b/>
                      <w:bCs/>
                      <w:color w:val="000000"/>
                      <w:sz w:val="21"/>
                      <w:szCs w:val="21"/>
                      <w:lang w:eastAsia="pl-PL"/>
                    </w:rPr>
                  </w:pPr>
                  <w:r w:rsidRPr="00B90B3B">
                    <w:rPr>
                      <w:rFonts w:ascii="Times New Roman" w:eastAsia="Times New Roman" w:hAnsi="Times New Roman"/>
                      <w:b/>
                      <w:bCs/>
                      <w:color w:val="000000"/>
                      <w:sz w:val="21"/>
                      <w:szCs w:val="21"/>
                      <w:lang w:eastAsia="pl-PL"/>
                    </w:rPr>
                    <w:t>Łącznie (zł)</w:t>
                  </w:r>
                </w:p>
              </w:tc>
              <w:tc>
                <w:tcPr>
                  <w:tcW w:w="1843" w:type="dxa"/>
                  <w:tcBorders>
                    <w:top w:val="nil"/>
                    <w:left w:val="nil"/>
                    <w:bottom w:val="single" w:sz="8" w:space="0" w:color="8EAADB"/>
                    <w:right w:val="single" w:sz="8" w:space="0" w:color="8EAADB"/>
                  </w:tcBorders>
                  <w:shd w:val="clear" w:color="000000" w:fill="D9E2F3"/>
                  <w:vAlign w:val="center"/>
                  <w:hideMark/>
                </w:tcPr>
                <w:p w14:paraId="3B14DAD0" w14:textId="663ADBDF" w:rsidR="005D61A8" w:rsidRPr="006B5DAF" w:rsidRDefault="001942B9" w:rsidP="006B5DAF">
                  <w:pPr>
                    <w:jc w:val="right"/>
                    <w:rPr>
                      <w:rFonts w:ascii="Times New Roman" w:hAnsi="Times New Roman"/>
                      <w:b/>
                      <w:color w:val="000000"/>
                      <w:sz w:val="21"/>
                      <w:szCs w:val="21"/>
                    </w:rPr>
                  </w:pPr>
                  <w:r>
                    <w:rPr>
                      <w:rFonts w:ascii="Times New Roman" w:hAnsi="Times New Roman"/>
                      <w:b/>
                      <w:color w:val="000000"/>
                      <w:sz w:val="21"/>
                      <w:szCs w:val="21"/>
                    </w:rPr>
                    <w:t>627 530 000</w:t>
                  </w:r>
                </w:p>
              </w:tc>
            </w:tr>
          </w:tbl>
          <w:p w14:paraId="015FA2BA" w14:textId="69527CA1" w:rsidR="007E7A6C" w:rsidRDefault="007E7A6C" w:rsidP="008D25B2">
            <w:pPr>
              <w:spacing w:after="120" w:line="240" w:lineRule="auto"/>
              <w:jc w:val="both"/>
              <w:rPr>
                <w:rFonts w:ascii="Times New Roman" w:hAnsi="Times New Roman"/>
                <w:color w:val="000000"/>
                <w:sz w:val="21"/>
                <w:szCs w:val="21"/>
              </w:rPr>
            </w:pPr>
          </w:p>
          <w:p w14:paraId="5AE25D5F" w14:textId="5D618FDC" w:rsidR="0090559D" w:rsidRDefault="00987EEA" w:rsidP="008D25B2">
            <w:pPr>
              <w:spacing w:after="120" w:line="240" w:lineRule="auto"/>
              <w:jc w:val="both"/>
              <w:rPr>
                <w:rFonts w:ascii="Times New Roman" w:hAnsi="Times New Roman"/>
                <w:color w:val="000000"/>
                <w:sz w:val="21"/>
                <w:szCs w:val="21"/>
              </w:rPr>
            </w:pPr>
            <w:r>
              <w:rPr>
                <w:rFonts w:ascii="Times New Roman" w:hAnsi="Times New Roman"/>
                <w:color w:val="000000"/>
                <w:sz w:val="21"/>
                <w:szCs w:val="21"/>
              </w:rPr>
              <w:t>W</w:t>
            </w:r>
            <w:r w:rsidR="0090559D">
              <w:rPr>
                <w:rFonts w:ascii="Times New Roman" w:hAnsi="Times New Roman"/>
                <w:color w:val="000000"/>
                <w:sz w:val="21"/>
                <w:szCs w:val="21"/>
              </w:rPr>
              <w:t>szystkie i</w:t>
            </w:r>
            <w:r w:rsidR="00381215">
              <w:rPr>
                <w:rFonts w:ascii="Times New Roman" w:hAnsi="Times New Roman"/>
                <w:color w:val="000000"/>
                <w:sz w:val="21"/>
                <w:szCs w:val="21"/>
              </w:rPr>
              <w:t xml:space="preserve">nwestycje wskazane </w:t>
            </w:r>
            <w:r w:rsidR="00941CB9">
              <w:rPr>
                <w:rFonts w:ascii="Times New Roman" w:hAnsi="Times New Roman"/>
                <w:color w:val="000000"/>
                <w:sz w:val="21"/>
                <w:szCs w:val="21"/>
              </w:rPr>
              <w:t xml:space="preserve">na indykatywnej </w:t>
            </w:r>
            <w:r w:rsidR="00381215">
              <w:rPr>
                <w:rFonts w:ascii="Times New Roman" w:hAnsi="Times New Roman"/>
                <w:color w:val="000000"/>
                <w:sz w:val="21"/>
                <w:szCs w:val="21"/>
              </w:rPr>
              <w:t>liście projektów</w:t>
            </w:r>
            <w:r w:rsidR="00941CB9">
              <w:rPr>
                <w:rFonts w:ascii="Times New Roman" w:hAnsi="Times New Roman"/>
                <w:color w:val="000000"/>
                <w:sz w:val="21"/>
                <w:szCs w:val="21"/>
              </w:rPr>
              <w:t xml:space="preserve"> KPŻ2030</w:t>
            </w:r>
            <w:r w:rsidR="00B95199">
              <w:rPr>
                <w:rFonts w:ascii="Times New Roman" w:hAnsi="Times New Roman"/>
                <w:color w:val="000000"/>
                <w:sz w:val="21"/>
                <w:szCs w:val="21"/>
              </w:rPr>
              <w:t>, będące w zakresie właściwości administracji drogi wodnej,</w:t>
            </w:r>
            <w:r w:rsidR="00381215">
              <w:rPr>
                <w:rFonts w:ascii="Times New Roman" w:hAnsi="Times New Roman"/>
                <w:color w:val="000000"/>
                <w:sz w:val="21"/>
                <w:szCs w:val="21"/>
              </w:rPr>
              <w:t xml:space="preserve"> zostaną uwzględnione w</w:t>
            </w:r>
            <w:r w:rsidR="0039711E">
              <w:rPr>
                <w:rFonts w:ascii="Times New Roman" w:hAnsi="Times New Roman"/>
                <w:color w:val="000000"/>
                <w:sz w:val="21"/>
                <w:szCs w:val="21"/>
              </w:rPr>
              <w:t xml:space="preserve"> </w:t>
            </w:r>
            <w:r w:rsidR="00381215">
              <w:rPr>
                <w:rFonts w:ascii="Times New Roman" w:hAnsi="Times New Roman"/>
                <w:color w:val="000000"/>
                <w:sz w:val="21"/>
                <w:szCs w:val="21"/>
              </w:rPr>
              <w:t>planach inwestycyjnych PGW WP, o którym w art. 240 ustawy</w:t>
            </w:r>
            <w:r w:rsidR="009F099E">
              <w:rPr>
                <w:rFonts w:ascii="Times New Roman" w:hAnsi="Times New Roman"/>
                <w:color w:val="000000"/>
                <w:sz w:val="21"/>
                <w:szCs w:val="21"/>
              </w:rPr>
              <w:t xml:space="preserve"> z dnia 20 lipca 2017 r. –</w:t>
            </w:r>
            <w:r w:rsidR="00381215">
              <w:rPr>
                <w:rFonts w:ascii="Times New Roman" w:hAnsi="Times New Roman"/>
                <w:color w:val="000000"/>
                <w:sz w:val="21"/>
                <w:szCs w:val="21"/>
              </w:rPr>
              <w:t xml:space="preserve"> </w:t>
            </w:r>
            <w:r w:rsidR="00381215" w:rsidRPr="009F099E">
              <w:rPr>
                <w:rFonts w:ascii="Times New Roman" w:hAnsi="Times New Roman"/>
                <w:i/>
                <w:color w:val="000000"/>
                <w:sz w:val="21"/>
                <w:szCs w:val="21"/>
              </w:rPr>
              <w:t>Prawo wodne</w:t>
            </w:r>
            <w:r w:rsidR="009F099E">
              <w:rPr>
                <w:rFonts w:ascii="Times New Roman" w:hAnsi="Times New Roman"/>
                <w:color w:val="000000"/>
                <w:sz w:val="21"/>
                <w:szCs w:val="21"/>
              </w:rPr>
              <w:t xml:space="preserve"> (Dz. U. z 2022 r. poz. 2625, z</w:t>
            </w:r>
            <w:r w:rsidR="00165398">
              <w:rPr>
                <w:rFonts w:ascii="Times New Roman" w:hAnsi="Times New Roman"/>
                <w:color w:val="000000"/>
                <w:sz w:val="21"/>
                <w:szCs w:val="21"/>
              </w:rPr>
              <w:t> </w:t>
            </w:r>
            <w:proofErr w:type="spellStart"/>
            <w:r w:rsidR="009F099E">
              <w:rPr>
                <w:rFonts w:ascii="Times New Roman" w:hAnsi="Times New Roman"/>
                <w:color w:val="000000"/>
                <w:sz w:val="21"/>
                <w:szCs w:val="21"/>
              </w:rPr>
              <w:t>pó</w:t>
            </w:r>
            <w:r w:rsidR="00165398">
              <w:rPr>
                <w:rFonts w:ascii="Times New Roman" w:hAnsi="Times New Roman"/>
                <w:color w:val="000000"/>
                <w:sz w:val="21"/>
                <w:szCs w:val="21"/>
              </w:rPr>
              <w:t>ź</w:t>
            </w:r>
            <w:r w:rsidR="009F099E">
              <w:rPr>
                <w:rFonts w:ascii="Times New Roman" w:hAnsi="Times New Roman"/>
                <w:color w:val="000000"/>
                <w:sz w:val="21"/>
                <w:szCs w:val="21"/>
              </w:rPr>
              <w:t>n</w:t>
            </w:r>
            <w:proofErr w:type="spellEnd"/>
            <w:r w:rsidR="009F099E">
              <w:rPr>
                <w:rFonts w:ascii="Times New Roman" w:hAnsi="Times New Roman"/>
                <w:color w:val="000000"/>
                <w:sz w:val="21"/>
                <w:szCs w:val="21"/>
              </w:rPr>
              <w:t>. zm.)</w:t>
            </w:r>
            <w:r w:rsidR="00381215">
              <w:rPr>
                <w:rFonts w:ascii="Times New Roman" w:hAnsi="Times New Roman"/>
                <w:color w:val="000000"/>
                <w:sz w:val="21"/>
                <w:szCs w:val="21"/>
              </w:rPr>
              <w:t>. Plany te podlegają uzgodnieniu z ministrem właściwym d</w:t>
            </w:r>
            <w:r w:rsidR="003B13F7">
              <w:rPr>
                <w:rFonts w:ascii="Times New Roman" w:hAnsi="Times New Roman"/>
                <w:color w:val="000000"/>
                <w:sz w:val="21"/>
                <w:szCs w:val="21"/>
              </w:rPr>
              <w:t>o spraw</w:t>
            </w:r>
            <w:r w:rsidR="00381215">
              <w:rPr>
                <w:rFonts w:ascii="Times New Roman" w:hAnsi="Times New Roman"/>
                <w:color w:val="000000"/>
                <w:sz w:val="21"/>
                <w:szCs w:val="21"/>
              </w:rPr>
              <w:t xml:space="preserve"> żeglugi śródlądowej</w:t>
            </w:r>
            <w:r w:rsidR="001942B9">
              <w:rPr>
                <w:rFonts w:ascii="Times New Roman" w:hAnsi="Times New Roman"/>
                <w:color w:val="000000"/>
                <w:sz w:val="21"/>
                <w:szCs w:val="21"/>
              </w:rPr>
              <w:t>.</w:t>
            </w:r>
            <w:r w:rsidR="0039711E">
              <w:rPr>
                <w:rFonts w:ascii="Times New Roman" w:hAnsi="Times New Roman"/>
                <w:color w:val="000000"/>
                <w:sz w:val="21"/>
                <w:szCs w:val="21"/>
              </w:rPr>
              <w:t xml:space="preserve"> </w:t>
            </w:r>
          </w:p>
          <w:p w14:paraId="0B5B02EF" w14:textId="032C4EB9" w:rsidR="00381215" w:rsidRDefault="00381215" w:rsidP="008D25B2">
            <w:pPr>
              <w:spacing w:after="120" w:line="240" w:lineRule="auto"/>
              <w:jc w:val="both"/>
              <w:rPr>
                <w:rFonts w:ascii="Times New Roman" w:hAnsi="Times New Roman"/>
                <w:color w:val="000000"/>
                <w:sz w:val="21"/>
                <w:szCs w:val="21"/>
              </w:rPr>
            </w:pPr>
            <w:r w:rsidRPr="0013118F">
              <w:rPr>
                <w:rFonts w:ascii="Times New Roman" w:hAnsi="Times New Roman"/>
                <w:color w:val="000000"/>
                <w:sz w:val="21"/>
                <w:szCs w:val="21"/>
              </w:rPr>
              <w:t>Dodatkowo</w:t>
            </w:r>
            <w:r>
              <w:rPr>
                <w:rFonts w:ascii="Times New Roman" w:hAnsi="Times New Roman"/>
                <w:color w:val="000000"/>
                <w:sz w:val="21"/>
                <w:szCs w:val="21"/>
              </w:rPr>
              <w:t xml:space="preserve"> </w:t>
            </w:r>
            <w:r w:rsidRPr="0013118F">
              <w:rPr>
                <w:rFonts w:ascii="Times New Roman" w:hAnsi="Times New Roman"/>
                <w:color w:val="000000"/>
                <w:sz w:val="21"/>
                <w:szCs w:val="21"/>
              </w:rPr>
              <w:t>zakłada się, że utrzymanie infrastruktury transportowej śródlądowych dróg wodnych będzie finansowane również ze środków własnych Wód Polskich</w:t>
            </w:r>
            <w:r>
              <w:rPr>
                <w:rFonts w:ascii="Times New Roman" w:hAnsi="Times New Roman"/>
                <w:color w:val="000000"/>
                <w:sz w:val="21"/>
                <w:szCs w:val="21"/>
              </w:rPr>
              <w:t xml:space="preserve"> w ramach Programów utrzymania, o których mowa w art. 240</w:t>
            </w:r>
            <w:r w:rsidR="00802168">
              <w:rPr>
                <w:rFonts w:ascii="Times New Roman" w:hAnsi="Times New Roman"/>
                <w:color w:val="000000"/>
                <w:sz w:val="21"/>
                <w:szCs w:val="21"/>
              </w:rPr>
              <w:t xml:space="preserve"> ustawy</w:t>
            </w:r>
            <w:r>
              <w:rPr>
                <w:rFonts w:ascii="Times New Roman" w:hAnsi="Times New Roman"/>
                <w:color w:val="000000"/>
                <w:sz w:val="21"/>
                <w:szCs w:val="21"/>
              </w:rPr>
              <w:t xml:space="preserve"> </w:t>
            </w:r>
            <w:r w:rsidR="009F099E">
              <w:rPr>
                <w:rFonts w:ascii="Times New Roman" w:hAnsi="Times New Roman"/>
                <w:color w:val="000000"/>
                <w:sz w:val="21"/>
                <w:szCs w:val="21"/>
              </w:rPr>
              <w:t xml:space="preserve">z dnia 20 lipca 2017 r. – </w:t>
            </w:r>
            <w:r w:rsidRPr="009F099E">
              <w:rPr>
                <w:rFonts w:ascii="Times New Roman" w:hAnsi="Times New Roman"/>
                <w:i/>
                <w:color w:val="000000"/>
                <w:sz w:val="21"/>
                <w:szCs w:val="21"/>
              </w:rPr>
              <w:t>Prawo wodne</w:t>
            </w:r>
            <w:r>
              <w:rPr>
                <w:rFonts w:ascii="Times New Roman" w:hAnsi="Times New Roman"/>
                <w:color w:val="000000"/>
                <w:sz w:val="21"/>
                <w:szCs w:val="21"/>
              </w:rPr>
              <w:t xml:space="preserve">, uzgadnianych również z ministrem ds. żeglugi śródlądowej. </w:t>
            </w:r>
          </w:p>
          <w:p w14:paraId="62B65529" w14:textId="42BAEEA4" w:rsidR="00771BD6" w:rsidRPr="0013118F" w:rsidRDefault="00B61C35" w:rsidP="008D25B2">
            <w:pPr>
              <w:spacing w:after="120" w:line="240" w:lineRule="auto"/>
              <w:jc w:val="both"/>
              <w:rPr>
                <w:rFonts w:ascii="Times New Roman" w:hAnsi="Times New Roman"/>
                <w:color w:val="000000"/>
                <w:sz w:val="21"/>
                <w:szCs w:val="21"/>
              </w:rPr>
            </w:pPr>
            <w:r w:rsidRPr="00B61C35">
              <w:rPr>
                <w:rFonts w:ascii="Times New Roman" w:hAnsi="Times New Roman"/>
                <w:color w:val="000000"/>
                <w:sz w:val="21"/>
                <w:szCs w:val="21"/>
              </w:rPr>
              <w:t>Obecnie trwają prace przygotowawcze obejmujące zaprojektowanie montażu finansowego pozwalającego na realizację zadania polegającego na przygotowaniu dokumentacji projektowej dla inwestycji pn. Budowa nabrzeża przeładunkowego na Wiśle w Solcu Kujawskim.</w:t>
            </w:r>
            <w:r w:rsidR="00771BD6" w:rsidRPr="00771BD6">
              <w:rPr>
                <w:rFonts w:ascii="Times New Roman" w:hAnsi="Times New Roman"/>
                <w:color w:val="000000"/>
                <w:sz w:val="21"/>
                <w:szCs w:val="21"/>
              </w:rPr>
              <w:t xml:space="preserve"> </w:t>
            </w:r>
          </w:p>
          <w:p w14:paraId="2A665E8A" w14:textId="639CC5CB" w:rsidR="00381215" w:rsidRPr="0013118F" w:rsidRDefault="00381215" w:rsidP="00014395">
            <w:pPr>
              <w:spacing w:after="120" w:line="240" w:lineRule="auto"/>
              <w:jc w:val="both"/>
              <w:rPr>
                <w:rFonts w:ascii="Times New Roman" w:hAnsi="Times New Roman"/>
                <w:color w:val="000000"/>
                <w:sz w:val="21"/>
                <w:szCs w:val="21"/>
              </w:rPr>
            </w:pPr>
            <w:r w:rsidRPr="0013118F">
              <w:rPr>
                <w:rFonts w:ascii="Times New Roman" w:hAnsi="Times New Roman"/>
                <w:color w:val="000000"/>
                <w:sz w:val="21"/>
                <w:szCs w:val="21"/>
              </w:rPr>
              <w:t>Działania o charakterze</w:t>
            </w:r>
            <w:r>
              <w:rPr>
                <w:rFonts w:ascii="Times New Roman" w:hAnsi="Times New Roman"/>
                <w:color w:val="000000"/>
                <w:sz w:val="21"/>
                <w:szCs w:val="21"/>
              </w:rPr>
              <w:t xml:space="preserve"> sektorowym -</w:t>
            </w:r>
            <w:r w:rsidRPr="0013118F">
              <w:rPr>
                <w:rFonts w:ascii="Times New Roman" w:hAnsi="Times New Roman"/>
                <w:color w:val="000000"/>
                <w:sz w:val="21"/>
                <w:szCs w:val="21"/>
              </w:rPr>
              <w:t xml:space="preserve"> programow</w:t>
            </w:r>
            <w:r>
              <w:rPr>
                <w:rFonts w:ascii="Times New Roman" w:hAnsi="Times New Roman"/>
                <w:color w:val="000000"/>
                <w:sz w:val="21"/>
                <w:szCs w:val="21"/>
              </w:rPr>
              <w:t>e i regulacyjne</w:t>
            </w:r>
            <w:r w:rsidR="00014395">
              <w:rPr>
                <w:rFonts w:ascii="Times New Roman" w:hAnsi="Times New Roman"/>
                <w:color w:val="000000"/>
                <w:sz w:val="21"/>
                <w:szCs w:val="21"/>
              </w:rPr>
              <w:t xml:space="preserve"> (w tym działania </w:t>
            </w:r>
            <w:r w:rsidR="00014395" w:rsidRPr="00014395">
              <w:rPr>
                <w:rFonts w:ascii="Times New Roman" w:hAnsi="Times New Roman"/>
                <w:color w:val="000000"/>
                <w:sz w:val="21"/>
                <w:szCs w:val="21"/>
              </w:rPr>
              <w:t>o charakterze informacyjno-promocyjno-edukacyjnych, działań wspiera</w:t>
            </w:r>
            <w:r w:rsidR="00014395">
              <w:rPr>
                <w:rFonts w:ascii="Times New Roman" w:hAnsi="Times New Roman"/>
                <w:color w:val="000000"/>
                <w:sz w:val="21"/>
                <w:szCs w:val="21"/>
              </w:rPr>
              <w:t>jących armatorów śródlądowych w </w:t>
            </w:r>
            <w:r w:rsidR="00014395" w:rsidRPr="00014395">
              <w:rPr>
                <w:rFonts w:ascii="Times New Roman" w:hAnsi="Times New Roman"/>
                <w:color w:val="000000"/>
                <w:sz w:val="21"/>
                <w:szCs w:val="21"/>
              </w:rPr>
              <w:t>obszarze m.in. modernizacji i rozwoju floty statków, rozwoju innowacyjności w transporcie wodnym śródlądowym</w:t>
            </w:r>
            <w:r w:rsidR="00014395">
              <w:rPr>
                <w:rFonts w:ascii="Times New Roman" w:hAnsi="Times New Roman"/>
                <w:color w:val="000000"/>
                <w:sz w:val="21"/>
                <w:szCs w:val="21"/>
              </w:rPr>
              <w:t>)</w:t>
            </w:r>
            <w:r w:rsidRPr="0013118F">
              <w:rPr>
                <w:rFonts w:ascii="Times New Roman" w:hAnsi="Times New Roman"/>
                <w:color w:val="000000"/>
                <w:sz w:val="21"/>
                <w:szCs w:val="21"/>
              </w:rPr>
              <w:t>, realizowane przez ministra właściwego do spraw żeglugi śródlądowej będą finansowane ze środków budżetu państwa</w:t>
            </w:r>
            <w:r w:rsidR="00014395">
              <w:rPr>
                <w:rFonts w:ascii="Times New Roman" w:hAnsi="Times New Roman"/>
                <w:color w:val="000000"/>
                <w:sz w:val="21"/>
                <w:szCs w:val="21"/>
              </w:rPr>
              <w:t xml:space="preserve">, </w:t>
            </w:r>
            <w:r w:rsidRPr="0013118F">
              <w:rPr>
                <w:rFonts w:ascii="Times New Roman" w:hAnsi="Times New Roman"/>
                <w:color w:val="000000"/>
                <w:sz w:val="21"/>
                <w:szCs w:val="21"/>
              </w:rPr>
              <w:t>w ramach przyznanego corocznie limitu wydatków</w:t>
            </w:r>
            <w:r>
              <w:rPr>
                <w:rFonts w:ascii="Times New Roman" w:hAnsi="Times New Roman"/>
                <w:color w:val="000000"/>
                <w:sz w:val="21"/>
                <w:szCs w:val="21"/>
              </w:rPr>
              <w:t xml:space="preserve"> oraz ze środków Funduszu Żeglugi Śródlądowej – również w ramach corocznych planów finansowych Funduszu. </w:t>
            </w:r>
          </w:p>
          <w:p w14:paraId="47E2E5C8" w14:textId="666F4B7A" w:rsidR="00381215" w:rsidRDefault="00381215" w:rsidP="008D25B2">
            <w:pPr>
              <w:spacing w:after="120" w:line="240" w:lineRule="auto"/>
              <w:jc w:val="both"/>
              <w:rPr>
                <w:rFonts w:ascii="Times New Roman" w:hAnsi="Times New Roman"/>
                <w:color w:val="000000"/>
                <w:sz w:val="21"/>
                <w:szCs w:val="21"/>
              </w:rPr>
            </w:pPr>
            <w:r w:rsidRPr="0013118F">
              <w:rPr>
                <w:rFonts w:ascii="Times New Roman" w:hAnsi="Times New Roman"/>
                <w:color w:val="000000"/>
                <w:sz w:val="21"/>
                <w:szCs w:val="21"/>
              </w:rPr>
              <w:lastRenderedPageBreak/>
              <w:t>Należy podkreślić, że realizacja działań</w:t>
            </w:r>
            <w:r>
              <w:rPr>
                <w:rFonts w:ascii="Times New Roman" w:hAnsi="Times New Roman"/>
                <w:color w:val="000000"/>
                <w:sz w:val="21"/>
                <w:szCs w:val="21"/>
              </w:rPr>
              <w:t xml:space="preserve"> programowych i regulacyjnych</w:t>
            </w:r>
            <w:r w:rsidRPr="0013118F">
              <w:rPr>
                <w:rFonts w:ascii="Times New Roman" w:hAnsi="Times New Roman"/>
                <w:color w:val="000000"/>
                <w:sz w:val="21"/>
                <w:szCs w:val="21"/>
              </w:rPr>
              <w:t xml:space="preserve"> KPŻ2030 nie będzie generować dodatkowych </w:t>
            </w:r>
            <w:r>
              <w:rPr>
                <w:rFonts w:ascii="Times New Roman" w:hAnsi="Times New Roman"/>
                <w:color w:val="000000"/>
                <w:sz w:val="21"/>
                <w:szCs w:val="21"/>
              </w:rPr>
              <w:t>kosztów</w:t>
            </w:r>
            <w:r w:rsidRPr="0013118F">
              <w:rPr>
                <w:rFonts w:ascii="Times New Roman" w:hAnsi="Times New Roman"/>
                <w:color w:val="000000"/>
                <w:sz w:val="21"/>
                <w:szCs w:val="21"/>
              </w:rPr>
              <w:t xml:space="preserve"> finansowych, stanowiących dodatkowe obciążenie budżetu państwa.</w:t>
            </w:r>
            <w:r w:rsidR="00083D1D">
              <w:rPr>
                <w:rFonts w:ascii="Times New Roman" w:hAnsi="Times New Roman"/>
                <w:color w:val="000000"/>
                <w:sz w:val="21"/>
                <w:szCs w:val="21"/>
              </w:rPr>
              <w:t xml:space="preserve"> W ramach przyznanego corocznie limitu należy przewidzieć w roku 2031 poniesienie kosztów związanych z wykonaniem raportu ew</w:t>
            </w:r>
            <w:r w:rsidR="00AB0CC7">
              <w:rPr>
                <w:rFonts w:ascii="Times New Roman" w:hAnsi="Times New Roman"/>
                <w:color w:val="000000"/>
                <w:sz w:val="21"/>
                <w:szCs w:val="21"/>
              </w:rPr>
              <w:t>aluacyjnego w wysokości 0,25 mln zł.</w:t>
            </w:r>
          </w:p>
          <w:p w14:paraId="341D580D" w14:textId="02D8D7CC" w:rsidR="00381215" w:rsidRDefault="00381215" w:rsidP="008D25B2">
            <w:pPr>
              <w:spacing w:after="120" w:line="240" w:lineRule="auto"/>
              <w:contextualSpacing/>
              <w:jc w:val="both"/>
              <w:rPr>
                <w:rFonts w:ascii="Times New Roman" w:hAnsi="Times New Roman"/>
                <w:color w:val="000000"/>
                <w:sz w:val="21"/>
                <w:szCs w:val="21"/>
              </w:rPr>
            </w:pPr>
            <w:r>
              <w:rPr>
                <w:rFonts w:ascii="Times New Roman" w:hAnsi="Times New Roman"/>
                <w:color w:val="000000"/>
                <w:sz w:val="21"/>
                <w:szCs w:val="21"/>
              </w:rPr>
              <w:t>Dodatkowo wzrost transportowego i turystycznego wykorzystania dróg wodnych może przełożyć się na wzrost przychodów z tytułu użytkowania szlaków żeglugowych oraz urządzeń hydrotechnicznych (śluzy i pochylnie). Bazując na dostępnych prognozach pracy przewozowej oraz liczby śluzowań – wykonanych na podstawie modelu ruchu dokonano szacunkowego wzrostu przychodów z tytułu korzystania dróg wodnych wedle poniższego wzoru</w:t>
            </w:r>
            <w:r w:rsidR="00B90B3B">
              <w:rPr>
                <w:rFonts w:ascii="Times New Roman" w:hAnsi="Times New Roman"/>
                <w:color w:val="000000"/>
                <w:sz w:val="21"/>
                <w:szCs w:val="21"/>
              </w:rPr>
              <w:t>:</w:t>
            </w:r>
          </w:p>
          <w:p w14:paraId="2AD87434" w14:textId="742ACC94" w:rsidR="00381215" w:rsidRDefault="00381215" w:rsidP="008D25B2">
            <w:pPr>
              <w:pStyle w:val="Akapitzlist"/>
              <w:numPr>
                <w:ilvl w:val="0"/>
                <w:numId w:val="28"/>
              </w:numPr>
              <w:spacing w:after="120" w:line="240" w:lineRule="auto"/>
              <w:jc w:val="both"/>
              <w:rPr>
                <w:rFonts w:ascii="Times New Roman" w:hAnsi="Times New Roman"/>
                <w:color w:val="000000"/>
                <w:sz w:val="21"/>
                <w:szCs w:val="21"/>
              </w:rPr>
            </w:pPr>
            <w:r>
              <w:rPr>
                <w:rFonts w:ascii="Times New Roman" w:hAnsi="Times New Roman"/>
                <w:color w:val="000000"/>
                <w:sz w:val="21"/>
                <w:szCs w:val="21"/>
              </w:rPr>
              <w:t xml:space="preserve">Korzystanie z dróg wodnych – przyjęta stawka za 1 t-km: 0,001 zł (zgodnie </w:t>
            </w:r>
            <w:r>
              <w:rPr>
                <w:rFonts w:ascii="Times New Roman" w:hAnsi="Times New Roman"/>
                <w:color w:val="000000"/>
                <w:sz w:val="21"/>
                <w:szCs w:val="21"/>
              </w:rPr>
              <w:br/>
              <w:t>z obowiązującymi stawkami opłat)</w:t>
            </w:r>
            <w:r w:rsidR="00EB4D4A">
              <w:rPr>
                <w:rFonts w:ascii="Times New Roman" w:hAnsi="Times New Roman"/>
                <w:color w:val="000000"/>
                <w:sz w:val="21"/>
                <w:szCs w:val="21"/>
              </w:rPr>
              <w:t xml:space="preserve"> pomnożona przez </w:t>
            </w:r>
            <w:r>
              <w:rPr>
                <w:rFonts w:ascii="Times New Roman" w:hAnsi="Times New Roman"/>
                <w:color w:val="000000"/>
                <w:sz w:val="21"/>
                <w:szCs w:val="21"/>
              </w:rPr>
              <w:t>prognozowan</w:t>
            </w:r>
            <w:r w:rsidR="00C96650">
              <w:rPr>
                <w:rFonts w:ascii="Times New Roman" w:hAnsi="Times New Roman"/>
                <w:color w:val="000000"/>
                <w:sz w:val="21"/>
                <w:szCs w:val="21"/>
              </w:rPr>
              <w:t>ą</w:t>
            </w:r>
            <w:r>
              <w:rPr>
                <w:rFonts w:ascii="Times New Roman" w:hAnsi="Times New Roman"/>
                <w:color w:val="000000"/>
                <w:sz w:val="21"/>
                <w:szCs w:val="21"/>
              </w:rPr>
              <w:t xml:space="preserve"> prac</w:t>
            </w:r>
            <w:r w:rsidR="00C96650">
              <w:rPr>
                <w:rFonts w:ascii="Times New Roman" w:hAnsi="Times New Roman"/>
                <w:color w:val="000000"/>
                <w:sz w:val="21"/>
                <w:szCs w:val="21"/>
              </w:rPr>
              <w:t>ę</w:t>
            </w:r>
            <w:r>
              <w:rPr>
                <w:rFonts w:ascii="Times New Roman" w:hAnsi="Times New Roman"/>
                <w:color w:val="000000"/>
                <w:sz w:val="21"/>
                <w:szCs w:val="21"/>
              </w:rPr>
              <w:t xml:space="preserve"> przewozow</w:t>
            </w:r>
            <w:r w:rsidR="00C96650">
              <w:rPr>
                <w:rFonts w:ascii="Times New Roman" w:hAnsi="Times New Roman"/>
                <w:color w:val="000000"/>
                <w:sz w:val="21"/>
                <w:szCs w:val="21"/>
              </w:rPr>
              <w:t>ą</w:t>
            </w:r>
            <w:r>
              <w:rPr>
                <w:rFonts w:ascii="Times New Roman" w:hAnsi="Times New Roman"/>
                <w:color w:val="000000"/>
                <w:sz w:val="21"/>
                <w:szCs w:val="21"/>
              </w:rPr>
              <w:t xml:space="preserve">: </w:t>
            </w:r>
            <w:r w:rsidRPr="00185896">
              <w:rPr>
                <w:rFonts w:ascii="Times New Roman" w:hAnsi="Times New Roman"/>
                <w:color w:val="000000"/>
                <w:sz w:val="21"/>
                <w:szCs w:val="21"/>
              </w:rPr>
              <w:t>1 257 393</w:t>
            </w:r>
            <w:r>
              <w:rPr>
                <w:rFonts w:ascii="Times New Roman" w:hAnsi="Times New Roman"/>
                <w:color w:val="000000"/>
                <w:sz w:val="21"/>
                <w:szCs w:val="21"/>
              </w:rPr>
              <w:t> </w:t>
            </w:r>
            <w:r w:rsidRPr="00185896">
              <w:rPr>
                <w:rFonts w:ascii="Times New Roman" w:hAnsi="Times New Roman"/>
                <w:color w:val="000000"/>
                <w:sz w:val="21"/>
                <w:szCs w:val="21"/>
              </w:rPr>
              <w:t>624</w:t>
            </w:r>
            <w:r w:rsidR="00D57498">
              <w:rPr>
                <w:rFonts w:ascii="Times New Roman" w:hAnsi="Times New Roman"/>
                <w:color w:val="000000"/>
                <w:sz w:val="21"/>
                <w:szCs w:val="21"/>
              </w:rPr>
              <w:t xml:space="preserve"> t-km = ok. 1,25 mln zł.</w:t>
            </w:r>
          </w:p>
          <w:p w14:paraId="54C73D0E" w14:textId="01399AD3" w:rsidR="00381215" w:rsidRDefault="00381215" w:rsidP="008D25B2">
            <w:pPr>
              <w:pStyle w:val="Akapitzlist"/>
              <w:numPr>
                <w:ilvl w:val="0"/>
                <w:numId w:val="28"/>
              </w:numPr>
              <w:spacing w:after="120" w:line="240" w:lineRule="auto"/>
              <w:jc w:val="both"/>
              <w:rPr>
                <w:rFonts w:ascii="Times New Roman" w:hAnsi="Times New Roman"/>
                <w:color w:val="000000"/>
                <w:sz w:val="21"/>
                <w:szCs w:val="21"/>
              </w:rPr>
            </w:pPr>
            <w:r>
              <w:rPr>
                <w:rFonts w:ascii="Times New Roman" w:hAnsi="Times New Roman"/>
                <w:color w:val="000000"/>
                <w:sz w:val="21"/>
                <w:szCs w:val="21"/>
              </w:rPr>
              <w:t>Korzystnie z urządzeń hydrotechnicznych (śluzy i pochyl</w:t>
            </w:r>
            <w:r w:rsidR="00D57498">
              <w:rPr>
                <w:rFonts w:ascii="Times New Roman" w:hAnsi="Times New Roman"/>
                <w:color w:val="000000"/>
                <w:sz w:val="21"/>
                <w:szCs w:val="21"/>
              </w:rPr>
              <w:t>nie) – przyjęta stawka 15,81 zł</w:t>
            </w:r>
            <w:r w:rsidR="00042148">
              <w:rPr>
                <w:rFonts w:ascii="Times New Roman" w:hAnsi="Times New Roman"/>
                <w:color w:val="000000"/>
                <w:sz w:val="21"/>
                <w:szCs w:val="21"/>
              </w:rPr>
              <w:t xml:space="preserve"> pomnożona przez</w:t>
            </w:r>
            <w:r w:rsidR="00D57498">
              <w:rPr>
                <w:rFonts w:ascii="Times New Roman" w:hAnsi="Times New Roman"/>
                <w:color w:val="000000"/>
                <w:sz w:val="21"/>
                <w:szCs w:val="21"/>
              </w:rPr>
              <w:t> </w:t>
            </w:r>
            <w:r w:rsidR="00042148">
              <w:rPr>
                <w:rFonts w:ascii="Times New Roman" w:hAnsi="Times New Roman"/>
                <w:color w:val="000000"/>
                <w:sz w:val="21"/>
                <w:szCs w:val="21"/>
              </w:rPr>
              <w:t xml:space="preserve">prognozowaną liczbę </w:t>
            </w:r>
            <w:r>
              <w:rPr>
                <w:rFonts w:ascii="Times New Roman" w:hAnsi="Times New Roman"/>
                <w:color w:val="000000"/>
                <w:sz w:val="21"/>
                <w:szCs w:val="21"/>
              </w:rPr>
              <w:t>śluzowań w 2030</w:t>
            </w:r>
            <w:r w:rsidR="00C96650">
              <w:rPr>
                <w:rFonts w:ascii="Times New Roman" w:hAnsi="Times New Roman"/>
                <w:color w:val="000000"/>
                <w:sz w:val="21"/>
                <w:szCs w:val="21"/>
              </w:rPr>
              <w:t xml:space="preserve"> r.</w:t>
            </w:r>
            <w:r>
              <w:rPr>
                <w:rFonts w:ascii="Times New Roman" w:hAnsi="Times New Roman"/>
                <w:color w:val="000000"/>
                <w:sz w:val="21"/>
                <w:szCs w:val="21"/>
              </w:rPr>
              <w:t xml:space="preserve">: </w:t>
            </w:r>
            <w:r w:rsidRPr="00185896">
              <w:rPr>
                <w:rFonts w:ascii="Times New Roman" w:hAnsi="Times New Roman"/>
                <w:color w:val="000000"/>
                <w:sz w:val="21"/>
                <w:szCs w:val="21"/>
              </w:rPr>
              <w:t>40</w:t>
            </w:r>
            <w:r>
              <w:rPr>
                <w:rFonts w:ascii="Times New Roman" w:hAnsi="Times New Roman"/>
                <w:color w:val="000000"/>
                <w:sz w:val="21"/>
                <w:szCs w:val="21"/>
              </w:rPr>
              <w:t> </w:t>
            </w:r>
            <w:r w:rsidRPr="00185896">
              <w:rPr>
                <w:rFonts w:ascii="Times New Roman" w:hAnsi="Times New Roman"/>
                <w:color w:val="000000"/>
                <w:sz w:val="21"/>
                <w:szCs w:val="21"/>
              </w:rPr>
              <w:t>276</w:t>
            </w:r>
            <w:r>
              <w:rPr>
                <w:rFonts w:ascii="Times New Roman" w:hAnsi="Times New Roman"/>
                <w:color w:val="000000"/>
                <w:sz w:val="21"/>
                <w:szCs w:val="21"/>
              </w:rPr>
              <w:t xml:space="preserve"> = ok. 0,64 mln zł.</w:t>
            </w:r>
          </w:p>
          <w:p w14:paraId="6ED7C3DF" w14:textId="501D1F6C" w:rsidR="00381215" w:rsidRDefault="00381215" w:rsidP="00D57498">
            <w:pPr>
              <w:spacing w:after="120" w:line="240" w:lineRule="auto"/>
              <w:jc w:val="both"/>
              <w:rPr>
                <w:rFonts w:ascii="Times New Roman" w:hAnsi="Times New Roman"/>
                <w:color w:val="000000"/>
                <w:sz w:val="21"/>
                <w:szCs w:val="21"/>
              </w:rPr>
            </w:pPr>
            <w:r>
              <w:rPr>
                <w:rFonts w:ascii="Times New Roman" w:hAnsi="Times New Roman"/>
                <w:color w:val="000000"/>
                <w:sz w:val="21"/>
                <w:szCs w:val="21"/>
              </w:rPr>
              <w:t xml:space="preserve">Łączna kwota to ok. 1,89 mln zł. </w:t>
            </w:r>
          </w:p>
          <w:p w14:paraId="084B63AE" w14:textId="39FA80F0" w:rsidR="00B90B3B" w:rsidRPr="00AB702B" w:rsidRDefault="00B90B3B" w:rsidP="00B90B3B">
            <w:pPr>
              <w:spacing w:after="120" w:line="240" w:lineRule="auto"/>
              <w:jc w:val="both"/>
              <w:rPr>
                <w:rFonts w:ascii="Times New Roman" w:hAnsi="Times New Roman"/>
                <w:color w:val="000000"/>
                <w:sz w:val="21"/>
                <w:szCs w:val="21"/>
              </w:rPr>
            </w:pPr>
          </w:p>
          <w:p w14:paraId="344595EC" w14:textId="3BC029BA" w:rsidR="009427B5" w:rsidRPr="002F3173" w:rsidRDefault="009427B5" w:rsidP="008D25B2">
            <w:pPr>
              <w:spacing w:after="120" w:line="240" w:lineRule="auto"/>
              <w:contextualSpacing/>
              <w:jc w:val="both"/>
              <w:rPr>
                <w:rFonts w:ascii="Times New Roman" w:hAnsi="Times New Roman"/>
                <w:color w:val="000000"/>
                <w:sz w:val="21"/>
                <w:szCs w:val="21"/>
              </w:rPr>
            </w:pPr>
            <w:r w:rsidRPr="009427B5">
              <w:rPr>
                <w:rFonts w:ascii="Times New Roman" w:hAnsi="Times New Roman"/>
                <w:color w:val="000000"/>
                <w:sz w:val="21"/>
                <w:szCs w:val="21"/>
              </w:rPr>
              <w:t>Zgodnie z planem finansowym PGW Wody Polskie PF</w:t>
            </w:r>
            <w:r w:rsidRPr="00802168">
              <w:rPr>
                <w:rFonts w:ascii="Times New Roman" w:hAnsi="Times New Roman"/>
                <w:color w:val="000000"/>
                <w:sz w:val="21"/>
                <w:szCs w:val="21"/>
              </w:rPr>
              <w:t>-OSPR na rok 202</w:t>
            </w:r>
            <w:r w:rsidR="00802168" w:rsidRPr="00802168">
              <w:rPr>
                <w:rFonts w:ascii="Times New Roman" w:hAnsi="Times New Roman"/>
                <w:color w:val="000000"/>
                <w:sz w:val="21"/>
                <w:szCs w:val="21"/>
              </w:rPr>
              <w:t>3</w:t>
            </w:r>
            <w:r w:rsidRPr="00802168">
              <w:rPr>
                <w:rFonts w:ascii="Times New Roman" w:hAnsi="Times New Roman"/>
                <w:color w:val="000000"/>
                <w:sz w:val="21"/>
                <w:szCs w:val="21"/>
              </w:rPr>
              <w:t xml:space="preserve"> przychody z tytułu </w:t>
            </w:r>
            <w:r w:rsidR="00456AAA">
              <w:rPr>
                <w:rFonts w:ascii="Times New Roman" w:hAnsi="Times New Roman"/>
                <w:color w:val="000000"/>
                <w:sz w:val="21"/>
                <w:szCs w:val="21"/>
              </w:rPr>
              <w:t>„</w:t>
            </w:r>
            <w:r w:rsidRPr="00802168">
              <w:rPr>
                <w:rFonts w:ascii="Times New Roman" w:hAnsi="Times New Roman"/>
                <w:color w:val="000000"/>
                <w:sz w:val="21"/>
                <w:szCs w:val="21"/>
              </w:rPr>
              <w:t>należności za korzystanie ze śródlądowych dróg wodnych oraz urządzeń wodnych stanowiących własność Skarbu Państwa, usytuowanych na śródlądowych wodach powierzchniowych</w:t>
            </w:r>
            <w:r w:rsidR="00456AAA">
              <w:rPr>
                <w:rFonts w:ascii="Times New Roman" w:hAnsi="Times New Roman"/>
                <w:color w:val="000000"/>
                <w:sz w:val="21"/>
                <w:szCs w:val="21"/>
              </w:rPr>
              <w:t>”</w:t>
            </w:r>
            <w:r w:rsidRPr="00802168">
              <w:rPr>
                <w:rFonts w:ascii="Times New Roman" w:hAnsi="Times New Roman"/>
                <w:color w:val="000000"/>
                <w:sz w:val="21"/>
                <w:szCs w:val="21"/>
              </w:rPr>
              <w:t xml:space="preserve"> wynoszą 1</w:t>
            </w:r>
            <w:r w:rsidR="001942B9" w:rsidRPr="00802168">
              <w:rPr>
                <w:rFonts w:ascii="Times New Roman" w:hAnsi="Times New Roman"/>
                <w:color w:val="000000"/>
                <w:sz w:val="21"/>
                <w:szCs w:val="21"/>
              </w:rPr>
              <w:t>,</w:t>
            </w:r>
            <w:r w:rsidRPr="00802168">
              <w:rPr>
                <w:rFonts w:ascii="Times New Roman" w:hAnsi="Times New Roman"/>
                <w:color w:val="000000"/>
                <w:sz w:val="21"/>
                <w:szCs w:val="21"/>
              </w:rPr>
              <w:t>0</w:t>
            </w:r>
            <w:r w:rsidR="00802168" w:rsidRPr="00802168">
              <w:rPr>
                <w:rFonts w:ascii="Times New Roman" w:hAnsi="Times New Roman"/>
                <w:color w:val="000000"/>
                <w:sz w:val="21"/>
                <w:szCs w:val="21"/>
              </w:rPr>
              <w:t>9</w:t>
            </w:r>
            <w:r w:rsidRPr="00802168">
              <w:rPr>
                <w:rFonts w:ascii="Times New Roman" w:hAnsi="Times New Roman"/>
                <w:color w:val="000000"/>
                <w:sz w:val="21"/>
                <w:szCs w:val="21"/>
              </w:rPr>
              <w:t xml:space="preserve"> mln zł. </w:t>
            </w:r>
            <w:r w:rsidR="00381215" w:rsidRPr="00802168">
              <w:rPr>
                <w:rFonts w:ascii="Times New Roman" w:hAnsi="Times New Roman"/>
                <w:color w:val="000000"/>
                <w:sz w:val="21"/>
                <w:szCs w:val="21"/>
              </w:rPr>
              <w:t>Tym samym obliczony dodatkowy przychód dla PGW WP, liczony jako różnica między obecnym poziomem przychodów, a planowanym to 0,</w:t>
            </w:r>
            <w:r w:rsidRPr="00802168">
              <w:rPr>
                <w:rFonts w:ascii="Times New Roman" w:hAnsi="Times New Roman"/>
                <w:color w:val="000000"/>
                <w:sz w:val="21"/>
                <w:szCs w:val="21"/>
              </w:rPr>
              <w:t>8</w:t>
            </w:r>
            <w:r w:rsidR="00802168" w:rsidRPr="00802168">
              <w:rPr>
                <w:rFonts w:ascii="Times New Roman" w:hAnsi="Times New Roman"/>
                <w:color w:val="000000"/>
                <w:sz w:val="21"/>
                <w:szCs w:val="21"/>
              </w:rPr>
              <w:t>2</w:t>
            </w:r>
            <w:r w:rsidR="00381215" w:rsidRPr="00802168">
              <w:rPr>
                <w:rFonts w:ascii="Times New Roman" w:hAnsi="Times New Roman"/>
                <w:color w:val="000000"/>
                <w:sz w:val="21"/>
                <w:szCs w:val="21"/>
              </w:rPr>
              <w:t xml:space="preserve"> mln zł.</w:t>
            </w:r>
            <w:r w:rsidR="00381215">
              <w:rPr>
                <w:rFonts w:ascii="Times New Roman" w:hAnsi="Times New Roman"/>
                <w:color w:val="000000"/>
                <w:sz w:val="21"/>
                <w:szCs w:val="21"/>
              </w:rPr>
              <w:t xml:space="preserve"> </w:t>
            </w:r>
          </w:p>
        </w:tc>
      </w:tr>
      <w:tr w:rsidR="00381215" w:rsidRPr="008B4FE6" w14:paraId="38FE9860" w14:textId="77777777" w:rsidTr="00676C8D">
        <w:trPr>
          <w:gridAfter w:val="1"/>
          <w:wAfter w:w="10" w:type="dxa"/>
          <w:trHeight w:val="345"/>
        </w:trPr>
        <w:tc>
          <w:tcPr>
            <w:tcW w:w="10937" w:type="dxa"/>
            <w:gridSpan w:val="21"/>
            <w:shd w:val="clear" w:color="auto" w:fill="99CCFF"/>
          </w:tcPr>
          <w:p w14:paraId="3577337A" w14:textId="77777777" w:rsidR="00381215" w:rsidRPr="008B4FE6" w:rsidRDefault="00381215" w:rsidP="00381215">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381215" w:rsidRPr="008B4FE6" w14:paraId="1DA4FB8F" w14:textId="77777777" w:rsidTr="00676C8D">
        <w:trPr>
          <w:gridAfter w:val="1"/>
          <w:wAfter w:w="10" w:type="dxa"/>
          <w:trHeight w:val="142"/>
        </w:trPr>
        <w:tc>
          <w:tcPr>
            <w:tcW w:w="10937" w:type="dxa"/>
            <w:gridSpan w:val="21"/>
            <w:shd w:val="clear" w:color="auto" w:fill="FFFFFF"/>
          </w:tcPr>
          <w:p w14:paraId="1A28788A" w14:textId="77777777" w:rsidR="00381215" w:rsidRPr="00301959" w:rsidRDefault="00381215" w:rsidP="00381215">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381215" w:rsidRPr="008B4FE6" w14:paraId="295896A5" w14:textId="77777777" w:rsidTr="000102EE">
        <w:trPr>
          <w:gridAfter w:val="1"/>
          <w:wAfter w:w="10" w:type="dxa"/>
          <w:trHeight w:val="142"/>
        </w:trPr>
        <w:tc>
          <w:tcPr>
            <w:tcW w:w="3889" w:type="dxa"/>
            <w:gridSpan w:val="6"/>
            <w:shd w:val="clear" w:color="auto" w:fill="FFFFFF"/>
          </w:tcPr>
          <w:p w14:paraId="5D5363FB" w14:textId="77777777" w:rsidR="00381215" w:rsidRPr="00301959" w:rsidRDefault="00381215" w:rsidP="00381215">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818" w:type="dxa"/>
            <w:gridSpan w:val="2"/>
            <w:shd w:val="clear" w:color="auto" w:fill="FFFFFF"/>
          </w:tcPr>
          <w:p w14:paraId="632F7583" w14:textId="77777777" w:rsidR="00381215" w:rsidRPr="00301959" w:rsidRDefault="00381215" w:rsidP="0038121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1057" w:type="dxa"/>
            <w:gridSpan w:val="2"/>
            <w:shd w:val="clear" w:color="auto" w:fill="FFFFFF"/>
          </w:tcPr>
          <w:p w14:paraId="2EBC20EC" w14:textId="77777777" w:rsidR="00381215" w:rsidRPr="00301959" w:rsidRDefault="00381215" w:rsidP="0038121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28" w:type="dxa"/>
            <w:gridSpan w:val="3"/>
            <w:shd w:val="clear" w:color="auto" w:fill="FFFFFF"/>
          </w:tcPr>
          <w:p w14:paraId="0247BAA8" w14:textId="77777777" w:rsidR="00381215" w:rsidRPr="00301959" w:rsidRDefault="00381215" w:rsidP="0038121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1134" w:type="dxa"/>
            <w:gridSpan w:val="2"/>
            <w:shd w:val="clear" w:color="auto" w:fill="FFFFFF"/>
          </w:tcPr>
          <w:p w14:paraId="14D065FF" w14:textId="77777777" w:rsidR="00381215" w:rsidRPr="00301959" w:rsidRDefault="00381215" w:rsidP="0038121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751" w:type="dxa"/>
            <w:gridSpan w:val="3"/>
            <w:shd w:val="clear" w:color="auto" w:fill="FFFFFF"/>
          </w:tcPr>
          <w:p w14:paraId="19E5AC80" w14:textId="77777777" w:rsidR="00381215" w:rsidRPr="00301959" w:rsidRDefault="00381215" w:rsidP="0038121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1233" w:type="dxa"/>
            <w:gridSpan w:val="2"/>
            <w:shd w:val="clear" w:color="auto" w:fill="FFFFFF"/>
          </w:tcPr>
          <w:p w14:paraId="1B177235" w14:textId="77777777" w:rsidR="00381215" w:rsidRPr="00301959" w:rsidRDefault="00381215" w:rsidP="0038121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127" w:type="dxa"/>
            <w:shd w:val="clear" w:color="auto" w:fill="FFFFFF"/>
          </w:tcPr>
          <w:p w14:paraId="6D852E92" w14:textId="77777777" w:rsidR="00381215" w:rsidRPr="001B3460" w:rsidRDefault="00381215" w:rsidP="00381215">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381215" w:rsidRPr="008B4FE6" w14:paraId="6A40B86C" w14:textId="77777777" w:rsidTr="000102EE">
        <w:trPr>
          <w:gridAfter w:val="1"/>
          <w:wAfter w:w="10" w:type="dxa"/>
          <w:trHeight w:val="142"/>
        </w:trPr>
        <w:tc>
          <w:tcPr>
            <w:tcW w:w="1596" w:type="dxa"/>
            <w:vMerge w:val="restart"/>
            <w:shd w:val="clear" w:color="auto" w:fill="FFFFFF"/>
          </w:tcPr>
          <w:p w14:paraId="4697F84E" w14:textId="77777777" w:rsidR="00381215" w:rsidRDefault="00381215" w:rsidP="00381215">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4F1DA34C" w14:textId="77777777" w:rsidR="00381215" w:rsidRDefault="00381215" w:rsidP="00381215">
            <w:pPr>
              <w:rPr>
                <w:rFonts w:ascii="Times New Roman" w:hAnsi="Times New Roman"/>
                <w:spacing w:val="-2"/>
                <w:sz w:val="21"/>
                <w:szCs w:val="21"/>
              </w:rPr>
            </w:pPr>
            <w:r>
              <w:rPr>
                <w:rFonts w:ascii="Times New Roman" w:hAnsi="Times New Roman"/>
                <w:spacing w:val="-2"/>
                <w:sz w:val="21"/>
                <w:szCs w:val="21"/>
              </w:rPr>
              <w:t xml:space="preserve">(w mln zł, </w:t>
            </w:r>
          </w:p>
          <w:p w14:paraId="3F0E8814" w14:textId="77777777" w:rsidR="00381215" w:rsidRPr="00301959" w:rsidRDefault="00381215" w:rsidP="00381215">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5"/>
            <w:shd w:val="clear" w:color="auto" w:fill="FFFFFF"/>
          </w:tcPr>
          <w:p w14:paraId="2B874F91" w14:textId="77777777" w:rsidR="00381215" w:rsidRPr="00301959" w:rsidRDefault="00381215" w:rsidP="00381215">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818" w:type="dxa"/>
            <w:gridSpan w:val="2"/>
            <w:shd w:val="clear" w:color="auto" w:fill="FFFFFF"/>
          </w:tcPr>
          <w:p w14:paraId="01044186"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057" w:type="dxa"/>
            <w:gridSpan w:val="2"/>
            <w:shd w:val="clear" w:color="auto" w:fill="FFFFFF"/>
          </w:tcPr>
          <w:p w14:paraId="1B526EF9"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28" w:type="dxa"/>
            <w:gridSpan w:val="3"/>
            <w:shd w:val="clear" w:color="auto" w:fill="FFFFFF"/>
          </w:tcPr>
          <w:p w14:paraId="44781043"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34" w:type="dxa"/>
            <w:gridSpan w:val="2"/>
            <w:shd w:val="clear" w:color="auto" w:fill="FFFFFF"/>
          </w:tcPr>
          <w:p w14:paraId="4D14BC75"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751" w:type="dxa"/>
            <w:gridSpan w:val="3"/>
            <w:shd w:val="clear" w:color="auto" w:fill="FFFFFF"/>
          </w:tcPr>
          <w:p w14:paraId="2F8EBC0E"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233" w:type="dxa"/>
            <w:gridSpan w:val="2"/>
            <w:shd w:val="clear" w:color="auto" w:fill="FFFFFF"/>
          </w:tcPr>
          <w:p w14:paraId="11D13FFA"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27" w:type="dxa"/>
            <w:shd w:val="clear" w:color="auto" w:fill="FFFFFF"/>
          </w:tcPr>
          <w:p w14:paraId="239019F6" w14:textId="77777777" w:rsidR="00381215" w:rsidRPr="00B37C80" w:rsidRDefault="00381215" w:rsidP="00381215">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w:t>
            </w:r>
          </w:p>
        </w:tc>
      </w:tr>
      <w:tr w:rsidR="00381215" w:rsidRPr="008B4FE6" w14:paraId="70F7D4DB" w14:textId="77777777" w:rsidTr="000102EE">
        <w:trPr>
          <w:gridAfter w:val="1"/>
          <w:wAfter w:w="10" w:type="dxa"/>
          <w:trHeight w:val="142"/>
        </w:trPr>
        <w:tc>
          <w:tcPr>
            <w:tcW w:w="1596" w:type="dxa"/>
            <w:vMerge/>
            <w:shd w:val="clear" w:color="auto" w:fill="FFFFFF"/>
          </w:tcPr>
          <w:p w14:paraId="4FF00111" w14:textId="77777777" w:rsidR="00381215" w:rsidRPr="00301959" w:rsidRDefault="00381215" w:rsidP="00381215">
            <w:pPr>
              <w:spacing w:line="240" w:lineRule="auto"/>
              <w:rPr>
                <w:rFonts w:ascii="Times New Roman" w:hAnsi="Times New Roman"/>
                <w:color w:val="000000"/>
                <w:sz w:val="21"/>
                <w:szCs w:val="21"/>
              </w:rPr>
            </w:pPr>
          </w:p>
        </w:tc>
        <w:tc>
          <w:tcPr>
            <w:tcW w:w="2293" w:type="dxa"/>
            <w:gridSpan w:val="5"/>
            <w:shd w:val="clear" w:color="auto" w:fill="FFFFFF"/>
          </w:tcPr>
          <w:p w14:paraId="4565D05A" w14:textId="77777777" w:rsidR="00381215" w:rsidRPr="00301959" w:rsidRDefault="00381215" w:rsidP="00381215">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818" w:type="dxa"/>
            <w:gridSpan w:val="2"/>
            <w:shd w:val="clear" w:color="auto" w:fill="FFFFFF"/>
          </w:tcPr>
          <w:p w14:paraId="6DF6EB1A"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057" w:type="dxa"/>
            <w:gridSpan w:val="2"/>
            <w:shd w:val="clear" w:color="auto" w:fill="FFFFFF"/>
          </w:tcPr>
          <w:p w14:paraId="34A63F8E"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28" w:type="dxa"/>
            <w:gridSpan w:val="3"/>
            <w:shd w:val="clear" w:color="auto" w:fill="FFFFFF"/>
          </w:tcPr>
          <w:p w14:paraId="68E0EED8"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34" w:type="dxa"/>
            <w:gridSpan w:val="2"/>
            <w:shd w:val="clear" w:color="auto" w:fill="FFFFFF"/>
          </w:tcPr>
          <w:p w14:paraId="1837C085"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751" w:type="dxa"/>
            <w:gridSpan w:val="3"/>
            <w:shd w:val="clear" w:color="auto" w:fill="FFFFFF"/>
          </w:tcPr>
          <w:p w14:paraId="2DE15EF2"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233" w:type="dxa"/>
            <w:gridSpan w:val="2"/>
            <w:shd w:val="clear" w:color="auto" w:fill="FFFFFF"/>
          </w:tcPr>
          <w:p w14:paraId="3A043F55" w14:textId="5D93D80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27" w:type="dxa"/>
            <w:shd w:val="clear" w:color="auto" w:fill="FFFFFF"/>
          </w:tcPr>
          <w:p w14:paraId="4FFE7C6A" w14:textId="47B8DD30" w:rsidR="00381215" w:rsidRPr="00B37C80" w:rsidRDefault="00381215" w:rsidP="00381215">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w:t>
            </w:r>
          </w:p>
        </w:tc>
      </w:tr>
      <w:tr w:rsidR="00381215" w:rsidRPr="008B4FE6" w14:paraId="6F349516" w14:textId="77777777" w:rsidTr="000102EE">
        <w:trPr>
          <w:gridAfter w:val="1"/>
          <w:wAfter w:w="10" w:type="dxa"/>
          <w:trHeight w:val="142"/>
        </w:trPr>
        <w:tc>
          <w:tcPr>
            <w:tcW w:w="1596" w:type="dxa"/>
            <w:vMerge/>
            <w:shd w:val="clear" w:color="auto" w:fill="FFFFFF"/>
          </w:tcPr>
          <w:p w14:paraId="6EADDA67" w14:textId="77777777" w:rsidR="00381215" w:rsidRPr="00301959" w:rsidRDefault="00381215" w:rsidP="00381215">
            <w:pPr>
              <w:spacing w:line="240" w:lineRule="auto"/>
              <w:rPr>
                <w:rFonts w:ascii="Times New Roman" w:hAnsi="Times New Roman"/>
                <w:color w:val="000000"/>
                <w:sz w:val="21"/>
                <w:szCs w:val="21"/>
              </w:rPr>
            </w:pPr>
          </w:p>
        </w:tc>
        <w:tc>
          <w:tcPr>
            <w:tcW w:w="2293" w:type="dxa"/>
            <w:gridSpan w:val="5"/>
            <w:shd w:val="clear" w:color="auto" w:fill="FFFFFF"/>
          </w:tcPr>
          <w:p w14:paraId="1EA0A392" w14:textId="0177A0AF" w:rsidR="00B90B3B" w:rsidRPr="00301959" w:rsidRDefault="00381215" w:rsidP="006B21A4">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818" w:type="dxa"/>
            <w:gridSpan w:val="2"/>
            <w:shd w:val="clear" w:color="auto" w:fill="FFFFFF"/>
          </w:tcPr>
          <w:p w14:paraId="13AFDF26"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057" w:type="dxa"/>
            <w:gridSpan w:val="2"/>
            <w:shd w:val="clear" w:color="auto" w:fill="FFFFFF"/>
          </w:tcPr>
          <w:p w14:paraId="5D1076BD"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28" w:type="dxa"/>
            <w:gridSpan w:val="3"/>
            <w:shd w:val="clear" w:color="auto" w:fill="FFFFFF"/>
          </w:tcPr>
          <w:p w14:paraId="5BA82ADE"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34" w:type="dxa"/>
            <w:gridSpan w:val="2"/>
            <w:shd w:val="clear" w:color="auto" w:fill="FFFFFF"/>
          </w:tcPr>
          <w:p w14:paraId="5D816A4D"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751" w:type="dxa"/>
            <w:gridSpan w:val="3"/>
            <w:shd w:val="clear" w:color="auto" w:fill="FFFFFF"/>
          </w:tcPr>
          <w:p w14:paraId="48D7FC24"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233" w:type="dxa"/>
            <w:gridSpan w:val="2"/>
            <w:shd w:val="clear" w:color="auto" w:fill="FFFFFF"/>
          </w:tcPr>
          <w:p w14:paraId="20F0C7B3" w14:textId="77777777" w:rsidR="00381215" w:rsidRPr="00B37C80" w:rsidRDefault="00381215" w:rsidP="00381215">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27" w:type="dxa"/>
            <w:shd w:val="clear" w:color="auto" w:fill="FFFFFF"/>
          </w:tcPr>
          <w:p w14:paraId="5029D09A" w14:textId="77777777" w:rsidR="00381215" w:rsidRPr="00B37C80" w:rsidRDefault="00381215" w:rsidP="00381215">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w:t>
            </w:r>
          </w:p>
        </w:tc>
      </w:tr>
      <w:tr w:rsidR="00381215" w:rsidRPr="008B4FE6" w14:paraId="7A16EC71" w14:textId="77777777" w:rsidTr="00676C8D">
        <w:trPr>
          <w:gridAfter w:val="1"/>
          <w:wAfter w:w="10" w:type="dxa"/>
          <w:trHeight w:val="142"/>
        </w:trPr>
        <w:tc>
          <w:tcPr>
            <w:tcW w:w="1596" w:type="dxa"/>
            <w:vMerge w:val="restart"/>
            <w:shd w:val="clear" w:color="auto" w:fill="FFFFFF"/>
          </w:tcPr>
          <w:p w14:paraId="4F485178" w14:textId="77777777" w:rsidR="00381215" w:rsidRPr="00301959" w:rsidRDefault="00381215" w:rsidP="00381215">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5"/>
            <w:shd w:val="clear" w:color="auto" w:fill="FFFFFF"/>
          </w:tcPr>
          <w:p w14:paraId="246A58C3" w14:textId="77777777" w:rsidR="00381215" w:rsidRPr="00301959" w:rsidRDefault="00381215" w:rsidP="00381215">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15"/>
            <w:shd w:val="clear" w:color="auto" w:fill="FFFFFF"/>
          </w:tcPr>
          <w:p w14:paraId="1EDC0776" w14:textId="0000903B" w:rsidR="00381215" w:rsidRPr="00B37C80" w:rsidRDefault="00381215" w:rsidP="0064708A">
            <w:pPr>
              <w:spacing w:line="240" w:lineRule="auto"/>
              <w:jc w:val="both"/>
              <w:rPr>
                <w:rFonts w:ascii="Times New Roman" w:hAnsi="Times New Roman"/>
                <w:color w:val="000000"/>
                <w:spacing w:val="-2"/>
                <w:sz w:val="21"/>
                <w:szCs w:val="21"/>
              </w:rPr>
            </w:pPr>
            <w:r w:rsidRPr="00DD2AE0">
              <w:rPr>
                <w:rFonts w:ascii="Times New Roman" w:hAnsi="Times New Roman"/>
                <w:color w:val="000000"/>
                <w:spacing w:val="-2"/>
                <w:sz w:val="21"/>
                <w:szCs w:val="21"/>
              </w:rPr>
              <w:t xml:space="preserve">Na etapie realizacji </w:t>
            </w:r>
            <w:r w:rsidR="0064708A">
              <w:rPr>
                <w:rFonts w:ascii="Times New Roman" w:hAnsi="Times New Roman"/>
                <w:color w:val="000000"/>
                <w:spacing w:val="-2"/>
                <w:sz w:val="21"/>
                <w:szCs w:val="21"/>
              </w:rPr>
              <w:t>KPŻ2030</w:t>
            </w:r>
            <w:r w:rsidRPr="00DD2AE0">
              <w:rPr>
                <w:rFonts w:ascii="Times New Roman" w:hAnsi="Times New Roman"/>
                <w:color w:val="000000"/>
                <w:spacing w:val="-2"/>
                <w:sz w:val="21"/>
                <w:szCs w:val="21"/>
              </w:rPr>
              <w:t xml:space="preserve"> środki </w:t>
            </w:r>
            <w:r>
              <w:rPr>
                <w:rFonts w:ascii="Times New Roman" w:hAnsi="Times New Roman"/>
                <w:color w:val="000000"/>
                <w:spacing w:val="-2"/>
                <w:sz w:val="21"/>
                <w:szCs w:val="21"/>
              </w:rPr>
              <w:t>finansowe</w:t>
            </w:r>
            <w:r w:rsidRPr="00DD2AE0">
              <w:rPr>
                <w:rFonts w:ascii="Times New Roman" w:hAnsi="Times New Roman"/>
                <w:color w:val="000000"/>
                <w:spacing w:val="-2"/>
                <w:sz w:val="21"/>
                <w:szCs w:val="21"/>
              </w:rPr>
              <w:t xml:space="preserve"> przeznaczone na realizację prac inwestycyjnych będą wsparciem dla pol</w:t>
            </w:r>
            <w:r w:rsidR="001942B9">
              <w:rPr>
                <w:rFonts w:ascii="Times New Roman" w:hAnsi="Times New Roman"/>
                <w:color w:val="000000"/>
                <w:spacing w:val="-2"/>
                <w:sz w:val="21"/>
                <w:szCs w:val="21"/>
              </w:rPr>
              <w:t>skich (bądź zagranicznych) firm</w:t>
            </w:r>
            <w:r w:rsidRPr="00DD2AE0">
              <w:rPr>
                <w:rFonts w:ascii="Times New Roman" w:hAnsi="Times New Roman"/>
                <w:color w:val="000000"/>
                <w:spacing w:val="-2"/>
                <w:sz w:val="21"/>
                <w:szCs w:val="21"/>
              </w:rPr>
              <w:t xml:space="preserve"> wykonujących prace budowlane w branży hydrotechnicznej.</w:t>
            </w:r>
          </w:p>
        </w:tc>
      </w:tr>
      <w:tr w:rsidR="00381215" w:rsidRPr="008B4FE6" w14:paraId="2A8D36E6" w14:textId="77777777" w:rsidTr="00676C8D">
        <w:trPr>
          <w:gridAfter w:val="1"/>
          <w:wAfter w:w="10" w:type="dxa"/>
          <w:trHeight w:val="142"/>
        </w:trPr>
        <w:tc>
          <w:tcPr>
            <w:tcW w:w="1596" w:type="dxa"/>
            <w:vMerge/>
            <w:shd w:val="clear" w:color="auto" w:fill="FFFFFF"/>
          </w:tcPr>
          <w:p w14:paraId="5C799C31" w14:textId="77777777" w:rsidR="00381215" w:rsidRPr="00301959" w:rsidRDefault="00381215" w:rsidP="00381215">
            <w:pPr>
              <w:spacing w:line="240" w:lineRule="auto"/>
              <w:rPr>
                <w:rFonts w:ascii="Times New Roman" w:hAnsi="Times New Roman"/>
                <w:color w:val="000000"/>
                <w:sz w:val="21"/>
                <w:szCs w:val="21"/>
              </w:rPr>
            </w:pPr>
          </w:p>
        </w:tc>
        <w:tc>
          <w:tcPr>
            <w:tcW w:w="2293" w:type="dxa"/>
            <w:gridSpan w:val="5"/>
            <w:shd w:val="clear" w:color="auto" w:fill="FFFFFF"/>
          </w:tcPr>
          <w:p w14:paraId="4069E86E" w14:textId="77777777" w:rsidR="00381215" w:rsidRPr="00301959" w:rsidRDefault="00381215" w:rsidP="00381215">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8" w:type="dxa"/>
            <w:gridSpan w:val="15"/>
            <w:shd w:val="clear" w:color="auto" w:fill="FFFFFF"/>
          </w:tcPr>
          <w:p w14:paraId="3A069BA1" w14:textId="70FA77BD" w:rsidR="00381215" w:rsidRPr="00B37C80" w:rsidRDefault="00381215" w:rsidP="00060B87">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Przewiduje się stworzenie odpo</w:t>
            </w:r>
            <w:r w:rsidR="001942B9">
              <w:rPr>
                <w:rFonts w:ascii="Times New Roman" w:hAnsi="Times New Roman"/>
                <w:color w:val="000000"/>
                <w:spacing w:val="-2"/>
                <w:sz w:val="21"/>
                <w:szCs w:val="21"/>
              </w:rPr>
              <w:t>wiednich warunków nawigacyjnych</w:t>
            </w:r>
            <w:r>
              <w:rPr>
                <w:rFonts w:ascii="Times New Roman" w:hAnsi="Times New Roman"/>
                <w:color w:val="000000"/>
                <w:spacing w:val="-2"/>
                <w:sz w:val="21"/>
                <w:szCs w:val="21"/>
              </w:rPr>
              <w:t xml:space="preserve"> umożliwiających rozwój oraz powstawanie nowych przedsiębiorstw transportowych, stoczni oraz portów rzecznych</w:t>
            </w:r>
            <w:r w:rsidR="00FA6862">
              <w:rPr>
                <w:rFonts w:ascii="Times New Roman" w:hAnsi="Times New Roman"/>
                <w:color w:val="000000"/>
                <w:spacing w:val="-2"/>
                <w:sz w:val="21"/>
                <w:szCs w:val="21"/>
              </w:rPr>
              <w:t xml:space="preserve"> </w:t>
            </w:r>
            <w:r w:rsidR="001942B9">
              <w:rPr>
                <w:rFonts w:ascii="Times New Roman" w:hAnsi="Times New Roman"/>
                <w:color w:val="000000"/>
                <w:spacing w:val="-2"/>
                <w:sz w:val="21"/>
                <w:szCs w:val="21"/>
              </w:rPr>
              <w:t>i</w:t>
            </w:r>
            <w:r w:rsidR="00FA6862">
              <w:rPr>
                <w:rFonts w:ascii="Times New Roman" w:hAnsi="Times New Roman"/>
                <w:color w:val="000000"/>
                <w:spacing w:val="-2"/>
                <w:sz w:val="21"/>
                <w:szCs w:val="21"/>
              </w:rPr>
              <w:t xml:space="preserve"> </w:t>
            </w:r>
            <w:r w:rsidR="00060B87">
              <w:rPr>
                <w:rFonts w:ascii="Times New Roman" w:hAnsi="Times New Roman"/>
                <w:color w:val="000000"/>
                <w:spacing w:val="-2"/>
                <w:sz w:val="21"/>
                <w:szCs w:val="21"/>
              </w:rPr>
              <w:t>powiązanych gałęzi gospodarki. Popyt w</w:t>
            </w:r>
            <w:r w:rsidR="00FA6862" w:rsidRPr="00FA6862">
              <w:rPr>
                <w:rFonts w:ascii="Times New Roman" w:hAnsi="Times New Roman"/>
                <w:color w:val="000000"/>
                <w:spacing w:val="-2"/>
                <w:sz w:val="21"/>
                <w:szCs w:val="21"/>
              </w:rPr>
              <w:t>ygenerowany na usługi</w:t>
            </w:r>
            <w:r w:rsidR="00060B87">
              <w:rPr>
                <w:rFonts w:ascii="Times New Roman" w:hAnsi="Times New Roman"/>
                <w:color w:val="000000"/>
                <w:spacing w:val="-2"/>
                <w:sz w:val="21"/>
                <w:szCs w:val="21"/>
              </w:rPr>
              <w:t xml:space="preserve"> związane m.in. z turystyką </w:t>
            </w:r>
            <w:r w:rsidR="00FA6862" w:rsidRPr="00FA6862">
              <w:rPr>
                <w:rFonts w:ascii="Times New Roman" w:hAnsi="Times New Roman"/>
                <w:color w:val="000000"/>
                <w:spacing w:val="-2"/>
                <w:sz w:val="21"/>
                <w:szCs w:val="21"/>
              </w:rPr>
              <w:t xml:space="preserve">może </w:t>
            </w:r>
            <w:r w:rsidR="00060B87">
              <w:rPr>
                <w:rFonts w:ascii="Times New Roman" w:hAnsi="Times New Roman"/>
                <w:color w:val="000000"/>
                <w:spacing w:val="-2"/>
                <w:sz w:val="21"/>
                <w:szCs w:val="21"/>
              </w:rPr>
              <w:t>przełożyć się na </w:t>
            </w:r>
            <w:r w:rsidR="00FA6862" w:rsidRPr="00FA6862">
              <w:rPr>
                <w:rFonts w:ascii="Times New Roman" w:hAnsi="Times New Roman"/>
                <w:color w:val="000000"/>
                <w:spacing w:val="-2"/>
                <w:sz w:val="21"/>
                <w:szCs w:val="21"/>
              </w:rPr>
              <w:t>zwiększenie liczby firm zajmujących się obsługą rynku turystycznego</w:t>
            </w:r>
            <w:r w:rsidR="00FA6862">
              <w:rPr>
                <w:rFonts w:ascii="Times New Roman" w:hAnsi="Times New Roman"/>
                <w:color w:val="000000"/>
                <w:spacing w:val="-2"/>
                <w:sz w:val="21"/>
                <w:szCs w:val="21"/>
              </w:rPr>
              <w:t>.</w:t>
            </w:r>
          </w:p>
        </w:tc>
      </w:tr>
      <w:tr w:rsidR="00381215" w:rsidRPr="008B4FE6" w14:paraId="0C1F03A8" w14:textId="77777777" w:rsidTr="00676C8D">
        <w:trPr>
          <w:gridAfter w:val="1"/>
          <w:wAfter w:w="10" w:type="dxa"/>
          <w:trHeight w:val="596"/>
        </w:trPr>
        <w:tc>
          <w:tcPr>
            <w:tcW w:w="1596" w:type="dxa"/>
            <w:vMerge/>
            <w:shd w:val="clear" w:color="auto" w:fill="FFFFFF"/>
          </w:tcPr>
          <w:p w14:paraId="067FCD01" w14:textId="77777777" w:rsidR="00381215" w:rsidRPr="00301959" w:rsidRDefault="00381215" w:rsidP="00381215">
            <w:pPr>
              <w:spacing w:line="240" w:lineRule="auto"/>
              <w:rPr>
                <w:rFonts w:ascii="Times New Roman" w:hAnsi="Times New Roman"/>
                <w:color w:val="000000"/>
                <w:sz w:val="21"/>
                <w:szCs w:val="21"/>
              </w:rPr>
            </w:pPr>
          </w:p>
        </w:tc>
        <w:tc>
          <w:tcPr>
            <w:tcW w:w="2293" w:type="dxa"/>
            <w:gridSpan w:val="5"/>
            <w:shd w:val="clear" w:color="auto" w:fill="FFFFFF"/>
          </w:tcPr>
          <w:p w14:paraId="6FE862B9" w14:textId="19F53B24" w:rsidR="00381215" w:rsidRPr="00301959" w:rsidRDefault="00381215" w:rsidP="006B21A4">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7048" w:type="dxa"/>
            <w:gridSpan w:val="15"/>
            <w:shd w:val="clear" w:color="auto" w:fill="FFFFFF"/>
          </w:tcPr>
          <w:p w14:paraId="4120385C" w14:textId="685799FA" w:rsidR="00381215" w:rsidRPr="00B37C80" w:rsidRDefault="00381215" w:rsidP="001942B9">
            <w:pPr>
              <w:spacing w:line="240" w:lineRule="auto"/>
              <w:jc w:val="both"/>
              <w:rPr>
                <w:rFonts w:ascii="Times New Roman" w:hAnsi="Times New Roman"/>
                <w:color w:val="000000"/>
                <w:spacing w:val="-2"/>
                <w:sz w:val="21"/>
                <w:szCs w:val="21"/>
              </w:rPr>
            </w:pPr>
            <w:r w:rsidRPr="00DD2AE0">
              <w:rPr>
                <w:rFonts w:ascii="Times New Roman" w:hAnsi="Times New Roman"/>
                <w:color w:val="000000"/>
                <w:spacing w:val="-2"/>
                <w:sz w:val="21"/>
                <w:szCs w:val="21"/>
              </w:rPr>
              <w:t>Zabezpieczenie przed powodzią</w:t>
            </w:r>
            <w:r w:rsidR="00060B87">
              <w:rPr>
                <w:rFonts w:ascii="Times New Roman" w:hAnsi="Times New Roman"/>
                <w:color w:val="000000"/>
                <w:spacing w:val="-2"/>
                <w:sz w:val="21"/>
                <w:szCs w:val="21"/>
              </w:rPr>
              <w:t>, r</w:t>
            </w:r>
            <w:r>
              <w:rPr>
                <w:rFonts w:ascii="Times New Roman" w:hAnsi="Times New Roman"/>
                <w:color w:val="000000"/>
                <w:spacing w:val="-2"/>
                <w:sz w:val="21"/>
                <w:szCs w:val="21"/>
              </w:rPr>
              <w:t>ozwój t</w:t>
            </w:r>
            <w:r w:rsidR="00060B87">
              <w:rPr>
                <w:rFonts w:ascii="Times New Roman" w:hAnsi="Times New Roman"/>
                <w:color w:val="000000"/>
                <w:spacing w:val="-2"/>
                <w:sz w:val="21"/>
                <w:szCs w:val="21"/>
              </w:rPr>
              <w:t>urystyki terenów nadrzecznych, r</w:t>
            </w:r>
            <w:r>
              <w:rPr>
                <w:rFonts w:ascii="Times New Roman" w:hAnsi="Times New Roman"/>
                <w:color w:val="000000"/>
                <w:spacing w:val="-2"/>
                <w:sz w:val="21"/>
                <w:szCs w:val="21"/>
              </w:rPr>
              <w:t>ozwój portów śródlądowych i nabrzeży przeładunkowych</w:t>
            </w:r>
            <w:r w:rsidR="00D24319">
              <w:rPr>
                <w:rFonts w:ascii="Times New Roman" w:hAnsi="Times New Roman"/>
                <w:color w:val="000000"/>
                <w:spacing w:val="-2"/>
                <w:sz w:val="21"/>
                <w:szCs w:val="21"/>
              </w:rPr>
              <w:t>.</w:t>
            </w:r>
          </w:p>
        </w:tc>
      </w:tr>
      <w:tr w:rsidR="00381215" w:rsidRPr="008B4FE6" w14:paraId="54C32B1F" w14:textId="77777777" w:rsidTr="00676C8D">
        <w:trPr>
          <w:gridAfter w:val="1"/>
          <w:wAfter w:w="10" w:type="dxa"/>
          <w:trHeight w:val="142"/>
        </w:trPr>
        <w:tc>
          <w:tcPr>
            <w:tcW w:w="1596" w:type="dxa"/>
            <w:vMerge w:val="restart"/>
            <w:shd w:val="clear" w:color="auto" w:fill="FFFFFF"/>
          </w:tcPr>
          <w:p w14:paraId="4DD70BA1" w14:textId="77777777" w:rsidR="00381215" w:rsidRPr="00301959" w:rsidRDefault="00381215" w:rsidP="00381215">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5"/>
            <w:shd w:val="clear" w:color="auto" w:fill="FFFFFF"/>
          </w:tcPr>
          <w:p w14:paraId="4DE5F2F5" w14:textId="2675AD02" w:rsidR="00381215" w:rsidRPr="00301959" w:rsidRDefault="00FA6862" w:rsidP="00381215">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7048" w:type="dxa"/>
            <w:gridSpan w:val="15"/>
            <w:shd w:val="clear" w:color="auto" w:fill="FFFFFF"/>
          </w:tcPr>
          <w:p w14:paraId="09A6882F" w14:textId="6FDF1375" w:rsidR="00381215" w:rsidRPr="00B37C80" w:rsidRDefault="00FA6862" w:rsidP="0064708A">
            <w:pPr>
              <w:spacing w:line="259" w:lineRule="auto"/>
              <w:jc w:val="both"/>
              <w:rPr>
                <w:rFonts w:ascii="Times New Roman" w:hAnsi="Times New Roman"/>
                <w:color w:val="000000"/>
                <w:spacing w:val="-2"/>
                <w:sz w:val="21"/>
                <w:szCs w:val="21"/>
              </w:rPr>
            </w:pPr>
            <w:r>
              <w:rPr>
                <w:rFonts w:ascii="Times New Roman" w:hAnsi="Times New Roman"/>
                <w:color w:val="000000"/>
                <w:spacing w:val="-2"/>
                <w:sz w:val="21"/>
                <w:szCs w:val="21"/>
              </w:rPr>
              <w:t xml:space="preserve">W wyniku realizacji </w:t>
            </w:r>
            <w:r w:rsidR="0064708A">
              <w:rPr>
                <w:rFonts w:ascii="Times New Roman" w:hAnsi="Times New Roman"/>
                <w:color w:val="000000"/>
                <w:spacing w:val="-2"/>
                <w:sz w:val="21"/>
                <w:szCs w:val="21"/>
              </w:rPr>
              <w:t xml:space="preserve">KPŻ2030 </w:t>
            </w:r>
            <w:r>
              <w:rPr>
                <w:rFonts w:ascii="Times New Roman" w:hAnsi="Times New Roman"/>
                <w:color w:val="000000"/>
                <w:spacing w:val="-2"/>
                <w:sz w:val="21"/>
                <w:szCs w:val="21"/>
              </w:rPr>
              <w:t>możliwy jest spadek bezrobocia poprzez</w:t>
            </w:r>
            <w:r w:rsidRPr="001942B9">
              <w:rPr>
                <w:rFonts w:ascii="Times New Roman" w:hAnsi="Times New Roman"/>
                <w:color w:val="000000"/>
                <w:spacing w:val="-2"/>
                <w:sz w:val="21"/>
                <w:szCs w:val="21"/>
              </w:rPr>
              <w:t xml:space="preserve"> stworzenie nowej infrastruktury</w:t>
            </w:r>
            <w:r>
              <w:rPr>
                <w:rFonts w:ascii="Times New Roman" w:hAnsi="Times New Roman"/>
                <w:color w:val="000000"/>
                <w:spacing w:val="-2"/>
                <w:sz w:val="21"/>
                <w:szCs w:val="21"/>
              </w:rPr>
              <w:t>, która</w:t>
            </w:r>
            <w:r w:rsidRPr="001942B9">
              <w:rPr>
                <w:rFonts w:ascii="Times New Roman" w:hAnsi="Times New Roman"/>
                <w:color w:val="000000"/>
                <w:spacing w:val="-2"/>
                <w:sz w:val="21"/>
                <w:szCs w:val="21"/>
              </w:rPr>
              <w:t xml:space="preserve"> może przyciągnąć inwestorów z branż, dla których efektywn</w:t>
            </w:r>
            <w:r w:rsidRPr="00FA6862">
              <w:rPr>
                <w:rFonts w:ascii="Times New Roman" w:hAnsi="Times New Roman"/>
                <w:color w:val="000000"/>
                <w:spacing w:val="-2"/>
                <w:sz w:val="21"/>
                <w:szCs w:val="21"/>
              </w:rPr>
              <w:t>y transport jest kluczowy, w tym</w:t>
            </w:r>
            <w:r w:rsidRPr="001942B9">
              <w:rPr>
                <w:rFonts w:ascii="Times New Roman" w:hAnsi="Times New Roman"/>
                <w:color w:val="000000"/>
                <w:spacing w:val="-2"/>
                <w:sz w:val="21"/>
                <w:szCs w:val="21"/>
              </w:rPr>
              <w:t xml:space="preserve"> np. przemysł czy </w:t>
            </w:r>
            <w:r w:rsidRPr="00FA6862">
              <w:rPr>
                <w:rFonts w:ascii="Times New Roman" w:hAnsi="Times New Roman"/>
                <w:color w:val="000000"/>
                <w:spacing w:val="-2"/>
                <w:sz w:val="21"/>
                <w:szCs w:val="21"/>
              </w:rPr>
              <w:t>branża budowlana</w:t>
            </w:r>
            <w:r w:rsidRPr="001942B9">
              <w:rPr>
                <w:rFonts w:ascii="Times New Roman" w:hAnsi="Times New Roman"/>
                <w:color w:val="000000"/>
                <w:spacing w:val="-2"/>
                <w:sz w:val="21"/>
                <w:szCs w:val="21"/>
              </w:rPr>
              <w:t>. Pracownicy będą potrzebni także do obsługi nowo utw</w:t>
            </w:r>
            <w:r w:rsidRPr="00FA6862">
              <w:rPr>
                <w:rFonts w:ascii="Times New Roman" w:hAnsi="Times New Roman"/>
                <w:color w:val="000000"/>
                <w:spacing w:val="-2"/>
                <w:sz w:val="21"/>
                <w:szCs w:val="21"/>
              </w:rPr>
              <w:t>orzonej infrastruktury wodnej.</w:t>
            </w:r>
            <w:r w:rsidR="00042148">
              <w:rPr>
                <w:rFonts w:ascii="Times New Roman" w:hAnsi="Times New Roman"/>
                <w:color w:val="000000"/>
                <w:spacing w:val="-2"/>
                <w:sz w:val="21"/>
                <w:szCs w:val="21"/>
              </w:rPr>
              <w:t xml:space="preserve"> Projekt nie ma wpływu na osoby starsze oraz osoby</w:t>
            </w:r>
            <w:r w:rsidR="00042148" w:rsidRPr="00042148">
              <w:rPr>
                <w:rFonts w:ascii="Times New Roman" w:hAnsi="Times New Roman"/>
                <w:color w:val="000000"/>
                <w:spacing w:val="-2"/>
                <w:sz w:val="21"/>
                <w:szCs w:val="21"/>
              </w:rPr>
              <w:t xml:space="preserve"> z niepełnosprawnościami</w:t>
            </w:r>
            <w:r w:rsidR="00042148">
              <w:rPr>
                <w:rFonts w:ascii="Times New Roman" w:hAnsi="Times New Roman"/>
                <w:color w:val="000000"/>
                <w:spacing w:val="-2"/>
                <w:sz w:val="21"/>
                <w:szCs w:val="21"/>
              </w:rPr>
              <w:t>.</w:t>
            </w:r>
          </w:p>
        </w:tc>
      </w:tr>
      <w:tr w:rsidR="00381215" w:rsidRPr="008B4FE6" w14:paraId="3C9CD452" w14:textId="77777777" w:rsidTr="001942B9">
        <w:trPr>
          <w:gridAfter w:val="1"/>
          <w:wAfter w:w="10" w:type="dxa"/>
          <w:trHeight w:val="628"/>
        </w:trPr>
        <w:tc>
          <w:tcPr>
            <w:tcW w:w="1596" w:type="dxa"/>
            <w:vMerge/>
            <w:shd w:val="clear" w:color="auto" w:fill="FFFFFF"/>
          </w:tcPr>
          <w:p w14:paraId="5E5A1901" w14:textId="77777777" w:rsidR="00381215" w:rsidRPr="00301959" w:rsidRDefault="00381215" w:rsidP="00381215">
            <w:pPr>
              <w:spacing w:line="240" w:lineRule="auto"/>
              <w:rPr>
                <w:rFonts w:ascii="Times New Roman" w:hAnsi="Times New Roman"/>
                <w:color w:val="000000"/>
                <w:sz w:val="21"/>
                <w:szCs w:val="21"/>
              </w:rPr>
            </w:pPr>
          </w:p>
        </w:tc>
        <w:tc>
          <w:tcPr>
            <w:tcW w:w="2293" w:type="dxa"/>
            <w:gridSpan w:val="5"/>
            <w:shd w:val="clear" w:color="auto" w:fill="FFFFFF"/>
          </w:tcPr>
          <w:p w14:paraId="417E25E9" w14:textId="7978AA73" w:rsidR="00381215" w:rsidRPr="00301959" w:rsidRDefault="00060B87" w:rsidP="00381215">
            <w:pPr>
              <w:spacing w:line="240" w:lineRule="auto"/>
              <w:rPr>
                <w:rFonts w:ascii="Times New Roman" w:hAnsi="Times New Roman"/>
                <w:color w:val="000000"/>
                <w:sz w:val="21"/>
                <w:szCs w:val="21"/>
              </w:rPr>
            </w:pPr>
            <w:r>
              <w:rPr>
                <w:rFonts w:ascii="Times New Roman" w:hAnsi="Times New Roman"/>
                <w:color w:val="000000"/>
                <w:sz w:val="21"/>
                <w:szCs w:val="21"/>
              </w:rPr>
              <w:t>r</w:t>
            </w:r>
            <w:r w:rsidR="00FA6862">
              <w:rPr>
                <w:rFonts w:ascii="Times New Roman" w:hAnsi="Times New Roman"/>
                <w:color w:val="000000"/>
                <w:sz w:val="21"/>
                <w:szCs w:val="21"/>
              </w:rPr>
              <w:t>ynek nieruchomości</w:t>
            </w:r>
          </w:p>
        </w:tc>
        <w:tc>
          <w:tcPr>
            <w:tcW w:w="7048" w:type="dxa"/>
            <w:gridSpan w:val="15"/>
            <w:shd w:val="clear" w:color="auto" w:fill="FFFFFF"/>
          </w:tcPr>
          <w:p w14:paraId="1F8140BA" w14:textId="1ABBC498" w:rsidR="00381215" w:rsidRPr="00B37C80" w:rsidRDefault="00FA6862" w:rsidP="0064708A">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 xml:space="preserve">Realizacja </w:t>
            </w:r>
            <w:r w:rsidR="0064708A">
              <w:rPr>
                <w:rFonts w:ascii="Times New Roman" w:hAnsi="Times New Roman"/>
                <w:color w:val="000000"/>
                <w:spacing w:val="-2"/>
                <w:sz w:val="21"/>
                <w:szCs w:val="21"/>
              </w:rPr>
              <w:t>KPŻ2030</w:t>
            </w:r>
            <w:r w:rsidR="00456AAA">
              <w:rPr>
                <w:rFonts w:ascii="Times New Roman" w:hAnsi="Times New Roman"/>
                <w:color w:val="000000"/>
                <w:spacing w:val="-2"/>
                <w:sz w:val="21"/>
                <w:szCs w:val="21"/>
              </w:rPr>
              <w:t xml:space="preserve"> </w:t>
            </w:r>
            <w:r>
              <w:rPr>
                <w:rFonts w:ascii="Times New Roman" w:hAnsi="Times New Roman"/>
                <w:color w:val="000000"/>
                <w:spacing w:val="-2"/>
                <w:sz w:val="21"/>
                <w:szCs w:val="21"/>
              </w:rPr>
              <w:t xml:space="preserve">może pośrednio </w:t>
            </w:r>
            <w:r>
              <w:rPr>
                <w:rFonts w:ascii="Times New Roman" w:hAnsi="Times New Roman"/>
                <w:color w:val="000000"/>
                <w:spacing w:val="-2"/>
                <w:sz w:val="21"/>
                <w:szCs w:val="21"/>
              </w:rPr>
              <w:softHyphen/>
              <w:t>– poprzez wpływ na rozwój społeczno-gospodarczy – przyczynić się</w:t>
            </w:r>
            <w:r w:rsidR="0039711E">
              <w:rPr>
                <w:rFonts w:ascii="Times New Roman" w:hAnsi="Times New Roman"/>
                <w:color w:val="000000"/>
                <w:spacing w:val="-2"/>
                <w:sz w:val="21"/>
                <w:szCs w:val="21"/>
              </w:rPr>
              <w:t xml:space="preserve"> </w:t>
            </w:r>
            <w:r>
              <w:rPr>
                <w:rFonts w:ascii="Times New Roman" w:hAnsi="Times New Roman"/>
                <w:color w:val="000000"/>
                <w:spacing w:val="-2"/>
                <w:sz w:val="21"/>
                <w:szCs w:val="21"/>
              </w:rPr>
              <w:t>do wzrostu cen na rynku nieruchomości.</w:t>
            </w:r>
          </w:p>
        </w:tc>
      </w:tr>
      <w:tr w:rsidR="00381215" w:rsidRPr="008B4FE6" w14:paraId="56EECD37" w14:textId="77777777" w:rsidTr="00676C8D">
        <w:trPr>
          <w:gridAfter w:val="1"/>
          <w:wAfter w:w="10" w:type="dxa"/>
          <w:trHeight w:val="1643"/>
        </w:trPr>
        <w:tc>
          <w:tcPr>
            <w:tcW w:w="2243" w:type="dxa"/>
            <w:gridSpan w:val="2"/>
            <w:shd w:val="clear" w:color="auto" w:fill="FFFFFF"/>
          </w:tcPr>
          <w:p w14:paraId="678A22D5" w14:textId="77777777" w:rsidR="00381215" w:rsidRPr="00301959" w:rsidRDefault="00381215" w:rsidP="00381215">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94" w:type="dxa"/>
            <w:gridSpan w:val="19"/>
            <w:shd w:val="clear" w:color="auto" w:fill="FFFFFF"/>
            <w:vAlign w:val="center"/>
          </w:tcPr>
          <w:p w14:paraId="196BC845" w14:textId="2C5427C6" w:rsidR="00381215" w:rsidRPr="00301959" w:rsidRDefault="00381215" w:rsidP="00D57498">
            <w:pPr>
              <w:spacing w:line="240" w:lineRule="auto"/>
              <w:jc w:val="both"/>
              <w:rPr>
                <w:rFonts w:ascii="Times New Roman" w:hAnsi="Times New Roman"/>
                <w:color w:val="000000"/>
                <w:sz w:val="21"/>
                <w:szCs w:val="21"/>
              </w:rPr>
            </w:pPr>
          </w:p>
        </w:tc>
      </w:tr>
      <w:tr w:rsidR="00381215" w:rsidRPr="008B4FE6" w14:paraId="17AF9C17" w14:textId="77777777" w:rsidTr="00676C8D">
        <w:trPr>
          <w:gridAfter w:val="1"/>
          <w:wAfter w:w="10" w:type="dxa"/>
          <w:trHeight w:val="342"/>
        </w:trPr>
        <w:tc>
          <w:tcPr>
            <w:tcW w:w="10937" w:type="dxa"/>
            <w:gridSpan w:val="21"/>
            <w:shd w:val="clear" w:color="auto" w:fill="99CCFF"/>
            <w:vAlign w:val="center"/>
          </w:tcPr>
          <w:p w14:paraId="2243A221" w14:textId="77777777" w:rsidR="00381215" w:rsidRPr="008B4FE6" w:rsidRDefault="00381215" w:rsidP="00381215">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381215" w:rsidRPr="008B4FE6" w14:paraId="79957E8A" w14:textId="77777777" w:rsidTr="00676C8D">
        <w:trPr>
          <w:gridAfter w:val="1"/>
          <w:wAfter w:w="10" w:type="dxa"/>
          <w:trHeight w:val="151"/>
        </w:trPr>
        <w:tc>
          <w:tcPr>
            <w:tcW w:w="10937" w:type="dxa"/>
            <w:gridSpan w:val="21"/>
            <w:shd w:val="clear" w:color="auto" w:fill="FFFFFF"/>
          </w:tcPr>
          <w:p w14:paraId="4703D880" w14:textId="7CFF4555" w:rsidR="00381215" w:rsidRPr="008B4FE6" w:rsidRDefault="00381215" w:rsidP="00381215">
            <w:pPr>
              <w:spacing w:line="240" w:lineRule="auto"/>
              <w:rPr>
                <w:rFonts w:ascii="Times New Roman" w:hAnsi="Times New Roman"/>
                <w:color w:val="000000"/>
              </w:rPr>
            </w:pPr>
            <w:r>
              <w:rPr>
                <w:rFonts w:ascii="Times New Roman" w:hAnsi="Times New Roman"/>
                <w:color w:val="000000"/>
              </w:rPr>
              <w:lastRenderedPageBreak/>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381215" w:rsidRPr="008B4FE6" w14:paraId="346E6E17" w14:textId="77777777" w:rsidTr="00C814BE">
        <w:trPr>
          <w:gridAfter w:val="1"/>
          <w:wAfter w:w="10" w:type="dxa"/>
          <w:trHeight w:val="946"/>
        </w:trPr>
        <w:tc>
          <w:tcPr>
            <w:tcW w:w="5274" w:type="dxa"/>
            <w:gridSpan w:val="9"/>
            <w:shd w:val="clear" w:color="auto" w:fill="FFFFFF"/>
          </w:tcPr>
          <w:p w14:paraId="77245E61" w14:textId="77777777" w:rsidR="00381215" w:rsidRDefault="00381215" w:rsidP="00381215">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663" w:type="dxa"/>
            <w:gridSpan w:val="12"/>
            <w:shd w:val="clear" w:color="auto" w:fill="FFFFFF"/>
          </w:tcPr>
          <w:p w14:paraId="49459EF5" w14:textId="77777777" w:rsidR="00381215" w:rsidRDefault="00381215" w:rsidP="00381215">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0EEFF041" w14:textId="77777777" w:rsidR="00381215" w:rsidRDefault="00381215" w:rsidP="00381215">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25E09986" w14:textId="77777777" w:rsidR="00381215" w:rsidRDefault="00381215" w:rsidP="00381215">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381215" w:rsidRPr="008B4FE6" w14:paraId="236BEB81" w14:textId="77777777" w:rsidTr="00C814BE">
        <w:trPr>
          <w:gridAfter w:val="1"/>
          <w:wAfter w:w="10" w:type="dxa"/>
          <w:trHeight w:val="1245"/>
        </w:trPr>
        <w:tc>
          <w:tcPr>
            <w:tcW w:w="5274" w:type="dxa"/>
            <w:gridSpan w:val="9"/>
            <w:shd w:val="clear" w:color="auto" w:fill="FFFFFF"/>
          </w:tcPr>
          <w:p w14:paraId="0B823BFB" w14:textId="5CA1B8AF" w:rsidR="00381215" w:rsidRPr="008B4FE6" w:rsidRDefault="00381215" w:rsidP="00381215">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1E43B493" w14:textId="3BA74D70" w:rsidR="00381215" w:rsidRPr="008B4FE6" w:rsidRDefault="00381215" w:rsidP="00381215">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26731B35" w14:textId="4C8C43ED" w:rsidR="00381215" w:rsidRDefault="00381215" w:rsidP="00381215">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28E795C0" w14:textId="77777777" w:rsidR="00381215" w:rsidRPr="008B4FE6" w:rsidRDefault="00381215" w:rsidP="00381215">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663" w:type="dxa"/>
            <w:gridSpan w:val="12"/>
            <w:shd w:val="clear" w:color="auto" w:fill="FFFFFF"/>
          </w:tcPr>
          <w:p w14:paraId="5768A3E4" w14:textId="77777777" w:rsidR="00381215" w:rsidRPr="008B4FE6" w:rsidRDefault="00381215" w:rsidP="00381215">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6464440F" w14:textId="77777777" w:rsidR="00381215" w:rsidRPr="008B4FE6" w:rsidRDefault="00381215" w:rsidP="00381215">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7593D24E" w14:textId="77777777" w:rsidR="00381215" w:rsidRPr="008B4FE6" w:rsidRDefault="00381215" w:rsidP="00381215">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42F7F8E4" w14:textId="77777777" w:rsidR="00381215" w:rsidRPr="008B4FE6" w:rsidRDefault="00381215" w:rsidP="00381215">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3E1414BA" w14:textId="77777777" w:rsidR="00381215" w:rsidRPr="008B4FE6" w:rsidRDefault="00381215" w:rsidP="00381215">
            <w:pPr>
              <w:spacing w:line="240" w:lineRule="auto"/>
              <w:rPr>
                <w:rFonts w:ascii="Times New Roman" w:hAnsi="Times New Roman"/>
                <w:color w:val="000000"/>
              </w:rPr>
            </w:pPr>
          </w:p>
        </w:tc>
      </w:tr>
      <w:tr w:rsidR="00381215" w:rsidRPr="008B4FE6" w14:paraId="510A52FD" w14:textId="77777777" w:rsidTr="00C814BE">
        <w:trPr>
          <w:gridAfter w:val="1"/>
          <w:wAfter w:w="10" w:type="dxa"/>
          <w:trHeight w:val="870"/>
        </w:trPr>
        <w:tc>
          <w:tcPr>
            <w:tcW w:w="5274" w:type="dxa"/>
            <w:gridSpan w:val="9"/>
            <w:shd w:val="clear" w:color="auto" w:fill="FFFFFF"/>
          </w:tcPr>
          <w:p w14:paraId="7E3675B9" w14:textId="77777777" w:rsidR="00381215" w:rsidRPr="008B4FE6" w:rsidRDefault="00381215" w:rsidP="00381215">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663" w:type="dxa"/>
            <w:gridSpan w:val="12"/>
            <w:shd w:val="clear" w:color="auto" w:fill="FFFFFF"/>
          </w:tcPr>
          <w:p w14:paraId="0A4F2D73" w14:textId="3D799CD4" w:rsidR="00381215" w:rsidRDefault="00381215" w:rsidP="00381215">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tak</w:t>
            </w:r>
          </w:p>
          <w:p w14:paraId="1A8F5658" w14:textId="77777777" w:rsidR="00381215" w:rsidRDefault="00381215" w:rsidP="00381215">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07F01EFA" w14:textId="388350D3" w:rsidR="00381215" w:rsidRDefault="00381215" w:rsidP="00381215">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p w14:paraId="21E1085B" w14:textId="77777777" w:rsidR="00381215" w:rsidRPr="008B4FE6" w:rsidRDefault="00381215" w:rsidP="00381215">
            <w:pPr>
              <w:spacing w:line="240" w:lineRule="auto"/>
              <w:rPr>
                <w:rFonts w:ascii="Times New Roman" w:hAnsi="Times New Roman"/>
                <w:color w:val="000000"/>
              </w:rPr>
            </w:pPr>
          </w:p>
        </w:tc>
      </w:tr>
      <w:tr w:rsidR="00381215" w:rsidRPr="008B4FE6" w14:paraId="4136C7AF" w14:textId="77777777" w:rsidTr="00676C8D">
        <w:trPr>
          <w:gridAfter w:val="1"/>
          <w:wAfter w:w="10" w:type="dxa"/>
          <w:trHeight w:val="630"/>
        </w:trPr>
        <w:tc>
          <w:tcPr>
            <w:tcW w:w="10937" w:type="dxa"/>
            <w:gridSpan w:val="21"/>
            <w:shd w:val="clear" w:color="auto" w:fill="FFFFFF"/>
          </w:tcPr>
          <w:p w14:paraId="141E9C23" w14:textId="77777777" w:rsidR="00381215" w:rsidRDefault="00381215" w:rsidP="00381215">
            <w:pPr>
              <w:spacing w:line="240" w:lineRule="auto"/>
              <w:jc w:val="both"/>
              <w:rPr>
                <w:rFonts w:ascii="Times New Roman" w:hAnsi="Times New Roman"/>
                <w:color w:val="000000"/>
              </w:rPr>
            </w:pPr>
            <w:r>
              <w:rPr>
                <w:rFonts w:ascii="Times New Roman" w:hAnsi="Times New Roman"/>
                <w:color w:val="000000"/>
              </w:rPr>
              <w:t>Komentarz:</w:t>
            </w:r>
          </w:p>
          <w:p w14:paraId="6800275B" w14:textId="079508B8" w:rsidR="00381215" w:rsidRDefault="00381215" w:rsidP="00381215">
            <w:pPr>
              <w:spacing w:line="240" w:lineRule="auto"/>
              <w:jc w:val="both"/>
              <w:rPr>
                <w:rFonts w:ascii="Times New Roman" w:hAnsi="Times New Roman"/>
                <w:color w:val="000000"/>
              </w:rPr>
            </w:pPr>
            <w:r>
              <w:rPr>
                <w:rFonts w:ascii="Times New Roman" w:hAnsi="Times New Roman"/>
                <w:color w:val="000000"/>
              </w:rPr>
              <w:t xml:space="preserve">W ramach realizacji celów szczegółowych </w:t>
            </w:r>
            <w:r w:rsidR="0064708A">
              <w:rPr>
                <w:rFonts w:ascii="Times New Roman" w:hAnsi="Times New Roman"/>
                <w:color w:val="000000"/>
              </w:rPr>
              <w:t xml:space="preserve">KPŻ2030 </w:t>
            </w:r>
            <w:r>
              <w:rPr>
                <w:rFonts w:ascii="Times New Roman" w:hAnsi="Times New Roman"/>
                <w:color w:val="000000"/>
              </w:rPr>
              <w:t xml:space="preserve">planowane są działanie ułatwiające obsługę podmiotów działających w sektorze żeglugi śródlądowej poprzez digitalizację procesów administracyjnych </w:t>
            </w:r>
            <w:r w:rsidR="00E03C33">
              <w:rPr>
                <w:rFonts w:ascii="Times New Roman" w:hAnsi="Times New Roman"/>
                <w:color w:val="000000"/>
              </w:rPr>
              <w:t>u</w:t>
            </w:r>
            <w:r>
              <w:rPr>
                <w:rFonts w:ascii="Times New Roman" w:hAnsi="Times New Roman"/>
                <w:color w:val="000000"/>
              </w:rPr>
              <w:t xml:space="preserve">rzędów </w:t>
            </w:r>
            <w:r w:rsidR="00E03C33">
              <w:rPr>
                <w:rFonts w:ascii="Times New Roman" w:hAnsi="Times New Roman"/>
                <w:color w:val="000000"/>
              </w:rPr>
              <w:t>ż</w:t>
            </w:r>
            <w:r>
              <w:rPr>
                <w:rFonts w:ascii="Times New Roman" w:hAnsi="Times New Roman"/>
                <w:color w:val="000000"/>
              </w:rPr>
              <w:t xml:space="preserve">eglugi </w:t>
            </w:r>
            <w:r w:rsidR="00E03C33">
              <w:rPr>
                <w:rFonts w:ascii="Times New Roman" w:hAnsi="Times New Roman"/>
                <w:color w:val="000000"/>
              </w:rPr>
              <w:t>ś</w:t>
            </w:r>
            <w:r>
              <w:rPr>
                <w:rFonts w:ascii="Times New Roman" w:hAnsi="Times New Roman"/>
                <w:color w:val="000000"/>
              </w:rPr>
              <w:t>ródlądowej</w:t>
            </w:r>
            <w:r w:rsidR="00D57498">
              <w:rPr>
                <w:rFonts w:ascii="Times New Roman" w:hAnsi="Times New Roman"/>
                <w:color w:val="000000"/>
              </w:rPr>
              <w:t xml:space="preserve"> oraz </w:t>
            </w:r>
            <w:r>
              <w:rPr>
                <w:rFonts w:ascii="Times New Roman" w:hAnsi="Times New Roman"/>
                <w:color w:val="000000"/>
              </w:rPr>
              <w:t>wprowadzeni cyfrowego poboru opłat prz</w:t>
            </w:r>
            <w:r w:rsidR="00D57498">
              <w:rPr>
                <w:rFonts w:ascii="Times New Roman" w:hAnsi="Times New Roman"/>
                <w:color w:val="000000"/>
              </w:rPr>
              <w:t xml:space="preserve">ez administrację drogi wodnej. </w:t>
            </w:r>
          </w:p>
          <w:p w14:paraId="68F2AF2A" w14:textId="77777777" w:rsidR="00381215" w:rsidRPr="008B4FE6" w:rsidRDefault="00381215" w:rsidP="00381215">
            <w:pPr>
              <w:jc w:val="both"/>
              <w:rPr>
                <w:rFonts w:ascii="Times New Roman" w:hAnsi="Times New Roman"/>
                <w:color w:val="000000"/>
              </w:rPr>
            </w:pPr>
          </w:p>
        </w:tc>
      </w:tr>
      <w:tr w:rsidR="00381215" w:rsidRPr="008B4FE6" w14:paraId="609296C2" w14:textId="77777777" w:rsidTr="00676C8D">
        <w:trPr>
          <w:gridAfter w:val="1"/>
          <w:wAfter w:w="10" w:type="dxa"/>
          <w:trHeight w:val="142"/>
        </w:trPr>
        <w:tc>
          <w:tcPr>
            <w:tcW w:w="10937" w:type="dxa"/>
            <w:gridSpan w:val="21"/>
            <w:shd w:val="clear" w:color="auto" w:fill="99CCFF"/>
          </w:tcPr>
          <w:p w14:paraId="6D974DDA" w14:textId="77777777" w:rsidR="00381215" w:rsidRPr="008B4FE6" w:rsidRDefault="00381215" w:rsidP="00381215">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381215" w:rsidRPr="008B4FE6" w14:paraId="1450B1C2" w14:textId="77777777" w:rsidTr="00676C8D">
        <w:trPr>
          <w:gridAfter w:val="1"/>
          <w:wAfter w:w="10" w:type="dxa"/>
          <w:trHeight w:val="142"/>
        </w:trPr>
        <w:tc>
          <w:tcPr>
            <w:tcW w:w="10937" w:type="dxa"/>
            <w:gridSpan w:val="21"/>
            <w:shd w:val="clear" w:color="auto" w:fill="auto"/>
          </w:tcPr>
          <w:p w14:paraId="2C6486BB" w14:textId="7B7C3C1B" w:rsidR="00381215" w:rsidRDefault="0064708A" w:rsidP="00D57498">
            <w:pPr>
              <w:spacing w:after="120" w:line="240" w:lineRule="auto"/>
              <w:jc w:val="both"/>
              <w:rPr>
                <w:rFonts w:ascii="Times New Roman" w:hAnsi="Times New Roman"/>
                <w:color w:val="000000"/>
              </w:rPr>
            </w:pPr>
            <w:r>
              <w:rPr>
                <w:rFonts w:ascii="Times New Roman" w:hAnsi="Times New Roman"/>
                <w:color w:val="000000"/>
              </w:rPr>
              <w:t xml:space="preserve">KPŻ2030 </w:t>
            </w:r>
            <w:r w:rsidR="00381215">
              <w:rPr>
                <w:rFonts w:ascii="Times New Roman" w:hAnsi="Times New Roman"/>
                <w:color w:val="000000"/>
              </w:rPr>
              <w:t>będzie stwarzał warunki niezbędne dla rozwoju floty statków śródlądowych oraz zatrzyma negatywny trend spadku transportowanych ładunków. Takie uwarunkowania pozwolą na zachowanie</w:t>
            </w:r>
            <w:r w:rsidR="00D57498">
              <w:rPr>
                <w:rFonts w:ascii="Times New Roman" w:hAnsi="Times New Roman"/>
                <w:color w:val="000000"/>
              </w:rPr>
              <w:t xml:space="preserve"> istniejących miejsc pracy oraz </w:t>
            </w:r>
            <w:r w:rsidR="00381215">
              <w:rPr>
                <w:rFonts w:ascii="Times New Roman" w:hAnsi="Times New Roman"/>
                <w:color w:val="000000"/>
              </w:rPr>
              <w:t>aktywizację gałęzi śródlądowego transportu wodnego w sieci transportowej kraju.</w:t>
            </w:r>
            <w:r w:rsidR="00AB0CC7">
              <w:rPr>
                <w:rFonts w:ascii="Times New Roman" w:hAnsi="Times New Roman"/>
                <w:color w:val="000000"/>
              </w:rPr>
              <w:t xml:space="preserve"> W ramach KPŻ2030 wskazano również działania mające na celu promocję edukacji i zawodów sektora żeglugi śródlądowej, które potencjalnie mogą mieć pozytywny wpływ na rynek pracy.</w:t>
            </w:r>
            <w:r w:rsidR="00D57498">
              <w:rPr>
                <w:rFonts w:ascii="Times New Roman" w:hAnsi="Times New Roman"/>
                <w:color w:val="000000"/>
              </w:rPr>
              <w:t xml:space="preserve"> </w:t>
            </w:r>
          </w:p>
          <w:p w14:paraId="14E4C305" w14:textId="681AC52A" w:rsidR="00381215" w:rsidRDefault="00381215" w:rsidP="00D57498">
            <w:pPr>
              <w:spacing w:after="120" w:line="240" w:lineRule="auto"/>
              <w:jc w:val="both"/>
              <w:rPr>
                <w:rFonts w:ascii="Times New Roman" w:hAnsi="Times New Roman"/>
                <w:color w:val="000000"/>
              </w:rPr>
            </w:pPr>
            <w:r w:rsidRPr="00DD2AE0">
              <w:rPr>
                <w:rFonts w:ascii="Times New Roman" w:hAnsi="Times New Roman"/>
                <w:color w:val="000000"/>
              </w:rPr>
              <w:t xml:space="preserve">Realizacja </w:t>
            </w:r>
            <w:r w:rsidR="0064708A">
              <w:rPr>
                <w:rFonts w:ascii="Times New Roman" w:hAnsi="Times New Roman"/>
                <w:color w:val="000000"/>
              </w:rPr>
              <w:t>KPŻ2030</w:t>
            </w:r>
            <w:r w:rsidR="0064708A" w:rsidRPr="00DD2AE0">
              <w:rPr>
                <w:rFonts w:ascii="Times New Roman" w:hAnsi="Times New Roman"/>
                <w:color w:val="000000"/>
              </w:rPr>
              <w:t xml:space="preserve"> </w:t>
            </w:r>
            <w:r w:rsidRPr="00DD2AE0">
              <w:rPr>
                <w:rFonts w:ascii="Times New Roman" w:hAnsi="Times New Roman"/>
                <w:color w:val="000000"/>
              </w:rPr>
              <w:t xml:space="preserve">będzie </w:t>
            </w:r>
            <w:r>
              <w:rPr>
                <w:rFonts w:ascii="Times New Roman" w:hAnsi="Times New Roman"/>
                <w:color w:val="000000"/>
              </w:rPr>
              <w:t xml:space="preserve">miała pozytywny wpływa na rozwój </w:t>
            </w:r>
            <w:r w:rsidRPr="00DD2AE0">
              <w:rPr>
                <w:rFonts w:ascii="Times New Roman" w:hAnsi="Times New Roman"/>
                <w:color w:val="000000"/>
              </w:rPr>
              <w:t xml:space="preserve">gospodarki. </w:t>
            </w:r>
            <w:r>
              <w:rPr>
                <w:rFonts w:ascii="Times New Roman" w:hAnsi="Times New Roman"/>
                <w:color w:val="000000"/>
              </w:rPr>
              <w:t>Realizowane</w:t>
            </w:r>
            <w:r w:rsidRPr="00DD2AE0">
              <w:rPr>
                <w:rFonts w:ascii="Times New Roman" w:hAnsi="Times New Roman"/>
                <w:color w:val="000000"/>
              </w:rPr>
              <w:t xml:space="preserve"> prac</w:t>
            </w:r>
            <w:r>
              <w:rPr>
                <w:rFonts w:ascii="Times New Roman" w:hAnsi="Times New Roman"/>
                <w:color w:val="000000"/>
              </w:rPr>
              <w:t>e</w:t>
            </w:r>
            <w:r w:rsidRPr="00DD2AE0">
              <w:rPr>
                <w:rFonts w:ascii="Times New Roman" w:hAnsi="Times New Roman"/>
                <w:color w:val="000000"/>
              </w:rPr>
              <w:t xml:space="preserve"> inwestycyj</w:t>
            </w:r>
            <w:r>
              <w:rPr>
                <w:rFonts w:ascii="Times New Roman" w:hAnsi="Times New Roman"/>
                <w:color w:val="000000"/>
              </w:rPr>
              <w:t>ne</w:t>
            </w:r>
            <w:r w:rsidRPr="00DD2AE0">
              <w:rPr>
                <w:rFonts w:ascii="Times New Roman" w:hAnsi="Times New Roman"/>
                <w:color w:val="000000"/>
              </w:rPr>
              <w:t xml:space="preserve"> będą wsparciem dla polskich firm, wykonujących operaty i prace dokumentacyjne, a także prace budowlane (jako potencjalni podwykonawcy Generalnego Wykonawcy). Przewiduje się, że intensyfikacja działań w branży hydrotechnicznej spowoduje zwiększenie zatrudnienia w branży hydrotechnicznej.</w:t>
            </w:r>
          </w:p>
          <w:p w14:paraId="271A55D5" w14:textId="660ACD53" w:rsidR="00381215" w:rsidRPr="00DD2AE0" w:rsidRDefault="0064708A" w:rsidP="00D57498">
            <w:pPr>
              <w:spacing w:after="120" w:line="240" w:lineRule="auto"/>
              <w:jc w:val="both"/>
              <w:rPr>
                <w:rFonts w:ascii="Times New Roman" w:hAnsi="Times New Roman"/>
                <w:color w:val="000000"/>
              </w:rPr>
            </w:pPr>
            <w:r>
              <w:rPr>
                <w:rFonts w:ascii="Times New Roman" w:hAnsi="Times New Roman"/>
                <w:color w:val="000000"/>
              </w:rPr>
              <w:t>KPŻ2030</w:t>
            </w:r>
            <w:r w:rsidRPr="00DD2AE0">
              <w:rPr>
                <w:rFonts w:ascii="Times New Roman" w:hAnsi="Times New Roman"/>
                <w:color w:val="000000"/>
              </w:rPr>
              <w:t xml:space="preserve"> </w:t>
            </w:r>
            <w:r w:rsidR="00381215" w:rsidRPr="00DD2AE0">
              <w:rPr>
                <w:rFonts w:ascii="Times New Roman" w:hAnsi="Times New Roman"/>
                <w:color w:val="000000"/>
              </w:rPr>
              <w:t>będzie stanowił również impuls do aktywizacji potencjału polskich uczelni i instytutów badawczych.</w:t>
            </w:r>
          </w:p>
          <w:p w14:paraId="2DA2F3ED" w14:textId="6AC66B6A" w:rsidR="00381215" w:rsidRPr="008B4FE6" w:rsidRDefault="00381215" w:rsidP="00381215">
            <w:pPr>
              <w:spacing w:line="240" w:lineRule="auto"/>
              <w:jc w:val="both"/>
              <w:rPr>
                <w:rFonts w:ascii="Times New Roman" w:hAnsi="Times New Roman"/>
                <w:color w:val="000000"/>
              </w:rPr>
            </w:pPr>
            <w:r w:rsidRPr="00DD2AE0">
              <w:rPr>
                <w:rFonts w:ascii="Times New Roman" w:hAnsi="Times New Roman"/>
                <w:color w:val="000000"/>
              </w:rPr>
              <w:t>Po zakończeniu projektu przewiduje się wzrost znaczenia turystycznego regionu i r</w:t>
            </w:r>
            <w:r>
              <w:rPr>
                <w:rFonts w:ascii="Times New Roman" w:hAnsi="Times New Roman"/>
                <w:color w:val="000000"/>
              </w:rPr>
              <w:t>ozwój miejsc pracy związanych z </w:t>
            </w:r>
            <w:r w:rsidRPr="00DD2AE0">
              <w:rPr>
                <w:rFonts w:ascii="Times New Roman" w:hAnsi="Times New Roman"/>
                <w:color w:val="000000"/>
              </w:rPr>
              <w:t>hotelarstwem i gastronomią.</w:t>
            </w:r>
            <w:r w:rsidR="00D57498">
              <w:rPr>
                <w:rFonts w:ascii="Times New Roman" w:hAnsi="Times New Roman"/>
                <w:color w:val="000000"/>
              </w:rPr>
              <w:t xml:space="preserve"> </w:t>
            </w:r>
            <w:r>
              <w:rPr>
                <w:rFonts w:ascii="Times New Roman" w:hAnsi="Times New Roman"/>
                <w:color w:val="000000"/>
              </w:rPr>
              <w:t>Dodatkowo wsparcie dla modernizacji floty statków żeglu</w:t>
            </w:r>
            <w:r w:rsidR="00D57498">
              <w:rPr>
                <w:rFonts w:ascii="Times New Roman" w:hAnsi="Times New Roman"/>
                <w:color w:val="000000"/>
              </w:rPr>
              <w:t>gi śródlądowej przyczyni się do </w:t>
            </w:r>
            <w:r>
              <w:rPr>
                <w:rFonts w:ascii="Times New Roman" w:hAnsi="Times New Roman"/>
                <w:color w:val="000000"/>
              </w:rPr>
              <w:t xml:space="preserve">aktywizacji stoczni rzecznych i pobudzenia zatrudnienia w tym segmencie rynku żeglugowego. </w:t>
            </w:r>
          </w:p>
          <w:p w14:paraId="5F74864A" w14:textId="77777777" w:rsidR="00381215" w:rsidRPr="008B4FE6" w:rsidRDefault="00381215" w:rsidP="00381215">
            <w:pPr>
              <w:spacing w:line="240" w:lineRule="auto"/>
              <w:jc w:val="both"/>
              <w:rPr>
                <w:rFonts w:ascii="Times New Roman" w:hAnsi="Times New Roman"/>
                <w:color w:val="000000"/>
              </w:rPr>
            </w:pPr>
          </w:p>
        </w:tc>
      </w:tr>
      <w:tr w:rsidR="00381215" w:rsidRPr="008B4FE6" w14:paraId="4133D15B" w14:textId="77777777" w:rsidTr="00676C8D">
        <w:trPr>
          <w:gridAfter w:val="1"/>
          <w:wAfter w:w="10" w:type="dxa"/>
          <w:trHeight w:val="142"/>
        </w:trPr>
        <w:tc>
          <w:tcPr>
            <w:tcW w:w="10937" w:type="dxa"/>
            <w:gridSpan w:val="21"/>
            <w:shd w:val="clear" w:color="auto" w:fill="99CCFF"/>
          </w:tcPr>
          <w:p w14:paraId="76C01007" w14:textId="77777777" w:rsidR="00381215" w:rsidRPr="008B4FE6" w:rsidRDefault="00381215" w:rsidP="00381215">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381215" w:rsidRPr="008B4FE6" w14:paraId="48E93483" w14:textId="77777777" w:rsidTr="000102EE">
        <w:trPr>
          <w:gridAfter w:val="1"/>
          <w:wAfter w:w="10" w:type="dxa"/>
          <w:trHeight w:val="1031"/>
        </w:trPr>
        <w:tc>
          <w:tcPr>
            <w:tcW w:w="3432" w:type="dxa"/>
            <w:gridSpan w:val="5"/>
            <w:shd w:val="clear" w:color="auto" w:fill="FFFFFF"/>
          </w:tcPr>
          <w:p w14:paraId="7BF370CA" w14:textId="77777777" w:rsidR="00381215" w:rsidRPr="008B4FE6" w:rsidRDefault="00381215" w:rsidP="00381215">
            <w:pPr>
              <w:spacing w:line="240" w:lineRule="auto"/>
              <w:rPr>
                <w:rFonts w:ascii="Times New Roman" w:hAnsi="Times New Roman"/>
                <w:color w:val="000000"/>
              </w:rPr>
            </w:pPr>
          </w:p>
          <w:p w14:paraId="453AE254" w14:textId="77777777" w:rsidR="00381215" w:rsidRPr="008B4FE6" w:rsidRDefault="00381215" w:rsidP="00381215">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7F098E8C" w14:textId="77777777" w:rsidR="00381215" w:rsidRDefault="00381215" w:rsidP="00381215">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2CAE8F7D" w14:textId="77777777" w:rsidR="00381215" w:rsidRPr="008B4FE6" w:rsidRDefault="00381215" w:rsidP="00381215">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969" w:type="dxa"/>
            <w:gridSpan w:val="9"/>
            <w:shd w:val="clear" w:color="auto" w:fill="FFFFFF"/>
          </w:tcPr>
          <w:p w14:paraId="3FC3875A" w14:textId="77777777" w:rsidR="00381215" w:rsidRPr="008B4FE6" w:rsidRDefault="00381215" w:rsidP="00381215">
            <w:pPr>
              <w:spacing w:line="240" w:lineRule="auto"/>
              <w:rPr>
                <w:rFonts w:ascii="Times New Roman" w:hAnsi="Times New Roman"/>
                <w:color w:val="000000"/>
              </w:rPr>
            </w:pPr>
          </w:p>
          <w:p w14:paraId="4B2C5279" w14:textId="77777777" w:rsidR="00381215" w:rsidRPr="008B4FE6" w:rsidRDefault="00381215" w:rsidP="00381215">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7E64D06F" w14:textId="77777777" w:rsidR="00381215" w:rsidRPr="008B4FE6" w:rsidRDefault="00381215" w:rsidP="00381215">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tc>
        <w:tc>
          <w:tcPr>
            <w:tcW w:w="3536" w:type="dxa"/>
            <w:gridSpan w:val="7"/>
            <w:shd w:val="clear" w:color="auto" w:fill="FFFFFF"/>
          </w:tcPr>
          <w:p w14:paraId="7C9D226A" w14:textId="77777777" w:rsidR="00381215" w:rsidRPr="008B4FE6" w:rsidRDefault="00381215" w:rsidP="00381215">
            <w:pPr>
              <w:spacing w:line="240" w:lineRule="auto"/>
              <w:rPr>
                <w:rFonts w:ascii="Times New Roman" w:hAnsi="Times New Roman"/>
                <w:color w:val="000000"/>
              </w:rPr>
            </w:pPr>
          </w:p>
          <w:p w14:paraId="333E3285" w14:textId="77777777" w:rsidR="00381215" w:rsidRDefault="00381215" w:rsidP="00381215">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7424F573" w14:textId="77777777" w:rsidR="00381215" w:rsidRPr="008B4FE6" w:rsidRDefault="00381215" w:rsidP="00381215">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4E6A99">
              <w:rPr>
                <w:rFonts w:ascii="Times New Roman" w:hAnsi="Times New Roman"/>
                <w:color w:val="000000"/>
              </w:rPr>
            </w:r>
            <w:r w:rsidR="004E6A9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381215" w:rsidRPr="008B4FE6" w14:paraId="3CC1A454" w14:textId="77777777" w:rsidTr="00676C8D">
        <w:trPr>
          <w:gridAfter w:val="1"/>
          <w:wAfter w:w="10" w:type="dxa"/>
          <w:trHeight w:val="712"/>
        </w:trPr>
        <w:tc>
          <w:tcPr>
            <w:tcW w:w="2243" w:type="dxa"/>
            <w:gridSpan w:val="2"/>
            <w:shd w:val="clear" w:color="auto" w:fill="FFFFFF"/>
            <w:vAlign w:val="center"/>
          </w:tcPr>
          <w:p w14:paraId="3590699F" w14:textId="77777777" w:rsidR="00381215" w:rsidRPr="008B4FE6" w:rsidRDefault="00381215" w:rsidP="00381215">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19"/>
            <w:shd w:val="clear" w:color="auto" w:fill="FFFFFF"/>
            <w:vAlign w:val="center"/>
          </w:tcPr>
          <w:p w14:paraId="691DF15E" w14:textId="6CBBD47F" w:rsidR="00381215" w:rsidRPr="008B4FE6" w:rsidRDefault="00381215" w:rsidP="0064708A">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KPŻ2030 </w:t>
            </w:r>
            <w:r w:rsidRPr="008A6B5D">
              <w:rPr>
                <w:rFonts w:ascii="Times New Roman" w:hAnsi="Times New Roman"/>
                <w:color w:val="000000"/>
                <w:spacing w:val="-2"/>
              </w:rPr>
              <w:t xml:space="preserve">przyniesie korzyści na różnych płaszczyznach funkcjonowania Państwa i jego obywateli. W aspektach gospodarczych przyczyni się m.in. do utrzymania ciągłości i </w:t>
            </w:r>
            <w:r w:rsidRPr="002F20A2">
              <w:rPr>
                <w:rFonts w:ascii="Times New Roman" w:hAnsi="Times New Roman"/>
                <w:color w:val="000000"/>
                <w:spacing w:val="-2"/>
              </w:rPr>
              <w:t>poprawy warunków</w:t>
            </w:r>
            <w:r w:rsidRPr="008A6B5D">
              <w:rPr>
                <w:rFonts w:ascii="Times New Roman" w:hAnsi="Times New Roman"/>
                <w:color w:val="000000"/>
                <w:spacing w:val="-2"/>
              </w:rPr>
              <w:t xml:space="preserve"> żeglugi </w:t>
            </w:r>
            <w:r w:rsidR="002224AF">
              <w:rPr>
                <w:rFonts w:ascii="Times New Roman" w:hAnsi="Times New Roman"/>
                <w:color w:val="000000"/>
                <w:spacing w:val="-2"/>
              </w:rPr>
              <w:t>na</w:t>
            </w:r>
            <w:r w:rsidRPr="008A6B5D">
              <w:rPr>
                <w:rFonts w:ascii="Times New Roman" w:hAnsi="Times New Roman"/>
                <w:color w:val="000000"/>
                <w:spacing w:val="-2"/>
              </w:rPr>
              <w:t xml:space="preserve"> </w:t>
            </w:r>
            <w:r w:rsidR="002224AF">
              <w:rPr>
                <w:rFonts w:ascii="Times New Roman" w:hAnsi="Times New Roman"/>
                <w:color w:val="000000"/>
                <w:spacing w:val="-2"/>
              </w:rPr>
              <w:t xml:space="preserve">użytkowanych transportowo odcinkach dróg wodnych wskazanych w zakresie </w:t>
            </w:r>
            <w:r w:rsidR="0064708A">
              <w:rPr>
                <w:rFonts w:ascii="Times New Roman" w:hAnsi="Times New Roman"/>
                <w:color w:val="000000"/>
                <w:spacing w:val="-2"/>
              </w:rPr>
              <w:t xml:space="preserve">KPŻ2030 </w:t>
            </w:r>
            <w:r w:rsidR="002224AF">
              <w:rPr>
                <w:rFonts w:ascii="Times New Roman" w:hAnsi="Times New Roman"/>
                <w:color w:val="000000"/>
                <w:spacing w:val="-2"/>
              </w:rPr>
              <w:t xml:space="preserve">– ma ona </w:t>
            </w:r>
            <w:r w:rsidRPr="008A6B5D">
              <w:rPr>
                <w:rFonts w:ascii="Times New Roman" w:hAnsi="Times New Roman"/>
                <w:color w:val="000000"/>
                <w:spacing w:val="-2"/>
              </w:rPr>
              <w:t>szanse spowodować wzrost aktywności mieszka</w:t>
            </w:r>
            <w:r>
              <w:rPr>
                <w:rFonts w:ascii="Times New Roman" w:hAnsi="Times New Roman"/>
                <w:color w:val="000000"/>
                <w:spacing w:val="-2"/>
              </w:rPr>
              <w:t>ńców tych obszarów, przekładając</w:t>
            </w:r>
            <w:r w:rsidRPr="008A6B5D">
              <w:rPr>
                <w:rFonts w:ascii="Times New Roman" w:hAnsi="Times New Roman"/>
                <w:color w:val="000000"/>
                <w:spacing w:val="-2"/>
              </w:rPr>
              <w:t xml:space="preserve"> się na</w:t>
            </w:r>
            <w:r w:rsidR="00060B87">
              <w:rPr>
                <w:rFonts w:ascii="Times New Roman" w:hAnsi="Times New Roman"/>
                <w:color w:val="000000"/>
                <w:spacing w:val="-2"/>
              </w:rPr>
              <w:t> </w:t>
            </w:r>
            <w:r w:rsidRPr="008A6B5D">
              <w:rPr>
                <w:rFonts w:ascii="Times New Roman" w:hAnsi="Times New Roman"/>
                <w:color w:val="000000"/>
                <w:spacing w:val="-2"/>
              </w:rPr>
              <w:t>stworzenie nowych miejsc pracy, poprawienia warunków eksploatacji stoczni i nabrzeży przeła</w:t>
            </w:r>
            <w:r>
              <w:rPr>
                <w:rFonts w:ascii="Times New Roman" w:hAnsi="Times New Roman"/>
                <w:color w:val="000000"/>
                <w:spacing w:val="-2"/>
              </w:rPr>
              <w:t>dunkowych dla ich właścicieli i </w:t>
            </w:r>
            <w:r w:rsidRPr="008A6B5D">
              <w:rPr>
                <w:rFonts w:ascii="Times New Roman" w:hAnsi="Times New Roman"/>
                <w:color w:val="000000"/>
                <w:spacing w:val="-2"/>
              </w:rPr>
              <w:t>użytkowników oraz zwiększy możliwości transportowe i</w:t>
            </w:r>
            <w:r w:rsidR="00060B87">
              <w:rPr>
                <w:rFonts w:ascii="Times New Roman" w:hAnsi="Times New Roman"/>
                <w:color w:val="000000"/>
                <w:spacing w:val="-2"/>
              </w:rPr>
              <w:t> </w:t>
            </w:r>
            <w:r w:rsidRPr="008A6B5D">
              <w:rPr>
                <w:rFonts w:ascii="Times New Roman" w:hAnsi="Times New Roman"/>
                <w:color w:val="000000"/>
                <w:spacing w:val="-2"/>
              </w:rPr>
              <w:t>przyśpieszy rozwój gospodarczy na</w:t>
            </w:r>
            <w:r>
              <w:rPr>
                <w:rFonts w:ascii="Times New Roman" w:hAnsi="Times New Roman"/>
                <w:color w:val="000000"/>
                <w:spacing w:val="-2"/>
              </w:rPr>
              <w:t> </w:t>
            </w:r>
            <w:r w:rsidRPr="008A6B5D">
              <w:rPr>
                <w:rFonts w:ascii="Times New Roman" w:hAnsi="Times New Roman"/>
                <w:color w:val="000000"/>
                <w:spacing w:val="-2"/>
              </w:rPr>
              <w:t>terenach przyległych. W aspekta</w:t>
            </w:r>
            <w:r w:rsidR="00D57498">
              <w:rPr>
                <w:rFonts w:ascii="Times New Roman" w:hAnsi="Times New Roman"/>
                <w:color w:val="000000"/>
                <w:spacing w:val="-2"/>
              </w:rPr>
              <w:t>ch społecznych przyczyni się do</w:t>
            </w:r>
            <w:r w:rsidRPr="008A6B5D">
              <w:rPr>
                <w:rFonts w:ascii="Times New Roman" w:hAnsi="Times New Roman"/>
                <w:color w:val="000000"/>
                <w:spacing w:val="-2"/>
              </w:rPr>
              <w:t xml:space="preserve"> podniesienia poziomu ochrony przed powodzią, uspraw</w:t>
            </w:r>
            <w:r w:rsidR="002224AF">
              <w:rPr>
                <w:rFonts w:ascii="Times New Roman" w:hAnsi="Times New Roman"/>
                <w:color w:val="000000"/>
                <w:spacing w:val="-2"/>
              </w:rPr>
              <w:t xml:space="preserve">nia </w:t>
            </w:r>
            <w:r>
              <w:rPr>
                <w:rFonts w:ascii="Times New Roman" w:hAnsi="Times New Roman"/>
                <w:color w:val="000000"/>
                <w:spacing w:val="-2"/>
              </w:rPr>
              <w:t>rekreacyjne</w:t>
            </w:r>
            <w:r w:rsidR="002224AF">
              <w:rPr>
                <w:rFonts w:ascii="Times New Roman" w:hAnsi="Times New Roman"/>
                <w:color w:val="000000"/>
                <w:spacing w:val="-2"/>
              </w:rPr>
              <w:t>go</w:t>
            </w:r>
            <w:r>
              <w:rPr>
                <w:rFonts w:ascii="Times New Roman" w:hAnsi="Times New Roman"/>
                <w:color w:val="000000"/>
                <w:spacing w:val="-2"/>
              </w:rPr>
              <w:t xml:space="preserve"> wykorzystani</w:t>
            </w:r>
            <w:r w:rsidR="002224AF">
              <w:rPr>
                <w:rFonts w:ascii="Times New Roman" w:hAnsi="Times New Roman"/>
                <w:color w:val="000000"/>
                <w:spacing w:val="-2"/>
              </w:rPr>
              <w:t>a</w:t>
            </w:r>
            <w:r>
              <w:rPr>
                <w:rFonts w:ascii="Times New Roman" w:hAnsi="Times New Roman"/>
                <w:color w:val="000000"/>
                <w:spacing w:val="-2"/>
              </w:rPr>
              <w:t xml:space="preserve"> rzek</w:t>
            </w:r>
            <w:r w:rsidRPr="008A6B5D">
              <w:rPr>
                <w:rFonts w:ascii="Times New Roman" w:hAnsi="Times New Roman"/>
                <w:color w:val="000000"/>
                <w:spacing w:val="-2"/>
              </w:rPr>
              <w:t xml:space="preserve"> </w:t>
            </w:r>
            <w:r w:rsidR="002224AF">
              <w:rPr>
                <w:rFonts w:ascii="Times New Roman" w:hAnsi="Times New Roman"/>
                <w:color w:val="000000"/>
                <w:spacing w:val="-2"/>
              </w:rPr>
              <w:t>oraz do</w:t>
            </w:r>
            <w:r w:rsidR="00D57498">
              <w:rPr>
                <w:rFonts w:ascii="Times New Roman" w:hAnsi="Times New Roman"/>
                <w:color w:val="000000"/>
                <w:spacing w:val="-2"/>
              </w:rPr>
              <w:t xml:space="preserve"> rozwoju aktywności związanej z </w:t>
            </w:r>
            <w:r w:rsidRPr="008A6B5D">
              <w:rPr>
                <w:rFonts w:ascii="Times New Roman" w:hAnsi="Times New Roman"/>
                <w:color w:val="000000"/>
                <w:spacing w:val="-2"/>
              </w:rPr>
              <w:t xml:space="preserve">wykorzystaniem walorów </w:t>
            </w:r>
            <w:r>
              <w:rPr>
                <w:rFonts w:ascii="Times New Roman" w:hAnsi="Times New Roman"/>
                <w:color w:val="000000"/>
                <w:spacing w:val="-2"/>
              </w:rPr>
              <w:t>śródlądowych dróg wodnych</w:t>
            </w:r>
            <w:r w:rsidR="002224AF">
              <w:rPr>
                <w:rFonts w:ascii="Times New Roman" w:hAnsi="Times New Roman"/>
                <w:color w:val="000000"/>
                <w:spacing w:val="-2"/>
              </w:rPr>
              <w:t xml:space="preserve"> objętych zakresem Programu</w:t>
            </w:r>
            <w:r w:rsidRPr="008A6B5D">
              <w:rPr>
                <w:rFonts w:ascii="Times New Roman" w:hAnsi="Times New Roman"/>
                <w:color w:val="000000"/>
                <w:spacing w:val="-2"/>
              </w:rPr>
              <w:t>. W aspekcie ekonom</w:t>
            </w:r>
            <w:r w:rsidR="00D57498">
              <w:rPr>
                <w:rFonts w:ascii="Times New Roman" w:hAnsi="Times New Roman"/>
                <w:color w:val="000000"/>
                <w:spacing w:val="-2"/>
              </w:rPr>
              <w:t>icznym pozwoli na u</w:t>
            </w:r>
            <w:r w:rsidRPr="008A6B5D">
              <w:rPr>
                <w:rFonts w:ascii="Times New Roman" w:hAnsi="Times New Roman"/>
                <w:color w:val="000000"/>
                <w:spacing w:val="-2"/>
              </w:rPr>
              <w:t>niknięcie materialnych i</w:t>
            </w:r>
            <w:r w:rsidR="00060B87">
              <w:rPr>
                <w:rFonts w:ascii="Times New Roman" w:hAnsi="Times New Roman"/>
                <w:color w:val="000000"/>
                <w:spacing w:val="-2"/>
              </w:rPr>
              <w:t> </w:t>
            </w:r>
            <w:r w:rsidRPr="008A6B5D">
              <w:rPr>
                <w:rFonts w:ascii="Times New Roman" w:hAnsi="Times New Roman"/>
                <w:color w:val="000000"/>
                <w:spacing w:val="-2"/>
              </w:rPr>
              <w:t>niematerialnych strat powodziowych poprzez modernizację obwałowań</w:t>
            </w:r>
            <w:r>
              <w:rPr>
                <w:rFonts w:ascii="Times New Roman" w:hAnsi="Times New Roman"/>
                <w:color w:val="000000"/>
                <w:spacing w:val="-2"/>
              </w:rPr>
              <w:t xml:space="preserve"> i urządzeń hydrotechnicznych na śródlądowych drogach wodnych</w:t>
            </w:r>
            <w:r w:rsidR="00CA4888">
              <w:rPr>
                <w:rFonts w:ascii="Times New Roman" w:hAnsi="Times New Roman"/>
                <w:color w:val="000000"/>
                <w:spacing w:val="-2"/>
              </w:rPr>
              <w:t xml:space="preserve"> wskazanych w KPŻ2030</w:t>
            </w:r>
            <w:r>
              <w:rPr>
                <w:rFonts w:ascii="Times New Roman" w:hAnsi="Times New Roman"/>
                <w:color w:val="000000"/>
                <w:spacing w:val="-2"/>
              </w:rPr>
              <w:t xml:space="preserve">. </w:t>
            </w:r>
            <w:r w:rsidR="0064708A">
              <w:rPr>
                <w:rFonts w:ascii="Times New Roman" w:hAnsi="Times New Roman"/>
                <w:color w:val="000000"/>
                <w:spacing w:val="-2"/>
              </w:rPr>
              <w:t xml:space="preserve">Dokument </w:t>
            </w:r>
            <w:r>
              <w:rPr>
                <w:rFonts w:ascii="Times New Roman" w:hAnsi="Times New Roman"/>
                <w:color w:val="000000"/>
                <w:spacing w:val="-2"/>
              </w:rPr>
              <w:t>będzie miał też wpływ</w:t>
            </w:r>
            <w:r w:rsidRPr="008A6B5D">
              <w:rPr>
                <w:rFonts w:ascii="Times New Roman" w:hAnsi="Times New Roman"/>
                <w:color w:val="000000"/>
                <w:spacing w:val="-2"/>
              </w:rPr>
              <w:t xml:space="preserve"> na redukcję kosztów transportu przez niższe koszty transportu przy wykorzystaniu drogi wodnej. </w:t>
            </w:r>
            <w:r>
              <w:rPr>
                <w:rFonts w:ascii="Times New Roman" w:hAnsi="Times New Roman"/>
                <w:color w:val="000000"/>
                <w:spacing w:val="-2"/>
              </w:rPr>
              <w:t xml:space="preserve">Planowane w ramach </w:t>
            </w:r>
            <w:r w:rsidR="0064708A">
              <w:rPr>
                <w:rFonts w:ascii="Times New Roman" w:hAnsi="Times New Roman"/>
                <w:color w:val="000000"/>
                <w:spacing w:val="-2"/>
              </w:rPr>
              <w:t xml:space="preserve">KPŻ2030 </w:t>
            </w:r>
            <w:r w:rsidR="007224D8">
              <w:rPr>
                <w:rFonts w:ascii="Times New Roman" w:hAnsi="Times New Roman"/>
                <w:color w:val="000000"/>
                <w:spacing w:val="-2"/>
              </w:rPr>
              <w:t>zadania wpłyną na </w:t>
            </w:r>
            <w:r w:rsidRPr="008A6B5D">
              <w:rPr>
                <w:rFonts w:ascii="Times New Roman" w:hAnsi="Times New Roman"/>
                <w:color w:val="000000"/>
                <w:spacing w:val="-2"/>
              </w:rPr>
              <w:t xml:space="preserve">realizację działań </w:t>
            </w:r>
            <w:proofErr w:type="spellStart"/>
            <w:r w:rsidRPr="008A6B5D">
              <w:rPr>
                <w:rFonts w:ascii="Times New Roman" w:hAnsi="Times New Roman"/>
                <w:color w:val="000000"/>
                <w:spacing w:val="-2"/>
              </w:rPr>
              <w:t>prośrodowiskowych</w:t>
            </w:r>
            <w:proofErr w:type="spellEnd"/>
            <w:r w:rsidRPr="008A6B5D">
              <w:rPr>
                <w:rFonts w:ascii="Times New Roman" w:hAnsi="Times New Roman"/>
                <w:color w:val="000000"/>
                <w:spacing w:val="-2"/>
              </w:rPr>
              <w:t xml:space="preserve"> poprzez </w:t>
            </w:r>
            <w:r>
              <w:rPr>
                <w:rFonts w:ascii="Times New Roman" w:hAnsi="Times New Roman"/>
                <w:color w:val="000000"/>
                <w:spacing w:val="-2"/>
              </w:rPr>
              <w:t>modernizację budowli hydrotechnicznych.</w:t>
            </w:r>
          </w:p>
        </w:tc>
      </w:tr>
      <w:tr w:rsidR="00381215" w:rsidRPr="008B4FE6" w14:paraId="3D588849" w14:textId="77777777" w:rsidTr="00676C8D">
        <w:trPr>
          <w:gridAfter w:val="1"/>
          <w:wAfter w:w="10" w:type="dxa"/>
          <w:trHeight w:val="142"/>
        </w:trPr>
        <w:tc>
          <w:tcPr>
            <w:tcW w:w="10937" w:type="dxa"/>
            <w:gridSpan w:val="21"/>
            <w:shd w:val="clear" w:color="auto" w:fill="99CCFF"/>
          </w:tcPr>
          <w:p w14:paraId="6BC9F212" w14:textId="77777777" w:rsidR="00381215" w:rsidRPr="00627221" w:rsidRDefault="00381215" w:rsidP="00381215">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381215" w:rsidRPr="008B4FE6" w14:paraId="342207BD" w14:textId="77777777" w:rsidTr="00676C8D">
        <w:trPr>
          <w:gridAfter w:val="1"/>
          <w:wAfter w:w="10" w:type="dxa"/>
          <w:trHeight w:val="142"/>
        </w:trPr>
        <w:tc>
          <w:tcPr>
            <w:tcW w:w="10937" w:type="dxa"/>
            <w:gridSpan w:val="21"/>
            <w:shd w:val="clear" w:color="auto" w:fill="FFFFFF"/>
          </w:tcPr>
          <w:p w14:paraId="7AD0B7A4" w14:textId="05793EF0" w:rsidR="00381215" w:rsidRPr="00B37C80" w:rsidRDefault="00381215" w:rsidP="00381215">
            <w:pPr>
              <w:spacing w:line="240" w:lineRule="auto"/>
              <w:jc w:val="both"/>
              <w:rPr>
                <w:rFonts w:ascii="Times New Roman" w:hAnsi="Times New Roman"/>
                <w:spacing w:val="-2"/>
              </w:rPr>
            </w:pPr>
            <w:r w:rsidRPr="00DB3736">
              <w:rPr>
                <w:rFonts w:ascii="Times New Roman" w:hAnsi="Times New Roman"/>
                <w:spacing w:val="-2"/>
              </w:rPr>
              <w:t>Projektowana uchwała wejdzie w życie z dniem następującym po dniu podjęcia.</w:t>
            </w:r>
          </w:p>
        </w:tc>
      </w:tr>
      <w:tr w:rsidR="00381215" w:rsidRPr="008B4FE6" w14:paraId="5ADBCE0D" w14:textId="77777777" w:rsidTr="00676C8D">
        <w:trPr>
          <w:gridAfter w:val="1"/>
          <w:wAfter w:w="10" w:type="dxa"/>
          <w:trHeight w:val="142"/>
        </w:trPr>
        <w:tc>
          <w:tcPr>
            <w:tcW w:w="10937" w:type="dxa"/>
            <w:gridSpan w:val="21"/>
            <w:shd w:val="clear" w:color="auto" w:fill="99CCFF"/>
          </w:tcPr>
          <w:p w14:paraId="188FAC90" w14:textId="77777777" w:rsidR="00381215" w:rsidRPr="008B4FE6" w:rsidRDefault="00381215" w:rsidP="00381215">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381215" w:rsidRPr="008B4FE6" w14:paraId="16B08607" w14:textId="77777777" w:rsidTr="00676C8D">
        <w:trPr>
          <w:gridAfter w:val="1"/>
          <w:wAfter w:w="10" w:type="dxa"/>
          <w:trHeight w:val="142"/>
        </w:trPr>
        <w:tc>
          <w:tcPr>
            <w:tcW w:w="10937" w:type="dxa"/>
            <w:gridSpan w:val="21"/>
            <w:shd w:val="clear" w:color="auto" w:fill="FFFFFF"/>
          </w:tcPr>
          <w:p w14:paraId="0F48D507" w14:textId="7CD3EB38" w:rsidR="00381215" w:rsidRDefault="00381215" w:rsidP="00060B87">
            <w:pPr>
              <w:spacing w:before="120" w:after="120" w:line="240" w:lineRule="auto"/>
              <w:jc w:val="both"/>
              <w:rPr>
                <w:rFonts w:ascii="Times New Roman" w:hAnsi="Times New Roman"/>
                <w:color w:val="000000"/>
                <w:spacing w:val="-2"/>
              </w:rPr>
            </w:pPr>
            <w:r>
              <w:rPr>
                <w:rFonts w:ascii="Times New Roman" w:hAnsi="Times New Roman"/>
                <w:color w:val="000000"/>
                <w:spacing w:val="-2"/>
              </w:rPr>
              <w:lastRenderedPageBreak/>
              <w:t xml:space="preserve">Ocena realizacji KPŻ2030 odbędzie się na podstawie wskaźnika rezultatu wyrażonego w mln ton przetransportowanych ładunków po śródlądowych drogach wodnych </w:t>
            </w:r>
            <w:r w:rsidR="002F20A2" w:rsidRPr="002F20A2">
              <w:rPr>
                <w:rFonts w:ascii="Times New Roman" w:hAnsi="Times New Roman"/>
                <w:color w:val="000000"/>
                <w:spacing w:val="-2"/>
              </w:rPr>
              <w:t xml:space="preserve">użytkowanych transportowo </w:t>
            </w:r>
            <w:r>
              <w:rPr>
                <w:rFonts w:ascii="Times New Roman" w:hAnsi="Times New Roman"/>
                <w:color w:val="000000"/>
                <w:spacing w:val="-2"/>
              </w:rPr>
              <w:t>oraz na podstawie wskaźników produktów: l</w:t>
            </w:r>
            <w:r w:rsidRPr="009A1FD2">
              <w:rPr>
                <w:rFonts w:ascii="Times New Roman" w:hAnsi="Times New Roman"/>
                <w:color w:val="000000"/>
                <w:spacing w:val="-2"/>
              </w:rPr>
              <w:t>iczb</w:t>
            </w:r>
            <w:r>
              <w:rPr>
                <w:rFonts w:ascii="Times New Roman" w:hAnsi="Times New Roman"/>
                <w:color w:val="000000"/>
                <w:spacing w:val="-2"/>
              </w:rPr>
              <w:t>y</w:t>
            </w:r>
            <w:r w:rsidRPr="009A1FD2">
              <w:rPr>
                <w:rFonts w:ascii="Times New Roman" w:hAnsi="Times New Roman"/>
                <w:color w:val="000000"/>
                <w:spacing w:val="-2"/>
              </w:rPr>
              <w:t xml:space="preserve"> kilometrów dróg wodnych</w:t>
            </w:r>
            <w:r w:rsidR="002F20A2">
              <w:rPr>
                <w:rFonts w:ascii="Times New Roman" w:hAnsi="Times New Roman"/>
                <w:color w:val="000000"/>
                <w:spacing w:val="-2"/>
              </w:rPr>
              <w:t xml:space="preserve"> </w:t>
            </w:r>
            <w:r w:rsidR="002F20A2" w:rsidRPr="002F20A2">
              <w:rPr>
                <w:rFonts w:ascii="Times New Roman" w:hAnsi="Times New Roman"/>
                <w:color w:val="000000"/>
                <w:spacing w:val="-2"/>
              </w:rPr>
              <w:t>użytkowanych transportowo</w:t>
            </w:r>
            <w:r w:rsidR="00AB0CC7">
              <w:rPr>
                <w:rFonts w:ascii="Times New Roman" w:hAnsi="Times New Roman"/>
                <w:color w:val="000000"/>
                <w:spacing w:val="-2"/>
              </w:rPr>
              <w:t xml:space="preserve">, </w:t>
            </w:r>
            <w:r w:rsidRPr="009A1FD2">
              <w:rPr>
                <w:rFonts w:ascii="Times New Roman" w:hAnsi="Times New Roman"/>
                <w:color w:val="000000"/>
                <w:spacing w:val="-2"/>
              </w:rPr>
              <w:t>z odbu</w:t>
            </w:r>
            <w:r>
              <w:rPr>
                <w:rFonts w:ascii="Times New Roman" w:hAnsi="Times New Roman"/>
                <w:color w:val="000000"/>
                <w:spacing w:val="-2"/>
              </w:rPr>
              <w:t>dowaną zabudową regulacyjną lub</w:t>
            </w:r>
            <w:r w:rsidRPr="009A1FD2">
              <w:rPr>
                <w:rFonts w:ascii="Times New Roman" w:hAnsi="Times New Roman"/>
                <w:color w:val="000000"/>
                <w:spacing w:val="-2"/>
              </w:rPr>
              <w:t xml:space="preserve"> wykonanymi pracami modernizacyjnymi</w:t>
            </w:r>
            <w:r w:rsidR="00D57498">
              <w:rPr>
                <w:rFonts w:ascii="Times New Roman" w:hAnsi="Times New Roman"/>
                <w:color w:val="000000"/>
                <w:spacing w:val="-2"/>
              </w:rPr>
              <w:t xml:space="preserve"> oraz </w:t>
            </w:r>
            <w:r>
              <w:rPr>
                <w:rFonts w:ascii="Times New Roman" w:hAnsi="Times New Roman"/>
                <w:color w:val="000000"/>
                <w:spacing w:val="-2"/>
              </w:rPr>
              <w:t>liczby</w:t>
            </w:r>
            <w:r w:rsidRPr="009A1FD2">
              <w:rPr>
                <w:rFonts w:ascii="Times New Roman" w:hAnsi="Times New Roman"/>
                <w:color w:val="000000"/>
                <w:spacing w:val="-2"/>
              </w:rPr>
              <w:t xml:space="preserve"> zmodernizowanych obiektów hydrotechnicznych</w:t>
            </w:r>
            <w:r w:rsidR="002F20A2">
              <w:rPr>
                <w:rFonts w:ascii="Times New Roman" w:hAnsi="Times New Roman"/>
                <w:color w:val="000000"/>
                <w:spacing w:val="-2"/>
              </w:rPr>
              <w:t xml:space="preserve"> </w:t>
            </w:r>
            <w:r w:rsidR="00AB0CC7">
              <w:rPr>
                <w:rFonts w:ascii="Times New Roman" w:hAnsi="Times New Roman"/>
                <w:color w:val="000000"/>
                <w:spacing w:val="-2"/>
              </w:rPr>
              <w:t xml:space="preserve">na drogach wodnych </w:t>
            </w:r>
            <w:r w:rsidR="002F20A2" w:rsidRPr="002F20A2">
              <w:rPr>
                <w:rFonts w:ascii="Times New Roman" w:hAnsi="Times New Roman"/>
                <w:color w:val="000000"/>
                <w:spacing w:val="-2"/>
              </w:rPr>
              <w:t>użytkowanych transportowo</w:t>
            </w:r>
            <w:r>
              <w:rPr>
                <w:rFonts w:ascii="Times New Roman" w:hAnsi="Times New Roman"/>
                <w:color w:val="000000"/>
                <w:spacing w:val="-2"/>
              </w:rPr>
              <w:t xml:space="preserve"> na koniec okresu obowiązywania </w:t>
            </w:r>
            <w:r w:rsidR="0064708A">
              <w:rPr>
                <w:rFonts w:ascii="Times New Roman" w:hAnsi="Times New Roman"/>
                <w:color w:val="000000"/>
                <w:spacing w:val="-2"/>
              </w:rPr>
              <w:t>KPŻ2030</w:t>
            </w:r>
            <w:r>
              <w:rPr>
                <w:rFonts w:ascii="Times New Roman" w:hAnsi="Times New Roman"/>
                <w:color w:val="000000"/>
                <w:spacing w:val="-2"/>
              </w:rPr>
              <w:t>, a także liczby kilometrów objętych Systemem Usług Informacji Rzecznej.</w:t>
            </w:r>
          </w:p>
          <w:p w14:paraId="68C2CA53" w14:textId="1D5A46B8" w:rsidR="00381215" w:rsidRDefault="00381215" w:rsidP="00060B87">
            <w:pPr>
              <w:spacing w:before="120" w:after="120" w:line="240" w:lineRule="auto"/>
              <w:jc w:val="both"/>
              <w:rPr>
                <w:rFonts w:ascii="Times New Roman" w:hAnsi="Times New Roman"/>
                <w:color w:val="000000"/>
                <w:spacing w:val="-2"/>
              </w:rPr>
            </w:pPr>
            <w:r>
              <w:rPr>
                <w:rFonts w:ascii="Times New Roman" w:hAnsi="Times New Roman"/>
                <w:color w:val="000000"/>
                <w:spacing w:val="-2"/>
              </w:rPr>
              <w:t>Przewiduje się także coroczny raport z zakresu realizacji, sporządzony przez instytucję odpowiedzialną</w:t>
            </w:r>
            <w:r w:rsidRPr="00A25365">
              <w:rPr>
                <w:rFonts w:ascii="Times New Roman" w:hAnsi="Times New Roman"/>
                <w:color w:val="000000"/>
                <w:spacing w:val="-2"/>
              </w:rPr>
              <w:t xml:space="preserve"> za realizację zadań inwestycyjnych ujętych w </w:t>
            </w:r>
            <w:r w:rsidR="0064708A">
              <w:rPr>
                <w:rFonts w:ascii="Times New Roman" w:hAnsi="Times New Roman"/>
                <w:color w:val="000000"/>
                <w:spacing w:val="-2"/>
              </w:rPr>
              <w:t>KPŻ2030</w:t>
            </w:r>
            <w:r>
              <w:rPr>
                <w:rFonts w:ascii="Times New Roman" w:hAnsi="Times New Roman"/>
                <w:color w:val="000000"/>
                <w:spacing w:val="-2"/>
              </w:rPr>
              <w:t>,</w:t>
            </w:r>
            <w:r w:rsidRPr="00A25365">
              <w:rPr>
                <w:rFonts w:ascii="Times New Roman" w:hAnsi="Times New Roman"/>
                <w:color w:val="000000"/>
                <w:spacing w:val="-2"/>
              </w:rPr>
              <w:t xml:space="preserve"> tj. </w:t>
            </w:r>
            <w:r w:rsidR="00FE5BE5">
              <w:rPr>
                <w:rFonts w:ascii="Times New Roman" w:hAnsi="Times New Roman"/>
                <w:color w:val="000000"/>
                <w:spacing w:val="-2"/>
              </w:rPr>
              <w:t>PGW WP</w:t>
            </w:r>
            <w:r>
              <w:rPr>
                <w:rFonts w:ascii="Times New Roman" w:hAnsi="Times New Roman"/>
                <w:color w:val="000000"/>
                <w:spacing w:val="-2"/>
              </w:rPr>
              <w:t xml:space="preserve">, uzupełniony o raport ministra właściwego ds. żeglugi śródlądowej w zakresie realizacji poszczególnych celów </w:t>
            </w:r>
            <w:r w:rsidR="0064708A">
              <w:rPr>
                <w:rFonts w:ascii="Times New Roman" w:hAnsi="Times New Roman"/>
                <w:color w:val="000000"/>
                <w:spacing w:val="-2"/>
              </w:rPr>
              <w:t>KPŻ2030</w:t>
            </w:r>
            <w:r>
              <w:rPr>
                <w:rFonts w:ascii="Times New Roman" w:hAnsi="Times New Roman"/>
                <w:color w:val="000000"/>
                <w:spacing w:val="-2"/>
              </w:rPr>
              <w:t xml:space="preserve">. </w:t>
            </w:r>
          </w:p>
          <w:p w14:paraId="7AA13D10" w14:textId="557BB70E" w:rsidR="00381215" w:rsidRPr="00B37C80" w:rsidRDefault="00AB0CC7" w:rsidP="00060B87">
            <w:pPr>
              <w:spacing w:before="120" w:after="120" w:line="240" w:lineRule="auto"/>
              <w:jc w:val="both"/>
              <w:rPr>
                <w:rFonts w:ascii="Times New Roman" w:hAnsi="Times New Roman"/>
                <w:color w:val="000000"/>
                <w:spacing w:val="-2"/>
              </w:rPr>
            </w:pPr>
            <w:r>
              <w:rPr>
                <w:rFonts w:ascii="Times New Roman" w:hAnsi="Times New Roman"/>
                <w:color w:val="000000"/>
                <w:spacing w:val="-2"/>
              </w:rPr>
              <w:t>Po zakończeniu obowiązywania KPŻ2030 planowany jest szczegółowy raport ewaluacyjny w celu oceny spełnienia wskazanego celu głównego i celów szczegółowych.</w:t>
            </w:r>
          </w:p>
        </w:tc>
      </w:tr>
      <w:tr w:rsidR="00381215" w:rsidRPr="008B4FE6" w14:paraId="17080802" w14:textId="77777777" w:rsidTr="00676C8D">
        <w:trPr>
          <w:gridAfter w:val="1"/>
          <w:wAfter w:w="10" w:type="dxa"/>
          <w:trHeight w:val="142"/>
        </w:trPr>
        <w:tc>
          <w:tcPr>
            <w:tcW w:w="10937" w:type="dxa"/>
            <w:gridSpan w:val="21"/>
            <w:shd w:val="clear" w:color="auto" w:fill="99CCFF"/>
          </w:tcPr>
          <w:p w14:paraId="0D126DB9" w14:textId="77777777" w:rsidR="00381215" w:rsidRPr="008B4FE6" w:rsidRDefault="00381215" w:rsidP="00381215">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381215" w:rsidRPr="008B4FE6" w14:paraId="3FA80B33" w14:textId="77777777" w:rsidTr="00676C8D">
        <w:trPr>
          <w:gridAfter w:val="1"/>
          <w:wAfter w:w="10" w:type="dxa"/>
          <w:trHeight w:val="142"/>
        </w:trPr>
        <w:tc>
          <w:tcPr>
            <w:tcW w:w="10937" w:type="dxa"/>
            <w:gridSpan w:val="21"/>
            <w:shd w:val="clear" w:color="auto" w:fill="FFFFFF"/>
          </w:tcPr>
          <w:p w14:paraId="2A27F83D" w14:textId="77777777" w:rsidR="00381215" w:rsidRPr="00B37C80" w:rsidRDefault="00381215" w:rsidP="00381215">
            <w:pPr>
              <w:spacing w:line="240" w:lineRule="auto"/>
              <w:jc w:val="both"/>
              <w:rPr>
                <w:rFonts w:ascii="Times New Roman" w:hAnsi="Times New Roman"/>
                <w:i/>
                <w:color w:val="000000"/>
                <w:spacing w:val="-2"/>
                <w:sz w:val="18"/>
                <w:szCs w:val="18"/>
              </w:rPr>
            </w:pPr>
          </w:p>
          <w:p w14:paraId="2449D61E" w14:textId="10E3C940" w:rsidR="00381215" w:rsidRPr="00B37C80" w:rsidRDefault="00381215" w:rsidP="00381215">
            <w:pPr>
              <w:spacing w:line="240" w:lineRule="auto"/>
              <w:jc w:val="both"/>
              <w:rPr>
                <w:rFonts w:ascii="Times New Roman" w:hAnsi="Times New Roman"/>
                <w:color w:val="000000"/>
                <w:spacing w:val="-2"/>
              </w:rPr>
            </w:pPr>
          </w:p>
        </w:tc>
      </w:tr>
    </w:tbl>
    <w:p w14:paraId="6EEC43FB" w14:textId="14801972" w:rsidR="006176ED" w:rsidRPr="00522D94" w:rsidRDefault="009D0655" w:rsidP="000102EE">
      <w:pPr>
        <w:pStyle w:val="Nagwek1"/>
        <w:jc w:val="center"/>
        <w:rPr>
          <w:rFonts w:ascii="Times New Roman" w:hAnsi="Times New Roman"/>
          <w:sz w:val="20"/>
          <w:szCs w:val="20"/>
        </w:rPr>
      </w:pPr>
      <w:r>
        <w:rPr>
          <w:rFonts w:ascii="Times New Roman" w:hAnsi="Times New Roman"/>
          <w:sz w:val="20"/>
          <w:szCs w:val="20"/>
        </w:rPr>
        <w:t xml:space="preserve"> </w:t>
      </w:r>
    </w:p>
    <w:sectPr w:rsidR="006176ED" w:rsidRPr="00522D94" w:rsidSect="00725DE7">
      <w:pgSz w:w="11906" w:h="16838"/>
      <w:pgMar w:top="568" w:right="707" w:bottom="568" w:left="720" w:header="708" w:footer="29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B0561D" w16cid:durableId="27DA848C"/>
  <w16cid:commentId w16cid:paraId="1B42E87F" w16cid:durableId="27DA848D"/>
  <w16cid:commentId w16cid:paraId="046CA4D8" w16cid:durableId="27DA848E"/>
  <w16cid:commentId w16cid:paraId="12553C50" w16cid:durableId="27DA85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D11C5" w14:textId="77777777" w:rsidR="009E39EF" w:rsidRDefault="009E39EF" w:rsidP="00044739">
      <w:pPr>
        <w:spacing w:line="240" w:lineRule="auto"/>
      </w:pPr>
      <w:r>
        <w:separator/>
      </w:r>
    </w:p>
  </w:endnote>
  <w:endnote w:type="continuationSeparator" w:id="0">
    <w:p w14:paraId="11A23B2E" w14:textId="77777777" w:rsidR="009E39EF" w:rsidRDefault="009E39EF" w:rsidP="00044739">
      <w:pPr>
        <w:spacing w:line="240" w:lineRule="auto"/>
      </w:pPr>
      <w:r>
        <w:continuationSeparator/>
      </w:r>
    </w:p>
  </w:endnote>
  <w:endnote w:type="continuationNotice" w:id="1">
    <w:p w14:paraId="7D58469B" w14:textId="77777777" w:rsidR="009E39EF" w:rsidRDefault="009E39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E4588" w14:textId="77777777" w:rsidR="009E39EF" w:rsidRDefault="009E39EF" w:rsidP="00044739">
      <w:pPr>
        <w:spacing w:line="240" w:lineRule="auto"/>
      </w:pPr>
      <w:r>
        <w:separator/>
      </w:r>
    </w:p>
  </w:footnote>
  <w:footnote w:type="continuationSeparator" w:id="0">
    <w:p w14:paraId="05FCA7AC" w14:textId="77777777" w:rsidR="009E39EF" w:rsidRDefault="009E39EF" w:rsidP="00044739">
      <w:pPr>
        <w:spacing w:line="240" w:lineRule="auto"/>
      </w:pPr>
      <w:r>
        <w:continuationSeparator/>
      </w:r>
    </w:p>
  </w:footnote>
  <w:footnote w:type="continuationNotice" w:id="1">
    <w:p w14:paraId="01A664B9" w14:textId="77777777" w:rsidR="009E39EF" w:rsidRDefault="009E39EF">
      <w:pPr>
        <w:spacing w:line="240" w:lineRule="auto"/>
      </w:pPr>
    </w:p>
  </w:footnote>
  <w:footnote w:id="2">
    <w:p w14:paraId="2EC6F562" w14:textId="7DDCBCB2" w:rsidR="003A3DF2" w:rsidRPr="005219C1" w:rsidRDefault="003A3DF2">
      <w:pPr>
        <w:pStyle w:val="Tekstprzypisudolnego"/>
        <w:rPr>
          <w:rFonts w:ascii="Times New Roman" w:hAnsi="Times New Roman"/>
          <w:sz w:val="16"/>
          <w:szCs w:val="16"/>
        </w:rPr>
      </w:pPr>
      <w:r w:rsidRPr="005219C1">
        <w:rPr>
          <w:rStyle w:val="Odwoanieprzypisudolnego"/>
          <w:rFonts w:ascii="Times New Roman" w:hAnsi="Times New Roman"/>
          <w:sz w:val="16"/>
          <w:szCs w:val="16"/>
        </w:rPr>
        <w:footnoteRef/>
      </w:r>
      <w:r w:rsidRPr="005219C1">
        <w:rPr>
          <w:rFonts w:ascii="Times New Roman" w:hAnsi="Times New Roman"/>
          <w:sz w:val="16"/>
          <w:szCs w:val="16"/>
        </w:rPr>
        <w:t xml:space="preserve"> Inwestycje z nr od 1 do 5 indykatywnej listy projektów stanowiącej załącznik nr 1 do KPŻ2030.</w:t>
      </w:r>
    </w:p>
  </w:footnote>
  <w:footnote w:id="3">
    <w:p w14:paraId="11F4818E" w14:textId="69778B9A" w:rsidR="003A3DF2" w:rsidRPr="005219C1" w:rsidRDefault="003A3DF2">
      <w:pPr>
        <w:pStyle w:val="Tekstprzypisudolnego"/>
        <w:rPr>
          <w:rFonts w:ascii="Times New Roman" w:hAnsi="Times New Roman"/>
          <w:sz w:val="16"/>
          <w:szCs w:val="16"/>
        </w:rPr>
      </w:pPr>
      <w:r w:rsidRPr="005219C1">
        <w:rPr>
          <w:rStyle w:val="Odwoanieprzypisudolnego"/>
          <w:rFonts w:ascii="Times New Roman" w:hAnsi="Times New Roman"/>
          <w:sz w:val="16"/>
          <w:szCs w:val="16"/>
        </w:rPr>
        <w:footnoteRef/>
      </w:r>
      <w:r w:rsidRPr="005219C1">
        <w:rPr>
          <w:rFonts w:ascii="Times New Roman" w:hAnsi="Times New Roman"/>
          <w:sz w:val="16"/>
          <w:szCs w:val="16"/>
        </w:rPr>
        <w:t xml:space="preserve"> Inwestycja nr 9 indykatywnej listy projektów stanowiącej załącznik nr 1 do KPŻ2030.</w:t>
      </w:r>
    </w:p>
  </w:footnote>
  <w:footnote w:id="4">
    <w:p w14:paraId="7FAA4BD7" w14:textId="09CE6907" w:rsidR="003A3DF2" w:rsidRPr="005219C1" w:rsidRDefault="003A3DF2">
      <w:pPr>
        <w:pStyle w:val="Tekstprzypisudolnego"/>
        <w:rPr>
          <w:rFonts w:ascii="Times New Roman" w:hAnsi="Times New Roman"/>
          <w:sz w:val="16"/>
          <w:szCs w:val="16"/>
        </w:rPr>
      </w:pPr>
      <w:r w:rsidRPr="005219C1">
        <w:rPr>
          <w:rStyle w:val="Odwoanieprzypisudolnego"/>
          <w:rFonts w:ascii="Times New Roman" w:hAnsi="Times New Roman"/>
          <w:sz w:val="16"/>
          <w:szCs w:val="16"/>
        </w:rPr>
        <w:footnoteRef/>
      </w:r>
      <w:r w:rsidRPr="005219C1">
        <w:rPr>
          <w:rStyle w:val="Odwoanieprzypisudolnego"/>
          <w:rFonts w:ascii="Times New Roman" w:hAnsi="Times New Roman"/>
          <w:sz w:val="16"/>
          <w:szCs w:val="16"/>
        </w:rPr>
        <w:t xml:space="preserve"> </w:t>
      </w:r>
      <w:r w:rsidRPr="005219C1">
        <w:rPr>
          <w:rFonts w:ascii="Times New Roman" w:hAnsi="Times New Roman"/>
          <w:sz w:val="16"/>
          <w:szCs w:val="16"/>
        </w:rPr>
        <w:t>Tj. pozycje nr 6</w:t>
      </w:r>
      <w:r>
        <w:rPr>
          <w:rFonts w:ascii="Times New Roman" w:hAnsi="Times New Roman"/>
          <w:sz w:val="16"/>
          <w:szCs w:val="16"/>
        </w:rPr>
        <w:t>–</w:t>
      </w:r>
      <w:r w:rsidRPr="005219C1">
        <w:rPr>
          <w:rFonts w:ascii="Times New Roman" w:hAnsi="Times New Roman"/>
          <w:sz w:val="16"/>
          <w:szCs w:val="16"/>
        </w:rPr>
        <w:t>8 oraz 10 i 11 indykatywnej listy projektów stanowiącej załącznik nr 1 do KPŻ2030.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2982"/>
    <w:multiLevelType w:val="hybridMultilevel"/>
    <w:tmpl w:val="3E3C1304"/>
    <w:lvl w:ilvl="0" w:tplc="6B10C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33E16"/>
    <w:multiLevelType w:val="hybridMultilevel"/>
    <w:tmpl w:val="0C1858AA"/>
    <w:lvl w:ilvl="0" w:tplc="2F6C9C4C">
      <w:numFmt w:val="bullet"/>
      <w:lvlText w:val="•"/>
      <w:lvlJc w:val="left"/>
      <w:pPr>
        <w:ind w:left="1068" w:hanging="708"/>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A82072"/>
    <w:multiLevelType w:val="hybridMultilevel"/>
    <w:tmpl w:val="C8D88F82"/>
    <w:lvl w:ilvl="0" w:tplc="6B10C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B5186D"/>
    <w:multiLevelType w:val="hybridMultilevel"/>
    <w:tmpl w:val="73D66582"/>
    <w:lvl w:ilvl="0" w:tplc="6B10C9F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1B25BF"/>
    <w:multiLevelType w:val="hybridMultilevel"/>
    <w:tmpl w:val="F52A17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8" w15:restartNumberingAfterBreak="0">
    <w:nsid w:val="14495D2C"/>
    <w:multiLevelType w:val="hybridMultilevel"/>
    <w:tmpl w:val="642E9654"/>
    <w:lvl w:ilvl="0" w:tplc="6B10C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316678"/>
    <w:multiLevelType w:val="hybridMultilevel"/>
    <w:tmpl w:val="5C1E7A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457771"/>
    <w:multiLevelType w:val="hybridMultilevel"/>
    <w:tmpl w:val="B584F860"/>
    <w:lvl w:ilvl="0" w:tplc="2F6C9C4C">
      <w:numFmt w:val="bullet"/>
      <w:lvlText w:val="•"/>
      <w:lvlJc w:val="left"/>
      <w:pPr>
        <w:ind w:left="1068" w:hanging="708"/>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740228"/>
    <w:multiLevelType w:val="hybridMultilevel"/>
    <w:tmpl w:val="BC2C8804"/>
    <w:lvl w:ilvl="0" w:tplc="6B10C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425F0A"/>
    <w:multiLevelType w:val="hybridMultilevel"/>
    <w:tmpl w:val="8486B26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D25FA3"/>
    <w:multiLevelType w:val="hybridMultilevel"/>
    <w:tmpl w:val="741A8A9E"/>
    <w:lvl w:ilvl="0" w:tplc="6B10C9F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8" w15:restartNumberingAfterBreak="0">
    <w:nsid w:val="25416CB4"/>
    <w:multiLevelType w:val="hybridMultilevel"/>
    <w:tmpl w:val="B112B762"/>
    <w:lvl w:ilvl="0" w:tplc="2F6C9C4C">
      <w:numFmt w:val="bullet"/>
      <w:lvlText w:val="•"/>
      <w:lvlJc w:val="left"/>
      <w:pPr>
        <w:ind w:left="1068" w:hanging="708"/>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5723835"/>
    <w:multiLevelType w:val="hybridMultilevel"/>
    <w:tmpl w:val="367A3142"/>
    <w:lvl w:ilvl="0" w:tplc="6B10C9F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75744A"/>
    <w:multiLevelType w:val="hybridMultilevel"/>
    <w:tmpl w:val="13B4524C"/>
    <w:lvl w:ilvl="0" w:tplc="6B10C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BBD1AB7"/>
    <w:multiLevelType w:val="hybridMultilevel"/>
    <w:tmpl w:val="87380C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3174AC"/>
    <w:multiLevelType w:val="hybridMultilevel"/>
    <w:tmpl w:val="A12CA70C"/>
    <w:lvl w:ilvl="0" w:tplc="DC380EC2">
      <w:start w:val="145"/>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2093552"/>
    <w:multiLevelType w:val="hybridMultilevel"/>
    <w:tmpl w:val="83B8BB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EC0581"/>
    <w:multiLevelType w:val="hybridMultilevel"/>
    <w:tmpl w:val="CBF40E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28"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9" w15:restartNumberingAfterBreak="0">
    <w:nsid w:val="3D1F006A"/>
    <w:multiLevelType w:val="hybridMultilevel"/>
    <w:tmpl w:val="2D94E850"/>
    <w:lvl w:ilvl="0" w:tplc="6B10C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1AB6C1C"/>
    <w:multiLevelType w:val="hybridMultilevel"/>
    <w:tmpl w:val="5F0CE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33" w15:restartNumberingAfterBreak="0">
    <w:nsid w:val="4DEF114E"/>
    <w:multiLevelType w:val="hybridMultilevel"/>
    <w:tmpl w:val="13BEBAFA"/>
    <w:lvl w:ilvl="0" w:tplc="6B10C9F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530116DF"/>
    <w:multiLevelType w:val="hybridMultilevel"/>
    <w:tmpl w:val="51488690"/>
    <w:lvl w:ilvl="0" w:tplc="DCCE75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7"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9" w15:restartNumberingAfterBreak="0">
    <w:nsid w:val="60E172B1"/>
    <w:multiLevelType w:val="hybridMultilevel"/>
    <w:tmpl w:val="A4863454"/>
    <w:lvl w:ilvl="0" w:tplc="6B10C9F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42" w15:restartNumberingAfterBreak="0">
    <w:nsid w:val="657E583B"/>
    <w:multiLevelType w:val="hybridMultilevel"/>
    <w:tmpl w:val="4B462608"/>
    <w:lvl w:ilvl="0" w:tplc="6B10C9F2">
      <w:start w:val="1"/>
      <w:numFmt w:val="bullet"/>
      <w:lvlText w:val=""/>
      <w:lvlJc w:val="left"/>
      <w:pPr>
        <w:ind w:left="1068" w:hanging="708"/>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AC7C4A"/>
    <w:multiLevelType w:val="hybridMultilevel"/>
    <w:tmpl w:val="D00CEB8E"/>
    <w:lvl w:ilvl="0" w:tplc="04150001">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44" w15:restartNumberingAfterBreak="0">
    <w:nsid w:val="6FE91CE6"/>
    <w:multiLevelType w:val="hybridMultilevel"/>
    <w:tmpl w:val="BDCEF9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14"/>
  </w:num>
  <w:num w:numId="2">
    <w:abstractNumId w:val="1"/>
  </w:num>
  <w:num w:numId="3">
    <w:abstractNumId w:val="26"/>
  </w:num>
  <w:num w:numId="4">
    <w:abstractNumId w:val="40"/>
  </w:num>
  <w:num w:numId="5">
    <w:abstractNumId w:val="4"/>
  </w:num>
  <w:num w:numId="6">
    <w:abstractNumId w:val="20"/>
  </w:num>
  <w:num w:numId="7">
    <w:abstractNumId w:val="31"/>
  </w:num>
  <w:num w:numId="8">
    <w:abstractNumId w:val="15"/>
  </w:num>
  <w:num w:numId="9">
    <w:abstractNumId w:val="34"/>
  </w:num>
  <w:num w:numId="10">
    <w:abstractNumId w:val="28"/>
  </w:num>
  <w:num w:numId="11">
    <w:abstractNumId w:val="32"/>
  </w:num>
  <w:num w:numId="12">
    <w:abstractNumId w:val="7"/>
  </w:num>
  <w:num w:numId="13">
    <w:abstractNumId w:val="27"/>
  </w:num>
  <w:num w:numId="14">
    <w:abstractNumId w:val="41"/>
  </w:num>
  <w:num w:numId="15">
    <w:abstractNumId w:val="36"/>
  </w:num>
  <w:num w:numId="16">
    <w:abstractNumId w:val="38"/>
  </w:num>
  <w:num w:numId="17">
    <w:abstractNumId w:val="16"/>
  </w:num>
  <w:num w:numId="18">
    <w:abstractNumId w:val="45"/>
  </w:num>
  <w:num w:numId="19">
    <w:abstractNumId w:val="46"/>
  </w:num>
  <w:num w:numId="20">
    <w:abstractNumId w:val="37"/>
  </w:num>
  <w:num w:numId="21">
    <w:abstractNumId w:val="17"/>
  </w:num>
  <w:num w:numId="22">
    <w:abstractNumId w:val="24"/>
  </w:num>
  <w:num w:numId="23">
    <w:abstractNumId w:val="18"/>
  </w:num>
  <w:num w:numId="24">
    <w:abstractNumId w:val="2"/>
  </w:num>
  <w:num w:numId="25">
    <w:abstractNumId w:val="10"/>
  </w:num>
  <w:num w:numId="26">
    <w:abstractNumId w:val="43"/>
  </w:num>
  <w:num w:numId="27">
    <w:abstractNumId w:val="44"/>
  </w:num>
  <w:num w:numId="28">
    <w:abstractNumId w:val="9"/>
  </w:num>
  <w:num w:numId="29">
    <w:abstractNumId w:val="22"/>
  </w:num>
  <w:num w:numId="30">
    <w:abstractNumId w:val="12"/>
  </w:num>
  <w:num w:numId="31">
    <w:abstractNumId w:val="25"/>
  </w:num>
  <w:num w:numId="32">
    <w:abstractNumId w:val="19"/>
  </w:num>
  <w:num w:numId="33">
    <w:abstractNumId w:val="33"/>
  </w:num>
  <w:num w:numId="34">
    <w:abstractNumId w:val="42"/>
  </w:num>
  <w:num w:numId="35">
    <w:abstractNumId w:val="35"/>
  </w:num>
  <w:num w:numId="36">
    <w:abstractNumId w:val="5"/>
  </w:num>
  <w:num w:numId="37">
    <w:abstractNumId w:val="30"/>
  </w:num>
  <w:num w:numId="38">
    <w:abstractNumId w:val="6"/>
  </w:num>
  <w:num w:numId="39">
    <w:abstractNumId w:val="13"/>
  </w:num>
  <w:num w:numId="40">
    <w:abstractNumId w:val="21"/>
  </w:num>
  <w:num w:numId="41">
    <w:abstractNumId w:val="39"/>
  </w:num>
  <w:num w:numId="42">
    <w:abstractNumId w:val="3"/>
  </w:num>
  <w:num w:numId="43">
    <w:abstractNumId w:val="0"/>
  </w:num>
  <w:num w:numId="44">
    <w:abstractNumId w:val="29"/>
  </w:num>
  <w:num w:numId="45">
    <w:abstractNumId w:val="11"/>
  </w:num>
  <w:num w:numId="46">
    <w:abstractNumId w:val="8"/>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proofState w:spelling="clean"/>
  <w:documentProtection w:edit="forms" w:formatting="1" w:enforcement="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2F85"/>
    <w:rsid w:val="00004C6A"/>
    <w:rsid w:val="000102EE"/>
    <w:rsid w:val="00012D11"/>
    <w:rsid w:val="000139F0"/>
    <w:rsid w:val="00013EB5"/>
    <w:rsid w:val="00014395"/>
    <w:rsid w:val="000143AC"/>
    <w:rsid w:val="00023836"/>
    <w:rsid w:val="000313AE"/>
    <w:rsid w:val="000356A9"/>
    <w:rsid w:val="00042148"/>
    <w:rsid w:val="00044138"/>
    <w:rsid w:val="00044739"/>
    <w:rsid w:val="00051637"/>
    <w:rsid w:val="00056681"/>
    <w:rsid w:val="00060B87"/>
    <w:rsid w:val="000648A7"/>
    <w:rsid w:val="0006618B"/>
    <w:rsid w:val="000670C0"/>
    <w:rsid w:val="00071B99"/>
    <w:rsid w:val="000756E5"/>
    <w:rsid w:val="0007704E"/>
    <w:rsid w:val="00080EC8"/>
    <w:rsid w:val="00083D1D"/>
    <w:rsid w:val="000944AC"/>
    <w:rsid w:val="00094CB9"/>
    <w:rsid w:val="000956B2"/>
    <w:rsid w:val="000969E7"/>
    <w:rsid w:val="000A23DE"/>
    <w:rsid w:val="000A4020"/>
    <w:rsid w:val="000B02D4"/>
    <w:rsid w:val="000B54FB"/>
    <w:rsid w:val="000B6106"/>
    <w:rsid w:val="000C0A8C"/>
    <w:rsid w:val="000C29B0"/>
    <w:rsid w:val="000C4820"/>
    <w:rsid w:val="000C5EA7"/>
    <w:rsid w:val="000C76FC"/>
    <w:rsid w:val="000D38FC"/>
    <w:rsid w:val="000D4D90"/>
    <w:rsid w:val="000E2D10"/>
    <w:rsid w:val="000E382F"/>
    <w:rsid w:val="000F3204"/>
    <w:rsid w:val="000F44F1"/>
    <w:rsid w:val="000F5F0F"/>
    <w:rsid w:val="0010548B"/>
    <w:rsid w:val="001072D1"/>
    <w:rsid w:val="00115453"/>
    <w:rsid w:val="00117017"/>
    <w:rsid w:val="001244BD"/>
    <w:rsid w:val="00125727"/>
    <w:rsid w:val="00130E8E"/>
    <w:rsid w:val="0013118F"/>
    <w:rsid w:val="0013216E"/>
    <w:rsid w:val="001325BE"/>
    <w:rsid w:val="00136D87"/>
    <w:rsid w:val="001371D6"/>
    <w:rsid w:val="001401B5"/>
    <w:rsid w:val="001422B9"/>
    <w:rsid w:val="0014665F"/>
    <w:rsid w:val="00153464"/>
    <w:rsid w:val="001541B3"/>
    <w:rsid w:val="00155B15"/>
    <w:rsid w:val="001625BE"/>
    <w:rsid w:val="001643A4"/>
    <w:rsid w:val="00165398"/>
    <w:rsid w:val="001727BB"/>
    <w:rsid w:val="00180D25"/>
    <w:rsid w:val="0018318D"/>
    <w:rsid w:val="0018572C"/>
    <w:rsid w:val="00185896"/>
    <w:rsid w:val="00187E79"/>
    <w:rsid w:val="00187F0D"/>
    <w:rsid w:val="00192CC5"/>
    <w:rsid w:val="001942B9"/>
    <w:rsid w:val="001956A7"/>
    <w:rsid w:val="0019763C"/>
    <w:rsid w:val="001A118A"/>
    <w:rsid w:val="001A27F4"/>
    <w:rsid w:val="001A2A14"/>
    <w:rsid w:val="001A2D95"/>
    <w:rsid w:val="001A33B4"/>
    <w:rsid w:val="001B1448"/>
    <w:rsid w:val="001B3460"/>
    <w:rsid w:val="001B4CA1"/>
    <w:rsid w:val="001B75D8"/>
    <w:rsid w:val="001C1060"/>
    <w:rsid w:val="001C1517"/>
    <w:rsid w:val="001C1F36"/>
    <w:rsid w:val="001C3C63"/>
    <w:rsid w:val="001D4732"/>
    <w:rsid w:val="001D6A3C"/>
    <w:rsid w:val="001D6D51"/>
    <w:rsid w:val="001E036B"/>
    <w:rsid w:val="001E2468"/>
    <w:rsid w:val="001E3C98"/>
    <w:rsid w:val="001E55CF"/>
    <w:rsid w:val="001F03B7"/>
    <w:rsid w:val="001F653A"/>
    <w:rsid w:val="001F6979"/>
    <w:rsid w:val="00202BC6"/>
    <w:rsid w:val="00205141"/>
    <w:rsid w:val="0020516B"/>
    <w:rsid w:val="00213559"/>
    <w:rsid w:val="00213EFD"/>
    <w:rsid w:val="002172F1"/>
    <w:rsid w:val="002177AD"/>
    <w:rsid w:val="00221462"/>
    <w:rsid w:val="002224AF"/>
    <w:rsid w:val="00223C7B"/>
    <w:rsid w:val="00224AB1"/>
    <w:rsid w:val="0022687A"/>
    <w:rsid w:val="00230728"/>
    <w:rsid w:val="002329A2"/>
    <w:rsid w:val="00234040"/>
    <w:rsid w:val="00235CD2"/>
    <w:rsid w:val="002414EF"/>
    <w:rsid w:val="00243C09"/>
    <w:rsid w:val="00245154"/>
    <w:rsid w:val="00246797"/>
    <w:rsid w:val="002526A0"/>
    <w:rsid w:val="00254A68"/>
    <w:rsid w:val="00254D40"/>
    <w:rsid w:val="00254DED"/>
    <w:rsid w:val="00255619"/>
    <w:rsid w:val="00255DAD"/>
    <w:rsid w:val="00256108"/>
    <w:rsid w:val="00260F33"/>
    <w:rsid w:val="002613BD"/>
    <w:rsid w:val="002624F1"/>
    <w:rsid w:val="0026466C"/>
    <w:rsid w:val="00270C81"/>
    <w:rsid w:val="00271558"/>
    <w:rsid w:val="00274862"/>
    <w:rsid w:val="002749AC"/>
    <w:rsid w:val="00275818"/>
    <w:rsid w:val="00282D72"/>
    <w:rsid w:val="00283402"/>
    <w:rsid w:val="00290FD6"/>
    <w:rsid w:val="00293447"/>
    <w:rsid w:val="002937AD"/>
    <w:rsid w:val="00294259"/>
    <w:rsid w:val="00295604"/>
    <w:rsid w:val="002A2C81"/>
    <w:rsid w:val="002B0C1A"/>
    <w:rsid w:val="002B3869"/>
    <w:rsid w:val="002B3D1A"/>
    <w:rsid w:val="002B43E4"/>
    <w:rsid w:val="002B4858"/>
    <w:rsid w:val="002C27D0"/>
    <w:rsid w:val="002C2C9B"/>
    <w:rsid w:val="002D155E"/>
    <w:rsid w:val="002D17D6"/>
    <w:rsid w:val="002D18D7"/>
    <w:rsid w:val="002D21CE"/>
    <w:rsid w:val="002D34B6"/>
    <w:rsid w:val="002D5BA4"/>
    <w:rsid w:val="002E1C3F"/>
    <w:rsid w:val="002E3DA3"/>
    <w:rsid w:val="002E450F"/>
    <w:rsid w:val="002E6B38"/>
    <w:rsid w:val="002E6D63"/>
    <w:rsid w:val="002E6E2B"/>
    <w:rsid w:val="002F20A2"/>
    <w:rsid w:val="002F24AB"/>
    <w:rsid w:val="002F3173"/>
    <w:rsid w:val="002F500B"/>
    <w:rsid w:val="00300991"/>
    <w:rsid w:val="00301959"/>
    <w:rsid w:val="0030218C"/>
    <w:rsid w:val="00305B8A"/>
    <w:rsid w:val="00307633"/>
    <w:rsid w:val="00331BF9"/>
    <w:rsid w:val="0033495E"/>
    <w:rsid w:val="00334A79"/>
    <w:rsid w:val="00334D8D"/>
    <w:rsid w:val="00337345"/>
    <w:rsid w:val="00337DD2"/>
    <w:rsid w:val="003404D1"/>
    <w:rsid w:val="00343BEA"/>
    <w:rsid w:val="003443FF"/>
    <w:rsid w:val="00350CCE"/>
    <w:rsid w:val="00353F48"/>
    <w:rsid w:val="00355808"/>
    <w:rsid w:val="00356D94"/>
    <w:rsid w:val="003601D5"/>
    <w:rsid w:val="00362C7E"/>
    <w:rsid w:val="00363309"/>
    <w:rsid w:val="00363601"/>
    <w:rsid w:val="00366583"/>
    <w:rsid w:val="00370127"/>
    <w:rsid w:val="003742CC"/>
    <w:rsid w:val="00376AC9"/>
    <w:rsid w:val="00381215"/>
    <w:rsid w:val="003919E8"/>
    <w:rsid w:val="00393032"/>
    <w:rsid w:val="003937E7"/>
    <w:rsid w:val="00394B69"/>
    <w:rsid w:val="00397078"/>
    <w:rsid w:val="0039711E"/>
    <w:rsid w:val="003A23C5"/>
    <w:rsid w:val="003A2FE7"/>
    <w:rsid w:val="003A3DF2"/>
    <w:rsid w:val="003A4119"/>
    <w:rsid w:val="003A5053"/>
    <w:rsid w:val="003A6953"/>
    <w:rsid w:val="003A70AE"/>
    <w:rsid w:val="003B13F7"/>
    <w:rsid w:val="003B2DF5"/>
    <w:rsid w:val="003B3DD5"/>
    <w:rsid w:val="003B4E9C"/>
    <w:rsid w:val="003B6083"/>
    <w:rsid w:val="003C3838"/>
    <w:rsid w:val="003C5332"/>
    <w:rsid w:val="003C5847"/>
    <w:rsid w:val="003D0681"/>
    <w:rsid w:val="003D12F6"/>
    <w:rsid w:val="003D1426"/>
    <w:rsid w:val="003E2F4E"/>
    <w:rsid w:val="003E720A"/>
    <w:rsid w:val="003F31F1"/>
    <w:rsid w:val="003F4928"/>
    <w:rsid w:val="00403E6E"/>
    <w:rsid w:val="004129B4"/>
    <w:rsid w:val="00417EF0"/>
    <w:rsid w:val="00422181"/>
    <w:rsid w:val="004244A8"/>
    <w:rsid w:val="00425F72"/>
    <w:rsid w:val="00426A6F"/>
    <w:rsid w:val="00427736"/>
    <w:rsid w:val="00441787"/>
    <w:rsid w:val="00444F2D"/>
    <w:rsid w:val="00450548"/>
    <w:rsid w:val="00452034"/>
    <w:rsid w:val="00455FA6"/>
    <w:rsid w:val="00456AAA"/>
    <w:rsid w:val="00461F1E"/>
    <w:rsid w:val="00466C70"/>
    <w:rsid w:val="004702C9"/>
    <w:rsid w:val="00472E34"/>
    <w:rsid w:val="00472E45"/>
    <w:rsid w:val="00473FEA"/>
    <w:rsid w:val="0047579D"/>
    <w:rsid w:val="00483262"/>
    <w:rsid w:val="00484107"/>
    <w:rsid w:val="00485CC5"/>
    <w:rsid w:val="00490548"/>
    <w:rsid w:val="0049343F"/>
    <w:rsid w:val="004964FC"/>
    <w:rsid w:val="004A145E"/>
    <w:rsid w:val="004A1F15"/>
    <w:rsid w:val="004A2A81"/>
    <w:rsid w:val="004A7700"/>
    <w:rsid w:val="004A7BD7"/>
    <w:rsid w:val="004B6788"/>
    <w:rsid w:val="004B7FED"/>
    <w:rsid w:val="004C15C2"/>
    <w:rsid w:val="004C1E07"/>
    <w:rsid w:val="004C36D8"/>
    <w:rsid w:val="004C6A0C"/>
    <w:rsid w:val="004D1248"/>
    <w:rsid w:val="004D1D03"/>
    <w:rsid w:val="004D1E3C"/>
    <w:rsid w:val="004D4169"/>
    <w:rsid w:val="004D6E14"/>
    <w:rsid w:val="004E0FF0"/>
    <w:rsid w:val="004E632A"/>
    <w:rsid w:val="004E6A99"/>
    <w:rsid w:val="004F2F8B"/>
    <w:rsid w:val="004F3926"/>
    <w:rsid w:val="004F4E17"/>
    <w:rsid w:val="0050082F"/>
    <w:rsid w:val="00500C56"/>
    <w:rsid w:val="00501713"/>
    <w:rsid w:val="00506568"/>
    <w:rsid w:val="00506966"/>
    <w:rsid w:val="005152D2"/>
    <w:rsid w:val="0051551B"/>
    <w:rsid w:val="00516827"/>
    <w:rsid w:val="00520C57"/>
    <w:rsid w:val="005219C1"/>
    <w:rsid w:val="005222B5"/>
    <w:rsid w:val="00522D94"/>
    <w:rsid w:val="00526325"/>
    <w:rsid w:val="005264C4"/>
    <w:rsid w:val="00526FBC"/>
    <w:rsid w:val="00527E6F"/>
    <w:rsid w:val="00531299"/>
    <w:rsid w:val="00533D89"/>
    <w:rsid w:val="00534A1B"/>
    <w:rsid w:val="00534B7A"/>
    <w:rsid w:val="00536564"/>
    <w:rsid w:val="00544597"/>
    <w:rsid w:val="00544FFE"/>
    <w:rsid w:val="005450A6"/>
    <w:rsid w:val="00545DEA"/>
    <w:rsid w:val="005473F5"/>
    <w:rsid w:val="005477E7"/>
    <w:rsid w:val="00550AAD"/>
    <w:rsid w:val="00552794"/>
    <w:rsid w:val="00554754"/>
    <w:rsid w:val="005555E5"/>
    <w:rsid w:val="00560898"/>
    <w:rsid w:val="00563199"/>
    <w:rsid w:val="0056467C"/>
    <w:rsid w:val="00564874"/>
    <w:rsid w:val="00567963"/>
    <w:rsid w:val="0057009A"/>
    <w:rsid w:val="00571260"/>
    <w:rsid w:val="0057189C"/>
    <w:rsid w:val="00573FC1"/>
    <w:rsid w:val="005741EE"/>
    <w:rsid w:val="0057571D"/>
    <w:rsid w:val="0057615A"/>
    <w:rsid w:val="0057668E"/>
    <w:rsid w:val="00587FB5"/>
    <w:rsid w:val="00591BCA"/>
    <w:rsid w:val="00593E6A"/>
    <w:rsid w:val="00595E83"/>
    <w:rsid w:val="00596530"/>
    <w:rsid w:val="005967F3"/>
    <w:rsid w:val="00596964"/>
    <w:rsid w:val="005A06DF"/>
    <w:rsid w:val="005A5527"/>
    <w:rsid w:val="005A5AE6"/>
    <w:rsid w:val="005B1206"/>
    <w:rsid w:val="005B37E8"/>
    <w:rsid w:val="005C0056"/>
    <w:rsid w:val="005D00FC"/>
    <w:rsid w:val="005D61A8"/>
    <w:rsid w:val="005D61D6"/>
    <w:rsid w:val="005E0D13"/>
    <w:rsid w:val="005E5047"/>
    <w:rsid w:val="005E5286"/>
    <w:rsid w:val="005E7205"/>
    <w:rsid w:val="005E7371"/>
    <w:rsid w:val="005F0A13"/>
    <w:rsid w:val="005F116C"/>
    <w:rsid w:val="005F2131"/>
    <w:rsid w:val="005F4153"/>
    <w:rsid w:val="006015B2"/>
    <w:rsid w:val="00605273"/>
    <w:rsid w:val="00605EF6"/>
    <w:rsid w:val="00606455"/>
    <w:rsid w:val="00614929"/>
    <w:rsid w:val="00616511"/>
    <w:rsid w:val="00616C1D"/>
    <w:rsid w:val="006176ED"/>
    <w:rsid w:val="006202F3"/>
    <w:rsid w:val="0062097A"/>
    <w:rsid w:val="00621DA6"/>
    <w:rsid w:val="00623CFE"/>
    <w:rsid w:val="00627221"/>
    <w:rsid w:val="00627EE8"/>
    <w:rsid w:val="006316FA"/>
    <w:rsid w:val="006370D2"/>
    <w:rsid w:val="00637787"/>
    <w:rsid w:val="0064074F"/>
    <w:rsid w:val="00641F55"/>
    <w:rsid w:val="00645C2A"/>
    <w:rsid w:val="00645E4A"/>
    <w:rsid w:val="0064708A"/>
    <w:rsid w:val="00653688"/>
    <w:rsid w:val="006557F8"/>
    <w:rsid w:val="0066091B"/>
    <w:rsid w:val="00662EF0"/>
    <w:rsid w:val="006660E9"/>
    <w:rsid w:val="00667249"/>
    <w:rsid w:val="00667558"/>
    <w:rsid w:val="00671523"/>
    <w:rsid w:val="006722EB"/>
    <w:rsid w:val="006736D5"/>
    <w:rsid w:val="006754EF"/>
    <w:rsid w:val="00676C8D"/>
    <w:rsid w:val="00676F1F"/>
    <w:rsid w:val="00677381"/>
    <w:rsid w:val="00677414"/>
    <w:rsid w:val="00677B3B"/>
    <w:rsid w:val="00680C2E"/>
    <w:rsid w:val="006832CF"/>
    <w:rsid w:val="00683687"/>
    <w:rsid w:val="00684846"/>
    <w:rsid w:val="00685768"/>
    <w:rsid w:val="0068601E"/>
    <w:rsid w:val="00687D39"/>
    <w:rsid w:val="0069486B"/>
    <w:rsid w:val="006959C2"/>
    <w:rsid w:val="006A1707"/>
    <w:rsid w:val="006A4904"/>
    <w:rsid w:val="006A548F"/>
    <w:rsid w:val="006A701A"/>
    <w:rsid w:val="006B21A4"/>
    <w:rsid w:val="006B5DAF"/>
    <w:rsid w:val="006B64DC"/>
    <w:rsid w:val="006B7A91"/>
    <w:rsid w:val="006B7C6A"/>
    <w:rsid w:val="006C42F8"/>
    <w:rsid w:val="006D4704"/>
    <w:rsid w:val="006D5880"/>
    <w:rsid w:val="006D5D5E"/>
    <w:rsid w:val="006D6A2D"/>
    <w:rsid w:val="006E1E18"/>
    <w:rsid w:val="006E31CE"/>
    <w:rsid w:val="006E34D3"/>
    <w:rsid w:val="006E729F"/>
    <w:rsid w:val="006F02F4"/>
    <w:rsid w:val="006F1435"/>
    <w:rsid w:val="006F6097"/>
    <w:rsid w:val="006F6A90"/>
    <w:rsid w:val="006F78C4"/>
    <w:rsid w:val="00700A9A"/>
    <w:rsid w:val="007024B3"/>
    <w:rsid w:val="007031A0"/>
    <w:rsid w:val="00703FF4"/>
    <w:rsid w:val="00704FD1"/>
    <w:rsid w:val="00705A29"/>
    <w:rsid w:val="00706CEF"/>
    <w:rsid w:val="00707498"/>
    <w:rsid w:val="00710114"/>
    <w:rsid w:val="00711A65"/>
    <w:rsid w:val="00713B14"/>
    <w:rsid w:val="00713EFF"/>
    <w:rsid w:val="00714133"/>
    <w:rsid w:val="00714DA4"/>
    <w:rsid w:val="007158B2"/>
    <w:rsid w:val="00716081"/>
    <w:rsid w:val="00716A70"/>
    <w:rsid w:val="007224D8"/>
    <w:rsid w:val="00722B48"/>
    <w:rsid w:val="00724164"/>
    <w:rsid w:val="00725DE7"/>
    <w:rsid w:val="0072636A"/>
    <w:rsid w:val="007268C8"/>
    <w:rsid w:val="00726B44"/>
    <w:rsid w:val="00727BE7"/>
    <w:rsid w:val="007313E2"/>
    <w:rsid w:val="007318DD"/>
    <w:rsid w:val="00733167"/>
    <w:rsid w:val="00733765"/>
    <w:rsid w:val="00740D2C"/>
    <w:rsid w:val="007422C2"/>
    <w:rsid w:val="00744BF9"/>
    <w:rsid w:val="0074730A"/>
    <w:rsid w:val="007475FB"/>
    <w:rsid w:val="00752169"/>
    <w:rsid w:val="00752623"/>
    <w:rsid w:val="00760B87"/>
    <w:rsid w:val="00760F1F"/>
    <w:rsid w:val="007625CC"/>
    <w:rsid w:val="0076423E"/>
    <w:rsid w:val="007646CB"/>
    <w:rsid w:val="0076658F"/>
    <w:rsid w:val="0077040A"/>
    <w:rsid w:val="00771BD6"/>
    <w:rsid w:val="00772D64"/>
    <w:rsid w:val="00775C23"/>
    <w:rsid w:val="007779FE"/>
    <w:rsid w:val="007868E1"/>
    <w:rsid w:val="00792609"/>
    <w:rsid w:val="00792887"/>
    <w:rsid w:val="00792DA4"/>
    <w:rsid w:val="007943E2"/>
    <w:rsid w:val="00794F2C"/>
    <w:rsid w:val="007A1FDA"/>
    <w:rsid w:val="007A3BC7"/>
    <w:rsid w:val="007A42E9"/>
    <w:rsid w:val="007A5AC4"/>
    <w:rsid w:val="007B04BD"/>
    <w:rsid w:val="007B0FDD"/>
    <w:rsid w:val="007B4802"/>
    <w:rsid w:val="007B6668"/>
    <w:rsid w:val="007B6B33"/>
    <w:rsid w:val="007C05F6"/>
    <w:rsid w:val="007C259E"/>
    <w:rsid w:val="007C2701"/>
    <w:rsid w:val="007C27DF"/>
    <w:rsid w:val="007C6C8B"/>
    <w:rsid w:val="007D1537"/>
    <w:rsid w:val="007D2192"/>
    <w:rsid w:val="007E08DA"/>
    <w:rsid w:val="007E404F"/>
    <w:rsid w:val="007E7A6C"/>
    <w:rsid w:val="007F0021"/>
    <w:rsid w:val="007F2EED"/>
    <w:rsid w:val="007F2F52"/>
    <w:rsid w:val="00801F71"/>
    <w:rsid w:val="00802168"/>
    <w:rsid w:val="00805F28"/>
    <w:rsid w:val="0080749F"/>
    <w:rsid w:val="00811D46"/>
    <w:rsid w:val="008125B0"/>
    <w:rsid w:val="008144CB"/>
    <w:rsid w:val="0081523D"/>
    <w:rsid w:val="00817804"/>
    <w:rsid w:val="00821717"/>
    <w:rsid w:val="00824210"/>
    <w:rsid w:val="008247EC"/>
    <w:rsid w:val="008251D3"/>
    <w:rsid w:val="008263C0"/>
    <w:rsid w:val="00841422"/>
    <w:rsid w:val="00841D3B"/>
    <w:rsid w:val="0084314C"/>
    <w:rsid w:val="00843171"/>
    <w:rsid w:val="0084789C"/>
    <w:rsid w:val="0085343C"/>
    <w:rsid w:val="008575C3"/>
    <w:rsid w:val="008606B8"/>
    <w:rsid w:val="00863D28"/>
    <w:rsid w:val="008648C3"/>
    <w:rsid w:val="0086505D"/>
    <w:rsid w:val="0087398A"/>
    <w:rsid w:val="00880F26"/>
    <w:rsid w:val="00881F43"/>
    <w:rsid w:val="00886384"/>
    <w:rsid w:val="00894E62"/>
    <w:rsid w:val="0089565A"/>
    <w:rsid w:val="008963E2"/>
    <w:rsid w:val="00896C2E"/>
    <w:rsid w:val="008A5095"/>
    <w:rsid w:val="008A608F"/>
    <w:rsid w:val="008A6B5D"/>
    <w:rsid w:val="008B1A9A"/>
    <w:rsid w:val="008B26E1"/>
    <w:rsid w:val="008B4FE6"/>
    <w:rsid w:val="008B6C37"/>
    <w:rsid w:val="008D25B2"/>
    <w:rsid w:val="008D51BA"/>
    <w:rsid w:val="008E18F7"/>
    <w:rsid w:val="008E1E10"/>
    <w:rsid w:val="008E291B"/>
    <w:rsid w:val="008E4F2F"/>
    <w:rsid w:val="008E6C0B"/>
    <w:rsid w:val="008E74B0"/>
    <w:rsid w:val="008F1BCE"/>
    <w:rsid w:val="008F6D17"/>
    <w:rsid w:val="009008A8"/>
    <w:rsid w:val="00901229"/>
    <w:rsid w:val="0090559D"/>
    <w:rsid w:val="009063B0"/>
    <w:rsid w:val="00907106"/>
    <w:rsid w:val="00910544"/>
    <w:rsid w:val="009107FD"/>
    <w:rsid w:val="0091137C"/>
    <w:rsid w:val="00911567"/>
    <w:rsid w:val="00912839"/>
    <w:rsid w:val="00917AAE"/>
    <w:rsid w:val="009251A9"/>
    <w:rsid w:val="00925A35"/>
    <w:rsid w:val="00930699"/>
    <w:rsid w:val="00931F69"/>
    <w:rsid w:val="00934123"/>
    <w:rsid w:val="0093645D"/>
    <w:rsid w:val="009379D8"/>
    <w:rsid w:val="00940665"/>
    <w:rsid w:val="00941CB9"/>
    <w:rsid w:val="009427B5"/>
    <w:rsid w:val="00953EF6"/>
    <w:rsid w:val="00955774"/>
    <w:rsid w:val="009560B5"/>
    <w:rsid w:val="00962BB8"/>
    <w:rsid w:val="009679BC"/>
    <w:rsid w:val="009703D6"/>
    <w:rsid w:val="0097181B"/>
    <w:rsid w:val="00972E4D"/>
    <w:rsid w:val="00976DC5"/>
    <w:rsid w:val="009815DD"/>
    <w:rsid w:val="009818C7"/>
    <w:rsid w:val="00982DD4"/>
    <w:rsid w:val="009841E5"/>
    <w:rsid w:val="0098479F"/>
    <w:rsid w:val="00984A8A"/>
    <w:rsid w:val="009857B6"/>
    <w:rsid w:val="00985A8D"/>
    <w:rsid w:val="00986610"/>
    <w:rsid w:val="009877DC"/>
    <w:rsid w:val="00987EEA"/>
    <w:rsid w:val="00991F96"/>
    <w:rsid w:val="009944CC"/>
    <w:rsid w:val="0099571E"/>
    <w:rsid w:val="00996F0A"/>
    <w:rsid w:val="009A1D86"/>
    <w:rsid w:val="009A1FD2"/>
    <w:rsid w:val="009B049C"/>
    <w:rsid w:val="009B109C"/>
    <w:rsid w:val="009B11C8"/>
    <w:rsid w:val="009B2BCF"/>
    <w:rsid w:val="009B2FF8"/>
    <w:rsid w:val="009B387A"/>
    <w:rsid w:val="009B5BA3"/>
    <w:rsid w:val="009C1A08"/>
    <w:rsid w:val="009D0027"/>
    <w:rsid w:val="009D0655"/>
    <w:rsid w:val="009D373B"/>
    <w:rsid w:val="009D4C0D"/>
    <w:rsid w:val="009E1E98"/>
    <w:rsid w:val="009E2A8F"/>
    <w:rsid w:val="009E39EF"/>
    <w:rsid w:val="009E3ABE"/>
    <w:rsid w:val="009E3C4B"/>
    <w:rsid w:val="009E765D"/>
    <w:rsid w:val="009E7809"/>
    <w:rsid w:val="009F0637"/>
    <w:rsid w:val="009F099E"/>
    <w:rsid w:val="009F62A6"/>
    <w:rsid w:val="009F674F"/>
    <w:rsid w:val="009F799E"/>
    <w:rsid w:val="00A02020"/>
    <w:rsid w:val="00A04984"/>
    <w:rsid w:val="00A056CB"/>
    <w:rsid w:val="00A07A29"/>
    <w:rsid w:val="00A10FF1"/>
    <w:rsid w:val="00A1506B"/>
    <w:rsid w:val="00A15541"/>
    <w:rsid w:val="00A16A1E"/>
    <w:rsid w:val="00A17CB2"/>
    <w:rsid w:val="00A22CB3"/>
    <w:rsid w:val="00A23191"/>
    <w:rsid w:val="00A25365"/>
    <w:rsid w:val="00A319C0"/>
    <w:rsid w:val="00A33560"/>
    <w:rsid w:val="00A364E4"/>
    <w:rsid w:val="00A371A5"/>
    <w:rsid w:val="00A418BB"/>
    <w:rsid w:val="00A47A07"/>
    <w:rsid w:val="00A47BDF"/>
    <w:rsid w:val="00A51CD7"/>
    <w:rsid w:val="00A52ADB"/>
    <w:rsid w:val="00A533E8"/>
    <w:rsid w:val="00A542D9"/>
    <w:rsid w:val="00A56E64"/>
    <w:rsid w:val="00A624C3"/>
    <w:rsid w:val="00A63202"/>
    <w:rsid w:val="00A63FF8"/>
    <w:rsid w:val="00A6641C"/>
    <w:rsid w:val="00A72735"/>
    <w:rsid w:val="00A73026"/>
    <w:rsid w:val="00A767D2"/>
    <w:rsid w:val="00A77616"/>
    <w:rsid w:val="00A805DA"/>
    <w:rsid w:val="00A811B4"/>
    <w:rsid w:val="00A821A3"/>
    <w:rsid w:val="00A87CDE"/>
    <w:rsid w:val="00A92BAF"/>
    <w:rsid w:val="00A94737"/>
    <w:rsid w:val="00A94BA3"/>
    <w:rsid w:val="00A96CBA"/>
    <w:rsid w:val="00AA62C1"/>
    <w:rsid w:val="00AB0CC7"/>
    <w:rsid w:val="00AB1ACD"/>
    <w:rsid w:val="00AB277F"/>
    <w:rsid w:val="00AB4099"/>
    <w:rsid w:val="00AB449A"/>
    <w:rsid w:val="00AB702B"/>
    <w:rsid w:val="00AD14F9"/>
    <w:rsid w:val="00AD35D6"/>
    <w:rsid w:val="00AD39A2"/>
    <w:rsid w:val="00AD58C5"/>
    <w:rsid w:val="00AE36C4"/>
    <w:rsid w:val="00AE472C"/>
    <w:rsid w:val="00AE4C37"/>
    <w:rsid w:val="00AE5375"/>
    <w:rsid w:val="00AE6CF8"/>
    <w:rsid w:val="00AF4CAC"/>
    <w:rsid w:val="00B0082F"/>
    <w:rsid w:val="00B03E0D"/>
    <w:rsid w:val="00B054F8"/>
    <w:rsid w:val="00B106DF"/>
    <w:rsid w:val="00B12CC7"/>
    <w:rsid w:val="00B134AB"/>
    <w:rsid w:val="00B2219A"/>
    <w:rsid w:val="00B3581B"/>
    <w:rsid w:val="00B36B81"/>
    <w:rsid w:val="00B36FEE"/>
    <w:rsid w:val="00B372D1"/>
    <w:rsid w:val="00B37C80"/>
    <w:rsid w:val="00B404B1"/>
    <w:rsid w:val="00B44DBC"/>
    <w:rsid w:val="00B4799E"/>
    <w:rsid w:val="00B5005E"/>
    <w:rsid w:val="00B5092B"/>
    <w:rsid w:val="00B50FD5"/>
    <w:rsid w:val="00B5194E"/>
    <w:rsid w:val="00B51AF5"/>
    <w:rsid w:val="00B531FC"/>
    <w:rsid w:val="00B53E2A"/>
    <w:rsid w:val="00B55347"/>
    <w:rsid w:val="00B57E5E"/>
    <w:rsid w:val="00B60C11"/>
    <w:rsid w:val="00B61C35"/>
    <w:rsid w:val="00B61F37"/>
    <w:rsid w:val="00B7770F"/>
    <w:rsid w:val="00B77A89"/>
    <w:rsid w:val="00B77B27"/>
    <w:rsid w:val="00B8134E"/>
    <w:rsid w:val="00B81B55"/>
    <w:rsid w:val="00B84613"/>
    <w:rsid w:val="00B87AF0"/>
    <w:rsid w:val="00B9037B"/>
    <w:rsid w:val="00B90B3B"/>
    <w:rsid w:val="00B910BD"/>
    <w:rsid w:val="00B93834"/>
    <w:rsid w:val="00B95199"/>
    <w:rsid w:val="00B95E4E"/>
    <w:rsid w:val="00B96469"/>
    <w:rsid w:val="00BA0DA2"/>
    <w:rsid w:val="00BA2981"/>
    <w:rsid w:val="00BA3245"/>
    <w:rsid w:val="00BA40ED"/>
    <w:rsid w:val="00BA42EE"/>
    <w:rsid w:val="00BA48F9"/>
    <w:rsid w:val="00BB0DCA"/>
    <w:rsid w:val="00BB2666"/>
    <w:rsid w:val="00BB33CF"/>
    <w:rsid w:val="00BB6B80"/>
    <w:rsid w:val="00BC3773"/>
    <w:rsid w:val="00BC381A"/>
    <w:rsid w:val="00BD0962"/>
    <w:rsid w:val="00BD0D84"/>
    <w:rsid w:val="00BD0F74"/>
    <w:rsid w:val="00BD1C84"/>
    <w:rsid w:val="00BD1EED"/>
    <w:rsid w:val="00BD238A"/>
    <w:rsid w:val="00BF0DA2"/>
    <w:rsid w:val="00BF109C"/>
    <w:rsid w:val="00BF1C56"/>
    <w:rsid w:val="00BF34FA"/>
    <w:rsid w:val="00C004B6"/>
    <w:rsid w:val="00C01F50"/>
    <w:rsid w:val="00C047A7"/>
    <w:rsid w:val="00C05DE5"/>
    <w:rsid w:val="00C10112"/>
    <w:rsid w:val="00C33027"/>
    <w:rsid w:val="00C37667"/>
    <w:rsid w:val="00C435DB"/>
    <w:rsid w:val="00C4483F"/>
    <w:rsid w:val="00C44AF3"/>
    <w:rsid w:val="00C44D73"/>
    <w:rsid w:val="00C50B42"/>
    <w:rsid w:val="00C516FF"/>
    <w:rsid w:val="00C52BFA"/>
    <w:rsid w:val="00C53D1D"/>
    <w:rsid w:val="00C53F26"/>
    <w:rsid w:val="00C540BC"/>
    <w:rsid w:val="00C63AEC"/>
    <w:rsid w:val="00C64292"/>
    <w:rsid w:val="00C64F7D"/>
    <w:rsid w:val="00C67309"/>
    <w:rsid w:val="00C7119B"/>
    <w:rsid w:val="00C71F4D"/>
    <w:rsid w:val="00C73D69"/>
    <w:rsid w:val="00C7614E"/>
    <w:rsid w:val="00C77BF1"/>
    <w:rsid w:val="00C803E9"/>
    <w:rsid w:val="00C80D60"/>
    <w:rsid w:val="00C814BE"/>
    <w:rsid w:val="00C82FBD"/>
    <w:rsid w:val="00C84298"/>
    <w:rsid w:val="00C85267"/>
    <w:rsid w:val="00C8721B"/>
    <w:rsid w:val="00C9372C"/>
    <w:rsid w:val="00C9470E"/>
    <w:rsid w:val="00C94EDC"/>
    <w:rsid w:val="00C95CEB"/>
    <w:rsid w:val="00C96650"/>
    <w:rsid w:val="00CA1054"/>
    <w:rsid w:val="00CA2E4C"/>
    <w:rsid w:val="00CA4888"/>
    <w:rsid w:val="00CA5C30"/>
    <w:rsid w:val="00CA63EB"/>
    <w:rsid w:val="00CA69F1"/>
    <w:rsid w:val="00CB0CA9"/>
    <w:rsid w:val="00CB6991"/>
    <w:rsid w:val="00CC6194"/>
    <w:rsid w:val="00CC6305"/>
    <w:rsid w:val="00CC78A5"/>
    <w:rsid w:val="00CD0516"/>
    <w:rsid w:val="00CD6C57"/>
    <w:rsid w:val="00CD756B"/>
    <w:rsid w:val="00CE734F"/>
    <w:rsid w:val="00CF112E"/>
    <w:rsid w:val="00CF4B8E"/>
    <w:rsid w:val="00CF4F5B"/>
    <w:rsid w:val="00CF5F4F"/>
    <w:rsid w:val="00CF6D5D"/>
    <w:rsid w:val="00D07D84"/>
    <w:rsid w:val="00D218DC"/>
    <w:rsid w:val="00D24319"/>
    <w:rsid w:val="00D24E56"/>
    <w:rsid w:val="00D255DE"/>
    <w:rsid w:val="00D26796"/>
    <w:rsid w:val="00D31643"/>
    <w:rsid w:val="00D31AEB"/>
    <w:rsid w:val="00D32ECD"/>
    <w:rsid w:val="00D361E4"/>
    <w:rsid w:val="00D4136C"/>
    <w:rsid w:val="00D42A8F"/>
    <w:rsid w:val="00D439F6"/>
    <w:rsid w:val="00D459C6"/>
    <w:rsid w:val="00D50729"/>
    <w:rsid w:val="00D50C19"/>
    <w:rsid w:val="00D5379E"/>
    <w:rsid w:val="00D569C2"/>
    <w:rsid w:val="00D57498"/>
    <w:rsid w:val="00D62643"/>
    <w:rsid w:val="00D64C0F"/>
    <w:rsid w:val="00D672A3"/>
    <w:rsid w:val="00D67770"/>
    <w:rsid w:val="00D71CD2"/>
    <w:rsid w:val="00D72EFE"/>
    <w:rsid w:val="00D74745"/>
    <w:rsid w:val="00D76227"/>
    <w:rsid w:val="00D77DF1"/>
    <w:rsid w:val="00D86AFF"/>
    <w:rsid w:val="00D95A44"/>
    <w:rsid w:val="00D95D16"/>
    <w:rsid w:val="00D97C76"/>
    <w:rsid w:val="00DB02B4"/>
    <w:rsid w:val="00DB2731"/>
    <w:rsid w:val="00DB31D7"/>
    <w:rsid w:val="00DB3736"/>
    <w:rsid w:val="00DB3BCC"/>
    <w:rsid w:val="00DB538D"/>
    <w:rsid w:val="00DC0AF7"/>
    <w:rsid w:val="00DC275C"/>
    <w:rsid w:val="00DC3A0B"/>
    <w:rsid w:val="00DC46A3"/>
    <w:rsid w:val="00DC4B0D"/>
    <w:rsid w:val="00DC7FE1"/>
    <w:rsid w:val="00DD2AE0"/>
    <w:rsid w:val="00DD3F3F"/>
    <w:rsid w:val="00DD5572"/>
    <w:rsid w:val="00DE10C5"/>
    <w:rsid w:val="00DE309B"/>
    <w:rsid w:val="00DE5D80"/>
    <w:rsid w:val="00DF58CD"/>
    <w:rsid w:val="00DF5E1F"/>
    <w:rsid w:val="00DF65DE"/>
    <w:rsid w:val="00E019A5"/>
    <w:rsid w:val="00E02EC8"/>
    <w:rsid w:val="00E0315A"/>
    <w:rsid w:val="00E037F5"/>
    <w:rsid w:val="00E03C33"/>
    <w:rsid w:val="00E04ECB"/>
    <w:rsid w:val="00E05A09"/>
    <w:rsid w:val="00E06CA1"/>
    <w:rsid w:val="00E12B43"/>
    <w:rsid w:val="00E172B8"/>
    <w:rsid w:val="00E17FB4"/>
    <w:rsid w:val="00E20B75"/>
    <w:rsid w:val="00E214F2"/>
    <w:rsid w:val="00E2371E"/>
    <w:rsid w:val="00E24BD7"/>
    <w:rsid w:val="00E26523"/>
    <w:rsid w:val="00E26809"/>
    <w:rsid w:val="00E32BB5"/>
    <w:rsid w:val="00E3412D"/>
    <w:rsid w:val="00E358BD"/>
    <w:rsid w:val="00E40F17"/>
    <w:rsid w:val="00E45070"/>
    <w:rsid w:val="00E45AEF"/>
    <w:rsid w:val="00E57322"/>
    <w:rsid w:val="00E618F1"/>
    <w:rsid w:val="00E628CB"/>
    <w:rsid w:val="00E62AD9"/>
    <w:rsid w:val="00E638C8"/>
    <w:rsid w:val="00E6771E"/>
    <w:rsid w:val="00E67D00"/>
    <w:rsid w:val="00E7509B"/>
    <w:rsid w:val="00E812B0"/>
    <w:rsid w:val="00E86590"/>
    <w:rsid w:val="00E907FF"/>
    <w:rsid w:val="00E93C90"/>
    <w:rsid w:val="00E977C7"/>
    <w:rsid w:val="00EA2BE6"/>
    <w:rsid w:val="00EA42D1"/>
    <w:rsid w:val="00EA42EF"/>
    <w:rsid w:val="00EB239F"/>
    <w:rsid w:val="00EB2DD1"/>
    <w:rsid w:val="00EB4D4A"/>
    <w:rsid w:val="00EB6B37"/>
    <w:rsid w:val="00EC29FE"/>
    <w:rsid w:val="00EC3C70"/>
    <w:rsid w:val="00EC61E7"/>
    <w:rsid w:val="00EC79B7"/>
    <w:rsid w:val="00ED3A3D"/>
    <w:rsid w:val="00ED538A"/>
    <w:rsid w:val="00ED6FBC"/>
    <w:rsid w:val="00EE2F16"/>
    <w:rsid w:val="00EE3861"/>
    <w:rsid w:val="00EE65C2"/>
    <w:rsid w:val="00EF2E73"/>
    <w:rsid w:val="00EF7683"/>
    <w:rsid w:val="00EF7A2D"/>
    <w:rsid w:val="00F04F8D"/>
    <w:rsid w:val="00F10AD0"/>
    <w:rsid w:val="00F116CC"/>
    <w:rsid w:val="00F12BD1"/>
    <w:rsid w:val="00F15327"/>
    <w:rsid w:val="00F168CF"/>
    <w:rsid w:val="00F21D3D"/>
    <w:rsid w:val="00F2555C"/>
    <w:rsid w:val="00F27B96"/>
    <w:rsid w:val="00F31DF3"/>
    <w:rsid w:val="00F33AE5"/>
    <w:rsid w:val="00F3597D"/>
    <w:rsid w:val="00F41B05"/>
    <w:rsid w:val="00F43286"/>
    <w:rsid w:val="00F43501"/>
    <w:rsid w:val="00F4376D"/>
    <w:rsid w:val="00F44ECF"/>
    <w:rsid w:val="00F45399"/>
    <w:rsid w:val="00F465EA"/>
    <w:rsid w:val="00F47874"/>
    <w:rsid w:val="00F529C3"/>
    <w:rsid w:val="00F542EF"/>
    <w:rsid w:val="00F54E7B"/>
    <w:rsid w:val="00F555CB"/>
    <w:rsid w:val="00F55A88"/>
    <w:rsid w:val="00F634EA"/>
    <w:rsid w:val="00F74005"/>
    <w:rsid w:val="00F74FB3"/>
    <w:rsid w:val="00F76884"/>
    <w:rsid w:val="00F77747"/>
    <w:rsid w:val="00F82395"/>
    <w:rsid w:val="00F83D24"/>
    <w:rsid w:val="00F83DD9"/>
    <w:rsid w:val="00F83F40"/>
    <w:rsid w:val="00F91A10"/>
    <w:rsid w:val="00F93B2C"/>
    <w:rsid w:val="00FA117A"/>
    <w:rsid w:val="00FA1328"/>
    <w:rsid w:val="00FA3AF5"/>
    <w:rsid w:val="00FA4B3E"/>
    <w:rsid w:val="00FA6862"/>
    <w:rsid w:val="00FB386A"/>
    <w:rsid w:val="00FC0786"/>
    <w:rsid w:val="00FC2451"/>
    <w:rsid w:val="00FC49EF"/>
    <w:rsid w:val="00FC4FD4"/>
    <w:rsid w:val="00FE36E2"/>
    <w:rsid w:val="00FE5BE5"/>
    <w:rsid w:val="00FF11AD"/>
    <w:rsid w:val="00FF2808"/>
    <w:rsid w:val="00FF2971"/>
    <w:rsid w:val="00FF34D4"/>
    <w:rsid w:val="00FF4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822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paragraph" w:styleId="Nagwek8">
    <w:name w:val="heading 8"/>
    <w:basedOn w:val="Normalny"/>
    <w:next w:val="Normalny"/>
    <w:link w:val="Nagwek8Znak"/>
    <w:semiHidden/>
    <w:unhideWhenUsed/>
    <w:qFormat/>
    <w:locked/>
    <w:rsid w:val="00E358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Nierozpoznanawzmianka1">
    <w:name w:val="Nierozpoznana wzmianka1"/>
    <w:uiPriority w:val="99"/>
    <w:semiHidden/>
    <w:unhideWhenUsed/>
    <w:rsid w:val="00F44ECF"/>
    <w:rPr>
      <w:color w:val="605E5C"/>
      <w:shd w:val="clear" w:color="auto" w:fill="E1DFDD"/>
    </w:rPr>
  </w:style>
  <w:style w:type="paragraph" w:customStyle="1" w:styleId="2txt">
    <w:name w:val="2.txt"/>
    <w:basedOn w:val="Normalny"/>
    <w:qFormat/>
    <w:rsid w:val="005F0A13"/>
    <w:pPr>
      <w:spacing w:after="120" w:line="240" w:lineRule="auto"/>
    </w:pPr>
    <w:rPr>
      <w:rFonts w:ascii="Arial" w:hAnsi="Arial"/>
      <w:color w:val="848284"/>
      <w:sz w:val="20"/>
    </w:rPr>
  </w:style>
  <w:style w:type="table" w:customStyle="1" w:styleId="Tabelasiatki4akcent11">
    <w:name w:val="Tabela siatki 4 — akcent 11"/>
    <w:basedOn w:val="Standardowy"/>
    <w:uiPriority w:val="49"/>
    <w:rsid w:val="001C1517"/>
    <w:rPr>
      <w:rFonts w:asciiTheme="minorHAnsi" w:eastAsiaTheme="minorHAnsi" w:hAnsiTheme="minorHAnsi" w:cstheme="minorBidi"/>
      <w:sz w:val="22"/>
      <w:szCs w:val="22"/>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Nagwek8Znak">
    <w:name w:val="Nagłówek 8 Znak"/>
    <w:basedOn w:val="Domylnaczcionkaakapitu"/>
    <w:link w:val="Nagwek8"/>
    <w:uiPriority w:val="9"/>
    <w:semiHidden/>
    <w:rsid w:val="00E358BD"/>
    <w:rPr>
      <w:rFonts w:asciiTheme="majorHAnsi" w:eastAsiaTheme="majorEastAsia" w:hAnsiTheme="majorHAnsi" w:cstheme="majorBidi"/>
      <w:color w:val="272727" w:themeColor="text1" w:themeTint="D8"/>
      <w:sz w:val="21"/>
      <w:szCs w:val="21"/>
      <w:lang w:eastAsia="en-US"/>
    </w:rPr>
  </w:style>
  <w:style w:type="character" w:customStyle="1" w:styleId="AkapitzlistZnak">
    <w:name w:val="Akapit z listą Znak"/>
    <w:link w:val="Akapitzlist"/>
    <w:uiPriority w:val="34"/>
    <w:locked/>
    <w:rsid w:val="00FA686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2415159">
      <w:bodyDiv w:val="1"/>
      <w:marLeft w:val="0"/>
      <w:marRight w:val="0"/>
      <w:marTop w:val="0"/>
      <w:marBottom w:val="0"/>
      <w:divBdr>
        <w:top w:val="none" w:sz="0" w:space="0" w:color="auto"/>
        <w:left w:val="none" w:sz="0" w:space="0" w:color="auto"/>
        <w:bottom w:val="none" w:sz="0" w:space="0" w:color="auto"/>
        <w:right w:val="none" w:sz="0" w:space="0" w:color="auto"/>
      </w:divBdr>
    </w:div>
    <w:div w:id="126244527">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43803441">
      <w:bodyDiv w:val="1"/>
      <w:marLeft w:val="0"/>
      <w:marRight w:val="0"/>
      <w:marTop w:val="0"/>
      <w:marBottom w:val="0"/>
      <w:divBdr>
        <w:top w:val="none" w:sz="0" w:space="0" w:color="auto"/>
        <w:left w:val="none" w:sz="0" w:space="0" w:color="auto"/>
        <w:bottom w:val="none" w:sz="0" w:space="0" w:color="auto"/>
        <w:right w:val="none" w:sz="0" w:space="0" w:color="auto"/>
      </w:divBdr>
    </w:div>
    <w:div w:id="423305961">
      <w:bodyDiv w:val="1"/>
      <w:marLeft w:val="0"/>
      <w:marRight w:val="0"/>
      <w:marTop w:val="0"/>
      <w:marBottom w:val="0"/>
      <w:divBdr>
        <w:top w:val="none" w:sz="0" w:space="0" w:color="auto"/>
        <w:left w:val="none" w:sz="0" w:space="0" w:color="auto"/>
        <w:bottom w:val="none" w:sz="0" w:space="0" w:color="auto"/>
        <w:right w:val="none" w:sz="0" w:space="0" w:color="auto"/>
      </w:divBdr>
    </w:div>
    <w:div w:id="546533212">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07377423">
      <w:bodyDiv w:val="1"/>
      <w:marLeft w:val="0"/>
      <w:marRight w:val="0"/>
      <w:marTop w:val="0"/>
      <w:marBottom w:val="0"/>
      <w:divBdr>
        <w:top w:val="none" w:sz="0" w:space="0" w:color="auto"/>
        <w:left w:val="none" w:sz="0" w:space="0" w:color="auto"/>
        <w:bottom w:val="none" w:sz="0" w:space="0" w:color="auto"/>
        <w:right w:val="none" w:sz="0" w:space="0" w:color="auto"/>
      </w:divBdr>
    </w:div>
    <w:div w:id="990792097">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317150198">
      <w:bodyDiv w:val="1"/>
      <w:marLeft w:val="0"/>
      <w:marRight w:val="0"/>
      <w:marTop w:val="0"/>
      <w:marBottom w:val="0"/>
      <w:divBdr>
        <w:top w:val="none" w:sz="0" w:space="0" w:color="auto"/>
        <w:left w:val="none" w:sz="0" w:space="0" w:color="auto"/>
        <w:bottom w:val="none" w:sz="0" w:space="0" w:color="auto"/>
        <w:right w:val="none" w:sz="0" w:space="0" w:color="auto"/>
      </w:divBdr>
    </w:div>
    <w:div w:id="1365250036">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657490579">
      <w:bodyDiv w:val="1"/>
      <w:marLeft w:val="0"/>
      <w:marRight w:val="0"/>
      <w:marTop w:val="0"/>
      <w:marBottom w:val="0"/>
      <w:divBdr>
        <w:top w:val="none" w:sz="0" w:space="0" w:color="auto"/>
        <w:left w:val="none" w:sz="0" w:space="0" w:color="auto"/>
        <w:bottom w:val="none" w:sz="0" w:space="0" w:color="auto"/>
        <w:right w:val="none" w:sz="0" w:space="0" w:color="auto"/>
      </w:divBdr>
    </w:div>
    <w:div w:id="1666858646">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99767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82548-5A3C-4CB9-A1EB-BF318209C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5651</Words>
  <Characters>33912</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39485</CharactersWithSpaces>
  <SharedDoc>false</SharedDoc>
  <HLinks>
    <vt:vector size="12" baseType="variant">
      <vt:variant>
        <vt:i4>1638433</vt:i4>
      </vt:variant>
      <vt:variant>
        <vt:i4>68</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65</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2023-05-23T07:45:00Z</dcterms:created>
  <dcterms:modified xsi:type="dcterms:W3CDTF">2023-05-23T07:45:00Z</dcterms:modified>
</cp:coreProperties>
</file>