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22" w:rsidRPr="00A7321E" w:rsidRDefault="0080436C" w:rsidP="00A7321E">
      <w:pPr>
        <w:tabs>
          <w:tab w:val="right" w:pos="9356"/>
        </w:tabs>
        <w:ind w:left="4956" w:right="-284" w:firstLine="708"/>
        <w:rPr>
          <w:rFonts w:ascii="Arial" w:hAnsi="Arial" w:cs="Arial"/>
        </w:rPr>
      </w:pPr>
      <w:r w:rsidRPr="00A7321E">
        <w:rPr>
          <w:rFonts w:ascii="Arial" w:hAnsi="Arial" w:cs="Arial"/>
        </w:rPr>
        <w:t xml:space="preserve">Katowice,   </w:t>
      </w:r>
      <w:bookmarkStart w:id="0" w:name="EZDDataPodpisu_2"/>
      <w:r w:rsidRPr="00A7321E">
        <w:rPr>
          <w:rFonts w:ascii="Arial" w:hAnsi="Arial" w:cs="Arial"/>
        </w:rPr>
        <w:t>03 czerwca 2022</w:t>
      </w:r>
      <w:bookmarkEnd w:id="0"/>
      <w:r w:rsidRPr="00A7321E">
        <w:rPr>
          <w:rFonts w:ascii="Arial" w:hAnsi="Arial" w:cs="Arial"/>
        </w:rPr>
        <w:t xml:space="preserve"> </w:t>
      </w:r>
    </w:p>
    <w:p w:rsidR="00733BDB" w:rsidRPr="00A7321E" w:rsidRDefault="0080436C" w:rsidP="00A7321E">
      <w:pPr>
        <w:spacing w:after="600"/>
        <w:rPr>
          <w:rFonts w:ascii="Arial" w:hAnsi="Arial" w:cs="Arial"/>
        </w:rPr>
      </w:pPr>
      <w:r w:rsidRPr="00A7321E">
        <w:rPr>
          <w:rFonts w:ascii="Arial" w:hAnsi="Arial" w:cs="Arial"/>
        </w:rPr>
        <w:t>WOOŚ.420.6.2022.JŻ.16</w:t>
      </w:r>
    </w:p>
    <w:p w:rsidR="00733BDB" w:rsidRPr="00A7321E" w:rsidRDefault="0080436C" w:rsidP="00A7321E">
      <w:pPr>
        <w:spacing w:after="0"/>
        <w:rPr>
          <w:rFonts w:ascii="Arial" w:hAnsi="Arial" w:cs="Arial"/>
          <w:kern w:val="2"/>
        </w:rPr>
      </w:pPr>
      <w:r w:rsidRPr="00A7321E">
        <w:rPr>
          <w:rFonts w:ascii="Arial" w:hAnsi="Arial" w:cs="Arial"/>
          <w:kern w:val="2"/>
        </w:rPr>
        <w:t xml:space="preserve">DECYZJA </w:t>
      </w:r>
    </w:p>
    <w:p w:rsidR="00733BDB" w:rsidRPr="00A7321E" w:rsidRDefault="0080436C" w:rsidP="00A7321E">
      <w:pPr>
        <w:spacing w:after="360"/>
        <w:rPr>
          <w:rFonts w:ascii="Arial" w:hAnsi="Arial" w:cs="Arial"/>
          <w:kern w:val="2"/>
        </w:rPr>
      </w:pPr>
      <w:r w:rsidRPr="00A7321E">
        <w:rPr>
          <w:rFonts w:ascii="Arial" w:hAnsi="Arial" w:cs="Arial"/>
          <w:kern w:val="2"/>
        </w:rPr>
        <w:t>o środowiskowych uwarunkowaniach</w:t>
      </w:r>
    </w:p>
    <w:p w:rsidR="00733BDB" w:rsidRPr="00A7321E" w:rsidRDefault="0080436C" w:rsidP="00A7321E">
      <w:pPr>
        <w:rPr>
          <w:rFonts w:ascii="Arial" w:hAnsi="Arial" w:cs="Arial"/>
          <w:kern w:val="2"/>
        </w:rPr>
      </w:pPr>
      <w:r w:rsidRPr="00A7321E">
        <w:rPr>
          <w:rFonts w:ascii="Arial" w:hAnsi="Arial" w:cs="Arial"/>
          <w:kern w:val="2"/>
        </w:rPr>
        <w:t xml:space="preserve">Na podstawie art. 71 ust. 1 i ust. 2 pkt 2, art. 75 ust. 1 pkt 1 lit. „f”, art. 84 ustawy z dnia 3 października 2008 r. o udostępnianiu informacji o środowisku i jego ochronie, udziale społeczeństwa w ochronie środowiska oraz o ocenach oddziaływania na środowisko </w:t>
      </w:r>
      <w:r w:rsidRPr="00A7321E">
        <w:rPr>
          <w:rFonts w:ascii="Arial" w:hAnsi="Arial" w:cs="Arial"/>
        </w:rPr>
        <w:t>(t.j. Dz. U. z 2022 r. poz.1029)</w:t>
      </w:r>
      <w:r w:rsidRPr="00A7321E">
        <w:rPr>
          <w:rFonts w:ascii="Arial" w:hAnsi="Arial" w:cs="Arial"/>
          <w:kern w:val="2"/>
        </w:rPr>
        <w:t xml:space="preserve"> [dalej zwanej ustawą ooś] w związku z art. 19 ustawy z dnia 24 kwietnia 2009 r. o inwestycjach w zakresie terminalu regazyfikacyjnego skroplonego gazu ziemnego w Świnoujściu (t.j. Dz.U. z 2021 poz.1836) i art. 104 ustawy z dnia 14 czerwca 1960 r. Kodeks postępowania administracyjnego (t.j. Dz. U. z 2021 r. poz. 735 ze zm.) [dalej zwanej ustawą Kpa], po rozpatrzeniu wniosku z 18.02.2022 r. pełnomocnika inwestora - Operator Gazociągów Przesyłowych GAZ-SYSTEM S.A., w sprawie wydania decyzji o środowiskowych uwarunkowaniach dla przedsięwzięcia:</w:t>
      </w:r>
    </w:p>
    <w:p w:rsidR="00733BDB" w:rsidRPr="00A7321E" w:rsidRDefault="0080436C" w:rsidP="00A7321E">
      <w:pPr>
        <w:pStyle w:val="Akapitzlist"/>
        <w:numPr>
          <w:ilvl w:val="0"/>
          <w:numId w:val="12"/>
        </w:numPr>
        <w:spacing w:after="120"/>
        <w:ind w:left="142" w:hanging="142"/>
        <w:rPr>
          <w:rFonts w:ascii="Arial" w:hAnsi="Arial" w:cs="Arial"/>
        </w:rPr>
      </w:pPr>
      <w:r w:rsidRPr="00A7321E">
        <w:rPr>
          <w:rFonts w:ascii="Arial" w:hAnsi="Arial" w:cs="Arial"/>
        </w:rPr>
        <w:t>Stwierdzam brak potrzeby przeprowadzenia oceny oddziaływania na środowisko, w ramach postępowania w sprawie wydania decyzji o środowiskowych uwarunkowaniach dla przedsięwzięcia pn: „Budowa gazociągu wysokiego ciśnienia DN250 MOP 5,5 MPa wraz z budową ZZU liniowego DN250 w ramach zadania: „Opracowanie dokumentacji projektowej na przebudowę gazociągu wysokiego ciśnienia relacji Trzebiesławice - Częstochowa DN250 MOP 5,5 MPa - odc. Relacji Borowe Pole - Częstochowa, odgałęzienie Nowa Wieś Auchan - ZZU Słowik - rz. Warta wraz z budową ZZU liniowego DN250””.</w:t>
      </w:r>
    </w:p>
    <w:p w:rsidR="00733BDB" w:rsidRPr="00A7321E" w:rsidRDefault="0080436C" w:rsidP="00A7321E">
      <w:pPr>
        <w:pStyle w:val="Akapitzlist"/>
        <w:numPr>
          <w:ilvl w:val="0"/>
          <w:numId w:val="12"/>
        </w:numPr>
        <w:spacing w:after="120"/>
        <w:ind w:left="142" w:hanging="142"/>
        <w:contextualSpacing w:val="0"/>
        <w:rPr>
          <w:rFonts w:ascii="Arial" w:hAnsi="Arial" w:cs="Arial"/>
        </w:rPr>
      </w:pPr>
      <w:r w:rsidRPr="00A7321E">
        <w:rPr>
          <w:rFonts w:ascii="Arial" w:hAnsi="Arial" w:cs="Arial"/>
        </w:rPr>
        <w:t xml:space="preserve">Określam następujące istotne warunki korzystania ze środowiska w fazie realizacji przedsięwzięcia: </w:t>
      </w:r>
    </w:p>
    <w:p w:rsidR="00733BDB" w:rsidRPr="00A7321E" w:rsidRDefault="0080436C" w:rsidP="00A7321E">
      <w:pPr>
        <w:numPr>
          <w:ilvl w:val="0"/>
          <w:numId w:val="19"/>
        </w:numPr>
        <w:suppressAutoHyphens/>
        <w:spacing w:after="0"/>
        <w:ind w:left="851" w:hanging="284"/>
        <w:rPr>
          <w:rFonts w:ascii="Arial" w:hAnsi="Arial" w:cs="Arial"/>
          <w:color w:val="00000A"/>
          <w:kern w:val="2"/>
        </w:rPr>
      </w:pPr>
      <w:r w:rsidRPr="00A7321E">
        <w:rPr>
          <w:rFonts w:ascii="Arial" w:hAnsi="Arial" w:cs="Arial"/>
          <w:color w:val="00000A"/>
          <w:kern w:val="2"/>
        </w:rPr>
        <w:t>Należy stosować rozwiązania organizacyjne i techniczne mające na celu minimalizację emisji wtórnej pyłu z miejsc prowadzenia prac budowlanych i montażowych oraz środków transportu przewożących materiały pyliste, w szczególności poprzez:</w:t>
      </w:r>
    </w:p>
    <w:p w:rsidR="00733BDB" w:rsidRPr="00A7321E" w:rsidRDefault="0080436C" w:rsidP="00A7321E">
      <w:pPr>
        <w:numPr>
          <w:ilvl w:val="0"/>
          <w:numId w:val="20"/>
        </w:numPr>
        <w:suppressAutoHyphens/>
        <w:spacing w:after="0"/>
        <w:ind w:left="1276" w:hanging="284"/>
        <w:rPr>
          <w:rFonts w:ascii="Arial" w:hAnsi="Arial" w:cs="Arial"/>
          <w:color w:val="00000A"/>
          <w:kern w:val="2"/>
        </w:rPr>
      </w:pPr>
      <w:r w:rsidRPr="00A7321E">
        <w:rPr>
          <w:rFonts w:ascii="Arial" w:hAnsi="Arial" w:cs="Arial"/>
          <w:color w:val="00000A"/>
          <w:kern w:val="2"/>
        </w:rPr>
        <w:t>zabezpieczenie materiałów sypkich, pylistych, stanowiących surowce do budowy oraz mas ziemnych i odpadów o takim samym charakterze, powstających podczas prac budowlanych, przed ich rozwiewaniem (np. przykrywanie plandekami, zraszanie wodą – w przypadku mas ziemnych),</w:t>
      </w:r>
    </w:p>
    <w:p w:rsidR="00733BDB" w:rsidRPr="00A7321E" w:rsidRDefault="0080436C" w:rsidP="00A7321E">
      <w:pPr>
        <w:numPr>
          <w:ilvl w:val="0"/>
          <w:numId w:val="20"/>
        </w:numPr>
        <w:suppressAutoHyphens/>
        <w:spacing w:after="0"/>
        <w:ind w:left="1276" w:hanging="284"/>
        <w:rPr>
          <w:rFonts w:ascii="Arial" w:hAnsi="Arial" w:cs="Arial"/>
          <w:color w:val="00000A"/>
          <w:kern w:val="2"/>
        </w:rPr>
      </w:pPr>
      <w:r w:rsidRPr="00A7321E">
        <w:rPr>
          <w:rFonts w:ascii="Arial" w:hAnsi="Arial" w:cs="Arial"/>
          <w:color w:val="00000A"/>
          <w:kern w:val="2"/>
        </w:rPr>
        <w:t>czyszczenie kół pojazdów przed wyjazdem z placu budowy na drogi publiczne.</w:t>
      </w:r>
    </w:p>
    <w:p w:rsidR="00733BDB" w:rsidRPr="00A7321E" w:rsidRDefault="0080436C" w:rsidP="00A7321E">
      <w:pPr>
        <w:numPr>
          <w:ilvl w:val="0"/>
          <w:numId w:val="19"/>
        </w:numPr>
        <w:suppressAutoHyphens/>
        <w:spacing w:after="0"/>
        <w:ind w:left="851" w:hanging="284"/>
        <w:rPr>
          <w:rFonts w:ascii="Arial" w:hAnsi="Arial" w:cs="Arial"/>
          <w:color w:val="00000A"/>
          <w:kern w:val="2"/>
        </w:rPr>
      </w:pPr>
      <w:r w:rsidRPr="00A7321E">
        <w:rPr>
          <w:rFonts w:ascii="Arial" w:hAnsi="Arial" w:cs="Arial"/>
          <w:color w:val="00000A"/>
          <w:kern w:val="2"/>
        </w:rPr>
        <w:t>W zakresie ochrony środowiska gruntowo – wodnego:</w:t>
      </w:r>
    </w:p>
    <w:p w:rsidR="00733BDB" w:rsidRPr="00A7321E" w:rsidRDefault="0080436C" w:rsidP="00A7321E">
      <w:pPr>
        <w:numPr>
          <w:ilvl w:val="0"/>
          <w:numId w:val="18"/>
        </w:numPr>
        <w:suppressAutoHyphens/>
        <w:spacing w:after="0"/>
        <w:ind w:left="1276" w:hanging="284"/>
        <w:rPr>
          <w:rFonts w:ascii="Arial" w:hAnsi="Arial" w:cs="Arial"/>
          <w:color w:val="00000A"/>
          <w:kern w:val="2"/>
        </w:rPr>
      </w:pPr>
      <w:r w:rsidRPr="00A7321E">
        <w:rPr>
          <w:rFonts w:ascii="Arial" w:hAnsi="Arial" w:cs="Arial"/>
        </w:rPr>
        <w:t xml:space="preserve">miejsca tankowania pojazdów i sprzętu budowlanego, zaplecza techniczne, miejsca magazynowania materiałów budowlanych oraz odpadów jak również miejsca postoju maszyn budowlanych i sprzętu transportowego zlokalizować w odległości min. 50 m od cieków i rowów melioracyjnych, zbiorników wodnych oraz poza okresowymi zastoiskami wodnymi i terenami podmokłymi, zawodnionymi rowami melioracyjnymi i poza potencjalnymi siedliskami płazów. Miejsca te należy wyłożyć szczelnymi płytami betonowymi lub matami zabezpieczającymi środowisko gruntowo - wodne przed zanieczyszczeniem </w:t>
      </w:r>
      <w:r w:rsidRPr="00A7321E">
        <w:rPr>
          <w:rFonts w:ascii="Arial" w:hAnsi="Arial" w:cs="Arial"/>
        </w:rPr>
        <w:lastRenderedPageBreak/>
        <w:t>substancjami ropopochodnymi oraz wyposażyć w sorbenty i biopreparaty neutralizujące wycieki paliw i płynów eksploatacyjnych,</w:t>
      </w:r>
    </w:p>
    <w:p w:rsidR="00733BDB" w:rsidRPr="00A7321E" w:rsidRDefault="0080436C" w:rsidP="00A7321E">
      <w:pPr>
        <w:numPr>
          <w:ilvl w:val="0"/>
          <w:numId w:val="18"/>
        </w:numPr>
        <w:suppressAutoHyphens/>
        <w:spacing w:after="0"/>
        <w:ind w:left="1276" w:hanging="283"/>
        <w:rPr>
          <w:rFonts w:ascii="Arial" w:hAnsi="Arial" w:cs="Arial"/>
          <w:color w:val="00000A"/>
          <w:kern w:val="2"/>
        </w:rPr>
      </w:pPr>
      <w:r w:rsidRPr="00A7321E">
        <w:rPr>
          <w:rFonts w:ascii="Arial" w:hAnsi="Arial" w:cs="Arial"/>
        </w:rPr>
        <w:t>lokalizowanie mas ziemi z wykopów wymagających czasowego magazynowania w odległości nie mniejszej niż 50 m od brzegu rzeki Warty,</w:t>
      </w:r>
    </w:p>
    <w:p w:rsidR="00733BDB" w:rsidRPr="00A7321E" w:rsidRDefault="0080436C" w:rsidP="00A7321E">
      <w:pPr>
        <w:numPr>
          <w:ilvl w:val="0"/>
          <w:numId w:val="18"/>
        </w:numPr>
        <w:suppressAutoHyphens/>
        <w:spacing w:after="0"/>
        <w:ind w:left="1276" w:hanging="283"/>
        <w:rPr>
          <w:rFonts w:ascii="Arial" w:hAnsi="Arial" w:cs="Arial"/>
          <w:color w:val="00000A"/>
          <w:kern w:val="2"/>
        </w:rPr>
      </w:pPr>
      <w:r w:rsidRPr="00A7321E">
        <w:rPr>
          <w:rFonts w:ascii="Arial" w:hAnsi="Arial" w:cs="Arial"/>
          <w:color w:val="00000A"/>
          <w:kern w:val="2"/>
        </w:rPr>
        <w:t xml:space="preserve">w sytuacjach awaryjnych (np. wyciek paliwa, oleju) należy podjąć niezwłoczne działania mające na celu zapobieganie przenikaniu zanieczyszczeń do wód podziemnych (np. poprzez unieszkodliwienie wycieku za pomocą odpowiednich sorbentów), </w:t>
      </w:r>
    </w:p>
    <w:p w:rsidR="00733BDB" w:rsidRPr="00A7321E" w:rsidRDefault="0080436C" w:rsidP="00A7321E">
      <w:pPr>
        <w:numPr>
          <w:ilvl w:val="0"/>
          <w:numId w:val="18"/>
        </w:numPr>
        <w:suppressAutoHyphens/>
        <w:spacing w:after="0"/>
        <w:ind w:left="1276" w:hanging="283"/>
        <w:rPr>
          <w:rFonts w:ascii="Arial" w:hAnsi="Arial" w:cs="Arial"/>
          <w:color w:val="00000A"/>
          <w:kern w:val="2"/>
        </w:rPr>
      </w:pPr>
      <w:r w:rsidRPr="00A7321E">
        <w:rPr>
          <w:rFonts w:ascii="Arial" w:hAnsi="Arial" w:cs="Arial"/>
        </w:rPr>
        <w:t>zanieczyszczony substancjami ropopochodnymi grunt należy wybrać i przekazać do neutralizacji</w:t>
      </w:r>
      <w:r w:rsidRPr="00A7321E">
        <w:rPr>
          <w:rFonts w:ascii="Arial" w:hAnsi="Arial" w:cs="Arial"/>
          <w:color w:val="00000A"/>
          <w:kern w:val="2"/>
        </w:rPr>
        <w:t xml:space="preserve"> </w:t>
      </w:r>
      <w:r w:rsidRPr="00A7321E">
        <w:rPr>
          <w:rFonts w:ascii="Arial" w:hAnsi="Arial" w:cs="Arial"/>
        </w:rPr>
        <w:t>uprawnionym podmiotom,</w:t>
      </w:r>
    </w:p>
    <w:p w:rsidR="00733BDB" w:rsidRPr="00A7321E" w:rsidRDefault="0080436C" w:rsidP="00A7321E">
      <w:pPr>
        <w:numPr>
          <w:ilvl w:val="0"/>
          <w:numId w:val="18"/>
        </w:numPr>
        <w:suppressAutoHyphens/>
        <w:spacing w:after="0"/>
        <w:ind w:left="1276" w:hanging="283"/>
        <w:rPr>
          <w:rFonts w:ascii="Arial" w:hAnsi="Arial" w:cs="Arial"/>
          <w:color w:val="00000A"/>
          <w:kern w:val="2"/>
        </w:rPr>
      </w:pPr>
      <w:r w:rsidRPr="00A7321E">
        <w:rPr>
          <w:rFonts w:ascii="Arial" w:hAnsi="Arial" w:cs="Arial"/>
        </w:rPr>
        <w:t xml:space="preserve">materiały potencjalnie niebezpieczne dla środowiska gruntowo - wodnego, (tj. oleje, smary, farby, masy i powłoki uszczelniające) magazynować w szczelnych i zamykanych pojemnikach na utwardzonym podłożu, </w:t>
      </w:r>
    </w:p>
    <w:p w:rsidR="00733BDB" w:rsidRPr="00A7321E" w:rsidRDefault="0080436C" w:rsidP="00A7321E">
      <w:pPr>
        <w:numPr>
          <w:ilvl w:val="0"/>
          <w:numId w:val="18"/>
        </w:numPr>
        <w:suppressAutoHyphens/>
        <w:spacing w:after="0"/>
        <w:ind w:left="1276" w:hanging="283"/>
        <w:rPr>
          <w:rFonts w:ascii="Arial" w:hAnsi="Arial" w:cs="Arial"/>
          <w:color w:val="00000A"/>
          <w:kern w:val="2"/>
        </w:rPr>
      </w:pPr>
      <w:r w:rsidRPr="00A7321E">
        <w:rPr>
          <w:rFonts w:ascii="Arial" w:hAnsi="Arial" w:cs="Arial"/>
        </w:rPr>
        <w:t xml:space="preserve">w przypadku konieczności odwodnienia wykopów, prace odwodnieniowe prowadzić bez konieczności trwałego obniżenia poziomu wód gruntowych; do minimum ograniczyć czas odwadniania wykopów. </w:t>
      </w:r>
    </w:p>
    <w:p w:rsidR="00733BDB" w:rsidRPr="00A7321E" w:rsidRDefault="0080436C" w:rsidP="00A7321E">
      <w:pPr>
        <w:pStyle w:val="Akapitzlist"/>
        <w:numPr>
          <w:ilvl w:val="0"/>
          <w:numId w:val="19"/>
        </w:numPr>
        <w:spacing w:after="0"/>
        <w:ind w:left="709" w:hanging="283"/>
        <w:contextualSpacing w:val="0"/>
        <w:rPr>
          <w:rFonts w:ascii="Arial" w:hAnsi="Arial" w:cs="Arial"/>
        </w:rPr>
      </w:pPr>
      <w:r w:rsidRPr="00A7321E">
        <w:rPr>
          <w:rFonts w:ascii="Arial" w:hAnsi="Arial" w:cs="Arial"/>
        </w:rPr>
        <w:t xml:space="preserve">W celu ochrony przed nieumyślnym zabijaniem zwierząt w trakcie realizacji przedsięwzięcia: </w:t>
      </w:r>
    </w:p>
    <w:p w:rsidR="00DF4239" w:rsidRPr="00A7321E" w:rsidRDefault="0080436C" w:rsidP="00A7321E">
      <w:pPr>
        <w:pStyle w:val="Akapitzlist"/>
        <w:numPr>
          <w:ilvl w:val="1"/>
          <w:numId w:val="19"/>
        </w:numPr>
        <w:spacing w:after="0"/>
        <w:ind w:left="1418" w:hanging="425"/>
        <w:rPr>
          <w:rFonts w:ascii="Arial" w:eastAsiaTheme="minorHAnsi" w:hAnsi="Arial" w:cs="Arial"/>
        </w:rPr>
      </w:pPr>
      <w:r w:rsidRPr="00A7321E">
        <w:rPr>
          <w:rFonts w:ascii="Arial" w:hAnsi="Arial" w:cs="Arial"/>
        </w:rPr>
        <w:t>prace muszą być prowadzone w sposób umożliwiający spontaniczne przemieszczanie się zwierząt ze stref zagrożenia np. poprzez zastosowanie łagodnych (ścinanych) brzegów wykopów, które ułatwią wydostawanie się z nich uwięzionych zwierząt lub też ich zabezpieczanie siatką (o oczkach nie większych niż 0,5 cm i wysokości co najmniej 50 cm, z przewieszką o długości co najmniej 10 cm, skierowaną „na zewnątrz” od placu budowy, wkopanej w ziemię na głębokość 30 cm),</w:t>
      </w:r>
    </w:p>
    <w:p w:rsidR="00DF4239" w:rsidRPr="00A7321E" w:rsidRDefault="0080436C" w:rsidP="00A7321E">
      <w:pPr>
        <w:pStyle w:val="Akapitzlist"/>
        <w:numPr>
          <w:ilvl w:val="1"/>
          <w:numId w:val="19"/>
        </w:numPr>
        <w:spacing w:after="0"/>
        <w:ind w:left="1418" w:hanging="425"/>
        <w:rPr>
          <w:rFonts w:ascii="Arial" w:eastAsiaTheme="minorHAnsi" w:hAnsi="Arial" w:cs="Arial"/>
        </w:rPr>
      </w:pPr>
      <w:r w:rsidRPr="00A7321E">
        <w:rPr>
          <w:rFonts w:ascii="Arial" w:eastAsiaTheme="minorHAnsi" w:hAnsi="Arial" w:cs="Arial"/>
        </w:rPr>
        <w:t>realizacja inwestycji nie może powodować powstawania pułapek, z których ucieczka zwierząt będzie niemożliwa. Wszelkie wykopy należy zabezpieczyć przed możliwością uwięzienia w nich zwierząt (np. poprzez zastosowanie osłon, siatki),</w:t>
      </w:r>
    </w:p>
    <w:p w:rsidR="00DF4239" w:rsidRPr="00A7321E" w:rsidRDefault="0080436C" w:rsidP="00A7321E">
      <w:pPr>
        <w:pStyle w:val="Akapitzlist"/>
        <w:numPr>
          <w:ilvl w:val="1"/>
          <w:numId w:val="19"/>
        </w:numPr>
        <w:spacing w:after="240"/>
        <w:ind w:left="1418" w:hanging="425"/>
        <w:rPr>
          <w:rFonts w:ascii="Arial" w:eastAsiaTheme="minorHAnsi" w:hAnsi="Arial" w:cs="Arial"/>
        </w:rPr>
      </w:pPr>
      <w:r w:rsidRPr="00A7321E">
        <w:rPr>
          <w:rFonts w:ascii="Arial" w:eastAsiaTheme="minorHAnsi" w:hAnsi="Arial" w:cs="Arial"/>
        </w:rPr>
        <w:t>jeżeli mimo zastosowanych rozwiązań zwierzęta przedostaną się na plac budowy należy je uwolnić. Uwolnione zwierzęta należy przenieść do odpowiednich siedlisk, poza rejon objęty inwestycją. Przy wyborze miejsca, do którego zwierzęta zostaną przeniesione należy wziąć pod uwagę możliwość ich przetrwania we właściwym stanie ochrony na nowym stanowisku, również z uwzględnieniem czynników antropogenicznych,</w:t>
      </w:r>
    </w:p>
    <w:p w:rsidR="00733BDB" w:rsidRPr="00A7321E" w:rsidRDefault="0080436C" w:rsidP="00A7321E">
      <w:pPr>
        <w:pStyle w:val="Akapitzlist"/>
        <w:numPr>
          <w:ilvl w:val="1"/>
          <w:numId w:val="19"/>
        </w:numPr>
        <w:spacing w:after="0"/>
        <w:ind w:left="1417" w:hanging="425"/>
        <w:rPr>
          <w:rFonts w:ascii="Arial" w:eastAsiaTheme="minorHAnsi" w:hAnsi="Arial" w:cs="Arial"/>
        </w:rPr>
      </w:pPr>
      <w:r w:rsidRPr="00A7321E">
        <w:rPr>
          <w:rFonts w:ascii="Arial" w:hAnsi="Arial" w:cs="Arial"/>
        </w:rPr>
        <w:t>przed niwelacją jakichkolwiek zagłębień wypełnionych wodą powstałych w trakcie realizacji inwestycji, należy sprawdzić, czy występują tam płazy (osobniki dorosłe i formy rozwojowe). W przypadku stwierdzenia ich występowania należy je przenieść poza teren prowadzonych prac do stanowisk zastępczych. Przy wyborze miejsca, do którego zwierzęta zostaną przeniesione, należy wziąć pod uwagę możliwość ich przetrwania we właściwym stanie ochrony na nowym stanowisku.</w:t>
      </w:r>
    </w:p>
    <w:p w:rsidR="00733BDB" w:rsidRPr="00A7321E" w:rsidRDefault="0080436C" w:rsidP="00A7321E">
      <w:pPr>
        <w:pStyle w:val="Default"/>
        <w:widowControl/>
        <w:numPr>
          <w:ilvl w:val="0"/>
          <w:numId w:val="19"/>
        </w:numPr>
        <w:suppressAutoHyphens/>
        <w:autoSpaceDN/>
        <w:adjustRightInd/>
        <w:spacing w:line="276" w:lineRule="auto"/>
        <w:ind w:left="782" w:hanging="357"/>
        <w:rPr>
          <w:rFonts w:ascii="Arial" w:hAnsi="Arial" w:cs="Arial"/>
          <w:sz w:val="22"/>
          <w:szCs w:val="22"/>
        </w:rPr>
      </w:pPr>
      <w:r w:rsidRPr="00A7321E">
        <w:rPr>
          <w:rFonts w:ascii="Arial" w:hAnsi="Arial" w:cs="Arial"/>
          <w:sz w:val="22"/>
          <w:szCs w:val="22"/>
        </w:rPr>
        <w:t xml:space="preserve">Wycinkę drzew i krzewów kolidujących z realizacją planowanego przedsięwzięcia przeprowadzić poza okresem lęgowym ptaków, przypadającym w terminie od 1 marca do 15 października. Dopuszcza się przeprowadzenie wycinki w okresie lęgowym, lecz po uprzednim potwierdzeniu przez specjalistę ornitologa braku lęgów gatunków chronionych. Kontrolę zajęcia siedlisk przeprowadzić należy nie wcześniej niż 3 dni przed rozpoczęciem prac. W przypadku wykrycia lęgów gatunków </w:t>
      </w:r>
      <w:r w:rsidRPr="00A7321E">
        <w:rPr>
          <w:rFonts w:ascii="Arial" w:hAnsi="Arial" w:cs="Arial"/>
          <w:sz w:val="22"/>
          <w:szCs w:val="22"/>
        </w:rPr>
        <w:lastRenderedPageBreak/>
        <w:t>chronionych należy zaprzestać wycinki do czasu stwierdzenia przez nadzór ornitologiczny wyprowadzenia młodych z gniazda.</w:t>
      </w:r>
    </w:p>
    <w:p w:rsidR="00733BDB" w:rsidRPr="00A7321E" w:rsidRDefault="0080436C" w:rsidP="00A7321E">
      <w:pPr>
        <w:pStyle w:val="Akapitzlist"/>
        <w:numPr>
          <w:ilvl w:val="0"/>
          <w:numId w:val="19"/>
        </w:numPr>
        <w:spacing w:after="0"/>
        <w:ind w:left="782" w:hanging="357"/>
        <w:rPr>
          <w:rFonts w:ascii="Arial" w:eastAsia="TimesNewRomanPSMT" w:hAnsi="Arial" w:cs="Arial"/>
        </w:rPr>
      </w:pPr>
      <w:r w:rsidRPr="00A7321E">
        <w:rPr>
          <w:rFonts w:ascii="Arial" w:hAnsi="Arial" w:cs="Arial"/>
        </w:rPr>
        <w:t xml:space="preserve">Należy skontrolować przeznaczone do usunięcia drzewa stare, dziuplaste oraz o obwodzie pnia powyżej 50 cm ustalonym na wysokości 130 cm pod kątem wykorzystywania ich jako siedliska bezkręgowców oraz </w:t>
      </w:r>
      <w:r w:rsidRPr="00A7321E">
        <w:rPr>
          <w:rFonts w:ascii="Arial" w:eastAsia="TimesNewRomanPSMT" w:hAnsi="Arial" w:cs="Arial"/>
        </w:rPr>
        <w:t>schronień letnich i zimowych nietoperzy</w:t>
      </w:r>
      <w:r w:rsidRPr="00A7321E">
        <w:rPr>
          <w:rFonts w:ascii="Arial" w:hAnsi="Arial" w:cs="Arial"/>
        </w:rPr>
        <w:t xml:space="preserve">. Kontrola powinna zostać przeprowadzona przez specjalistę entomologa i chiropterologa z nadzoru przyrodniczego, na maksymalnie 2 dni przed rozpoczęciem prac. </w:t>
      </w:r>
      <w:r w:rsidRPr="00A7321E">
        <w:rPr>
          <w:rFonts w:ascii="Arial" w:eastAsia="TimesNewRomanPSMT" w:hAnsi="Arial" w:cs="Arial"/>
        </w:rPr>
        <w:t xml:space="preserve">W przypadku stwierdzenia obecności stanowisk gatunków chronionych, należy wstrzymać wycinkę oraz podjąć działania określone przez ww. nadzór. </w:t>
      </w:r>
    </w:p>
    <w:p w:rsidR="00733BDB" w:rsidRPr="00A7321E" w:rsidRDefault="0080436C" w:rsidP="00A7321E">
      <w:pPr>
        <w:pStyle w:val="Akapitzlist"/>
        <w:numPr>
          <w:ilvl w:val="0"/>
          <w:numId w:val="19"/>
        </w:numPr>
        <w:spacing w:after="0"/>
        <w:rPr>
          <w:rFonts w:ascii="Arial" w:hAnsi="Arial" w:cs="Arial"/>
        </w:rPr>
      </w:pPr>
      <w:r w:rsidRPr="00A7321E">
        <w:rPr>
          <w:rFonts w:ascii="Arial" w:hAnsi="Arial" w:cs="Arial"/>
        </w:rPr>
        <w:t>Drzewa znajdujące się w obrębie inwestycji, nieprzeznaczone do wycinki, należy zabezpieczyć przed uszkodzeniami mechanicznymi lub chemicznymi w następujący sposób:</w:t>
      </w:r>
    </w:p>
    <w:p w:rsidR="00DF4239" w:rsidRPr="00A7321E" w:rsidRDefault="0080436C" w:rsidP="00A7321E">
      <w:pPr>
        <w:pStyle w:val="Akapitzlist"/>
        <w:widowControl w:val="0"/>
        <w:numPr>
          <w:ilvl w:val="1"/>
          <w:numId w:val="19"/>
        </w:numPr>
        <w:tabs>
          <w:tab w:val="left" w:pos="567"/>
        </w:tabs>
        <w:suppressAutoHyphens/>
        <w:overflowPunct w:val="0"/>
        <w:autoSpaceDE w:val="0"/>
        <w:autoSpaceDN w:val="0"/>
        <w:adjustRightInd w:val="0"/>
        <w:spacing w:after="0"/>
        <w:ind w:left="1418" w:hanging="425"/>
        <w:rPr>
          <w:rFonts w:ascii="Arial" w:eastAsia="SimSun" w:hAnsi="Arial" w:cs="Arial"/>
          <w:color w:val="000000"/>
          <w:kern w:val="1"/>
          <w:lang w:bidi="hi-IN"/>
        </w:rPr>
      </w:pPr>
      <w:r w:rsidRPr="00A7321E">
        <w:rPr>
          <w:rFonts w:ascii="Arial" w:eastAsia="SimSun" w:hAnsi="Arial" w:cs="Arial"/>
          <w:color w:val="000000"/>
          <w:kern w:val="1"/>
          <w:lang w:bidi="hi-IN"/>
        </w:rPr>
        <w:t>należy osłonić pnie drzew przy użyciu np. drewnianych listew, tkaniny jutowej lub grubych mat słomianych lub trzcinowych,</w:t>
      </w:r>
    </w:p>
    <w:p w:rsidR="00DF4239" w:rsidRPr="00A7321E" w:rsidRDefault="0080436C" w:rsidP="00A7321E">
      <w:pPr>
        <w:pStyle w:val="Akapitzlist"/>
        <w:widowControl w:val="0"/>
        <w:numPr>
          <w:ilvl w:val="1"/>
          <w:numId w:val="19"/>
        </w:numPr>
        <w:tabs>
          <w:tab w:val="left" w:pos="567"/>
        </w:tabs>
        <w:suppressAutoHyphens/>
        <w:overflowPunct w:val="0"/>
        <w:autoSpaceDE w:val="0"/>
        <w:autoSpaceDN w:val="0"/>
        <w:adjustRightInd w:val="0"/>
        <w:spacing w:after="0"/>
        <w:ind w:left="1418" w:hanging="425"/>
        <w:rPr>
          <w:rFonts w:ascii="Arial" w:eastAsia="SimSun" w:hAnsi="Arial" w:cs="Arial"/>
          <w:color w:val="000000"/>
          <w:kern w:val="1"/>
          <w:lang w:bidi="hi-IN"/>
        </w:rPr>
      </w:pPr>
      <w:r w:rsidRPr="00A7321E">
        <w:rPr>
          <w:rFonts w:ascii="Arial" w:eastAsia="SimSun" w:hAnsi="Arial" w:cs="Arial"/>
          <w:color w:val="000000"/>
          <w:kern w:val="1"/>
          <w:lang w:bidi="hi-IN"/>
        </w:rPr>
        <w:t>wykopy bezpośrednio przy pniach drzew należy wykonywać ręcznie. Przycięte korzenie należy zabezpieczyć preparatami grzybobójczymi. Odkopane korzenie winny zostać wpuszczone głębiej i zabezpieczone przed wysychaniem lub przed przymrozkami. Wykopy w pobliżu drzew winny zostać niezwłocznie zasypane,</w:t>
      </w:r>
    </w:p>
    <w:p w:rsidR="00DF4239" w:rsidRPr="00A7321E" w:rsidRDefault="0080436C" w:rsidP="00A7321E">
      <w:pPr>
        <w:pStyle w:val="Akapitzlist"/>
        <w:widowControl w:val="0"/>
        <w:numPr>
          <w:ilvl w:val="1"/>
          <w:numId w:val="19"/>
        </w:numPr>
        <w:tabs>
          <w:tab w:val="left" w:pos="567"/>
        </w:tabs>
        <w:suppressAutoHyphens/>
        <w:overflowPunct w:val="0"/>
        <w:autoSpaceDE w:val="0"/>
        <w:autoSpaceDN w:val="0"/>
        <w:adjustRightInd w:val="0"/>
        <w:spacing w:after="0"/>
        <w:ind w:left="1418" w:hanging="425"/>
        <w:rPr>
          <w:rFonts w:ascii="Arial" w:eastAsia="SimSun" w:hAnsi="Arial" w:cs="Arial"/>
          <w:color w:val="000000"/>
          <w:kern w:val="1"/>
          <w:lang w:bidi="hi-IN"/>
        </w:rPr>
      </w:pPr>
      <w:r w:rsidRPr="00A7321E">
        <w:rPr>
          <w:rFonts w:ascii="Arial" w:eastAsia="SimSun" w:hAnsi="Arial" w:cs="Arial"/>
          <w:color w:val="000000"/>
          <w:kern w:val="1"/>
          <w:lang w:bidi="hi-IN"/>
        </w:rPr>
        <w:t>zabrania się obcinania korzeni szkieletowych drzew, gdyż grozi to zachwianiem ich statyki,</w:t>
      </w:r>
    </w:p>
    <w:p w:rsidR="00DF4239" w:rsidRPr="00A7321E" w:rsidRDefault="0080436C" w:rsidP="00A7321E">
      <w:pPr>
        <w:pStyle w:val="Akapitzlist"/>
        <w:widowControl w:val="0"/>
        <w:numPr>
          <w:ilvl w:val="1"/>
          <w:numId w:val="19"/>
        </w:numPr>
        <w:tabs>
          <w:tab w:val="left" w:pos="567"/>
        </w:tabs>
        <w:suppressAutoHyphens/>
        <w:overflowPunct w:val="0"/>
        <w:autoSpaceDE w:val="0"/>
        <w:autoSpaceDN w:val="0"/>
        <w:adjustRightInd w:val="0"/>
        <w:spacing w:after="0"/>
        <w:ind w:left="1418" w:hanging="425"/>
        <w:rPr>
          <w:rFonts w:ascii="Arial" w:eastAsia="SimSun" w:hAnsi="Arial" w:cs="Arial"/>
          <w:color w:val="000000"/>
          <w:kern w:val="1"/>
          <w:lang w:bidi="hi-IN"/>
        </w:rPr>
      </w:pPr>
      <w:r w:rsidRPr="00A7321E">
        <w:rPr>
          <w:rFonts w:ascii="Arial" w:eastAsia="SimSun" w:hAnsi="Arial" w:cs="Arial"/>
          <w:color w:val="000000"/>
          <w:kern w:val="1"/>
          <w:lang w:bidi="hi-IN"/>
        </w:rPr>
        <w:t>w obrębie rzutu korony nie można magazynować materiałów chemicznych, budowlanych i ziemi z powstałych wykopów, stosować otwartego ognia, lokalizować placów manewrowych i miejsc postoju sprzętu ciężkiego,</w:t>
      </w:r>
    </w:p>
    <w:p w:rsidR="00DF4239" w:rsidRPr="00A7321E" w:rsidRDefault="0080436C" w:rsidP="00A7321E">
      <w:pPr>
        <w:pStyle w:val="Akapitzlist"/>
        <w:widowControl w:val="0"/>
        <w:numPr>
          <w:ilvl w:val="1"/>
          <w:numId w:val="19"/>
        </w:numPr>
        <w:tabs>
          <w:tab w:val="left" w:pos="567"/>
        </w:tabs>
        <w:suppressAutoHyphens/>
        <w:overflowPunct w:val="0"/>
        <w:autoSpaceDE w:val="0"/>
        <w:autoSpaceDN w:val="0"/>
        <w:adjustRightInd w:val="0"/>
        <w:spacing w:after="0"/>
        <w:ind w:left="1418" w:hanging="425"/>
        <w:rPr>
          <w:rFonts w:ascii="Arial" w:eastAsia="SimSun" w:hAnsi="Arial" w:cs="Arial"/>
          <w:color w:val="000000"/>
          <w:kern w:val="1"/>
          <w:lang w:bidi="hi-IN"/>
        </w:rPr>
      </w:pPr>
      <w:r w:rsidRPr="00A7321E">
        <w:rPr>
          <w:rFonts w:ascii="Arial" w:eastAsia="SimSun" w:hAnsi="Arial" w:cs="Arial"/>
          <w:color w:val="000000"/>
          <w:kern w:val="1"/>
          <w:lang w:bidi="hi-IN"/>
        </w:rPr>
        <w:t>po zakończeniu prac zabezpieczenia drzew należy zdemontować.</w:t>
      </w:r>
    </w:p>
    <w:p w:rsidR="00733BDB" w:rsidRPr="00A7321E" w:rsidRDefault="0080436C" w:rsidP="00A7321E">
      <w:pPr>
        <w:pStyle w:val="Akapitzlist"/>
        <w:widowControl w:val="0"/>
        <w:numPr>
          <w:ilvl w:val="0"/>
          <w:numId w:val="12"/>
        </w:numPr>
        <w:suppressAutoHyphens/>
        <w:spacing w:after="240"/>
        <w:rPr>
          <w:rFonts w:ascii="Arial" w:hAnsi="Arial" w:cs="Arial"/>
          <w:color w:val="00000A"/>
          <w:kern w:val="2"/>
        </w:rPr>
      </w:pPr>
      <w:r w:rsidRPr="00A7321E">
        <w:rPr>
          <w:rFonts w:ascii="Arial" w:hAnsi="Arial" w:cs="Arial"/>
          <w:color w:val="00000A"/>
          <w:kern w:val="2"/>
        </w:rPr>
        <w:t>Nadaję niniejszej decyzji rygor natychmiastowej wykonalności.</w:t>
      </w:r>
    </w:p>
    <w:p w:rsidR="00733BDB" w:rsidRPr="00A7321E" w:rsidRDefault="0080436C" w:rsidP="00A7321E">
      <w:pPr>
        <w:spacing w:after="120"/>
        <w:rPr>
          <w:rFonts w:ascii="Arial" w:eastAsiaTheme="minorHAnsi" w:hAnsi="Arial" w:cs="Arial"/>
        </w:rPr>
      </w:pPr>
      <w:r w:rsidRPr="00A7321E">
        <w:rPr>
          <w:rFonts w:ascii="Arial" w:hAnsi="Arial" w:cs="Arial"/>
        </w:rPr>
        <w:t>Uzasadnienie</w:t>
      </w:r>
    </w:p>
    <w:p w:rsidR="00733BDB" w:rsidRPr="00A7321E" w:rsidRDefault="0080436C" w:rsidP="00A7321E">
      <w:pPr>
        <w:spacing w:after="120"/>
        <w:rPr>
          <w:rFonts w:ascii="Arial" w:hAnsi="Arial" w:cs="Arial"/>
        </w:rPr>
      </w:pPr>
      <w:r w:rsidRPr="00A7321E">
        <w:rPr>
          <w:rFonts w:ascii="Arial" w:hAnsi="Arial" w:cs="Arial"/>
        </w:rPr>
        <w:t xml:space="preserve">Wnioskiem z 18 lutego 2022 r., działający przez pełnomocnika </w:t>
      </w:r>
      <w:r w:rsidRPr="00A7321E">
        <w:rPr>
          <w:rFonts w:ascii="Arial" w:hAnsi="Arial" w:cs="Arial"/>
          <w:kern w:val="2"/>
        </w:rPr>
        <w:t xml:space="preserve">Operator Gazociągów Przesyłowych GAZ-SYSTEM S.A. </w:t>
      </w:r>
      <w:r w:rsidRPr="00A7321E">
        <w:rPr>
          <w:rFonts w:ascii="Arial" w:hAnsi="Arial" w:cs="Arial"/>
        </w:rPr>
        <w:t>ul. Mszczonowska 4, 02-337 Warszawa, wystąpił do Regionalnego Dyrektora Ochrony Środowiska w Katowicach o wydanie decyzji o środowiskowych uwarunkowaniach dla przedsięwzięcia pn: „Budowa gazociągu wysokiego ciśnienia DN250 MOP 5,5 MPa wraz z budową ZZU liniowego DN250 w ramach zadania: „Opracowanie dokumentacji projektowej na przebudowę gazociągu wysokiego ciśnienia relacji Trzebiesławice - Częstochowa DN250 MOP 5,5 MPa - odc. Relacji Borowe Pole - Częstochowa, odgałęzienie Nowa Wieś Auchan - ZZU Słowik - rz. Warta wraz z budową ZZU liniowego DN250””.</w:t>
      </w:r>
    </w:p>
    <w:p w:rsidR="00733BDB" w:rsidRPr="00A7321E" w:rsidRDefault="0080436C" w:rsidP="00A7321E">
      <w:pPr>
        <w:spacing w:after="0"/>
        <w:rPr>
          <w:rFonts w:ascii="Arial" w:hAnsi="Arial" w:cs="Arial"/>
        </w:rPr>
      </w:pPr>
      <w:r w:rsidRPr="00A7321E">
        <w:rPr>
          <w:rFonts w:ascii="Arial" w:hAnsi="Arial" w:cs="Arial"/>
        </w:rPr>
        <w:t>Przedmiotowy wniosek był sporządzony, zgodnie z wymogami art. 74 ust. 1 ustawy z dnia 3 października 2008 r. o udostępnianiu informacji o środowisku i jego ochronie, udziale społeczeństwa w ochronie środowiska oraz o ocenach oddziaływania na środowisko (t.j. Dz. U. z 2022 r. poz. 1029 ). Do wniosku dołączono wymienione w art. 74 ust. 1 ww. ustawy) załączniki tj.:</w:t>
      </w:r>
    </w:p>
    <w:p w:rsidR="00733BDB" w:rsidRPr="00A7321E" w:rsidRDefault="0080436C" w:rsidP="00A7321E">
      <w:pPr>
        <w:pStyle w:val="Akapitzlist"/>
        <w:numPr>
          <w:ilvl w:val="0"/>
          <w:numId w:val="11"/>
        </w:numPr>
        <w:spacing w:after="0"/>
        <w:ind w:left="426" w:hanging="284"/>
        <w:rPr>
          <w:rFonts w:ascii="Arial" w:hAnsi="Arial" w:cs="Arial"/>
        </w:rPr>
      </w:pPr>
      <w:r w:rsidRPr="00A7321E">
        <w:rPr>
          <w:rFonts w:ascii="Arial" w:hAnsi="Arial" w:cs="Arial"/>
        </w:rPr>
        <w:t>kartę informacyjną przedsięwzięcia wraz z zapisem elektronicznym,</w:t>
      </w:r>
    </w:p>
    <w:p w:rsidR="00733BDB" w:rsidRPr="00A7321E" w:rsidRDefault="0080436C" w:rsidP="00A7321E">
      <w:pPr>
        <w:pStyle w:val="Akapitzlist"/>
        <w:numPr>
          <w:ilvl w:val="0"/>
          <w:numId w:val="11"/>
        </w:numPr>
        <w:spacing w:after="0"/>
        <w:ind w:left="426" w:hanging="284"/>
        <w:rPr>
          <w:rFonts w:ascii="Arial" w:hAnsi="Arial" w:cs="Arial"/>
        </w:rPr>
      </w:pPr>
      <w:r w:rsidRPr="00A7321E">
        <w:rPr>
          <w:rFonts w:ascii="Arial" w:hAnsi="Arial" w:cs="Arial"/>
        </w:rPr>
        <w:t xml:space="preserve">poświadczoną przez właściwy organ kopię mapy przedstawiającą dane sytuacyjne i wysokościowe obejmującą przewidywany teren, na którym będzie realizowane </w:t>
      </w:r>
      <w:r w:rsidRPr="00A7321E">
        <w:rPr>
          <w:rFonts w:ascii="Arial" w:hAnsi="Arial" w:cs="Arial"/>
        </w:rPr>
        <w:lastRenderedPageBreak/>
        <w:t>przedsięwzięcie, oraz obejmującą przewidywany obszar, na który będzie oddziaływać przedsięwzięcie,</w:t>
      </w:r>
    </w:p>
    <w:p w:rsidR="00733BDB" w:rsidRPr="00A7321E" w:rsidRDefault="0080436C" w:rsidP="00A7321E">
      <w:pPr>
        <w:pStyle w:val="Akapitzlist"/>
        <w:numPr>
          <w:ilvl w:val="0"/>
          <w:numId w:val="11"/>
        </w:numPr>
        <w:spacing w:after="0"/>
        <w:ind w:left="426" w:hanging="284"/>
        <w:rPr>
          <w:rFonts w:ascii="Arial" w:hAnsi="Arial" w:cs="Arial"/>
        </w:rPr>
      </w:pPr>
      <w:r w:rsidRPr="00A7321E">
        <w:rPr>
          <w:rFonts w:ascii="Arial" w:hAnsi="Arial" w:cs="Arial"/>
        </w:rPr>
        <w:t>mapę w skali zapewniającej czytelność przedstawionych danych z zaznaczonym przewidywanym terenem, na którym będzie realizowane przedsięwzięcie, oraz z zaznaczonym przewidywanym obszarem, na który będzie oddziaływać przedsięwzięcie, wraz z zapisem mapy w formie elektronicznej,</w:t>
      </w:r>
    </w:p>
    <w:p w:rsidR="00733BDB" w:rsidRPr="00A7321E" w:rsidRDefault="0080436C" w:rsidP="00A7321E">
      <w:pPr>
        <w:pStyle w:val="Akapitzlist"/>
        <w:numPr>
          <w:ilvl w:val="0"/>
          <w:numId w:val="11"/>
        </w:numPr>
        <w:spacing w:after="0"/>
        <w:ind w:left="426" w:hanging="284"/>
        <w:rPr>
          <w:rFonts w:ascii="Arial" w:hAnsi="Arial" w:cs="Arial"/>
        </w:rPr>
      </w:pPr>
      <w:r w:rsidRPr="00A7321E">
        <w:rPr>
          <w:rFonts w:ascii="Arial" w:hAnsi="Arial" w:cs="Arial"/>
        </w:rPr>
        <w:t>pełnomocnictwo,</w:t>
      </w:r>
    </w:p>
    <w:p w:rsidR="00733BDB" w:rsidRPr="00A7321E" w:rsidRDefault="0080436C" w:rsidP="00A7321E">
      <w:pPr>
        <w:pStyle w:val="Akapitzlist"/>
        <w:numPr>
          <w:ilvl w:val="0"/>
          <w:numId w:val="11"/>
        </w:numPr>
        <w:spacing w:after="120"/>
        <w:ind w:left="426" w:hanging="284"/>
        <w:rPr>
          <w:rFonts w:ascii="Arial" w:hAnsi="Arial" w:cs="Arial"/>
        </w:rPr>
      </w:pPr>
      <w:r w:rsidRPr="00A7321E">
        <w:rPr>
          <w:rFonts w:ascii="Arial" w:hAnsi="Arial" w:cs="Arial"/>
        </w:rPr>
        <w:t>dowód uiszczenia opłaty skarbowej za pełnomocnictwa oraz wydanie decyzji.</w:t>
      </w:r>
    </w:p>
    <w:p w:rsidR="00733BDB" w:rsidRPr="00A7321E" w:rsidRDefault="0080436C" w:rsidP="00A7321E">
      <w:pPr>
        <w:spacing w:after="120"/>
        <w:rPr>
          <w:rFonts w:ascii="Arial" w:hAnsi="Arial" w:cs="Arial"/>
        </w:rPr>
      </w:pPr>
      <w:r w:rsidRPr="00A7321E">
        <w:rPr>
          <w:rFonts w:ascii="Arial" w:hAnsi="Arial" w:cs="Arial"/>
        </w:rPr>
        <w:t>Tutejszy organ, zakwalifikował planowane zamierzenie do przedsięwzięć mogących potencjalnie znacząco oddziaływać na środowisko zgodnie z § 3 ust. 1 pkt. 31 - instalacje do przesyłu gazu inne niż wymienione w § 2 ust. 1 pkt 20 oraz towarzyszące im tłocznie lub stacje redukcyjne, z wyłączeniem gazociągów o ciśnieniu nie większym niż 0,5 MPa i przyłączy do budynków; przy czym tłocznie lub stacje redukcyjne budowane, montowane lub przebudowywane przy istniejących instalacjach przesyłowych nie są przedsięwzięciami mogącymi znacząco oddziaływać na środowisko, Rozporządzenia Rady Ministrów z dnia 10 września 2019 r. w sprawie przedsięwzięć mogących znacząco oddziaływać na środowisko (tj. Dz. U. 2019, poz. 1839).</w:t>
      </w:r>
    </w:p>
    <w:p w:rsidR="00733BDB" w:rsidRPr="00A7321E" w:rsidRDefault="0080436C" w:rsidP="00A7321E">
      <w:pPr>
        <w:autoSpaceDE w:val="0"/>
        <w:autoSpaceDN w:val="0"/>
        <w:adjustRightInd w:val="0"/>
        <w:spacing w:after="120"/>
        <w:rPr>
          <w:rFonts w:ascii="Arial" w:hAnsi="Arial" w:cs="Arial"/>
          <w:iCs/>
        </w:rPr>
      </w:pPr>
      <w:r w:rsidRPr="00A7321E">
        <w:rPr>
          <w:rFonts w:ascii="Arial" w:hAnsi="Arial" w:cs="Arial"/>
          <w:iCs/>
        </w:rPr>
        <w:t>Przedmiotowe przedsięwzięcie, zgodnie z zapisami art. 6 pkt. 2 ustawy z dnia 21 sierpnia 1997 r. o gospodarce nieruchomościami (t.j. Dz. U. z 2021 r., poz. 1899 z późn. zm.) wskazującymi, że celem publicznym jest „budowa i utrzymywanie ciągów drenażowych, przewodów i urządzeń służących do przesyłania lub dystrybucji płynów, pary, gazów i energii elektrycznej, a także innych obiektów i urządzeń niezbędnych do korzystania z tych przewodów i urządzeń" jest inwestycją celu publicznego.</w:t>
      </w:r>
    </w:p>
    <w:p w:rsidR="00733BDB" w:rsidRPr="00A7321E" w:rsidRDefault="0080436C" w:rsidP="00A7321E">
      <w:pPr>
        <w:spacing w:after="120"/>
        <w:rPr>
          <w:rFonts w:ascii="Arial" w:hAnsi="Arial" w:cs="Arial"/>
        </w:rPr>
      </w:pPr>
      <w:r w:rsidRPr="00A7321E">
        <w:rPr>
          <w:rFonts w:ascii="Arial" w:hAnsi="Arial" w:cs="Arial"/>
        </w:rPr>
        <w:t>Zgodnie z treścią wniosku przedmiotowe przedsięwzięcie jest zadaniem towarzyszącym inwestycjom w zakresie terminalu w ramach odbudowy, rozbudowy, przebudowy, remontu, rozbiórki albo zmiany sposobu użytkowania gazociągów przesyłowych wysokiego ciśnienia wraz z infrastrukturą niezbędną do ich obsługi, zgodnie z art. 38 pkt 2 ppkt „zg” ustawy z dnia 24 kwietnia 2009 r. o inwestycjach w zakresie terminalu regazyfikacyjnego skroplonego gazu ziemnego w Świnoujściu (t.j. Dz.U. 2021 poz. 1836 z późn. zm.) – dalej ustawy o inwestycjach w zakresie terminalu. Tym samym przedsięwzięcie realizowane będzie w oparciu o przepisy ww. ustawy.</w:t>
      </w:r>
    </w:p>
    <w:p w:rsidR="00733BDB" w:rsidRPr="00A7321E" w:rsidRDefault="0080436C" w:rsidP="00A7321E">
      <w:pPr>
        <w:spacing w:after="120"/>
        <w:rPr>
          <w:rFonts w:ascii="Arial" w:hAnsi="Arial" w:cs="Arial"/>
        </w:rPr>
      </w:pPr>
      <w:r w:rsidRPr="00A7321E">
        <w:rPr>
          <w:rFonts w:ascii="Arial" w:hAnsi="Arial" w:cs="Arial"/>
        </w:rPr>
        <w:t>Biorąc pod uwagę powyższe, zgodnie z art. 75 ust. 1 pkt 1 lit. „f” ustawy ooś organem właściwym do wydania decyzji o środowiskowych uwarunkowaniach dla przedmiotowego przedsięwzięcia jest Regionalny Dyrektor Ochrony Środowiska w Katowicach.</w:t>
      </w:r>
    </w:p>
    <w:p w:rsidR="00733BDB" w:rsidRPr="00A7321E" w:rsidRDefault="0080436C" w:rsidP="00A7321E">
      <w:pPr>
        <w:spacing w:after="120"/>
        <w:rPr>
          <w:rFonts w:ascii="Arial" w:hAnsi="Arial" w:cs="Arial"/>
        </w:rPr>
      </w:pPr>
      <w:r w:rsidRPr="00A7321E">
        <w:rPr>
          <w:rFonts w:ascii="Arial" w:hAnsi="Arial" w:cs="Arial"/>
        </w:rPr>
        <w:t>Zgodnie z art. 19 ust. 2 ustawy o inwestycjach w zakresie terminalu Regionalny Dyrektor Ochrony Środowiska w Katowicach pismem z 4 marca 2022 r. znak WOOŚ.420.6.2022.JŻ.4 zawiadomił Generalnego Dyrektora Ochrony Środowiska o złożeniu ww. wniosku o wydanie decyzji o środowiskowych uwarunkowaniach.</w:t>
      </w:r>
    </w:p>
    <w:p w:rsidR="00733BDB" w:rsidRPr="00A7321E" w:rsidRDefault="0080436C" w:rsidP="00A7321E">
      <w:pPr>
        <w:spacing w:after="120"/>
        <w:rPr>
          <w:rFonts w:ascii="Arial" w:hAnsi="Arial" w:cs="Arial"/>
        </w:rPr>
      </w:pPr>
      <w:r w:rsidRPr="00A7321E">
        <w:rPr>
          <w:rFonts w:ascii="Arial" w:hAnsi="Arial" w:cs="Arial"/>
        </w:rPr>
        <w:t xml:space="preserve">Zgodnie z art. 63 i 64 ustawy o udostępnianiu informacji o środowisku, obowiązek przeprowadzenia oceny oddziaływania na środowisko dla planowanego przedsięwzięcia stwierdza organ właściwy do wydania decyzji o środowiskowych uwarunkowaniach po zasięgnięciu opinii organu państwowej inspekcji sanitarnej oraz organu właściwego do wydania oceny wodnoprawnej. </w:t>
      </w:r>
    </w:p>
    <w:p w:rsidR="00733BDB" w:rsidRPr="00A7321E" w:rsidRDefault="0080436C" w:rsidP="00A7321E">
      <w:pPr>
        <w:spacing w:after="120"/>
        <w:rPr>
          <w:rFonts w:ascii="Arial" w:hAnsi="Arial" w:cs="Arial"/>
        </w:rPr>
      </w:pPr>
      <w:r w:rsidRPr="00A7321E">
        <w:rPr>
          <w:rFonts w:ascii="Arial" w:hAnsi="Arial" w:cs="Arial"/>
        </w:rPr>
        <w:t xml:space="preserve">Dane o złożonym wniosku zostały umieszczone w publicznie dostępnym wykazie danych o dokumentach zawierających informacje o środowisku i jego ochronie (EKOPORTAL) </w:t>
      </w:r>
      <w:r w:rsidRPr="00A7321E">
        <w:rPr>
          <w:rFonts w:ascii="Arial" w:hAnsi="Arial" w:cs="Arial"/>
        </w:rPr>
        <w:lastRenderedPageBreak/>
        <w:t>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rsidR="00733BDB" w:rsidRPr="00A7321E" w:rsidRDefault="0080436C" w:rsidP="00A7321E">
      <w:pPr>
        <w:spacing w:after="120"/>
        <w:rPr>
          <w:rFonts w:ascii="Arial" w:hAnsi="Arial" w:cs="Arial"/>
        </w:rPr>
      </w:pPr>
      <w:r w:rsidRPr="00A7321E">
        <w:rPr>
          <w:rFonts w:ascii="Arial" w:hAnsi="Arial" w:cs="Arial"/>
        </w:rPr>
        <w:t>Zgodnie z art. 80 ust. 2 ustawy ooś, właściwy organ wydaje decyzję o środowiskowych uwarunkowaniach po stwierdzeniu zgodności lokalizacji przedsięwzięcia z ustaleniami miejscowego planu zagospodarowania przestrzennego, jeżeli plan ten został uchwalony. Jednocześnie w ww. przepisie ustawodawca wskazał, że nie dotyczy to decyzji o środowiskowych uwarunkowaniach wydawanej dla inwestycji realizowanych na podstawie ustawy o inwestycjach w zakresie terminalu. Wobec powyższego wydanie niniejszej decyzji nie jest uzależnione od stwierdzenia zgodności lokalizacji planowanego przedsięwzięcia z ustaleniami miejscowego planu zagospodarowania przestrzennego.</w:t>
      </w:r>
    </w:p>
    <w:p w:rsidR="00733BDB" w:rsidRPr="00A7321E" w:rsidRDefault="0080436C" w:rsidP="00A7321E">
      <w:pPr>
        <w:spacing w:after="120"/>
        <w:rPr>
          <w:rFonts w:ascii="Arial" w:hAnsi="Arial" w:cs="Arial"/>
        </w:rPr>
      </w:pPr>
      <w:r w:rsidRPr="00A7321E">
        <w:rPr>
          <w:rFonts w:ascii="Arial" w:hAnsi="Arial" w:cs="Arial"/>
        </w:rPr>
        <w:t>Jak wynika z przedłożonych dokumentów w tym oświadczenia inwestora, liczba stron w postępowaniu o wydanie decyzji o środowiskowych uwarunkowaniach, przekracza 10. Wobec powyższego, o czynnościach organu strony były zawiadamiane obwieszczeniami, umieszczanymi na tablicy ogłoszeń w siedzibie Regionalnej Dyrekcji Ochrony Środowiska w Katowicach przy Pl. Grunwaldzkim 8-10 oraz Biuletynie Informacji Publicznej instytucji. Dodatkowo zawiadomienie o wszczęciu postępowania przekazano celem upublicznienia do Urzędu Miasta Częstochowy oraz do Urzędu Gminy Poczesna.</w:t>
      </w:r>
    </w:p>
    <w:p w:rsidR="00733BDB" w:rsidRPr="00A7321E" w:rsidRDefault="0080436C" w:rsidP="00A7321E">
      <w:pPr>
        <w:spacing w:after="120"/>
        <w:rPr>
          <w:rFonts w:ascii="Arial" w:hAnsi="Arial" w:cs="Arial"/>
        </w:rPr>
      </w:pPr>
      <w:r w:rsidRPr="00A7321E">
        <w:rPr>
          <w:rFonts w:ascii="Arial" w:hAnsi="Arial" w:cs="Arial"/>
        </w:rPr>
        <w:t>W związku z tym, że liczba stron postępowania przekracza 10, zastosowano przepisy art. 74 ust. 3 ustawy ooś i art. 49 Kpa, powiadamiając strony o wszczęciu postępowania oraz o wystąpieniu w sprawie wyrażenia opinii co do potrzeby przeprowadzania oceny oddziaływania na środowisko do ww. organów, zawiadomieniem z 4 marca 2022 r. znak WOOŚ.420.6.2022.JŻ.1. Zawiadomienie zamieszczono na okres 14 dni na tablicy ogłoszeń oraz na stronie internetowej Regionalnej Dyrekcji Ochrony Środowiska w Katowicach. Ponadto pismem z 9 marca 2022 r. znak WOOŚ.420.6.2022.JŻ.8 przedmiotowe obwieszczenie przekazano do Urzędu Miasta Częstochowy i Urzędu Gminy Poczesna celem poinformowania stron w trybie art. 49 Kpa.</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 xml:space="preserve">Wypełniając dyspozycję art. 64 ust. 1 pkt 2 i 4 ustawy o udostępnianiu informacji </w:t>
      </w:r>
      <w:r w:rsidRPr="00A7321E">
        <w:rPr>
          <w:rFonts w:ascii="Arial" w:hAnsi="Arial" w:cs="Arial"/>
          <w:sz w:val="22"/>
          <w:szCs w:val="22"/>
        </w:rPr>
        <w:br/>
        <w:t>o środowisku, Regionalny Dyrektor Ochrony Środowiska w Katowicach pismami</w:t>
      </w:r>
      <w:r w:rsidRPr="00A7321E">
        <w:rPr>
          <w:rFonts w:ascii="Arial" w:hAnsi="Arial" w:cs="Arial"/>
          <w:sz w:val="22"/>
          <w:szCs w:val="22"/>
        </w:rPr>
        <w:br/>
        <w:t xml:space="preserve">z 4 marca 2.2022 r. znak: WOOŚ.420.6.2022.JŻ.2 i WOOŚ.420.6.2022.JŻ.3 wystąpił do Śląskiego Państwowego Wojewódzkiego Inspektora Sanitarnego i Dyrektora Zarządu Zlewni w Sieradzu PGW Wody Polskie o opinię odnośnie do obowiązku przeprowadzenia oceny oddziaływania na środowisko dla przedmiotowego przedsięwzięcia, a w przypadku stwierdzenia takiej potrzeby – o określenie zakresu raportu o oddziaływaniu na środowisko. Śląski Państwowy Wojewódzki Inspektor Sanitarny w opinii sanitarnej z 30.03.2022 r. znak NS-NZ.9022.25.4.2022 wyraził stanowisko o braku potrzeby przeprowadzenia oceny oddziaływania na środowisko dla przedmiotowego przedsięwzięcia. </w:t>
      </w:r>
    </w:p>
    <w:p w:rsidR="00733BDB" w:rsidRPr="00A7321E" w:rsidRDefault="0080436C" w:rsidP="00A7321E">
      <w:pPr>
        <w:pStyle w:val="Zwykytekst1"/>
        <w:spacing w:line="276" w:lineRule="auto"/>
        <w:rPr>
          <w:rFonts w:ascii="Arial" w:hAnsi="Arial" w:cs="Arial"/>
          <w:sz w:val="22"/>
          <w:szCs w:val="22"/>
          <w:highlight w:val="yellow"/>
        </w:rPr>
      </w:pPr>
      <w:r w:rsidRPr="00A7321E">
        <w:rPr>
          <w:rFonts w:ascii="Arial" w:hAnsi="Arial" w:cs="Arial"/>
          <w:sz w:val="22"/>
          <w:szCs w:val="22"/>
        </w:rPr>
        <w:t xml:space="preserve">Po rozpatrzeniu przedłożonych dokumentów (w tym wyjaśnienia złożonego na wezwanie Dyrektora Zarządu Zlewni Wód Polskich w Sieradzu z 28.03 2022 r.) w opinii z 14.04.2022 r. znak PO.ZZŚ.5.435.121.2022.AC stwierdził brak konieczności przeprowadzania oceny oddziaływania na środowisko dla przedmiotowego przedsięwzięcia, jednocześnie wskazując warunki jego realizacji. </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 xml:space="preserve">Z zachowaniem zasady czynnego udziału stron w postępowaniu, zgodnie z art. 10 § 1 ustawy Kodeks postępowania administracyjnego. Obwieszeniem z 26 kwietnia 2022 r. znak WOOŚ.420.6.2022.JŻ.13 poinformowano strony o zakończeniu postępowania dowodowego </w:t>
      </w:r>
      <w:r w:rsidRPr="00A7321E">
        <w:rPr>
          <w:rFonts w:ascii="Arial" w:hAnsi="Arial" w:cs="Arial"/>
          <w:sz w:val="22"/>
          <w:szCs w:val="22"/>
        </w:rPr>
        <w:lastRenderedPageBreak/>
        <w:t xml:space="preserve">w sprawie wydania decyzji o środowiskowych uwarunkowaniach dla przedmiotowego przedsięwzięcia oraz o możliwości zapoznania się z zebranym materiałem dowodowym i złożenia ewentualnych uwag. </w:t>
      </w:r>
    </w:p>
    <w:p w:rsidR="00733BDB" w:rsidRPr="00A7321E" w:rsidRDefault="0080436C" w:rsidP="00A7321E">
      <w:pPr>
        <w:spacing w:after="120"/>
        <w:rPr>
          <w:rFonts w:ascii="Arial" w:hAnsi="Arial" w:cs="Arial"/>
        </w:rPr>
      </w:pPr>
      <w:r w:rsidRPr="00A7321E">
        <w:rPr>
          <w:rFonts w:ascii="Arial" w:hAnsi="Arial" w:cs="Arial"/>
          <w:color w:val="00000A"/>
          <w:kern w:val="2"/>
        </w:rPr>
        <w:t xml:space="preserve">Przedmiotowe Obwieszczenie 26 kwietnia 2022 r. przekazano do Urzędu Miasta Częstochowy i Urzędu Gminy Poczesna celem </w:t>
      </w:r>
      <w:r w:rsidRPr="00A7321E">
        <w:rPr>
          <w:rFonts w:ascii="Arial" w:hAnsi="Arial" w:cs="Arial"/>
        </w:rPr>
        <w:t>poinformowania stron w trybie art. 49 Kpa o zakończeniu postępowania w przedmiotowej sprawie.</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Do dnia wydania niniejszej decyzji żadna ze stron postępowania nie zgłosiła się do organu, aby zapoznać się ze zgromadzonymi dowodami i aktami sprawy. We wskazanym terminie nie wniesiono też uwag i wniosków w związku z czym tut. organ uznał dotychczas zebrane materiały za wystarczające do ustalenia wszystkich okoliczności sprawy i wydania decyzji o środowiskowych uwarunkowaniach.</w:t>
      </w:r>
    </w:p>
    <w:p w:rsidR="00733BDB" w:rsidRPr="00A7321E" w:rsidRDefault="0080436C" w:rsidP="00A7321E">
      <w:pPr>
        <w:spacing w:after="120"/>
        <w:rPr>
          <w:rFonts w:ascii="Arial" w:hAnsi="Arial" w:cs="Arial"/>
        </w:rPr>
      </w:pPr>
      <w:r w:rsidRPr="00A7321E">
        <w:rPr>
          <w:rFonts w:ascii="Arial" w:hAnsi="Arial" w:cs="Arial"/>
        </w:rPr>
        <w:t xml:space="preserve">Podstawowe informacje o przedmiotowym przedsięwzięciu zawarte zostały w karcie informacyjnej przedsięwzięcia sporządzonej w lutym 2022 r. </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Przedmiotowe przedsięwzięcie polegać będzie na budowie gazociągu DN250, MOP 5,5 MPa o długości ok. 3,6 km wraz z budową liniowego zespołu zaporowo-upustowego DN250. Zakres ww. przedsięwzięcia dotyczy prac związanych z:</w:t>
      </w:r>
    </w:p>
    <w:p w:rsidR="00C62B39" w:rsidRPr="00A7321E" w:rsidRDefault="0080436C" w:rsidP="00A7321E">
      <w:pPr>
        <w:spacing w:after="0"/>
        <w:ind w:left="426" w:hanging="426"/>
        <w:rPr>
          <w:rFonts w:ascii="Arial" w:hAnsi="Arial" w:cs="Arial"/>
        </w:rPr>
      </w:pPr>
      <w:r w:rsidRPr="00A7321E">
        <w:rPr>
          <w:rFonts w:ascii="Arial" w:hAnsi="Arial" w:cs="Arial"/>
        </w:rPr>
        <w:t>-</w:t>
      </w:r>
      <w:r w:rsidRPr="00A7321E">
        <w:rPr>
          <w:rFonts w:ascii="Arial" w:hAnsi="Arial" w:cs="Arial"/>
        </w:rPr>
        <w:tab/>
        <w:t>wykonaniem podziemnego gazociągu DN250, MOP 5,5 MPa o długości ok. 3,6 km, wraz z infrastrukturą niezbędną do jego obsługi,</w:t>
      </w:r>
    </w:p>
    <w:p w:rsidR="00733BDB" w:rsidRPr="00A7321E" w:rsidRDefault="0080436C" w:rsidP="00A7321E">
      <w:pPr>
        <w:pStyle w:val="Zwykytekst1"/>
        <w:spacing w:line="276" w:lineRule="auto"/>
        <w:ind w:left="426" w:hanging="426"/>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rozbiórką istniejącego odcinka gazociągu DN250 - unieczynnieniem poprzez odgazowanie, rozcięcie i zaślepienie dnami stalowymi,</w:t>
      </w:r>
    </w:p>
    <w:p w:rsidR="00733BDB" w:rsidRPr="00A7321E" w:rsidRDefault="0080436C" w:rsidP="00A7321E">
      <w:pPr>
        <w:pStyle w:val="Zwykytekst1"/>
        <w:spacing w:line="276" w:lineRule="auto"/>
        <w:ind w:left="705" w:hanging="705"/>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budową zespołu zaporowo-upustowego (ZZU) DN250,</w:t>
      </w:r>
    </w:p>
    <w:p w:rsidR="00733BDB" w:rsidRPr="00A7321E" w:rsidRDefault="0080436C" w:rsidP="00A7321E">
      <w:pPr>
        <w:pStyle w:val="Zwykytekst1"/>
        <w:spacing w:line="276" w:lineRule="auto"/>
        <w:ind w:left="705" w:hanging="705"/>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rozbiórką istniejącego ZZU CZ0117 „Słowik” oraz podziemnego kurka DN250 (ZZU CZ0118)</w:t>
      </w:r>
    </w:p>
    <w:p w:rsidR="00733BDB" w:rsidRPr="00A7321E" w:rsidRDefault="0080436C" w:rsidP="00A7321E">
      <w:pPr>
        <w:pStyle w:val="Zwykytekst1"/>
        <w:spacing w:line="276" w:lineRule="auto"/>
        <w:ind w:left="705" w:hanging="705"/>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zaprojektowaniem systemu ochrony katodowej,</w:t>
      </w:r>
    </w:p>
    <w:p w:rsidR="00733BDB" w:rsidRPr="00A7321E" w:rsidRDefault="0080436C" w:rsidP="00A7321E">
      <w:pPr>
        <w:pStyle w:val="Zwykytekst1"/>
        <w:spacing w:line="276" w:lineRule="auto"/>
        <w:ind w:left="705" w:hanging="705"/>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 xml:space="preserve">wydzieleniem działki dla projektowanego ZZU oraz zjazdu i drogi dojazdowej. </w:t>
      </w:r>
    </w:p>
    <w:p w:rsidR="00733BDB" w:rsidRPr="00A7321E" w:rsidRDefault="0080436C" w:rsidP="00A7321E">
      <w:pPr>
        <w:pStyle w:val="Zwykytekst1"/>
        <w:spacing w:line="276" w:lineRule="auto"/>
        <w:ind w:left="705" w:hanging="705"/>
        <w:rPr>
          <w:rFonts w:ascii="Arial" w:hAnsi="Arial" w:cs="Arial"/>
          <w:sz w:val="22"/>
          <w:szCs w:val="22"/>
          <w:highlight w:val="yellow"/>
        </w:rPr>
      </w:pPr>
      <w:r w:rsidRPr="00A7321E">
        <w:rPr>
          <w:rFonts w:ascii="Arial" w:hAnsi="Arial" w:cs="Arial"/>
          <w:sz w:val="22"/>
          <w:szCs w:val="22"/>
        </w:rPr>
        <w:t>Przewidywany czas realizacji inwestycji: ok. 12 miesięcy.</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Projektowana trasa gazociągu DN250 MOP 5,5MPa o długości około 3,6 km położona jest na terenie województwa śląskiego. Przebiega wzdłuż istniejącego gazociągu DN250 (przeznaczonego do wyłączenia z eksploatacji) przez gminę Poczesna – powiat częstochowski, obręby: Nowa Wieś, Wrzosowa, Słowik oraz Częstochowa – miasto na prawach powiatu, obręby 413, 414, 416 – głównie na terenie zurbanizowanym. Na odcinkach, gdzie gazociągi prowadzone są równolegle, odległość między nimi jest nie mniejsza niż 2,5 m. Początek projektowanego gazociągu zlokalizowany jest w obrębie Nowa Wieś (W1), natomiast włączenie do istniejącego gazociągu od strony rzeki Warta w obrębie 413 (W2). Projektowany ZZU zostanie zlokalizowany na działce nr ew. 163, 164 oraz 165 - obręb Słowik. Istniejący ZZU CZ0117 „Słowik”, przeznaczony do rozbiórki, położony jest na działkach nr ew. 157/2 oraz 157/3 obręb Słowik. Podziemny kurek DN250 (ZZU CZ0118) przeznaczony do rozbiórki, zlokalizowany jest na działce nr ew. 442/9, obręb Nowa Wieś.</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 xml:space="preserve">Na trasie projektowanego gazociągu znajdują się przeszkody terenowe takie jak: drogi, uzbrojenie podziemne, linia kolejowa i rowy melioracyjne. Wykonanie ww. przejść zakłada się głównie metodą bezwykopową. </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 xml:space="preserve">Na czas budowy projektowanego gazociągu w celu realizacji prac planuje się wyznaczenie tymczasowych pasów montażowych o szerokości ok. 22,0 m potrzebnych do wykonania inwestycji. Dopuszcza się miejscowe poszerzenie pasa montażowego w celu zapewnienia miejsca do wykonania przekroczeń metodami bezwykopowymi czy unieczynnienia istniejącego gazociągu. Szerokość pasa zostanie wykorzystana do: </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 xml:space="preserve">wykonania wykopu, </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lastRenderedPageBreak/>
        <w:t>-</w:t>
      </w:r>
      <w:r w:rsidRPr="00A7321E">
        <w:rPr>
          <w:rFonts w:ascii="Arial" w:hAnsi="Arial" w:cs="Arial"/>
          <w:sz w:val="22"/>
          <w:szCs w:val="22"/>
        </w:rPr>
        <w:tab/>
        <w:t>składowania humusu ze strefy wykopu,</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składowania gruntu mineralnego z wykopu,</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ułożenia i montażu rur wzdłuż wytyczonej trasy,</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 xml:space="preserve">zasypania wykopu i rekultywacji terenu, </w:t>
      </w:r>
    </w:p>
    <w:p w:rsidR="00733BDB" w:rsidRPr="00A7321E" w:rsidRDefault="0080436C" w:rsidP="00A7321E">
      <w:pPr>
        <w:pStyle w:val="Zwykytekst1"/>
        <w:spacing w:line="276" w:lineRule="auto"/>
        <w:ind w:left="705" w:hanging="705"/>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zlokalizowania drogi serwisowej w celu zabezpieczenia komunikacji i transportu na czas budowy,</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w:t>
      </w:r>
      <w:r w:rsidRPr="00A7321E">
        <w:rPr>
          <w:rFonts w:ascii="Arial" w:hAnsi="Arial" w:cs="Arial"/>
          <w:sz w:val="22"/>
          <w:szCs w:val="22"/>
        </w:rPr>
        <w:tab/>
        <w:t xml:space="preserve">unieczynnienia istniejącego gazociągu. </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 xml:space="preserve">Po zakończeniu budowy odłożona wcześniej warstwa humusu zostanie rozplantowana, a teren przywrócony do stanu pierwotnego. </w:t>
      </w:r>
    </w:p>
    <w:p w:rsidR="00733BDB" w:rsidRPr="00A7321E" w:rsidRDefault="0080436C" w:rsidP="00A7321E">
      <w:pPr>
        <w:pStyle w:val="Zwykytekst1"/>
        <w:spacing w:line="276" w:lineRule="auto"/>
        <w:rPr>
          <w:rFonts w:ascii="Arial" w:hAnsi="Arial" w:cs="Arial"/>
          <w:sz w:val="22"/>
          <w:szCs w:val="22"/>
          <w:highlight w:val="yellow"/>
        </w:rPr>
      </w:pPr>
      <w:r w:rsidRPr="00A7321E">
        <w:rPr>
          <w:rFonts w:ascii="Arial" w:hAnsi="Arial" w:cs="Arial"/>
          <w:sz w:val="22"/>
          <w:szCs w:val="22"/>
        </w:rPr>
        <w:t>Dla terenów o słabej nośności gruntów, szerokość pasa montażowego będzie ustalana indywidualnie dla danego odcinka. Przy zbliżeniach do ogrodzeń posesji pas montażowy będzie ustalany indywidualnie.</w:t>
      </w:r>
    </w:p>
    <w:p w:rsidR="00733BDB" w:rsidRPr="00A7321E" w:rsidRDefault="0080436C" w:rsidP="00A7321E">
      <w:pPr>
        <w:pStyle w:val="Zwykytekst1"/>
        <w:spacing w:line="276" w:lineRule="auto"/>
        <w:rPr>
          <w:rFonts w:ascii="Arial" w:hAnsi="Arial" w:cs="Arial"/>
          <w:sz w:val="22"/>
          <w:szCs w:val="22"/>
          <w:highlight w:val="yellow"/>
        </w:rPr>
      </w:pPr>
      <w:r w:rsidRPr="00A7321E">
        <w:rPr>
          <w:rFonts w:ascii="Arial" w:hAnsi="Arial" w:cs="Arial"/>
          <w:sz w:val="22"/>
          <w:szCs w:val="22"/>
        </w:rPr>
        <w:t>Głębokość wykopu określa się do ok. 2,5 m (przykrycie gazociągu min. 1,2 m). Roboty budowlane przebiegać będą odcinkami o długości od kilkudziesięciu do kilkuset metrów dziennie, które będą zmieniać się potokowo. Oznacza to, że wykonanie robót na początku trasy o całkowitej długości ok. 3,6 km nie zakłóci migracji zwierząt na terenach nieobjętych robotami. Następnie, po zakończeniu prac na pierwszym odcinku, zostanie on doprowadzony do stanu poprzedniego i znów umożliwi migrację potencjalnych zwierząt. W tym czasie front robót zostanie przesunięty o kolejne 100 m. Prace prowadzone podczas etapu realizacji inwestycji nie spowodują ograniczenia w dostępie do posesji, drogi dojazdowe będą przejezdne.</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W ramach planowanego przedsięwzięcia na obszarze realizacji inwestycji przewiduje się trwałe zajęcie terenu pod budowę projektowanego zespołu zaporowo-upustowego DN250 wraz z drogą dojazdową. Skrzyżowania z istniejącym uzbrojeniem podziemnym zostaną wykonane z zachowaniem normatywnych odległości pionowych. Zostaną wykonane próbne przekopy w celu dokładnego zlokalizowania istniejącego uzbrojenia podziemnego i zabezpieczenia przed jego ewentualnym uszkodzeniem.</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Prace ziemne będą prowadzone metodą mechaniczną. Na odcinkach zbliżeń i skrzyżowań z uzbrojeniem podziemnym prace ziemne i montażowe będą prowadzone metodą ręczną lub przy użyciu lekkiego sprzętu. Technologia wykonania wykopu przewiduje, iż na terenach użytków rolnych, zajdzie konieczność zdjęcia i odłożenia warstwy humusu poza strefę wykopu, a następnie wykonanie wykopu w gruncie rodzimym. Zasypanie gazociągu wymaga odtworzenia warstwy humusu w pasie wykopu. Po zakończeniu robót teren zostanie zrekultywowany, przywrócony do stanu pierwotnego i zwrócony do użytkowania zgodnie z dotychczasowym przeznaczeniem. Roboty ziemne powinny być prowadzone w wykopie suchym. W przypadku zaistnienia takiej potrzeby przewiduje się odwodnienie wykopów na okres budowy z zastosowaniem np. igłofiltrów, które w uzasadnionych przypadkach będą wspomagane pompowaniem wody bezpośrednio z wykopu.</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Gazociąg zostanie wykonany z rur stalowych, fabrycznie izolowanych. Odcinki rur będą spawane w terenie, poprawność wykonania złączy spawanych zostanie sprawdzona poprzez wykonanie badań nieniszczących. Inwestorowi zależy na zminimalizowaniu ilości sprzętu budowlanego, jak również na ograniczeniu powierzchni terenu tymczasowo zajętego pod zaplecze budowy. Prowadzenie robót budowlanych związanych z gazociągiem będzie odbywało się sukcesywnie według przyjętego harmonogramu robót.</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 xml:space="preserve">Dla potrzeb budowy gazociągu, przewiduje się wycinkę drzew i krzewów znajdujących się w pasie montażowym. Wycinka zostanie przeprowadzona w celu umożliwienia budowy gazociągu, wykonania wykopu, składowania ziemi, spawania rur, przeprowadzenia prób ciśnieniowych gazociągu, zasypania wykopu. Po wybudowaniu gazociągu w pasie </w:t>
      </w:r>
      <w:r w:rsidRPr="00A7321E">
        <w:rPr>
          <w:rFonts w:ascii="Arial" w:hAnsi="Arial" w:cs="Arial"/>
          <w:sz w:val="22"/>
          <w:szCs w:val="22"/>
        </w:rPr>
        <w:lastRenderedPageBreak/>
        <w:t>o szerokości 4,0 m (po 2,0 m od osi gazociągu) nie mogą rosnąć drzewa. Pozostały teren zajęty w czasie budowy pod pas montażowy może być wykorzystany zgodnie z jego pierwotnym przeznaczeniem. Dla odcinków gazociągu układanych techniką przewiertów sterowanych nie jest wymagana wycinka drzew nad gazociągiem.</w:t>
      </w:r>
    </w:p>
    <w:p w:rsidR="00733BDB" w:rsidRPr="00A7321E" w:rsidRDefault="0080436C" w:rsidP="00A7321E">
      <w:pPr>
        <w:pStyle w:val="Zwykytekst1"/>
        <w:spacing w:after="120" w:line="276" w:lineRule="auto"/>
        <w:rPr>
          <w:rFonts w:ascii="Arial" w:hAnsi="Arial" w:cs="Arial"/>
          <w:sz w:val="22"/>
          <w:szCs w:val="22"/>
        </w:rPr>
      </w:pPr>
      <w:r w:rsidRPr="00A7321E">
        <w:rPr>
          <w:rFonts w:ascii="Arial" w:hAnsi="Arial" w:cs="Arial"/>
          <w:sz w:val="22"/>
          <w:szCs w:val="22"/>
        </w:rPr>
        <w:t xml:space="preserve">Teren przebiegu planowanej infrastruktury stanowią głównie grunty rolne i zurbanizowane. </w:t>
      </w:r>
    </w:p>
    <w:p w:rsidR="006717A0" w:rsidRPr="00A7321E" w:rsidRDefault="0080436C" w:rsidP="00A7321E">
      <w:pPr>
        <w:pStyle w:val="Zwykytekst1"/>
        <w:spacing w:after="120" w:line="276" w:lineRule="auto"/>
        <w:rPr>
          <w:rFonts w:ascii="Arial" w:hAnsi="Arial" w:cs="Arial"/>
          <w:sz w:val="22"/>
          <w:szCs w:val="22"/>
        </w:rPr>
      </w:pPr>
      <w:r w:rsidRPr="00A7321E">
        <w:rPr>
          <w:rFonts w:ascii="Arial" w:hAnsi="Arial" w:cs="Arial"/>
          <w:sz w:val="22"/>
          <w:szCs w:val="22"/>
        </w:rPr>
        <w:t xml:space="preserve">Po analizie wniosku o wydanie decyzji o środowiskowych uwarunkowaniach wraz z kartą informacyjną przedsięwzięcia pod kątem uwarunkowań związanych z kwalifikowaniem przedsięwzięcia do przeprowadzania oceny stwierdzono, że przy zachowaniu wskazanych przez inwestora środków, planowane przedsięwzięcie nie będzie stanowiło znaczącego zagrożenia dla środowiska naturalnego. </w:t>
      </w:r>
    </w:p>
    <w:p w:rsidR="00733BDB" w:rsidRPr="00A7321E" w:rsidRDefault="0080436C" w:rsidP="00A7321E">
      <w:pPr>
        <w:pStyle w:val="Zwykytekst1"/>
        <w:spacing w:line="276" w:lineRule="auto"/>
        <w:rPr>
          <w:rFonts w:ascii="Arial" w:hAnsi="Arial" w:cs="Arial"/>
          <w:sz w:val="22"/>
          <w:szCs w:val="22"/>
        </w:rPr>
      </w:pPr>
      <w:r w:rsidRPr="00A7321E">
        <w:rPr>
          <w:rFonts w:ascii="Arial" w:hAnsi="Arial" w:cs="Arial"/>
          <w:sz w:val="22"/>
          <w:szCs w:val="22"/>
        </w:rPr>
        <w:t xml:space="preserve">Ponadto w przedmiotowym przypadku nie zachodzą szczegółowe uwarunkowania zawarte w art. 63 ust. 1 ww. ustawy o udostępnianiu informacji, a w szczególności wykorzystanie zasobów naturalnych będzie nieznaczne, a ryzyko wystąpienia poważnej awarii, przy uwzględnieniu używanych substancji i stosowanych technologii będzie minimalne. </w:t>
      </w:r>
    </w:p>
    <w:p w:rsidR="00733BDB" w:rsidRPr="00A7321E" w:rsidRDefault="0080436C" w:rsidP="00A7321E">
      <w:pPr>
        <w:widowControl w:val="0"/>
        <w:spacing w:after="120"/>
        <w:rPr>
          <w:rFonts w:ascii="Arial" w:eastAsia="Arial Unicode MS" w:hAnsi="Arial" w:cs="Arial"/>
          <w:color w:val="00000A"/>
          <w:kern w:val="2"/>
        </w:rPr>
      </w:pPr>
      <w:r w:rsidRPr="00A7321E">
        <w:rPr>
          <w:rFonts w:ascii="Arial" w:hAnsi="Arial" w:cs="Arial"/>
          <w:color w:val="00000A"/>
          <w:kern w:val="2"/>
        </w:rPr>
        <w:t>E</w:t>
      </w:r>
      <w:r w:rsidRPr="00A7321E">
        <w:rPr>
          <w:rFonts w:ascii="Arial" w:eastAsia="Arial Unicode MS" w:hAnsi="Arial" w:cs="Arial"/>
          <w:color w:val="00000A"/>
          <w:kern w:val="2"/>
        </w:rPr>
        <w:t>tap</w:t>
      </w:r>
      <w:r w:rsidRPr="00A7321E">
        <w:rPr>
          <w:rFonts w:ascii="Arial" w:eastAsia="Arial Unicode MS" w:hAnsi="Arial" w:cs="Arial"/>
          <w:bCs/>
          <w:color w:val="00000A"/>
          <w:kern w:val="2"/>
        </w:rPr>
        <w:t xml:space="preserve"> realizacji przedsięwzięcia</w:t>
      </w:r>
      <w:r w:rsidRPr="00A7321E">
        <w:rPr>
          <w:rFonts w:ascii="Arial" w:eastAsia="Arial Unicode MS" w:hAnsi="Arial" w:cs="Arial"/>
          <w:color w:val="00000A"/>
          <w:kern w:val="2"/>
        </w:rPr>
        <w:t xml:space="preserve"> charakteryzować się będzie możliwością wystąpienia oddziaływania na środowisko podczas prowadzonych robót budowlanych. W trakcie budowy gazociągu wystąpi czasowe naruszenie powierzchni gruntu, wystąpi również emisja zanieczyszczeń do powietrza, emisja hałasu, emisja odpadów typowych dla procesów budowlanych.</w:t>
      </w:r>
    </w:p>
    <w:p w:rsidR="00733BDB" w:rsidRPr="00A7321E" w:rsidRDefault="0080436C" w:rsidP="00A7321E">
      <w:pPr>
        <w:widowControl w:val="0"/>
        <w:spacing w:after="120"/>
        <w:rPr>
          <w:rFonts w:ascii="Arial" w:hAnsi="Arial" w:cs="Arial"/>
          <w:color w:val="00000A"/>
          <w:kern w:val="2"/>
        </w:rPr>
      </w:pPr>
      <w:r w:rsidRPr="00A7321E">
        <w:rPr>
          <w:rFonts w:ascii="Arial" w:hAnsi="Arial" w:cs="Arial"/>
          <w:color w:val="00000A"/>
          <w:kern w:val="2"/>
        </w:rPr>
        <w:t>Na etapie realizacji przedmiotowych zadań będą miały miejsce emisje i uciążliwości typowe dla okresów budów, tj. nieznaczne emisje spalin i pyłów do powietrza oraz hałasu powstałe w związku z pracą pojazdów, maszyn i urządzeń oraz powstawanie odpadów z rozbiórki</w:t>
      </w:r>
      <w:r w:rsidRPr="00A7321E">
        <w:rPr>
          <w:rFonts w:ascii="Arial" w:eastAsia="CenturyGothic" w:hAnsi="Arial" w:cs="Arial"/>
        </w:rPr>
        <w:t xml:space="preserve"> istniejących elementów sieci gazowej</w:t>
      </w:r>
      <w:r w:rsidRPr="00A7321E">
        <w:rPr>
          <w:rFonts w:ascii="Arial" w:hAnsi="Arial" w:cs="Arial"/>
          <w:color w:val="00000A"/>
          <w:kern w:val="2"/>
        </w:rPr>
        <w:t xml:space="preserve"> których wpływ na środowisko, z uwagi na rozmiar przedsięwzięcia nie będzie znaczący. Uciążliwości związane z fazą realizacji będą miały charakter tymczasowy i ustąpią z jej zakończeniem.</w:t>
      </w:r>
    </w:p>
    <w:p w:rsidR="00733BDB" w:rsidRPr="00A7321E" w:rsidRDefault="0080436C" w:rsidP="00A7321E">
      <w:pPr>
        <w:spacing w:after="120"/>
        <w:rPr>
          <w:rFonts w:ascii="Arial" w:hAnsi="Arial" w:cs="Arial"/>
          <w:color w:val="00000A"/>
          <w:kern w:val="2"/>
        </w:rPr>
      </w:pPr>
      <w:r w:rsidRPr="00A7321E">
        <w:rPr>
          <w:rFonts w:ascii="Arial" w:hAnsi="Arial" w:cs="Arial"/>
          <w:color w:val="00000A"/>
          <w:kern w:val="2"/>
        </w:rPr>
        <w:t xml:space="preserve">Emisja zanieczyszczeń do powietrza atmosferycznego z terenu inwestycji będzie miała charakter niezorganizowany i związana będzie głównie z ruchem pojazdów samochodowych oraz pracą maszyn budowlanych (spalanie oleju napędowego) oraz procesami spawania w związku z operacjami łączenia poszczególnych elementów gazociągu. </w:t>
      </w:r>
      <w:r w:rsidRPr="00A7321E">
        <w:rPr>
          <w:rFonts w:ascii="Arial" w:hAnsi="Arial" w:cs="Arial"/>
        </w:rPr>
        <w:t xml:space="preserve">Wystąpi również emisja metanu na etapie upustu gazu w czasie prowadzenia prac. </w:t>
      </w:r>
      <w:r w:rsidRPr="00A7321E">
        <w:rPr>
          <w:rFonts w:ascii="Arial" w:hAnsi="Arial" w:cs="Arial"/>
          <w:color w:val="00000A"/>
          <w:kern w:val="2"/>
        </w:rPr>
        <w:t xml:space="preserve">Ponadto z czynności takich jak roboty ziemne (odkopywanie i zasypywanie) emitowana będzie pewna ilość pyłu, kurzu i drobin gleby. </w:t>
      </w:r>
      <w:r w:rsidRPr="00A7321E">
        <w:rPr>
          <w:rFonts w:ascii="Arial" w:eastAsia="TimesNewRomanPSMT" w:hAnsi="Arial" w:cs="Arial"/>
          <w:color w:val="00000A"/>
          <w:kern w:val="2"/>
        </w:rPr>
        <w:t xml:space="preserve">Aby maksymalnie ograniczyć oddziaływanie planowanego przedsięwzięcia na powietrze atmosferyczne tut. Organ w niniejszej decyzji nałożył warunek mający na celu </w:t>
      </w:r>
      <w:r w:rsidRPr="00A7321E">
        <w:rPr>
          <w:rFonts w:ascii="Arial" w:hAnsi="Arial" w:cs="Arial"/>
          <w:color w:val="00000A"/>
          <w:kern w:val="2"/>
        </w:rPr>
        <w:t>minimalizację emisji wtórnej pyłu z miejsc prowadzenia prac budowlanych i montażowych oraz środków transportu przewożących materiały pyliste (warunek nr II.1). Biorąc pod uwagę charakter robót i czas trwania, ich wpływ na stan powietrza będzie ograniczony do bezpośredniego sąsiedztwa gazociągu.</w:t>
      </w:r>
    </w:p>
    <w:p w:rsidR="00733BDB" w:rsidRPr="00A7321E" w:rsidRDefault="0080436C" w:rsidP="00A7321E">
      <w:pPr>
        <w:spacing w:after="120"/>
        <w:rPr>
          <w:rFonts w:ascii="Arial" w:hAnsi="Arial" w:cs="Arial"/>
          <w:color w:val="00000A"/>
          <w:kern w:val="2"/>
        </w:rPr>
      </w:pPr>
      <w:r w:rsidRPr="00A7321E">
        <w:rPr>
          <w:rFonts w:ascii="Arial" w:hAnsi="Arial" w:cs="Arial"/>
        </w:rPr>
        <w:t xml:space="preserve">Realizacja przedmiotowej inwestycji obejmuje krótki czasookres oraz zajmuje niewielką powierzchnię w skali regionu czy też kraju co nie będzie skutkować wpływem na zmiany klimatu na etapie budowy. Prawidłowa bezawaryjna eksploatacja gazociągu nie będzie wiązała się z wpływem na klimat również na etapie jego funkcjonowania. </w:t>
      </w:r>
    </w:p>
    <w:p w:rsidR="00733BDB" w:rsidRPr="00A7321E" w:rsidRDefault="0080436C" w:rsidP="00A7321E">
      <w:pPr>
        <w:spacing w:after="120"/>
        <w:rPr>
          <w:rFonts w:ascii="Arial" w:hAnsi="Arial" w:cs="Arial"/>
        </w:rPr>
      </w:pPr>
      <w:r w:rsidRPr="00A7321E">
        <w:rPr>
          <w:rFonts w:ascii="Arial" w:hAnsi="Arial" w:cs="Arial"/>
          <w:color w:val="00000A"/>
          <w:kern w:val="2"/>
        </w:rPr>
        <w:t>Inwestycja będzie związana z czasową uciążliwością hałasu w okresie jej budowy.</w:t>
      </w:r>
      <w:r w:rsidRPr="00A7321E">
        <w:rPr>
          <w:rFonts w:ascii="Arial" w:hAnsi="Arial" w:cs="Arial"/>
        </w:rPr>
        <w:t xml:space="preserve"> Źródłem hałasu będą urządzenia wykorzystywane przy pracach ziemnych (praca maszyn i urządzeń budowlanych – koparka, spychacz, itd., a także związane z ruchem pojazdów) oraz przy </w:t>
      </w:r>
      <w:r w:rsidRPr="00A7321E">
        <w:rPr>
          <w:rFonts w:ascii="Arial" w:hAnsi="Arial" w:cs="Arial"/>
        </w:rPr>
        <w:lastRenderedPageBreak/>
        <w:t>pracach montażowych (agregat prądotwórczy, sprężarka, dźwig, ładowarka itp.), jak również środki transportu.</w:t>
      </w:r>
    </w:p>
    <w:p w:rsidR="00733BDB" w:rsidRPr="00A7321E" w:rsidRDefault="0080436C" w:rsidP="00A7321E">
      <w:pPr>
        <w:spacing w:after="120"/>
        <w:rPr>
          <w:rFonts w:ascii="Arial" w:hAnsi="Arial" w:cs="Arial"/>
        </w:rPr>
      </w:pPr>
      <w:r w:rsidRPr="00A7321E">
        <w:rPr>
          <w:rFonts w:ascii="Arial" w:hAnsi="Arial" w:cs="Arial"/>
        </w:rPr>
        <w:t>Gazociąg budowany będzie w większości metodą wykopu otwartego charakteryzującą się krótkotrwałym oddziaływaniem hałasu związanym głównie z pracami ziemnymi. Pozostałe prace takie jak: rozładunek rur, spawanie, izolowanie, układanie rur charakteryzują się mniejszą emisją hałasu do środowiska. Podczas budowy gazociągu z wykorzystaniem metod bezwykopowych większość uciążliwych prac będzie realizowana w dwóch ściśle określonych miejscach tj. po stronie placów i komór technologicznych. Na placach tych będą wykonywane czynności wiertnicze oraz montaż rurociągu, powodujące większą emisję hałasu dla otoczenia.</w:t>
      </w:r>
    </w:p>
    <w:p w:rsidR="00733BDB" w:rsidRPr="00A7321E" w:rsidRDefault="0080436C" w:rsidP="00A7321E">
      <w:pPr>
        <w:spacing w:after="120"/>
        <w:rPr>
          <w:rFonts w:ascii="Arial" w:hAnsi="Arial" w:cs="Arial"/>
        </w:rPr>
      </w:pPr>
      <w:r w:rsidRPr="00A7321E">
        <w:rPr>
          <w:rFonts w:ascii="Arial" w:hAnsi="Arial" w:cs="Arial"/>
        </w:rPr>
        <w:t xml:space="preserve">Szacuje się, że uciążliwość ta będzie miała miejsce przez okres od kilku dni do kilku tygodni (na odcinek roboczy prowadzonych robót budowlanych). Prace pomocnicze i przygotowawcze oraz zdecydowana większość prac budowlanych będzie realizowana w okresie dnia. W nocy wykonywane będą jedynie zadania niezbędne z punku widzenia technologicznego. Najbliżej położona zabudowa mieszkaniowa to: działka nr 196, obręb Słowik - ok. 35,0 m od terenu inwestycji, działka nr 221/7, obręb Słowik – ok. 22,0 m, działka nr 222/10, obręb Słowik - ok. 27,0 m, działka nr 1109/2, obręb Wrzosowa - ok. 15,0 m, działka nr 103/3, obręb Nowa Wieś - ok. 27,0 m, działka nr 135/3, obręb Nowa Wieś - ok. 18,0 m. </w:t>
      </w:r>
    </w:p>
    <w:p w:rsidR="00733BDB" w:rsidRPr="00A7321E" w:rsidRDefault="0080436C" w:rsidP="00A7321E">
      <w:pPr>
        <w:spacing w:after="120"/>
        <w:rPr>
          <w:rFonts w:ascii="Arial" w:hAnsi="Arial" w:cs="Arial"/>
        </w:rPr>
      </w:pPr>
      <w:r w:rsidRPr="00A7321E">
        <w:rPr>
          <w:rFonts w:ascii="Arial" w:hAnsi="Arial" w:cs="Arial"/>
        </w:rPr>
        <w:t>Prowadzone metodą przewiertu czynności wiertnicze charakteryzują się dużą hałaśliwością i w przypadku planowanej inwestycji, będą prowadzone w sąsiedztwie zabudowy mieszkaniowej. Prace realizowane będą tylko w dzień, chyba że nie będzie to możliwe ze względu na specyfikę procesu technologicznego. W przypadku konieczności wykonywania prac wiertniczych, tzn. zastosowania metody HDD lub innej metody bezwykopowej, która nie pozwala na zatrzymanie prac, będą wykonywane w porze nocnej, inwestor zastosuje ekranowanie placów maszynowych od strony istniejącej w ich pobliżu zabudowy. Ekran będzie obejmować całą szerokość placu maszynowego od strony chronionej zabudowy.</w:t>
      </w:r>
    </w:p>
    <w:p w:rsidR="00733BDB" w:rsidRPr="00A7321E" w:rsidRDefault="0080436C" w:rsidP="00A7321E">
      <w:pPr>
        <w:spacing w:after="120"/>
        <w:rPr>
          <w:rFonts w:ascii="Arial" w:eastAsia="TimesNewRomanPSMT" w:hAnsi="Arial" w:cs="Arial"/>
          <w:color w:val="00000A"/>
          <w:kern w:val="2"/>
        </w:rPr>
      </w:pPr>
      <w:r w:rsidRPr="00A7321E">
        <w:rPr>
          <w:rFonts w:ascii="Arial" w:eastAsia="TimesNewRomanPSMT" w:hAnsi="Arial" w:cs="Arial"/>
          <w:color w:val="00000A"/>
          <w:kern w:val="2"/>
        </w:rPr>
        <w:t>Biorąc pod uwagę przejściowy charakter tej fazy inwestycji, uciążliwości związane z emisją hałasu będą miały charakter czasowy, nieciągły i ustaną z chwilą zakończenia budowy.</w:t>
      </w:r>
    </w:p>
    <w:p w:rsidR="00733BDB" w:rsidRPr="00A7321E" w:rsidRDefault="0080436C" w:rsidP="00A7321E">
      <w:pPr>
        <w:spacing w:after="120"/>
        <w:rPr>
          <w:rFonts w:ascii="Arial" w:hAnsi="Arial" w:cs="Arial"/>
          <w:color w:val="00000A"/>
          <w:kern w:val="2"/>
        </w:rPr>
      </w:pPr>
      <w:r w:rsidRPr="00A7321E">
        <w:rPr>
          <w:rFonts w:ascii="Arial" w:hAnsi="Arial" w:cs="Arial"/>
          <w:color w:val="00000A"/>
          <w:kern w:val="2"/>
        </w:rPr>
        <w:t>Eksploatacja gazociągu po jego wybudowaniu nie będzie generowała istotnych zagrożeń akustycznych i związanych z emisją gazów do powietrza. Gazociąg jest układem hermetycznym. Podczas normalnej pracy gazociągu emisja przesyłanego gazu do atmosfery nie występuje.</w:t>
      </w:r>
    </w:p>
    <w:p w:rsidR="00733BDB" w:rsidRPr="00A7321E" w:rsidRDefault="0080436C" w:rsidP="00A7321E">
      <w:pPr>
        <w:spacing w:after="120"/>
        <w:rPr>
          <w:rFonts w:ascii="Arial" w:hAnsi="Arial" w:cs="Arial"/>
          <w:color w:val="00000A"/>
          <w:kern w:val="2"/>
        </w:rPr>
      </w:pPr>
      <w:r w:rsidRPr="00A7321E">
        <w:rPr>
          <w:rFonts w:ascii="Arial" w:hAnsi="Arial" w:cs="Arial"/>
          <w:color w:val="00000A"/>
          <w:kern w:val="2"/>
        </w:rPr>
        <w:t xml:space="preserve">W związku z prowadzonymi pracami etapu realizacji inwestycji, powstaną odpady niebezpieczne i inne niż niebezpieczne, głównie z grupy 08, 12, 15, 16, 17, 20. </w:t>
      </w:r>
    </w:p>
    <w:p w:rsidR="00733BDB" w:rsidRPr="00A7321E" w:rsidRDefault="0080436C" w:rsidP="00A7321E">
      <w:pPr>
        <w:spacing w:after="120"/>
        <w:rPr>
          <w:rFonts w:ascii="Arial" w:hAnsi="Arial" w:cs="Arial"/>
        </w:rPr>
      </w:pPr>
      <w:r w:rsidRPr="00A7321E">
        <w:rPr>
          <w:rFonts w:ascii="Arial" w:hAnsi="Arial" w:cs="Arial"/>
        </w:rPr>
        <w:t>Wszystkie powstające na tym etapie odpady (niebezpieczne i inne niż niebezpieczne) będą selektywnie zbierane i właściwie magazynowane (w wyznaczonych miejscach uniemożliwiających przedostanie się odpadów do środowiska naturalnego oraz niezagrażający zdrowiu i życiu sposób).</w:t>
      </w:r>
    </w:p>
    <w:p w:rsidR="00733BDB" w:rsidRPr="00A7321E" w:rsidRDefault="0080436C" w:rsidP="00A7321E">
      <w:pPr>
        <w:spacing w:after="120"/>
        <w:rPr>
          <w:rFonts w:ascii="Arial" w:hAnsi="Arial" w:cs="Arial"/>
        </w:rPr>
      </w:pPr>
      <w:r w:rsidRPr="00A7321E">
        <w:rPr>
          <w:rFonts w:ascii="Arial" w:hAnsi="Arial" w:cs="Arial"/>
        </w:rPr>
        <w:t xml:space="preserve">Następnie magazynowane odpady przekazywane będą odbiorcom posiadającym stosowne zezwolenia w zakresie gospodarowania odpadami. Wykonawca robót ziemnych będzie zobowiązany do takiego prowadzenia prac, aby w maksymalny sposób ograniczyć ilość powstających odpadów. W trakcie budowy prowadzona będzie racjonalna gospodarka materiałowa - prace prowadzone będą z należytą dbałością, pozwalającą na eliminację </w:t>
      </w:r>
      <w:r w:rsidRPr="00A7321E">
        <w:rPr>
          <w:rFonts w:ascii="Arial" w:hAnsi="Arial" w:cs="Arial"/>
        </w:rPr>
        <w:lastRenderedPageBreak/>
        <w:t>ewentualnych uszkodzeń instalowanych elementów (np. rur, kabli itp.). Odpady komunalne w postaci stałej będą tymczasowo gromadzone w specjalnie do tego celu przystosowanych kontenerach, a następnie przekazywane podmiotowi posiadającemu stosowne zezwolenie w celu dalszego zagospodarowania. Odpady komunalne w postaci płynnej pochodzące z przenośnych toalet oraz z pryszniców będą zabierane z miejsca budowy przez specjalistyczną firmę zajmującą się ich obsługą.</w:t>
      </w:r>
    </w:p>
    <w:p w:rsidR="00733BDB" w:rsidRPr="00A7321E" w:rsidRDefault="0080436C" w:rsidP="00A7321E">
      <w:pPr>
        <w:pStyle w:val="Default"/>
        <w:spacing w:after="120" w:line="276" w:lineRule="auto"/>
        <w:rPr>
          <w:rFonts w:ascii="Arial" w:hAnsi="Arial" w:cs="Arial"/>
          <w:color w:val="00000A"/>
          <w:kern w:val="2"/>
          <w:sz w:val="22"/>
          <w:szCs w:val="22"/>
          <w:highlight w:val="yellow"/>
        </w:rPr>
      </w:pPr>
      <w:r w:rsidRPr="00A7321E">
        <w:rPr>
          <w:rFonts w:ascii="Arial" w:hAnsi="Arial" w:cs="Arial"/>
          <w:color w:val="00000A"/>
          <w:kern w:val="2"/>
          <w:sz w:val="22"/>
          <w:szCs w:val="22"/>
        </w:rPr>
        <w:t xml:space="preserve">Na etapie prawidłowego, bezawaryjnego eksploatowania sieci gazowej, odpady nie będę powstawały. </w:t>
      </w:r>
      <w:r w:rsidRPr="00A7321E">
        <w:rPr>
          <w:rFonts w:ascii="Arial" w:hAnsi="Arial" w:cs="Arial"/>
          <w:sz w:val="22"/>
          <w:szCs w:val="22"/>
        </w:rPr>
        <w:t>Jedynie na terenie obiektów technologicznych będą powstawać niewielkie ilości odpadków, głównie z czynności związanych z obsługą techniczną i pracami porządkowymi.</w:t>
      </w:r>
    </w:p>
    <w:p w:rsidR="00733BDB" w:rsidRPr="00A7321E" w:rsidRDefault="0080436C" w:rsidP="00A7321E">
      <w:pPr>
        <w:pStyle w:val="Default"/>
        <w:spacing w:after="120" w:line="276" w:lineRule="auto"/>
        <w:rPr>
          <w:rFonts w:ascii="Arial" w:eastAsiaTheme="minorHAnsi" w:hAnsi="Arial" w:cs="Arial"/>
          <w:sz w:val="22"/>
          <w:szCs w:val="22"/>
          <w:lang w:eastAsia="en-US"/>
        </w:rPr>
      </w:pPr>
      <w:r w:rsidRPr="00A7321E">
        <w:rPr>
          <w:rFonts w:ascii="Arial" w:hAnsi="Arial" w:cs="Arial"/>
          <w:kern w:val="2"/>
          <w:sz w:val="22"/>
          <w:szCs w:val="22"/>
        </w:rPr>
        <w:t>P</w:t>
      </w:r>
      <w:r w:rsidRPr="00A7321E">
        <w:rPr>
          <w:rFonts w:ascii="Arial" w:hAnsi="Arial" w:cs="Arial"/>
          <w:color w:val="00000A"/>
          <w:kern w:val="2"/>
          <w:sz w:val="22"/>
          <w:szCs w:val="22"/>
        </w:rPr>
        <w:t>rzedmiotowe przedsięwzięcie nie będzie stanowić zagrożenia dla środowiska ze względu na ilość i rodzaj wytwarzanych odpadów, pod warunkiem prowadzenia prawidłowej gospodarki odpadami, zgodnej z obowiązującymi przepisami w zakresie gospodarki odpadami, w tym przepisami szczegółowymi.</w:t>
      </w:r>
    </w:p>
    <w:p w:rsidR="00733BDB" w:rsidRPr="00A7321E" w:rsidRDefault="0080436C" w:rsidP="00A7321E">
      <w:pPr>
        <w:spacing w:after="120"/>
        <w:rPr>
          <w:rFonts w:ascii="Arial" w:hAnsi="Arial" w:cs="Arial"/>
        </w:rPr>
      </w:pPr>
      <w:r w:rsidRPr="00A7321E">
        <w:rPr>
          <w:rFonts w:ascii="Arial" w:hAnsi="Arial" w:cs="Arial"/>
        </w:rPr>
        <w:t xml:space="preserve">Etap realizacji inwestycji wiąże się z zagrożeniem dla środowiska gruntowo –wodnego wynikającym z prowadzenia prac budowlanych, organizacją zaplecza budowy, magazynowaniem materiałów, odpadów i postoju sprzętu budowlanego. Aby nie dopuścić do zanieczyszczenia </w:t>
      </w:r>
      <w:r w:rsidRPr="00A7321E">
        <w:rPr>
          <w:rFonts w:ascii="Arial" w:hAnsi="Arial" w:cs="Arial"/>
          <w:color w:val="00000A"/>
          <w:kern w:val="2"/>
        </w:rPr>
        <w:t>środowiska gruntowo-wodnego i maksymalnie je zabezpieczyć Organ wskazał warunki określone w II.2.</w:t>
      </w:r>
    </w:p>
    <w:p w:rsidR="00733BDB" w:rsidRPr="00A7321E" w:rsidRDefault="0080436C" w:rsidP="00A7321E">
      <w:pPr>
        <w:spacing w:after="120"/>
        <w:rPr>
          <w:rFonts w:ascii="Arial" w:hAnsi="Arial" w:cs="Arial"/>
        </w:rPr>
      </w:pPr>
      <w:r w:rsidRPr="00A7321E">
        <w:rPr>
          <w:rFonts w:ascii="Arial" w:hAnsi="Arial" w:cs="Arial"/>
        </w:rPr>
        <w:t>Zaplecze budowy zostanie wyposażone w przenośne sanitariaty. Zgromadzone w nim ścieki będą wywożone w miarę potrzeb przez uprawnione podmioty.</w:t>
      </w:r>
    </w:p>
    <w:p w:rsidR="00733BDB" w:rsidRPr="00A7321E" w:rsidRDefault="0080436C" w:rsidP="00A7321E">
      <w:pPr>
        <w:spacing w:after="120"/>
        <w:rPr>
          <w:rFonts w:ascii="Arial" w:hAnsi="Arial" w:cs="Arial"/>
        </w:rPr>
      </w:pPr>
      <w:r w:rsidRPr="00A7321E">
        <w:rPr>
          <w:rFonts w:ascii="Arial" w:hAnsi="Arial" w:cs="Arial"/>
        </w:rPr>
        <w:t>Próby hydrauliczne zostaną poprzedzone czyszczeniem gazociągu wodą za pomocą tłoków czyszczących. Ścieki technologiczne pochodzące z prób ciśnieniowych w ilości ok. 200 m</w:t>
      </w:r>
      <w:r w:rsidRPr="00A7321E">
        <w:rPr>
          <w:rFonts w:ascii="Arial" w:hAnsi="Arial" w:cs="Arial"/>
          <w:vertAlign w:val="superscript"/>
        </w:rPr>
        <w:t>3</w:t>
      </w:r>
      <w:r w:rsidRPr="00A7321E">
        <w:rPr>
          <w:rFonts w:ascii="Arial" w:hAnsi="Arial" w:cs="Arial"/>
        </w:rPr>
        <w:t xml:space="preserve"> mogą zawierać pewne ilości tlenków żelaza, pyły, piasek, w związku z tym zostaną oczyszczone w osadniku. Ścieki mogą zostać zrzucone do rowu melioracyjnego grawitacyjnie lub przy pomocy tłoków rozdzielających. Po opróżnieniu rurociąg zostanie osuszony. Pobór i zrzut wody dla prób ciśnieniowych zostanie wykonany na podstawie warunków technicznych lub pozwolenia wodnoprawnego. Pobór wody do prób może być realizowany z istniejących hydrantów/rowów melioracyjnych. Zrzut wody może nastąpić do istniejącego systemu kanalizacji (po wcześniejszym uzgodnieniu z zarządcą sieci) lub do przekraczanego rowu melioracyjnego na podstawie uzyskanego wcześniej pozwolenia wodnoprawnego.</w:t>
      </w:r>
    </w:p>
    <w:p w:rsidR="00733BDB" w:rsidRPr="00A7321E" w:rsidRDefault="0080436C" w:rsidP="00A7321E">
      <w:pPr>
        <w:spacing w:after="120"/>
        <w:rPr>
          <w:rFonts w:ascii="Arial" w:hAnsi="Arial" w:cs="Arial"/>
        </w:rPr>
      </w:pPr>
      <w:r w:rsidRPr="00A7321E">
        <w:rPr>
          <w:rFonts w:ascii="Arial" w:hAnsi="Arial" w:cs="Arial"/>
        </w:rPr>
        <w:t xml:space="preserve">Skrzyżowania gazociągu z urządzeniami melioracji wodnych (rowami melioracyjnymi), w zależności od wymagań jego zarządcy oraz możliwości technicznych, wykonane zostaną metodą wykopu otwartego lub metodami bezwykopowymi. Przekroczenia rowów melioracyjnych metodą wykopu otwartego planuje się wykonać przy niezahamowanym przepływie wody w rowie. Głębokość przykrycia gazociągu pod dnem uzależniona będzie od lokalnych warunków gruntowych, występującej erozji dna i przepisów normowych oraz warunków uzyskanych od administratora rowu. </w:t>
      </w:r>
    </w:p>
    <w:p w:rsidR="00733BDB" w:rsidRPr="00A7321E" w:rsidRDefault="0080436C" w:rsidP="00A7321E">
      <w:pPr>
        <w:spacing w:before="120" w:after="120"/>
        <w:rPr>
          <w:rFonts w:ascii="Arial" w:hAnsi="Arial" w:cs="Arial"/>
          <w:color w:val="00000A"/>
          <w:kern w:val="2"/>
          <w:highlight w:val="yellow"/>
        </w:rPr>
      </w:pPr>
      <w:r w:rsidRPr="00A7321E">
        <w:rPr>
          <w:rFonts w:ascii="Arial" w:hAnsi="Arial" w:cs="Arial"/>
        </w:rPr>
        <w:t xml:space="preserve">W celu </w:t>
      </w:r>
      <w:r w:rsidRPr="00A7321E">
        <w:rPr>
          <w:rFonts w:ascii="Arial" w:hAnsi="Arial" w:cs="Arial"/>
          <w:color w:val="00000A"/>
          <w:kern w:val="2"/>
        </w:rPr>
        <w:t>uniemożliwienia przedostania się do gruntu oraz wód podziemnych i powierzchniowych ewentualnych substancji mogących powodować ich zanieczyszczenie określono warunek nr II.2a), aby m</w:t>
      </w:r>
      <w:r w:rsidRPr="00A7321E">
        <w:rPr>
          <w:rFonts w:ascii="Arial" w:hAnsi="Arial" w:cs="Arial"/>
        </w:rPr>
        <w:t xml:space="preserve">iejsca tankowania pojazdów i sprzętu budowlanego, zaplecza techniczne, miejsca magazynowania materiałów budowlanych oraz odpadów jak również miejsca postoju maszyn budowlanych i sprzętu transportowego zlokalizowane były w odległości min. 50 m od cieków i rowów melioracyjnych, zbiorników wodnych, na terenie wyłożonym szczelnymi płytami betonowymi lub matami zabezpieczającymi środowisko </w:t>
      </w:r>
      <w:r w:rsidRPr="00A7321E">
        <w:rPr>
          <w:rFonts w:ascii="Arial" w:hAnsi="Arial" w:cs="Arial"/>
        </w:rPr>
        <w:lastRenderedPageBreak/>
        <w:t xml:space="preserve">gruntowo - wodne. </w:t>
      </w:r>
      <w:r w:rsidRPr="00A7321E">
        <w:rPr>
          <w:rFonts w:ascii="Arial" w:hAnsi="Arial" w:cs="Arial"/>
          <w:color w:val="00000A"/>
          <w:kern w:val="2"/>
        </w:rPr>
        <w:t xml:space="preserve">W przypadku wycieku olejów z maszyn budowlanych lub pojazdów samochodowych substancje te wraz z zanieczyszczonym gruntem zostaną zebrane i przekazane jednostkom zajmującym się ich unieszkodliwieniem. Dodatkowo w razie wycieku paliwa, substancji ropopochodnych czy olejów zastosowane zostaną odpowiednie środki przeznaczone do unieszkodliwiania (sorbenty). Uwzględniając ochronę środowiska gruntowo - wodnego przed szkodliwym oddziaływaniem ewentualnych substancji ropopochodnych oraz innych substancji chemicznych tut. Organ uznał za konieczne wyposażenie placu budowy w środki neutralizujące ewentualne awaryjne wycieki substancji ropopochodnych oraz podejmowanie działań zmierzających do usunięcia skutków i przyczyn awarii (warunek określony w pkt II.2c). Tutejszy organ również uznał za konieczne, aby </w:t>
      </w:r>
      <w:r w:rsidRPr="00A7321E">
        <w:rPr>
          <w:rFonts w:ascii="Arial" w:hAnsi="Arial" w:cs="Arial"/>
        </w:rPr>
        <w:t>materiały potencjalnie niebezpieczne dla środowiska gruntowo - wodnego, (tj. oleje, smary, farby, masy i powłoki uszczelniające) magazynować w szczelnych i zamykanych pojemnikach na utwardzonym podłożu –warunek II.2 e).</w:t>
      </w:r>
    </w:p>
    <w:p w:rsidR="00733BDB" w:rsidRPr="00A7321E" w:rsidRDefault="0080436C" w:rsidP="00A7321E">
      <w:pPr>
        <w:pStyle w:val="Akapitzlist"/>
        <w:spacing w:after="120"/>
        <w:ind w:left="0"/>
        <w:rPr>
          <w:rFonts w:ascii="Arial" w:hAnsi="Arial" w:cs="Arial"/>
        </w:rPr>
      </w:pPr>
      <w:r w:rsidRPr="00A7321E">
        <w:rPr>
          <w:rFonts w:ascii="Arial" w:hAnsi="Arial" w:cs="Arial"/>
        </w:rPr>
        <w:t>W przypadku wystąpienia wysokiego zwierciadła wód lub występowania niekorzystnych warunków (opady deszczu, roztopy) podczas prowadzenia prac budowlanych zostanie zastosowane odwadnianie wykopów przy użyciu igłofiltrów. Odprowadzenie wód z wykopów zostanie wykonane metodą wytworzenia krzywej depresji przez pompowanie wody z igłofiltrów usytuowanych poza obrębem wykopu. W celu uniknięcia trwałych zmian w środowisku wodnym określono warunek II.2 f aby prace odwodnieniowe prowadzić bez konieczności trwałego obniżenia poziomu wód gruntowych i do minimum ograniczyć czas odwadniania wykopów.</w:t>
      </w:r>
    </w:p>
    <w:p w:rsidR="00733BDB" w:rsidRPr="00A7321E" w:rsidRDefault="0080436C" w:rsidP="00A7321E">
      <w:pPr>
        <w:autoSpaceDE w:val="0"/>
        <w:autoSpaceDN w:val="0"/>
        <w:adjustRightInd w:val="0"/>
        <w:spacing w:after="0"/>
        <w:rPr>
          <w:rFonts w:ascii="Arial" w:eastAsiaTheme="minorHAnsi" w:hAnsi="Arial" w:cs="Arial"/>
          <w:color w:val="000000"/>
        </w:rPr>
      </w:pPr>
      <w:r w:rsidRPr="00A7321E">
        <w:rPr>
          <w:rFonts w:ascii="Arial" w:eastAsiaTheme="minorHAnsi" w:hAnsi="Arial" w:cs="Arial"/>
          <w:color w:val="000000"/>
        </w:rPr>
        <w:t>Regionalny Dyrektor Ochrony Środowiska w Katowicach nie ujął w niniejszej decyzji następujących warunków Dyrektora Zarządu Zlewni Wód Polskich w Sieradzu:</w:t>
      </w:r>
    </w:p>
    <w:p w:rsidR="001438E3" w:rsidRPr="00A7321E" w:rsidRDefault="0080436C" w:rsidP="00A7321E">
      <w:pPr>
        <w:pStyle w:val="Akapitzlist"/>
        <w:numPr>
          <w:ilvl w:val="0"/>
          <w:numId w:val="25"/>
        </w:numPr>
        <w:autoSpaceDE w:val="0"/>
        <w:autoSpaceDN w:val="0"/>
        <w:adjustRightInd w:val="0"/>
        <w:spacing w:after="0"/>
        <w:rPr>
          <w:rFonts w:ascii="Arial" w:eastAsiaTheme="minorHAnsi" w:hAnsi="Arial" w:cs="Arial"/>
          <w:color w:val="000000"/>
        </w:rPr>
      </w:pPr>
      <w:r w:rsidRPr="00A7321E">
        <w:rPr>
          <w:rFonts w:ascii="Arial" w:eastAsiaTheme="minorHAnsi" w:hAnsi="Arial" w:cs="Arial"/>
          <w:color w:val="000000"/>
        </w:rPr>
        <w:t>w czasie prowadzenia robót budowlanych prowadzić stały monitoring stanu technicznego sprzętu budowlanego i transportowego oraz przypadków wystąpienia zanieczyszczenia gruntu i neutralizację miejsc mogących powodować ewentualne zagrożenia dla środowiska gruntowo-wodnego,</w:t>
      </w:r>
    </w:p>
    <w:p w:rsidR="006717A0" w:rsidRPr="00A7321E" w:rsidRDefault="0080436C" w:rsidP="00A7321E">
      <w:pPr>
        <w:pStyle w:val="Akapitzlist"/>
        <w:numPr>
          <w:ilvl w:val="0"/>
          <w:numId w:val="25"/>
        </w:numPr>
        <w:autoSpaceDE w:val="0"/>
        <w:autoSpaceDN w:val="0"/>
        <w:adjustRightInd w:val="0"/>
        <w:spacing w:after="120"/>
        <w:rPr>
          <w:rFonts w:ascii="Arial" w:eastAsiaTheme="minorHAnsi" w:hAnsi="Arial" w:cs="Arial"/>
          <w:color w:val="000000"/>
        </w:rPr>
      </w:pPr>
      <w:r w:rsidRPr="00A7321E">
        <w:rPr>
          <w:rFonts w:ascii="Arial" w:eastAsiaTheme="minorHAnsi" w:hAnsi="Arial" w:cs="Arial"/>
          <w:color w:val="000000"/>
        </w:rPr>
        <w:t>prowadzić stały monitoring stanu technicznego wykorzystywanych maszyn i sprzętu.</w:t>
      </w:r>
    </w:p>
    <w:p w:rsidR="00733BDB" w:rsidRPr="00A7321E" w:rsidRDefault="0080436C" w:rsidP="00A7321E">
      <w:pPr>
        <w:autoSpaceDE w:val="0"/>
        <w:autoSpaceDN w:val="0"/>
        <w:adjustRightInd w:val="0"/>
        <w:spacing w:after="120"/>
        <w:rPr>
          <w:rFonts w:ascii="Arial" w:eastAsiaTheme="minorHAnsi" w:hAnsi="Arial" w:cs="Arial"/>
          <w:color w:val="000000"/>
        </w:rPr>
      </w:pPr>
      <w:r w:rsidRPr="00A7321E">
        <w:rPr>
          <w:rFonts w:ascii="Arial" w:eastAsiaTheme="minorHAnsi" w:hAnsi="Arial" w:cs="Arial"/>
          <w:color w:val="000000"/>
        </w:rPr>
        <w:t>Warunki są zbyt ogólne i nie wskazują konkretnych założeń przeprowadzenia monitoringu tj. zakresu, częstotliwości, sposobu przetrzymywania lub przekazywania danych, jak również  czemu miałby on służyć. Ponadto wymagania dotyczące sprzętu budowlanego i transportowego wynikają z obowiązujących aktów prawnych.</w:t>
      </w:r>
    </w:p>
    <w:p w:rsidR="00733BDB" w:rsidRPr="00A7321E" w:rsidRDefault="0080436C" w:rsidP="00A7321E">
      <w:pPr>
        <w:autoSpaceDE w:val="0"/>
        <w:autoSpaceDN w:val="0"/>
        <w:adjustRightInd w:val="0"/>
        <w:spacing w:after="120"/>
        <w:rPr>
          <w:rFonts w:ascii="Arial" w:hAnsi="Arial" w:cs="Arial"/>
        </w:rPr>
      </w:pPr>
      <w:r w:rsidRPr="00A7321E">
        <w:rPr>
          <w:rFonts w:ascii="Arial" w:eastAsiaTheme="minorHAnsi" w:hAnsi="Arial" w:cs="Arial"/>
          <w:color w:val="000000"/>
        </w:rPr>
        <w:t>Pozostałe w</w:t>
      </w:r>
      <w:r w:rsidRPr="00A7321E">
        <w:rPr>
          <w:rFonts w:ascii="Arial" w:eastAsiaTheme="minorHAnsi" w:hAnsi="Arial" w:cs="Arial"/>
          <w:color w:val="00000A"/>
        </w:rPr>
        <w:t xml:space="preserve">arunki są zgodne z zawartymi w opinii Dyrektora </w:t>
      </w:r>
      <w:r w:rsidRPr="00A7321E">
        <w:rPr>
          <w:rFonts w:ascii="Arial" w:eastAsiaTheme="minorHAnsi" w:hAnsi="Arial" w:cs="Arial"/>
          <w:color w:val="000000"/>
        </w:rPr>
        <w:t>Zarządu Zlewni Wód Polskich w Sieradzu.</w:t>
      </w:r>
    </w:p>
    <w:p w:rsidR="00733BDB" w:rsidRPr="00A7321E" w:rsidRDefault="0080436C" w:rsidP="00A7321E">
      <w:pPr>
        <w:spacing w:after="120"/>
        <w:rPr>
          <w:rFonts w:ascii="Arial" w:hAnsi="Arial" w:cs="Arial"/>
          <w:color w:val="00000A"/>
          <w:kern w:val="2"/>
        </w:rPr>
      </w:pPr>
      <w:r w:rsidRPr="00A7321E">
        <w:rPr>
          <w:rFonts w:ascii="Arial" w:hAnsi="Arial" w:cs="Arial"/>
          <w:color w:val="00000A"/>
          <w:kern w:val="2"/>
        </w:rPr>
        <w:t>Faza realizacji inwestycji będzie miała charakter ograniczony czasowo i przestrzennie. Przy zachowaniu zasad prawidłowej organizacji robót tj. stosowania się do wskazanych wyżej warunków pozwalających na ochronę środowiska gruntowo-wodnego (warunek nr II.2 niniejszej decyzji) nie przewiduje się trwałego wpływu budowy gazociągu na ten komponent środowiska.</w:t>
      </w:r>
    </w:p>
    <w:p w:rsidR="00733BDB" w:rsidRPr="00A7321E" w:rsidRDefault="0080436C" w:rsidP="00A7321E">
      <w:pPr>
        <w:spacing w:after="120"/>
        <w:rPr>
          <w:rFonts w:ascii="Arial" w:hAnsi="Arial" w:cs="Arial"/>
        </w:rPr>
      </w:pPr>
      <w:r w:rsidRPr="00A7321E">
        <w:rPr>
          <w:rFonts w:ascii="Arial" w:hAnsi="Arial" w:cs="Arial"/>
        </w:rPr>
        <w:t>Projektowany gazociąg nie będzie przebiegał przez tereny cenne przyrodniczo. Na obecnym etapie nie zidentyfikowano w obszarze prowadzenia przedsięwzięcia siedlisk ani gatunków chronionych roślin ani zwierząt wymagających uzyskania decyzji zezwalających na wykonanie czynności zabronionych (tzw. decyzje derogacyjne), określonych w ustawie z dnia 16 kwietnia 2004 o ochronie przyrody (t. j. Dz. U. 2022 poz. 916).</w:t>
      </w:r>
    </w:p>
    <w:p w:rsidR="00733BDB" w:rsidRPr="00A7321E" w:rsidRDefault="0080436C" w:rsidP="00A7321E">
      <w:pPr>
        <w:autoSpaceDE w:val="0"/>
        <w:autoSpaceDN w:val="0"/>
        <w:adjustRightInd w:val="0"/>
        <w:spacing w:after="120"/>
        <w:rPr>
          <w:rFonts w:ascii="Arial" w:hAnsi="Arial" w:cs="Arial"/>
          <w:color w:val="000000"/>
          <w:kern w:val="2"/>
        </w:rPr>
      </w:pPr>
      <w:r w:rsidRPr="00A7321E">
        <w:rPr>
          <w:rFonts w:ascii="Arial" w:hAnsi="Arial" w:cs="Arial"/>
          <w:color w:val="000000"/>
          <w:kern w:val="2"/>
        </w:rPr>
        <w:lastRenderedPageBreak/>
        <w:t>Należy podkreślić, że wykonawca robót zobowiązany jest do przestrzegania przepisów dotyczących ochrony gatunkowej z mocy prawa i w sytuacji, gdy kontynuacja prac budowlanych wymagała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w:t>
      </w:r>
    </w:p>
    <w:p w:rsidR="00733BDB" w:rsidRPr="00A7321E" w:rsidRDefault="0080436C" w:rsidP="00A7321E">
      <w:pPr>
        <w:autoSpaceDE w:val="0"/>
        <w:autoSpaceDN w:val="0"/>
        <w:adjustRightInd w:val="0"/>
        <w:spacing w:after="120"/>
        <w:rPr>
          <w:rFonts w:ascii="Arial" w:hAnsi="Arial" w:cs="Arial"/>
          <w:color w:val="000000"/>
          <w:kern w:val="2"/>
        </w:rPr>
      </w:pPr>
      <w:r w:rsidRPr="00A7321E">
        <w:rPr>
          <w:rFonts w:ascii="Arial" w:hAnsi="Arial" w:cs="Arial"/>
        </w:rPr>
        <w:t>Wykonawca robót budowlanych powoła nadzór przyrodniczy, który będzie odpowiadał za przestrzeganie przepisów dotyczących ochrony środowiska przyrodniczego. Nadzór będzie przeprowadzał kontrole przed rozpoczęciem robót.</w:t>
      </w:r>
    </w:p>
    <w:p w:rsidR="00733BDB" w:rsidRPr="00A7321E" w:rsidRDefault="0080436C" w:rsidP="00A7321E">
      <w:pPr>
        <w:pStyle w:val="Bezodstpw"/>
        <w:spacing w:after="120" w:line="276" w:lineRule="auto"/>
        <w:rPr>
          <w:rFonts w:ascii="Arial" w:hAnsi="Arial" w:cs="Arial"/>
        </w:rPr>
      </w:pPr>
      <w:r w:rsidRPr="00A7321E">
        <w:rPr>
          <w:rFonts w:ascii="Arial" w:hAnsi="Arial" w:cs="Arial"/>
        </w:rPr>
        <w:t>Zgodnie z kartą informacyjną przedsięwzięcia, konieczna będzie wycinka drzew i krzewów, w tym na gruntach leśnych.</w:t>
      </w:r>
    </w:p>
    <w:p w:rsidR="00733BDB" w:rsidRPr="00A7321E" w:rsidRDefault="0080436C" w:rsidP="00A7321E">
      <w:pPr>
        <w:spacing w:before="120" w:after="120"/>
        <w:rPr>
          <w:rFonts w:ascii="Arial" w:hAnsi="Arial" w:cs="Arial"/>
          <w:highlight w:val="yellow"/>
        </w:rPr>
      </w:pPr>
      <w:r w:rsidRPr="00A7321E">
        <w:rPr>
          <w:rFonts w:ascii="Arial" w:hAnsi="Arial" w:cs="Arial"/>
          <w:noProof/>
        </w:rPr>
        <w:t xml:space="preserve">W niniejszej decyzji </w:t>
      </w:r>
      <w:r w:rsidRPr="00A7321E">
        <w:rPr>
          <w:rFonts w:ascii="Arial" w:hAnsi="Arial" w:cs="Arial"/>
        </w:rPr>
        <w:t xml:space="preserve">określono termin wycinki drzew poza okresem lęgowym gatunków chronionych oraz okresem wegetacji roślin tj. od 15 października do 1 marca. Prowadzenie wycinki w okresie lęgowym zostało umożliwione po stwierdzeniu przez nadzór przyrodniczy niezasiedlenia drzew przez gatunki chronionych ptaków. W przypadku wykrycia lęgów gatunków chronionych należy zaprzestać wycinki do czasu stwierdzenia przez nadzór ornitologiczny wyprowadzenia młodych z gniazda </w:t>
      </w:r>
      <w:r w:rsidRPr="00A7321E">
        <w:rPr>
          <w:rFonts w:ascii="Arial" w:hAnsi="Arial" w:cs="Arial"/>
          <w:noProof/>
          <w:color w:val="000000"/>
        </w:rPr>
        <w:t>(pkt. II.4 ).</w:t>
      </w:r>
      <w:r w:rsidRPr="00A7321E">
        <w:rPr>
          <w:rFonts w:ascii="Arial" w:hAnsi="Arial" w:cs="Arial"/>
        </w:rPr>
        <w:t xml:space="preserve"> Ponadto nakazano zabezpieczenie przed uszkodzeniem drzew nie przeznaczonych do wycinki oraz określono sposób postępowania z ewentualnymi odsłoniętymi korzeniami (warunek pkt II.6) w celu </w:t>
      </w:r>
      <w:r w:rsidRPr="00A7321E">
        <w:rPr>
          <w:rFonts w:ascii="Arial" w:hAnsi="Arial" w:cs="Arial"/>
          <w:color w:val="000000" w:themeColor="text1"/>
        </w:rPr>
        <w:t xml:space="preserve">zminimalizowania wpływu robót budowlanych, a zwłaszcza zagrożenia uszkodzeniami mechanicznymi, wynikającymi z pracy maszyn, na kondycję zdrowotną tych drzew oraz </w:t>
      </w:r>
      <w:r w:rsidRPr="00A7321E">
        <w:rPr>
          <w:rFonts w:ascii="Arial" w:hAnsi="Arial" w:cs="Arial"/>
        </w:rPr>
        <w:t>jak najmniejszej straty zieleni.</w:t>
      </w:r>
    </w:p>
    <w:p w:rsidR="00733BDB" w:rsidRPr="00A7321E" w:rsidRDefault="0080436C" w:rsidP="00A7321E">
      <w:pPr>
        <w:pStyle w:val="Bezodstpw"/>
        <w:spacing w:after="120" w:line="276" w:lineRule="auto"/>
        <w:rPr>
          <w:rFonts w:ascii="Arial" w:hAnsi="Arial" w:cs="Arial"/>
          <w:highlight w:val="yellow"/>
        </w:rPr>
      </w:pPr>
      <w:r w:rsidRPr="00A7321E">
        <w:rPr>
          <w:rFonts w:ascii="Arial" w:hAnsi="Arial" w:cs="Arial"/>
          <w:color w:val="000000" w:themeColor="text1"/>
        </w:rPr>
        <w:t xml:space="preserve">W decyzji wprowadzono warunek (nr II.5) dotyczący obowiązku kontroli starodrzewu, drzew dziuplastych oraz o obwodzie pnia minimum 50 cm, z udziałem nadzoru przyrodniczego – chiropterologa i entomologa, pod kątem zasiedlenia przez chronione gatunki bezkręgowców i nietoperzy. W przypadku stwierdzenia występowania siedlisk ww. gatunków chronionych należy </w:t>
      </w:r>
      <w:r w:rsidRPr="00A7321E">
        <w:rPr>
          <w:rFonts w:ascii="Arial" w:eastAsia="TimesNewRomanPSMT" w:hAnsi="Arial" w:cs="Arial"/>
        </w:rPr>
        <w:t>wstrzymać wycinkę oraz podjąć działania określone przez ww. nadzór.</w:t>
      </w:r>
    </w:p>
    <w:p w:rsidR="00733BDB" w:rsidRPr="00A7321E" w:rsidRDefault="0080436C" w:rsidP="00A7321E">
      <w:pPr>
        <w:spacing w:after="120"/>
        <w:rPr>
          <w:rFonts w:ascii="Arial" w:hAnsi="Arial" w:cs="Arial"/>
          <w:color w:val="000000" w:themeColor="text1"/>
        </w:rPr>
      </w:pPr>
      <w:r w:rsidRPr="00A7321E">
        <w:rPr>
          <w:rFonts w:ascii="Arial" w:hAnsi="Arial" w:cs="Arial"/>
          <w:noProof/>
          <w:color w:val="000000" w:themeColor="text1"/>
        </w:rPr>
        <w:t xml:space="preserve">Prace ziemne na etapie realizacji przedsięwzięcia mogą powodować nieumyślne zabijanie zwierząt. Prowadzić mogą również do powstawania okresowych (podlegających likwidacji w wyniku dalszych prac budowlanych) zagłębień terenowych wypełnionych wodą, które mogą być spontanicznie zajmowane przez gatunki zwierząt wykorzystujące tego rodzaju siedliska do rozrodu - głównie płazy. W związku z powyższym, w celu zminimalizowania strat w populacjach zwierząt, w decyzji wskazano szereg warunków (pkt II.3) majacych na celu ochronę przed nieumyślnym zabijaniem zwierząt na etapie realizacji. Wskazano m.in. na konieczność prowadzenia prac w sposób zapobiegający powstawaniu zastoisk i zalewisk czy w sposób </w:t>
      </w:r>
      <w:r w:rsidRPr="00A7321E">
        <w:rPr>
          <w:rFonts w:ascii="Arial" w:hAnsi="Arial" w:cs="Arial"/>
          <w:color w:val="000000" w:themeColor="text1"/>
        </w:rPr>
        <w:t>uniemożliwiający powstawanie pułapek, z których ucieczka małych zwierząt będzie niemożliwa</w:t>
      </w:r>
      <w:r w:rsidRPr="00A7321E">
        <w:rPr>
          <w:rFonts w:ascii="Arial" w:hAnsi="Arial" w:cs="Arial"/>
          <w:noProof/>
          <w:color w:val="000000" w:themeColor="text1"/>
        </w:rPr>
        <w:t xml:space="preserve">. Mając jednak na względzie technologię i zakres robót, a także możliwe do wystąpienia warunki atmosferyczne (np. okresy długotrwałych opadów), nie zawsze jest możliwe uniknięcie powstawania zagłębień wypełnionych tymczasowo wodą, dodatkowo wprowadzono zatem obowiązek wygrodzenia terenów objętych pracami oraz odłowienia i przeniesienia poza strefę zagrożenia osobników dorosłych i form rozwojowych płazów stwierdzonych w różnego rodzaju zagłębieniach. Działania te </w:t>
      </w:r>
      <w:r w:rsidRPr="00A7321E">
        <w:rPr>
          <w:rFonts w:ascii="Arial" w:hAnsi="Arial" w:cs="Arial"/>
          <w:color w:val="000000" w:themeColor="text1"/>
        </w:rPr>
        <w:t>winny zapewnić maksymalną ochronę zwierząt.</w:t>
      </w:r>
    </w:p>
    <w:p w:rsidR="00733BDB" w:rsidRPr="00A7321E" w:rsidRDefault="0080436C" w:rsidP="00A7321E">
      <w:pPr>
        <w:autoSpaceDE w:val="0"/>
        <w:autoSpaceDN w:val="0"/>
        <w:adjustRightInd w:val="0"/>
        <w:spacing w:after="120"/>
        <w:rPr>
          <w:rFonts w:ascii="Arial" w:hAnsi="Arial" w:cs="Arial"/>
          <w:color w:val="000000" w:themeColor="text1"/>
        </w:rPr>
      </w:pPr>
      <w:r w:rsidRPr="00A7321E">
        <w:rPr>
          <w:rFonts w:ascii="Arial" w:hAnsi="Arial" w:cs="Arial"/>
          <w:color w:val="000000" w:themeColor="text1"/>
        </w:rPr>
        <w:lastRenderedPageBreak/>
        <w:t xml:space="preserve">Z danych przestrzennych będących w dyspozycji RDOŚ Katowice wynika, że planowane zamierzenie znajduje się poza obszarowymi i punktowymi formami ochrony przyrody. </w:t>
      </w:r>
    </w:p>
    <w:p w:rsidR="00733BDB" w:rsidRPr="00A7321E" w:rsidRDefault="0080436C" w:rsidP="00A7321E">
      <w:pPr>
        <w:autoSpaceDE w:val="0"/>
        <w:autoSpaceDN w:val="0"/>
        <w:adjustRightInd w:val="0"/>
        <w:spacing w:after="120"/>
        <w:rPr>
          <w:rFonts w:ascii="Arial" w:hAnsi="Arial" w:cs="Arial"/>
        </w:rPr>
      </w:pPr>
      <w:r w:rsidRPr="00A7321E">
        <w:rPr>
          <w:rFonts w:ascii="Arial" w:hAnsi="Arial" w:cs="Arial"/>
        </w:rPr>
        <w:t>Inwestycja realizowana będzie na terenie, na którym nie występują obszary: wodno-błotne oraz inne obszary o płytkim zaleganiu wód podziemnych,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jeziora, uzdrowiska i obszary ochrony uzdrowiskowej, obszary o krajobrazie mającym znaczenie historyczne lub kulturowe. Najbliżej położone obszary Natura 2000:</w:t>
      </w:r>
    </w:p>
    <w:p w:rsidR="00733BDB" w:rsidRPr="00A7321E" w:rsidRDefault="0080436C" w:rsidP="00A7321E">
      <w:pPr>
        <w:pStyle w:val="Akapitzlist"/>
        <w:numPr>
          <w:ilvl w:val="0"/>
          <w:numId w:val="22"/>
        </w:numPr>
        <w:autoSpaceDE w:val="0"/>
        <w:autoSpaceDN w:val="0"/>
        <w:adjustRightInd w:val="0"/>
        <w:spacing w:after="120"/>
        <w:rPr>
          <w:rFonts w:ascii="Arial" w:hAnsi="Arial" w:cs="Arial"/>
        </w:rPr>
      </w:pPr>
      <w:r w:rsidRPr="00A7321E">
        <w:rPr>
          <w:rFonts w:ascii="Arial" w:hAnsi="Arial" w:cs="Arial"/>
          <w:noProof/>
        </w:rPr>
        <w:t xml:space="preserve">Poczesna koło Częstochowy PLH240030 </w:t>
      </w:r>
      <w:r w:rsidRPr="00A7321E">
        <w:rPr>
          <w:rFonts w:ascii="Arial" w:hAnsi="Arial" w:cs="Arial"/>
          <w:color w:val="000000" w:themeColor="text1"/>
        </w:rPr>
        <w:t>znajduje się w odległości ok. 3,3 km</w:t>
      </w:r>
      <w:r w:rsidRPr="00A7321E">
        <w:rPr>
          <w:rFonts w:ascii="Arial" w:hAnsi="Arial" w:cs="Arial"/>
        </w:rPr>
        <w:t xml:space="preserve">. </w:t>
      </w:r>
    </w:p>
    <w:p w:rsidR="00733BDB" w:rsidRPr="00A7321E" w:rsidRDefault="0080436C" w:rsidP="00A7321E">
      <w:pPr>
        <w:autoSpaceDE w:val="0"/>
        <w:autoSpaceDN w:val="0"/>
        <w:adjustRightInd w:val="0"/>
        <w:rPr>
          <w:rFonts w:ascii="Arial" w:hAnsi="Arial" w:cs="Arial"/>
        </w:rPr>
      </w:pPr>
      <w:r w:rsidRPr="00A7321E">
        <w:rPr>
          <w:rFonts w:ascii="Arial" w:hAnsi="Arial" w:cs="Arial"/>
        </w:rPr>
        <w:t xml:space="preserve">Obszar Poczesna koło Częstochowy PLH240030 obejmuje rozległy kompleks łąkowo-leśny na terenach po dawnej eksploatacji rud żelaza. Szatę roślinną tworzą duże powierzchnie łąk z rzędów </w:t>
      </w:r>
      <w:r w:rsidRPr="00A7321E">
        <w:rPr>
          <w:rFonts w:ascii="Arial" w:hAnsi="Arial" w:cs="Arial"/>
          <w:i/>
        </w:rPr>
        <w:t>Arrhenatheretalia, Molinietalia</w:t>
      </w:r>
      <w:r w:rsidRPr="00A7321E">
        <w:rPr>
          <w:rFonts w:ascii="Arial" w:hAnsi="Arial" w:cs="Arial"/>
        </w:rPr>
        <w:t xml:space="preserve">, zbiorowisk szuwarowych oraz różnej wielkości słabo wykształcone zagajniki z młodym drzewostanem osikowym i brzozowym, nawiązujące warunkami siedliskowymi i składem florystycznym do lasów łęgowych i grądów. Do najwartościowszych przyrodniczo należą fitocenozy z rzędu </w:t>
      </w:r>
      <w:r w:rsidRPr="00A7321E">
        <w:rPr>
          <w:rFonts w:ascii="Arial" w:hAnsi="Arial" w:cs="Arial"/>
          <w:i/>
        </w:rPr>
        <w:t>Molinietalia</w:t>
      </w:r>
      <w:r w:rsidRPr="00A7321E">
        <w:rPr>
          <w:rFonts w:ascii="Arial" w:hAnsi="Arial" w:cs="Arial"/>
        </w:rPr>
        <w:t xml:space="preserve"> a szczególnie ze związku </w:t>
      </w:r>
      <w:r w:rsidRPr="00A7321E">
        <w:rPr>
          <w:rFonts w:ascii="Arial" w:hAnsi="Arial" w:cs="Arial"/>
          <w:i/>
        </w:rPr>
        <w:t>Molinion</w:t>
      </w:r>
      <w:r w:rsidRPr="00A7321E">
        <w:rPr>
          <w:rFonts w:ascii="Arial" w:hAnsi="Arial" w:cs="Arial"/>
        </w:rPr>
        <w:t xml:space="preserve"> - łąki trzęślicowe z zespołu </w:t>
      </w:r>
      <w:r w:rsidRPr="00A7321E">
        <w:rPr>
          <w:rFonts w:ascii="Arial" w:hAnsi="Arial" w:cs="Arial"/>
          <w:i/>
        </w:rPr>
        <w:t>Molinietum caeruleae</w:t>
      </w:r>
      <w:r w:rsidRPr="00A7321E">
        <w:rPr>
          <w:rFonts w:ascii="Arial" w:hAnsi="Arial" w:cs="Arial"/>
        </w:rPr>
        <w:t>. Przedmiotem ochrony obszaru jest siedlisko 6410 Zmiennowilgotne łąki trzęślicowe (</w:t>
      </w:r>
      <w:r w:rsidRPr="00A7321E">
        <w:rPr>
          <w:rFonts w:ascii="Arial" w:hAnsi="Arial" w:cs="Arial"/>
          <w:i/>
        </w:rPr>
        <w:t>Molinion</w:t>
      </w:r>
      <w:r w:rsidRPr="00A7321E">
        <w:rPr>
          <w:rFonts w:ascii="Arial" w:hAnsi="Arial" w:cs="Arial"/>
        </w:rPr>
        <w:t xml:space="preserve">). Powyższy obszar został zatwierdzony decyzją Komisji Europejskiej 2011/64/UE z 10 stycznia 2011r. i uznany jako obszar mający znaczenie dla Wspólnoty. Dla ww. obszaru ustanowiono plan zadań ochronnych (Zarządzenie Regionalnego Dyrektora Ochrony Środowiska w Katowicach z dnia 28 czerwca 2016 r. w sprawie ustanowienia planu zadań ochronnych dla obszaru Natura 2000 Poczesna koło Częstochowy PLH240030, </w:t>
      </w:r>
      <w:hyperlink r:id="rId8" w:history="1">
        <w:r w:rsidRPr="00A7321E">
          <w:rPr>
            <w:rStyle w:val="Hipercze"/>
            <w:rFonts w:ascii="Arial" w:hAnsi="Arial" w:cs="Arial"/>
            <w:color w:val="auto"/>
            <w:u w:val="none"/>
          </w:rPr>
          <w:t>https://www.gov.pl/web/rdos-katowice/poczesna-kolo-czestochowy-plh240030</w:t>
        </w:r>
      </w:hyperlink>
      <w:r w:rsidRPr="00A7321E">
        <w:rPr>
          <w:rFonts w:ascii="Arial" w:hAnsi="Arial" w:cs="Arial"/>
        </w:rPr>
        <w:t xml:space="preserve">). Celem działań ochronnych wskazanym w ww. zarządzeniu w odniesieniu do siedliska 6410 Zmiennowilgotne łąki trzęślicowe </w:t>
      </w:r>
      <w:r w:rsidRPr="00A7321E">
        <w:rPr>
          <w:rFonts w:ascii="Arial" w:hAnsi="Arial" w:cs="Arial"/>
          <w:i/>
        </w:rPr>
        <w:t>(Molinion)</w:t>
      </w:r>
      <w:r w:rsidRPr="00A7321E">
        <w:rPr>
          <w:rFonts w:ascii="Arial" w:hAnsi="Arial" w:cs="Arial"/>
        </w:rPr>
        <w:t xml:space="preserve"> jest utrzymanie siedliska w obszarze łącznie na powierzchni 7 ha.</w:t>
      </w:r>
    </w:p>
    <w:p w:rsidR="00733BDB" w:rsidRPr="00A7321E" w:rsidRDefault="0080436C" w:rsidP="00A7321E">
      <w:pPr>
        <w:autoSpaceDE w:val="0"/>
        <w:autoSpaceDN w:val="0"/>
        <w:adjustRightInd w:val="0"/>
        <w:spacing w:after="0"/>
        <w:rPr>
          <w:rStyle w:val="markedcontent"/>
          <w:rFonts w:ascii="Arial" w:eastAsia="Arial Unicode MS" w:hAnsi="Arial" w:cs="Arial"/>
        </w:rPr>
      </w:pPr>
      <w:r w:rsidRPr="00A7321E">
        <w:rPr>
          <w:rFonts w:ascii="Arial" w:hAnsi="Arial" w:cs="Arial"/>
        </w:rPr>
        <w:t>Zidentyfikowanymi</w:t>
      </w:r>
      <w:r w:rsidRPr="00A7321E">
        <w:rPr>
          <w:rStyle w:val="markedcontent"/>
          <w:rFonts w:ascii="Arial" w:eastAsia="Arial Unicode MS" w:hAnsi="Arial" w:cs="Arial"/>
        </w:rPr>
        <w:t xml:space="preserve"> zagrożeniami dla zachowania właściwego stanu ochrony siedliska przyrodniczego będącego przedmiotem ochrony są:</w:t>
      </w:r>
    </w:p>
    <w:p w:rsidR="00733BDB" w:rsidRPr="00A7321E" w:rsidRDefault="0080436C" w:rsidP="00A7321E">
      <w:pPr>
        <w:pStyle w:val="Akapitzlist"/>
        <w:widowControl w:val="0"/>
        <w:numPr>
          <w:ilvl w:val="0"/>
          <w:numId w:val="17"/>
        </w:numPr>
        <w:suppressAutoHyphens/>
        <w:autoSpaceDE w:val="0"/>
        <w:autoSpaceDN w:val="0"/>
        <w:adjustRightInd w:val="0"/>
        <w:spacing w:after="120"/>
        <w:rPr>
          <w:rFonts w:ascii="Arial" w:eastAsia="Arial Unicode MS" w:hAnsi="Arial" w:cs="Arial"/>
        </w:rPr>
      </w:pPr>
      <w:r w:rsidRPr="00A7321E">
        <w:rPr>
          <w:rFonts w:ascii="Arial" w:hAnsi="Arial" w:cs="Arial"/>
        </w:rPr>
        <w:t xml:space="preserve">zagrożenia istniejące: </w:t>
      </w:r>
      <w:r w:rsidRPr="00A7321E">
        <w:rPr>
          <w:rStyle w:val="markedcontent"/>
          <w:rFonts w:ascii="Arial" w:hAnsi="Arial" w:cs="Arial"/>
        </w:rPr>
        <w:t>ewolucja biocenotyczna, sukcesja</w:t>
      </w:r>
      <w:r w:rsidRPr="00A7321E">
        <w:rPr>
          <w:rFonts w:ascii="Arial" w:hAnsi="Arial" w:cs="Arial"/>
        </w:rPr>
        <w:t>, m</w:t>
      </w:r>
      <w:r w:rsidRPr="00A7321E">
        <w:rPr>
          <w:rStyle w:val="markedcontent"/>
          <w:rFonts w:ascii="Arial" w:hAnsi="Arial" w:cs="Arial"/>
        </w:rPr>
        <w:t>iędzygatunkowe interakcje wśród</w:t>
      </w:r>
      <w:r w:rsidRPr="00A7321E">
        <w:rPr>
          <w:rFonts w:ascii="Arial" w:hAnsi="Arial" w:cs="Arial"/>
        </w:rPr>
        <w:t xml:space="preserve"> </w:t>
      </w:r>
      <w:r w:rsidRPr="00A7321E">
        <w:rPr>
          <w:rStyle w:val="markedcontent"/>
          <w:rFonts w:ascii="Arial" w:hAnsi="Arial" w:cs="Arial"/>
        </w:rPr>
        <w:t>roślin</w:t>
      </w:r>
      <w:r w:rsidRPr="00A7321E">
        <w:rPr>
          <w:rFonts w:ascii="Arial" w:hAnsi="Arial" w:cs="Arial"/>
        </w:rPr>
        <w:t xml:space="preserve">, </w:t>
      </w:r>
      <w:r w:rsidRPr="00A7321E">
        <w:rPr>
          <w:rStyle w:val="markedcontent"/>
          <w:rFonts w:ascii="Arial" w:hAnsi="Arial" w:cs="Arial"/>
        </w:rPr>
        <w:t>obce gatunki inwazyjne,</w:t>
      </w:r>
    </w:p>
    <w:p w:rsidR="00733BDB" w:rsidRPr="00A7321E" w:rsidRDefault="0080436C" w:rsidP="00A7321E">
      <w:pPr>
        <w:pStyle w:val="Akapitzlist"/>
        <w:widowControl w:val="0"/>
        <w:numPr>
          <w:ilvl w:val="0"/>
          <w:numId w:val="17"/>
        </w:numPr>
        <w:suppressAutoHyphens/>
        <w:autoSpaceDE w:val="0"/>
        <w:autoSpaceDN w:val="0"/>
        <w:adjustRightInd w:val="0"/>
        <w:spacing w:after="120"/>
        <w:ind w:left="1077" w:hanging="357"/>
        <w:rPr>
          <w:rFonts w:ascii="Arial" w:hAnsi="Arial" w:cs="Arial"/>
        </w:rPr>
      </w:pPr>
      <w:r w:rsidRPr="00A7321E">
        <w:rPr>
          <w:rFonts w:ascii="Arial" w:hAnsi="Arial" w:cs="Arial"/>
        </w:rPr>
        <w:t>zagrożenia potencjalne: z</w:t>
      </w:r>
      <w:r w:rsidRPr="00A7321E">
        <w:rPr>
          <w:rStyle w:val="markedcontent"/>
          <w:rFonts w:ascii="Arial" w:hAnsi="Arial" w:cs="Arial"/>
        </w:rPr>
        <w:t>asypywanie terenu, melioracje i</w:t>
      </w:r>
      <w:r w:rsidRPr="00A7321E">
        <w:rPr>
          <w:rFonts w:ascii="Arial" w:hAnsi="Arial" w:cs="Arial"/>
        </w:rPr>
        <w:t xml:space="preserve"> </w:t>
      </w:r>
      <w:r w:rsidRPr="00A7321E">
        <w:rPr>
          <w:rStyle w:val="markedcontent"/>
          <w:rFonts w:ascii="Arial" w:hAnsi="Arial" w:cs="Arial"/>
        </w:rPr>
        <w:t>osuszanie – ogólnie, zmiana sposobu uprawy,</w:t>
      </w:r>
      <w:r w:rsidRPr="00A7321E">
        <w:rPr>
          <w:rFonts w:ascii="Arial" w:hAnsi="Arial" w:cs="Arial"/>
        </w:rPr>
        <w:t xml:space="preserve"> z</w:t>
      </w:r>
      <w:r w:rsidRPr="00A7321E">
        <w:rPr>
          <w:rStyle w:val="markedcontent"/>
          <w:rFonts w:ascii="Arial" w:hAnsi="Arial" w:cs="Arial"/>
        </w:rPr>
        <w:t>abudowa rozproszona</w:t>
      </w:r>
      <w:r w:rsidRPr="00A7321E">
        <w:rPr>
          <w:rFonts w:ascii="Arial" w:hAnsi="Arial" w:cs="Arial"/>
        </w:rPr>
        <w:t>, o</w:t>
      </w:r>
      <w:r w:rsidRPr="00A7321E">
        <w:rPr>
          <w:rStyle w:val="markedcontent"/>
          <w:rFonts w:ascii="Arial" w:hAnsi="Arial" w:cs="Arial"/>
        </w:rPr>
        <w:t>dpady, ścieki</w:t>
      </w:r>
      <w:r w:rsidRPr="00A7321E">
        <w:rPr>
          <w:rFonts w:ascii="Arial" w:hAnsi="Arial" w:cs="Arial"/>
        </w:rPr>
        <w:t>, p</w:t>
      </w:r>
      <w:r w:rsidRPr="00A7321E">
        <w:rPr>
          <w:rStyle w:val="markedcontent"/>
          <w:rFonts w:ascii="Arial" w:hAnsi="Arial" w:cs="Arial"/>
        </w:rPr>
        <w:t>ojazdy zmotoryzowane.</w:t>
      </w:r>
    </w:p>
    <w:p w:rsidR="00733BDB" w:rsidRPr="00A7321E" w:rsidRDefault="0080436C" w:rsidP="00A7321E">
      <w:pPr>
        <w:widowControl w:val="0"/>
        <w:suppressAutoHyphens/>
        <w:autoSpaceDE w:val="0"/>
        <w:autoSpaceDN w:val="0"/>
        <w:adjustRightInd w:val="0"/>
        <w:spacing w:after="120"/>
        <w:rPr>
          <w:rFonts w:ascii="Arial" w:hAnsi="Arial" w:cs="Arial"/>
        </w:rPr>
      </w:pPr>
      <w:r w:rsidRPr="00A7321E">
        <w:rPr>
          <w:rFonts w:ascii="Arial" w:hAnsi="Arial" w:cs="Arial"/>
          <w:color w:val="000000"/>
        </w:rPr>
        <w:t xml:space="preserve">Poczesna koło Częstochowy położona jest w odległości ok. 3,3 km od przedsięwzięcia </w:t>
      </w:r>
      <w:r w:rsidRPr="00A7321E">
        <w:rPr>
          <w:rFonts w:ascii="Arial" w:hAnsi="Arial" w:cs="Arial"/>
          <w:color w:val="000000"/>
        </w:rPr>
        <w:br/>
        <w:t xml:space="preserve">i oddzielona jest od jego granic rozległymi terenami rolnymi przez co nie będzie oddziaływania bezpośredniego w postaci niszczenia siedlisk ani pośredniego w postaci zmiany warunków siedliskowych np. poziomu wód gruntowych. Zatem zamierzenie nie będzie źródłem zidentyfikowanych zagrożeń dla przedmiotów ochrony. </w:t>
      </w:r>
    </w:p>
    <w:p w:rsidR="00733BDB" w:rsidRPr="00A7321E" w:rsidRDefault="0080436C" w:rsidP="00A7321E">
      <w:pPr>
        <w:tabs>
          <w:tab w:val="left" w:pos="8996"/>
        </w:tabs>
        <w:snapToGrid w:val="0"/>
        <w:rPr>
          <w:rFonts w:ascii="Arial" w:hAnsi="Arial" w:cs="Arial"/>
        </w:rPr>
      </w:pPr>
      <w:r w:rsidRPr="00A7321E">
        <w:rPr>
          <w:rFonts w:ascii="Arial" w:hAnsi="Arial" w:cs="Arial"/>
        </w:rPr>
        <w:t>Przedsięwzięcie nie wpłynie pośrednio lub bezpośrednio na możliwość osiągnięcia celów działań ochronnych oraz możliwości realizacji działań ochronnych przewidzianych w planie zadań ochronnych w obszarze</w:t>
      </w:r>
      <w:r w:rsidRPr="00A7321E">
        <w:rPr>
          <w:rFonts w:ascii="Arial" w:hAnsi="Arial" w:cs="Arial"/>
          <w:noProof/>
        </w:rPr>
        <w:t xml:space="preserve"> Poczesna Koło Częstochowy PLH240030</w:t>
      </w:r>
      <w:r w:rsidRPr="00A7321E">
        <w:rPr>
          <w:rFonts w:ascii="Arial" w:hAnsi="Arial" w:cs="Arial"/>
        </w:rPr>
        <w:t>.</w:t>
      </w:r>
    </w:p>
    <w:p w:rsidR="00733BDB" w:rsidRPr="00A7321E" w:rsidRDefault="0080436C" w:rsidP="00A7321E">
      <w:pPr>
        <w:spacing w:after="120"/>
        <w:rPr>
          <w:rFonts w:ascii="Arial" w:hAnsi="Arial" w:cs="Arial"/>
        </w:rPr>
      </w:pPr>
      <w:r w:rsidRPr="00A7321E">
        <w:rPr>
          <w:rFonts w:ascii="Arial" w:hAnsi="Arial" w:cs="Arial"/>
        </w:rPr>
        <w:t xml:space="preserve">Biorąc pod uwagę charakter, lokalizację i skalę możliwego oddziaływania przedsięwzięcia należy stwierdzić, że przedmiotowa inwestycja nie pogorszy stanu siedlisk przyrodniczych i siedlisk gatunków dla których ochrony wyznaczono obszar Natura 2000, nie wpłynie </w:t>
      </w:r>
      <w:r w:rsidRPr="00A7321E">
        <w:rPr>
          <w:rFonts w:ascii="Arial" w:hAnsi="Arial" w:cs="Arial"/>
        </w:rPr>
        <w:lastRenderedPageBreak/>
        <w:t>negatywnie na siedliska przyrodnicze i gatunki, dla których ochrony został wyznaczony przedmiotowy obszar Natura 2000, ani nie pogorszy integralności obszarów Natura 2000 lub ich powiązań z innymi wyznaczonymi lub zatwierdzonymi obszarami Natura 2000.</w:t>
      </w:r>
    </w:p>
    <w:p w:rsidR="00733BDB" w:rsidRPr="00A7321E" w:rsidRDefault="0080436C" w:rsidP="00A7321E">
      <w:pPr>
        <w:pStyle w:val="Akapitzlist"/>
        <w:numPr>
          <w:ilvl w:val="0"/>
          <w:numId w:val="22"/>
        </w:numPr>
        <w:spacing w:after="120"/>
        <w:rPr>
          <w:rFonts w:ascii="Arial" w:hAnsi="Arial" w:cs="Arial"/>
        </w:rPr>
      </w:pPr>
      <w:r w:rsidRPr="00A7321E">
        <w:rPr>
          <w:rFonts w:ascii="Arial" w:hAnsi="Arial" w:cs="Arial"/>
        </w:rPr>
        <w:t xml:space="preserve">Ostoja Olsztyńsko-Mirowska PLH 240015 </w:t>
      </w:r>
      <w:r w:rsidRPr="00A7321E">
        <w:rPr>
          <w:rFonts w:ascii="Arial" w:hAnsi="Arial" w:cs="Arial"/>
          <w:color w:val="000000" w:themeColor="text1"/>
        </w:rPr>
        <w:t>znajduje się w odległości ok. 4,2 km.</w:t>
      </w:r>
    </w:p>
    <w:p w:rsidR="00733BDB" w:rsidRPr="00A7321E" w:rsidRDefault="0080436C" w:rsidP="00A7321E">
      <w:pPr>
        <w:spacing w:after="120"/>
        <w:rPr>
          <w:rFonts w:ascii="Arial" w:hAnsi="Arial" w:cs="Arial"/>
        </w:rPr>
      </w:pPr>
      <w:r w:rsidRPr="00A7321E">
        <w:rPr>
          <w:rFonts w:ascii="Arial" w:hAnsi="Arial" w:cs="Arial"/>
        </w:rPr>
        <w:t>Ostoja Olsztyńsko-Mirowska to obszar, na który składa się mozaika lasów z ukrytymi wśród nich, licznymi ostańcami skalnymi i jaskiniami oraz odlesionych wzgórz wapiennych. Ostoja jest jednym z największych skupisk jaskiń na Jurze Krakowsko-Częstochowskiej. Fenomenem jest unikatowa roślinność naskalna oraz murawy kserotermiczne porastające zbocza wzgórz, a także licznie zimujące w jaskiniach nietoperze. Porastająca Wzgórze Zamkowe i sąsiednie skały przytulia krakowska jest osobliwością na skalę światową.</w:t>
      </w:r>
    </w:p>
    <w:p w:rsidR="00733BDB" w:rsidRPr="00A7321E" w:rsidRDefault="0080436C" w:rsidP="00A7321E">
      <w:pPr>
        <w:spacing w:after="0"/>
        <w:rPr>
          <w:rFonts w:ascii="Arial" w:hAnsi="Arial" w:cs="Arial"/>
        </w:rPr>
      </w:pPr>
      <w:r w:rsidRPr="00A7321E">
        <w:rPr>
          <w:rFonts w:ascii="Arial" w:hAnsi="Arial" w:cs="Arial"/>
        </w:rPr>
        <w:t>Przedmioty ochrony Natura 2000 oraz cele działań ochronnych dla tych przedmiotów:</w:t>
      </w:r>
    </w:p>
    <w:p w:rsidR="00733BDB" w:rsidRPr="00A7321E" w:rsidRDefault="0080436C" w:rsidP="00A7321E">
      <w:pPr>
        <w:spacing w:after="0"/>
        <w:rPr>
          <w:rFonts w:ascii="Arial" w:hAnsi="Arial" w:cs="Arial"/>
          <w:bCs/>
          <w:color w:val="000000"/>
        </w:rPr>
      </w:pPr>
      <w:r w:rsidRPr="00A7321E">
        <w:rPr>
          <w:rFonts w:ascii="Arial" w:hAnsi="Arial" w:cs="Arial"/>
        </w:rPr>
        <w:t>-</w:t>
      </w:r>
      <w:r w:rsidRPr="00A7321E">
        <w:rPr>
          <w:rFonts w:ascii="Arial" w:hAnsi="Arial" w:cs="Arial"/>
        </w:rPr>
        <w:tab/>
      </w:r>
      <w:r w:rsidRPr="00A7321E">
        <w:rPr>
          <w:rFonts w:ascii="Arial" w:hAnsi="Arial" w:cs="Arial"/>
          <w:bCs/>
          <w:color w:val="000000"/>
        </w:rPr>
        <w:t>2330 Wydmy śródlądowe z murawami napiaskowymi - Utrzymanie stabilnej powierzchni siedliska z uwzględnieniem naturalnych procesów, łącznie na co najmniej 5 ha, występowanie 4 i więcej gatunków charakterystycznych (FV) na stanowiskach: Niwki II, Niwki III, Przedpole Biakła, Piachy pod Zamkiem II, Ostra Gorka II, występowanie 2-3 gatunków charakterystycznych (U1) na stanowiskach: Kusięta Małe, Piaskownia I, Piaskownia II, pokrycie drzew i krzewów do 40% powierzchni (FV) na stanowiskach: Piaskownia I, Piaskownia II, Przedpole Biakła, Niwki II, Piachy pod Zamkiem II, Ostra Gorka II, pokrycie drzew i krzewów 40-60% powierzchni (U1) na stanowiskach: Kusięta Małe, Niwki III, aktywne procesy eoliczne (piasek nawiany na kępy traw (FV) na stanowiskach: Piaskownia I, Piaskownia II, Przedpole Biakła, Niwki II, Niwki III, Piachy pod Zamkiem II, Ostra Gorka II, Ślady dawnych procesów eolicznych (np. dawne pagórki fitogeniczne, mniejsze wydmy zarośnięte wydmami) (U1) na stanowiskach: Kusięta Małe.</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r>
      <w:r w:rsidRPr="00A7321E">
        <w:rPr>
          <w:rFonts w:ascii="Arial" w:hAnsi="Arial" w:cs="Arial"/>
          <w:bCs/>
        </w:rPr>
        <w:t xml:space="preserve">5130 </w:t>
      </w:r>
      <w:r w:rsidRPr="00A7321E">
        <w:rPr>
          <w:rFonts w:ascii="Arial" w:hAnsi="Arial" w:cs="Arial"/>
        </w:rPr>
        <w:t>Zarośla jałowca pospolitego na murawach nawapiennych lub na wrzosowiskach - Utrzymanie stabilnej powierzchni siedliska z uwzględnieniem naturalnych procesów, łącznie na co najmniej 5 ha, pełny zestaw gatunków typowych: jałowiec pospolity, dereń świdwa, róża, głóg, tarnina, szakłak (FV) na wszystkich stanowiskach, liczne gatunki typowe (z kl. Festuco-Brometea), występujące obficie (FV) na wszystkich stanowiskach, brak lub pojedyncze osobniki (FV) na wszystkich stanowiskach.</w:t>
      </w:r>
    </w:p>
    <w:p w:rsidR="00733BDB" w:rsidRPr="00A7321E" w:rsidRDefault="0080436C" w:rsidP="00A7321E">
      <w:pPr>
        <w:spacing w:after="0"/>
        <w:rPr>
          <w:rFonts w:ascii="Arial" w:hAnsi="Arial" w:cs="Arial"/>
          <w:color w:val="000000"/>
        </w:rPr>
      </w:pPr>
      <w:r w:rsidRPr="00A7321E">
        <w:rPr>
          <w:rFonts w:ascii="Arial" w:hAnsi="Arial" w:cs="Arial"/>
        </w:rPr>
        <w:t>-</w:t>
      </w:r>
      <w:r w:rsidRPr="00A7321E">
        <w:rPr>
          <w:rFonts w:ascii="Arial" w:hAnsi="Arial" w:cs="Arial"/>
        </w:rPr>
        <w:tab/>
      </w:r>
      <w:r w:rsidRPr="00A7321E">
        <w:rPr>
          <w:rFonts w:ascii="Arial" w:hAnsi="Arial" w:cs="Arial"/>
          <w:bCs/>
          <w:color w:val="000000"/>
        </w:rPr>
        <w:t xml:space="preserve">6120 Ciepłolubne śródlądowe murawy napiaskowe </w:t>
      </w:r>
      <w:r w:rsidRPr="00A7321E">
        <w:rPr>
          <w:rFonts w:ascii="Arial" w:hAnsi="Arial" w:cs="Arial"/>
          <w:color w:val="000000"/>
        </w:rPr>
        <w:t>(</w:t>
      </w:r>
      <w:r w:rsidRPr="00A7321E">
        <w:rPr>
          <w:rFonts w:ascii="Arial" w:hAnsi="Arial" w:cs="Arial"/>
          <w:i/>
          <w:color w:val="000000"/>
        </w:rPr>
        <w:t>Koelerion glaucae</w:t>
      </w:r>
      <w:r w:rsidRPr="00A7321E">
        <w:rPr>
          <w:rFonts w:ascii="Arial" w:hAnsi="Arial" w:cs="Arial"/>
          <w:color w:val="000000"/>
        </w:rPr>
        <w:t>) - Utrzymanie stabilnej powierzchni siedliska z uwzględnieniem naturalnych procesów, łącznie na co najmniej 6 ha, występuje co najmniej 5 gatunków roślin naczyniowych spośród wymienionych gatunków charakterystycznych (FV) na wszystkich stanowiskach, brak obcych gatunków inwazyjnych (FV) na stanowiskach: Biakło I, Ostra Górka III, gatunki inwazyjne występują pojedynczo i nie zajmuj więcej ni 5% powierzchni (do 2 gatunków) (U1) na stanowiskach: Niwki I, Piachy pod Zamkiem I, brak lub niewielkie pokrycie drzew i krzewów poniżej 10% powierzchni, występujących sporadycznie i w znacznym rozproszeniu (FV) na wszystkich stanowiskach.</w:t>
      </w:r>
    </w:p>
    <w:p w:rsidR="00733BDB" w:rsidRPr="00A7321E" w:rsidRDefault="0080436C" w:rsidP="00A7321E">
      <w:pPr>
        <w:spacing w:after="0"/>
        <w:rPr>
          <w:rFonts w:ascii="Arial" w:hAnsi="Arial" w:cs="Arial"/>
          <w:bCs/>
          <w:color w:val="000000"/>
        </w:rPr>
      </w:pPr>
      <w:r w:rsidRPr="00A7321E">
        <w:rPr>
          <w:rFonts w:ascii="Arial" w:hAnsi="Arial" w:cs="Arial"/>
          <w:color w:val="000000"/>
        </w:rPr>
        <w:t>-</w:t>
      </w:r>
      <w:r w:rsidRPr="00A7321E">
        <w:rPr>
          <w:rFonts w:ascii="Arial" w:hAnsi="Arial" w:cs="Arial"/>
          <w:color w:val="000000"/>
        </w:rPr>
        <w:tab/>
      </w:r>
      <w:r w:rsidRPr="00A7321E">
        <w:rPr>
          <w:rFonts w:ascii="Arial" w:hAnsi="Arial" w:cs="Arial"/>
          <w:bCs/>
          <w:color w:val="000000"/>
        </w:rPr>
        <w:t>6210 Murawy kserotermiczne (</w:t>
      </w:r>
      <w:r w:rsidRPr="00A7321E">
        <w:rPr>
          <w:rFonts w:ascii="Arial" w:hAnsi="Arial" w:cs="Arial"/>
          <w:bCs/>
          <w:i/>
          <w:color w:val="000000"/>
        </w:rPr>
        <w:t>Festuco-Brometea)</w:t>
      </w:r>
      <w:r w:rsidRPr="00A7321E">
        <w:rPr>
          <w:rFonts w:ascii="Arial" w:hAnsi="Arial" w:cs="Arial"/>
          <w:bCs/>
          <w:color w:val="000000"/>
        </w:rPr>
        <w:t xml:space="preserve"> - Utrzymanie stabilnej powierzchni siedliska z uwzględnieniem naturalnych procesów, łącznie na co najmniej 30 ha, występowanie co najmniej 5 gatunków roślin naczyniowych spośród gatunków charakterystycznych (FV) na stanowiskach: Góry Towarne I, Skałki Duże I, Biakło III, Lipówki, Cegielnia I, Góra Zamkowa, Sowia Góra, Kamieniołom, występowanie 2-5 gatunków roślin naczyniowych spośród gatunków charakterystycznych (U1) na stanowiskach: Skałki Małe I, Olsztyn E II, Lisica, brak lub niewielkie pokrycie drzew </w:t>
      </w:r>
      <w:r w:rsidRPr="00A7321E">
        <w:rPr>
          <w:rFonts w:ascii="Arial" w:hAnsi="Arial" w:cs="Arial"/>
          <w:bCs/>
          <w:color w:val="000000"/>
        </w:rPr>
        <w:lastRenderedPageBreak/>
        <w:t>i krzewów poniżej 10% powierzchni występujących sporadycznie (FV) na wszystkich stanowiskach.</w:t>
      </w:r>
    </w:p>
    <w:p w:rsidR="00733BDB" w:rsidRPr="00A7321E" w:rsidRDefault="0080436C" w:rsidP="00A7321E">
      <w:pPr>
        <w:spacing w:after="0"/>
        <w:rPr>
          <w:rFonts w:ascii="Arial" w:hAnsi="Arial" w:cs="Arial"/>
        </w:rPr>
      </w:pPr>
      <w:r w:rsidRPr="00A7321E">
        <w:rPr>
          <w:rFonts w:ascii="Arial" w:hAnsi="Arial" w:cs="Arial"/>
          <w:bCs/>
          <w:color w:val="000000"/>
        </w:rPr>
        <w:t>-</w:t>
      </w:r>
      <w:r w:rsidRPr="00A7321E">
        <w:rPr>
          <w:rFonts w:ascii="Arial" w:hAnsi="Arial" w:cs="Arial"/>
          <w:bCs/>
          <w:color w:val="000000"/>
        </w:rPr>
        <w:tab/>
      </w:r>
      <w:r w:rsidRPr="00A7321E">
        <w:rPr>
          <w:rFonts w:ascii="Arial" w:hAnsi="Arial" w:cs="Arial"/>
        </w:rPr>
        <w:t>6510 Niżowe i górskie świeże łąki użytkowane ekstensywnie (</w:t>
      </w:r>
      <w:r w:rsidRPr="00A7321E">
        <w:rPr>
          <w:rFonts w:ascii="Arial" w:hAnsi="Arial" w:cs="Arial"/>
          <w:i/>
          <w:iCs/>
        </w:rPr>
        <w:t>Arrhenatherion elatioris</w:t>
      </w:r>
      <w:r w:rsidRPr="00A7321E">
        <w:rPr>
          <w:rFonts w:ascii="Arial" w:hAnsi="Arial" w:cs="Arial"/>
          <w:i/>
        </w:rPr>
        <w:t>)</w:t>
      </w:r>
      <w:r w:rsidRPr="00A7321E">
        <w:rPr>
          <w:rFonts w:ascii="Arial" w:hAnsi="Arial" w:cs="Arial"/>
        </w:rPr>
        <w:t xml:space="preserve"> - Utrzymanie stabilnej powierzchni siedliska z uwzględnieniem naturalnych procesów, łącznie na co najmniej 2 ha, występowanie co najmniej 4 gatunków charakterystycznych (FV) na wszystkich stanowiskach, łączne pokrycie na transekcie &lt;1% (FV) na wszystkich stanowiskach.</w:t>
      </w:r>
    </w:p>
    <w:p w:rsidR="00733BDB" w:rsidRPr="00A7321E" w:rsidRDefault="0080436C" w:rsidP="00A7321E">
      <w:pPr>
        <w:spacing w:after="0"/>
        <w:rPr>
          <w:rFonts w:ascii="Arial" w:hAnsi="Arial" w:cs="Arial"/>
        </w:rPr>
      </w:pPr>
      <w:r w:rsidRPr="00A7321E">
        <w:rPr>
          <w:rFonts w:ascii="Arial" w:hAnsi="Arial" w:cs="Arial"/>
          <w:bCs/>
          <w:color w:val="000000"/>
        </w:rPr>
        <w:t>-</w:t>
      </w:r>
      <w:r w:rsidRPr="00A7321E">
        <w:rPr>
          <w:rFonts w:ascii="Arial" w:hAnsi="Arial" w:cs="Arial"/>
          <w:bCs/>
          <w:color w:val="000000"/>
        </w:rPr>
        <w:tab/>
      </w:r>
      <w:r w:rsidRPr="00A7321E">
        <w:rPr>
          <w:rFonts w:ascii="Arial" w:hAnsi="Arial" w:cs="Arial"/>
        </w:rPr>
        <w:t xml:space="preserve">8160 Podgórskie i wyżynne rumowiska wapienne - </w:t>
      </w:r>
      <w:r w:rsidRPr="00A7321E">
        <w:rPr>
          <w:rFonts w:ascii="Arial" w:hAnsi="Arial" w:cs="Arial"/>
          <w:bCs/>
          <w:iCs/>
        </w:rPr>
        <w:t>Nie określono celów ochrony, w związku z brakiem potwierdzenia występowania siedliska w obszarze.</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 xml:space="preserve">8210 Wapienne ściany skalne ze zbiorowiskami </w:t>
      </w:r>
      <w:r w:rsidRPr="00A7321E">
        <w:rPr>
          <w:rFonts w:ascii="Arial" w:hAnsi="Arial" w:cs="Arial"/>
          <w:i/>
        </w:rPr>
        <w:t xml:space="preserve">Potentilletalia caulescentis </w:t>
      </w:r>
      <w:r w:rsidRPr="00A7321E">
        <w:rPr>
          <w:rFonts w:ascii="Arial" w:hAnsi="Arial" w:cs="Arial"/>
        </w:rPr>
        <w:t>- Utrzymanie stabilnej powierzchni siedliska na co najmniej 4,5 ha, na 15 stanowiskach, występowanie gatunków charakterystycznych z pokryciem minimum 5% (FV) na wszystkich stanowiskach, pokrycie przez gatunki traw na poziomie 0-25% (FV) na wszystkich stanowiskach, brak śladów wspinaczki i wydeptywania (FV) na stanowiskach: Liboradz, Srocko I, Srocko II, Psi Nos, Lisica, Przymiłowice, Skałki Św. Idziego, Kkarzełek i Jodłowa, Pustelnica i Setki, Puchacz, Góra Sokola, pojedyncze ślady wskazujące na sporadyczne wydeptywanie (U1) na stanowiskach: Zielona Góra, Towarne, Duże i Małe Skałki, Olsztyn, Kielniki, Biakło i Lipówki, Góra Knieja.</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8310 Jaskinie nieudostępnione do zwiedzania - Utrzymanie siedliska w 25 jaskiniach, brak zmian parametrów mikroklimatycznych związanych ze zmianą reżimu termicznego, zasięgiem stref mikroklimatycznych i cyrkulacją powietrza (FV) na stanowiskach: J. Maurycego, Schronisko Krucze, J. w Wysokiej Turni, J. Komarowa, J. Fikuśna, J. Koralowa, J. w Donicy, J. Szpatowców w Donicy, System Jaskini Olsztyńskiej, J. Studnisko, Schronisko w Amfiteatrze, J. pod Sokolą, J. w Lipówce,  System Jaskiń Srockich, Schronisko w Dębowej Górze, J. Urwista, J. w Dziedzińcu, Szczelina Frakcji „N”, J. Basieta, zauważalna zmiana parametrów mikroklimatycznych niepowodująca istotnej zmiany zasięgu stref mikroklimatycznych i cyrkulacji powietrza (U1) na stanowiskach: J. Magazyn, J. w Skałkach Dużych, J. w Kielnikach, J. Cabanowa, J. w Zielonej Górze, System Jaskiń Towarnych, jaskinia jest zabezpieczona lub częstość penetracji jest bardzo niska (FV) na stanowiskach: J. Maurycego, Schronisko Krucze, J. Fikuśna, J. Koralowa, J. w Donicy, J. Szpatowców w Donicy, Schronisko w Dębowej Górze, Szczelina Frakcji „N”, J. Basieta, dostępność ludzi do wnętrza jaskini jest utrudniona, presja jest niewielka (U1) na stanowiskach: J. w Wysokiej Turni, J. Komarowa, System Jaskini Olsztyńskiej, J. Studnisko, Schronisko w Amfiteatrze, J. pod Sokolą, J. w Lipówce, J. Magazyn, J. w Skałkach Dużych, J. w Kielnikach, Cabanowa, System Jaskiń Srockich, J. w Zielonej Górze, System Jaskiń Towarnych, J. Urwista, J. w Dziedzińcu.</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 xml:space="preserve">9110 Kwaśne buczyny </w:t>
      </w:r>
      <w:r w:rsidRPr="00A7321E">
        <w:rPr>
          <w:rFonts w:ascii="Arial" w:hAnsi="Arial" w:cs="Arial"/>
          <w:i/>
        </w:rPr>
        <w:t>(Luzulo-Fagenion)</w:t>
      </w:r>
      <w:r w:rsidRPr="00A7321E">
        <w:rPr>
          <w:rFonts w:ascii="Arial" w:hAnsi="Arial" w:cs="Arial"/>
        </w:rPr>
        <w:t xml:space="preserve"> - Utrzymanie powierzchni siedliska na co najmniej 100 ha, typowa kombinacja florystyczna właściwa dla siedliska z uwzględnieniem specyfiki regionalnej (FV) wszystkich na stanowiskach, udział drzew starszych niż 100 lat &gt;10% (FV) na stanowiskach: Góra Sokola, Puchacz, Knieja, Przymiłowice, osiągnięcie celu na stanowiskach Knieja i Przymiłowice 1 z uwagi na długotrwały proces wzrostu drzew może wykraczać poza okres 10 lat, &lt;10% udział drzew starszych niż 100 lat, ale &gt; 50% udział drzew starszych niż 50 lat (U1) na stanowiskach: Hektary, Przymiłowice, osiągnięcie celu z uwagi na długotrwały proces wzrostu drzew może wykraczać poza okres 10 lat, zasoby martwego drewna powyżej 20 m</w:t>
      </w:r>
      <w:r w:rsidRPr="00A7321E">
        <w:rPr>
          <w:rFonts w:ascii="Arial" w:hAnsi="Arial" w:cs="Arial"/>
          <w:vertAlign w:val="superscript"/>
        </w:rPr>
        <w:t>3</w:t>
      </w:r>
      <w:r w:rsidRPr="00A7321E">
        <w:rPr>
          <w:rFonts w:ascii="Arial" w:hAnsi="Arial" w:cs="Arial"/>
        </w:rPr>
        <w:t xml:space="preserve">/ha (FV) na wszystkich stanowiskach. Osiągnięcie celu na stanowiskach Hektary, Knieja 1, Przymiłowice 1, Przymiłowice 2, z uwagi na długotrwały proces formowania/inicjowania zasobów martwego drewna może wykraczać poza okres 10 lat, zasoby martwego drewna wielkowymiarowego powyżej 5 szt./ha drewna &gt; 3 m długości </w:t>
      </w:r>
      <w:r w:rsidRPr="00A7321E">
        <w:rPr>
          <w:rFonts w:ascii="Arial" w:hAnsi="Arial" w:cs="Arial"/>
        </w:rPr>
        <w:lastRenderedPageBreak/>
        <w:t>i &gt;50 cm średnicy (FV) na stanowiskach: Góra Sokola, Puchacz, zasoby martwego drewna wielkowymiarowego pomiędzy 4-5 szt./ha drewna &gt; 3 m długości i &gt;50 cm średnicy (U1) na stanowiskach: Hektary, Knieja 1, Przymiłowice 1, Przymiłowice 2. Osiągnięcie celu z uwagi na długotrwały proces formowania/inicjowania zasobów martwego drewna wielkowymiarowego może wykraczać poza okres 10 lat, minimum 20 szt. drzew biocenotycznych na ha (FV) na stanowiskach: Góra Sokola, Puchacz, Knieja 1, Przymiłowice, pomiędzy 15-20 szt. drzew biocenotycznych na ha (U1) na stanowiskach: Hektary, Przymiłowice, osiągnięcie celu z uwagi na długotrwały proces formowania/inicjowania drzew biocenotycznych może wykraczać poza okres 10 lat.</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9130 Żyzne buczyny (Dentario glandulosae-Fagenion, Galio odorati-Fagenion - Utrzymanie powierzchni siedliska na co najmniej 43 ha, typowa kombinacja florystyczna właściwa dla siedliska z uwzględnieniem specyfiki regionalnej (FV) na wszystkich stanowiskach, udział drzew starszych niż 100 lat &gt;10% (FV) na wszystkich stanowiskach, zasoby martwego drewna powyżej 20 m</w:t>
      </w:r>
      <w:r w:rsidRPr="00A7321E">
        <w:rPr>
          <w:rFonts w:ascii="Arial" w:hAnsi="Arial" w:cs="Arial"/>
          <w:vertAlign w:val="superscript"/>
        </w:rPr>
        <w:t>3</w:t>
      </w:r>
      <w:r w:rsidRPr="00A7321E">
        <w:rPr>
          <w:rFonts w:ascii="Arial" w:hAnsi="Arial" w:cs="Arial"/>
        </w:rPr>
        <w:t>/ha (FV) na wszystkich stanowiskach, zasoby martwego drewna wielkowymiarowego powyżej 5 szt./ha drewna &gt; 3 m długości i &gt;50 cm średnicy (FV) na wszystkich stanowiskach, minimum 20 szt. drzew biocenotycznych na ha (FV) na stanowiskach.</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9150 Ciepłolubne buczyny storczykowe (</w:t>
      </w:r>
      <w:r w:rsidRPr="00A7321E">
        <w:rPr>
          <w:rFonts w:ascii="Arial" w:hAnsi="Arial" w:cs="Arial"/>
          <w:i/>
          <w:iCs/>
        </w:rPr>
        <w:t>Cephalanthero-Fagenion</w:t>
      </w:r>
      <w:r w:rsidRPr="00A7321E">
        <w:rPr>
          <w:rFonts w:ascii="Arial" w:hAnsi="Arial" w:cs="Arial"/>
          <w:i/>
        </w:rPr>
        <w:t>)</w:t>
      </w:r>
      <w:r w:rsidRPr="00A7321E">
        <w:rPr>
          <w:rFonts w:ascii="Arial" w:hAnsi="Arial" w:cs="Arial"/>
        </w:rPr>
        <w:t xml:space="preserve"> - Utrzymanie powierzchni siedliska na co najmniej 86 ha, występowanie powyżej 10 gatunków charakterystycznych (FV) na stanowiskach: Zielona Góra 2, Setki, Karzełek 2, Knieja 2, Skałki św. Idziego, występowanie 5-10 gatunków charakterystycznych (U1) na stanowiskach: Srocko, Kamienne Górki 2, dominacja gatunków leśnych, a pokrycie gatunkami charakterystycznymi powyżej 20% (FV) na wszystkich stanowiskach, poniżej 5% gatunków obcych ekologicznie (FV) na wszystkich stanowiskach.</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 xml:space="preserve">9170 Grąd środkowoeuropejski i subkontynentalny </w:t>
      </w:r>
      <w:r w:rsidRPr="00A7321E">
        <w:rPr>
          <w:rFonts w:ascii="Arial" w:hAnsi="Arial" w:cs="Arial"/>
          <w:i/>
        </w:rPr>
        <w:t>(Galio-Carpinetum, Tilio-Carpinetum)</w:t>
      </w:r>
      <w:r w:rsidRPr="00A7321E">
        <w:rPr>
          <w:rFonts w:ascii="Arial" w:hAnsi="Arial" w:cs="Arial"/>
        </w:rPr>
        <w:t xml:space="preserve"> - Utrzymanie powierzchni siedliska na co najmniej 55 ha, typowa i właściwa kombinacja florystyczna z uwzględnieniem specyfiki regionalnej (FV) na wszystkich stanowiskach, udział drzew starszych niż 100 lat &gt;10% (FV) na wszystkich stanowiskach, osiągnięcie celu na stanowiskach Liboradz, Psi Nos, z uwagi na długotrwały proces wzrostu drzew może wykraczać poza okres 10 lat, zasoby martwego drewna powyżej 20 m</w:t>
      </w:r>
      <w:r w:rsidRPr="00A7321E">
        <w:rPr>
          <w:rFonts w:ascii="Arial" w:hAnsi="Arial" w:cs="Arial"/>
          <w:vertAlign w:val="superscript"/>
        </w:rPr>
        <w:t>3</w:t>
      </w:r>
      <w:r w:rsidRPr="00A7321E">
        <w:rPr>
          <w:rFonts w:ascii="Arial" w:hAnsi="Arial" w:cs="Arial"/>
        </w:rPr>
        <w:t>/ha (FV) na wszystkich stanowiskach. Osiągnięcie celu na stanowiskach Psi Nos, Zielona Góra 3, Kamienne Górki, z uwagi na długotrwały proces formowania/inicjowania zasobów martwego drewna może wykraczać poza okres 10 lat, zasoby martwego drewna wielkowymiarowego powyżej 5 szt./ha drewna &gt; 3 m długości i &gt;50 cm średnicy (FV) na stanowisku Zielona Góra 3, zasoby martwego drewna wielkowymiarowego pomiędzy 4-5 szt./ha drewna &gt; 3 m długości i &gt;50 cm średnicy (U1) na stanowiskach: Liboradz, Psi Nos, Kamienne Górki. Osiągnięcie celu z uwagi na długotrwały proces formowania/inicjowania zasobów martwego drewna wielkowymiarowego może wykraczać poza okres 10 lat, minimum 20 szt. drzew biocenotycznych na ha (FV) na wszystkich stanowiskach. Osiągnięcie celu na stanowisku Kamienne Górki, z uwagi na długotrwały proces formowania/inicjowania drzew biocenotycznych może wykraczać poza okres 10 lat.</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 xml:space="preserve">9190 kwaśne dąbrowy </w:t>
      </w:r>
      <w:r w:rsidRPr="00A7321E">
        <w:rPr>
          <w:rFonts w:ascii="Arial" w:hAnsi="Arial" w:cs="Arial"/>
          <w:i/>
        </w:rPr>
        <w:t>(Quercetalia pubescentis-petraeae)</w:t>
      </w:r>
      <w:r w:rsidRPr="00A7321E">
        <w:rPr>
          <w:rFonts w:ascii="Arial" w:hAnsi="Arial" w:cs="Arial"/>
        </w:rPr>
        <w:t xml:space="preserve"> - Utrzymanie powierzchni siedliska na co najmniej 60 ha, typowa, właściwa dla siedliska przyrodniczego </w:t>
      </w:r>
    </w:p>
    <w:p w:rsidR="00733BDB" w:rsidRPr="00A7321E" w:rsidRDefault="0080436C" w:rsidP="00A7321E">
      <w:pPr>
        <w:spacing w:after="0"/>
        <w:rPr>
          <w:rFonts w:ascii="Arial" w:hAnsi="Arial" w:cs="Arial"/>
        </w:rPr>
      </w:pPr>
      <w:r w:rsidRPr="00A7321E">
        <w:rPr>
          <w:rFonts w:ascii="Arial" w:hAnsi="Arial" w:cs="Arial"/>
        </w:rPr>
        <w:t>z uwzględnieniem specyfiki regionalnej (FV) na stanowiskach: Mirów 1, Mirów 2, zubożała w stosunku do typowej dla siedliska w regionie na stanowiskach: Mirów 3, Udział poniżej 10 % i nieodnawiające się (U1) na wszystkich stanowiskach, udział &gt;5 szt./ha na wszystkich stanowiskach.</w:t>
      </w:r>
    </w:p>
    <w:p w:rsidR="00733BDB" w:rsidRPr="00A7321E" w:rsidRDefault="0080436C" w:rsidP="00A7321E">
      <w:pPr>
        <w:spacing w:after="0"/>
        <w:rPr>
          <w:rFonts w:ascii="Arial" w:hAnsi="Arial" w:cs="Arial"/>
          <w:iCs/>
        </w:rPr>
      </w:pPr>
      <w:r w:rsidRPr="00A7321E">
        <w:rPr>
          <w:rFonts w:ascii="Arial" w:hAnsi="Arial" w:cs="Arial"/>
        </w:rPr>
        <w:lastRenderedPageBreak/>
        <w:t>-</w:t>
      </w:r>
      <w:r w:rsidRPr="00A7321E">
        <w:rPr>
          <w:rFonts w:ascii="Arial" w:hAnsi="Arial" w:cs="Arial"/>
        </w:rPr>
        <w:tab/>
        <w:t>91P0</w:t>
      </w:r>
      <w:r w:rsidRPr="00A7321E">
        <w:rPr>
          <w:rFonts w:ascii="Arial" w:hAnsi="Arial" w:cs="Arial"/>
          <w:iCs/>
        </w:rPr>
        <w:t xml:space="preserve"> Świętokrzyski bór jodłowy </w:t>
      </w:r>
      <w:r w:rsidRPr="00A7321E">
        <w:rPr>
          <w:rFonts w:ascii="Arial" w:hAnsi="Arial" w:cs="Arial"/>
          <w:i/>
          <w:iCs/>
        </w:rPr>
        <w:t>(Abietetum polonicum)</w:t>
      </w:r>
      <w:r w:rsidRPr="00A7321E">
        <w:rPr>
          <w:rFonts w:ascii="Arial" w:hAnsi="Arial" w:cs="Arial"/>
          <w:iCs/>
        </w:rPr>
        <w:t xml:space="preserve"> - </w:t>
      </w:r>
      <w:r w:rsidRPr="00A7321E">
        <w:rPr>
          <w:rFonts w:ascii="Arial" w:hAnsi="Arial" w:cs="Arial"/>
          <w:bCs/>
          <w:iCs/>
        </w:rPr>
        <w:t>Nie określono celów ochrony w związku z brakiem potwierdzenia występowania siedliska w obszarze.</w:t>
      </w:r>
    </w:p>
    <w:p w:rsidR="00733BDB" w:rsidRPr="00A7321E" w:rsidRDefault="0080436C" w:rsidP="00A7321E">
      <w:pPr>
        <w:spacing w:after="0"/>
        <w:rPr>
          <w:rFonts w:ascii="Arial" w:hAnsi="Arial" w:cs="Arial"/>
          <w:bCs/>
        </w:rPr>
      </w:pPr>
      <w:r w:rsidRPr="00A7321E">
        <w:rPr>
          <w:rFonts w:ascii="Arial" w:hAnsi="Arial" w:cs="Arial"/>
          <w:bCs/>
        </w:rPr>
        <w:t>-</w:t>
      </w:r>
      <w:r w:rsidRPr="00A7321E">
        <w:rPr>
          <w:rFonts w:ascii="Arial" w:hAnsi="Arial" w:cs="Arial"/>
          <w:bCs/>
        </w:rPr>
        <w:tab/>
        <w:t xml:space="preserve">2189 Przytulia krakowska </w:t>
      </w:r>
      <w:r w:rsidRPr="00A7321E">
        <w:rPr>
          <w:rFonts w:ascii="Arial" w:hAnsi="Arial" w:cs="Arial"/>
          <w:bCs/>
          <w:i/>
        </w:rPr>
        <w:t>(Galium cracoviense</w:t>
      </w:r>
      <w:r w:rsidRPr="00A7321E">
        <w:rPr>
          <w:rFonts w:ascii="Arial" w:hAnsi="Arial" w:cs="Arial"/>
          <w:bCs/>
        </w:rPr>
        <w:t>) - Utrzymanie stabilnej powierzchni zajętej przez populację gatunku z uwzględnieniem naturalnych procesów, darnie pokrywające znaczną część dostępnego siedliska - ponad 3% (FV), dotyczy wszystkich stanowisk, pokrycie 3-1% powierzchni zajętego siedliska (U1) na wszystkich stanowiskach, stopień zarośnięcia siedliska przez roślinność drzewiastą i krzewiastą &lt; 10% (FV) na wszystkich stanowiskach.</w:t>
      </w:r>
    </w:p>
    <w:p w:rsidR="00733BDB" w:rsidRPr="00A7321E" w:rsidRDefault="0080436C" w:rsidP="00A7321E">
      <w:pPr>
        <w:spacing w:after="0"/>
        <w:rPr>
          <w:rFonts w:ascii="Arial" w:hAnsi="Arial" w:cs="Arial"/>
        </w:rPr>
      </w:pPr>
      <w:r w:rsidRPr="00A7321E">
        <w:rPr>
          <w:rFonts w:ascii="Arial" w:hAnsi="Arial" w:cs="Arial"/>
          <w:bCs/>
        </w:rPr>
        <w:t>-</w:t>
      </w:r>
      <w:r w:rsidRPr="00A7321E">
        <w:rPr>
          <w:rFonts w:ascii="Arial" w:hAnsi="Arial" w:cs="Arial"/>
          <w:bCs/>
        </w:rPr>
        <w:tab/>
        <w:t xml:space="preserve">1303 </w:t>
      </w:r>
      <w:r w:rsidRPr="00A7321E">
        <w:rPr>
          <w:rFonts w:ascii="Arial" w:hAnsi="Arial" w:cs="Arial"/>
        </w:rPr>
        <w:t>Podkowiec mały</w:t>
      </w:r>
      <w:r w:rsidRPr="00A7321E">
        <w:rPr>
          <w:rFonts w:ascii="Arial" w:hAnsi="Arial" w:cs="Arial"/>
          <w:bCs/>
        </w:rPr>
        <w:t xml:space="preserve"> </w:t>
      </w:r>
      <w:r w:rsidRPr="00A7321E">
        <w:rPr>
          <w:rFonts w:ascii="Arial" w:hAnsi="Arial" w:cs="Arial"/>
          <w:i/>
        </w:rPr>
        <w:t>Rhinolophus hipposideros</w:t>
      </w:r>
      <w:r w:rsidRPr="00A7321E">
        <w:rPr>
          <w:rFonts w:ascii="Arial" w:hAnsi="Arial" w:cs="Arial"/>
        </w:rPr>
        <w:t xml:space="preserve"> - Utrzymanie stabilnej populacji gatunku z uwzględnieniem naturalnych procesów poprzez zachowanie 26 jaskiń stanowiących potencjalne miejsca zimowania (siedlisko 8310) (FV), utrzymanie 26 jaskiń jako obiektów dostępnych jednak z utrudnioną możliwością korzystania, z uwagi na charakter jaskiń jako obiektów wykorzystywanych przez grotołazów, dopuszcza się niewielką presję i pojedyncze przypadki niepokojenia (U1), wloty wszystkich 26 jaskiń stale dostępne dla nietoperzy, brak czynników utrudniających korzystanie z nich przez nietoperze (FV), brak zmian w strukturze zachowania jaskiń jako dogodnych siedlisk dla nietoperzy (FV).</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1308 Mopek Barbastella barbastellus – jak dla gatunku 1303.</w:t>
      </w:r>
    </w:p>
    <w:p w:rsidR="00733BDB" w:rsidRPr="00A7321E" w:rsidRDefault="0080436C" w:rsidP="00A7321E">
      <w:pPr>
        <w:spacing w:after="0"/>
        <w:rPr>
          <w:rFonts w:ascii="Arial" w:hAnsi="Arial" w:cs="Arial"/>
        </w:rPr>
      </w:pPr>
      <w:r w:rsidRPr="00A7321E">
        <w:rPr>
          <w:rFonts w:ascii="Arial" w:hAnsi="Arial" w:cs="Arial"/>
        </w:rPr>
        <w:t>-</w:t>
      </w:r>
      <w:r w:rsidRPr="00A7321E">
        <w:rPr>
          <w:rFonts w:ascii="Arial" w:hAnsi="Arial" w:cs="Arial"/>
        </w:rPr>
        <w:tab/>
        <w:t>1318 Nocek łydkowłosy  Myotis dasycneme - jak dla gatunku 1303.</w:t>
      </w:r>
    </w:p>
    <w:p w:rsidR="00733BDB" w:rsidRPr="00A7321E" w:rsidRDefault="0080436C" w:rsidP="00A7321E">
      <w:pPr>
        <w:spacing w:after="0"/>
        <w:rPr>
          <w:rFonts w:ascii="Arial" w:hAnsi="Arial" w:cs="Arial"/>
        </w:rPr>
      </w:pPr>
      <w:r w:rsidRPr="00A7321E">
        <w:rPr>
          <w:rFonts w:ascii="Arial" w:hAnsi="Arial" w:cs="Arial"/>
          <w:iCs/>
          <w:lang w:val="en-GB"/>
        </w:rPr>
        <w:t>-</w:t>
      </w:r>
      <w:r w:rsidRPr="00A7321E">
        <w:rPr>
          <w:rFonts w:ascii="Arial" w:hAnsi="Arial" w:cs="Arial"/>
          <w:iCs/>
          <w:lang w:val="en-GB"/>
        </w:rPr>
        <w:tab/>
        <w:t xml:space="preserve">1321 Nocek orzęsiony </w:t>
      </w:r>
      <w:r w:rsidRPr="00A7321E">
        <w:rPr>
          <w:rFonts w:ascii="Arial" w:hAnsi="Arial" w:cs="Arial"/>
          <w:lang w:val="en-GB"/>
        </w:rPr>
        <w:t xml:space="preserve">Myotis emarginatus - </w:t>
      </w:r>
      <w:r w:rsidRPr="00A7321E">
        <w:rPr>
          <w:rFonts w:ascii="Arial" w:hAnsi="Arial" w:cs="Arial"/>
        </w:rPr>
        <w:t>jak dla gatunku 1303.</w:t>
      </w:r>
    </w:p>
    <w:p w:rsidR="00733BDB" w:rsidRPr="00A7321E" w:rsidRDefault="0080436C" w:rsidP="00A7321E">
      <w:pPr>
        <w:spacing w:after="0"/>
        <w:rPr>
          <w:rFonts w:ascii="Arial" w:hAnsi="Arial" w:cs="Arial"/>
        </w:rPr>
      </w:pPr>
      <w:r w:rsidRPr="00A7321E">
        <w:rPr>
          <w:rFonts w:ascii="Arial" w:hAnsi="Arial" w:cs="Arial"/>
          <w:lang w:val="en-GB"/>
        </w:rPr>
        <w:t>-</w:t>
      </w:r>
      <w:r w:rsidRPr="00A7321E">
        <w:rPr>
          <w:rFonts w:ascii="Arial" w:hAnsi="Arial" w:cs="Arial"/>
          <w:lang w:val="en-GB"/>
        </w:rPr>
        <w:tab/>
        <w:t xml:space="preserve">1323 Nocek Bechsteina Myotis bechsteinii - </w:t>
      </w:r>
      <w:r w:rsidRPr="00A7321E">
        <w:rPr>
          <w:rFonts w:ascii="Arial" w:hAnsi="Arial" w:cs="Arial"/>
        </w:rPr>
        <w:t>jak dla gatunku 1303.</w:t>
      </w:r>
    </w:p>
    <w:p w:rsidR="00733BDB" w:rsidRPr="00A7321E" w:rsidRDefault="0080436C" w:rsidP="00A7321E">
      <w:pPr>
        <w:spacing w:after="0"/>
        <w:rPr>
          <w:rFonts w:ascii="Arial" w:hAnsi="Arial" w:cs="Arial"/>
        </w:rPr>
      </w:pPr>
      <w:r w:rsidRPr="00A7321E">
        <w:rPr>
          <w:rFonts w:ascii="Arial" w:hAnsi="Arial" w:cs="Arial"/>
          <w:lang w:val="en-GB"/>
        </w:rPr>
        <w:t>-</w:t>
      </w:r>
      <w:r w:rsidRPr="00A7321E">
        <w:rPr>
          <w:rFonts w:ascii="Arial" w:hAnsi="Arial" w:cs="Arial"/>
          <w:lang w:val="en-GB"/>
        </w:rPr>
        <w:tab/>
        <w:t xml:space="preserve">1324 Nocek duży Myotis myotis - </w:t>
      </w:r>
      <w:r w:rsidRPr="00A7321E">
        <w:rPr>
          <w:rFonts w:ascii="Arial" w:hAnsi="Arial" w:cs="Arial"/>
        </w:rPr>
        <w:t>jak dla gatunku 1303.</w:t>
      </w:r>
    </w:p>
    <w:p w:rsidR="00733BDB" w:rsidRPr="00A7321E" w:rsidRDefault="0080436C" w:rsidP="00A7321E">
      <w:pPr>
        <w:spacing w:after="120"/>
        <w:rPr>
          <w:rFonts w:ascii="Arial" w:hAnsi="Arial" w:cs="Arial"/>
          <w:lang w:val="en-GB"/>
        </w:rPr>
      </w:pPr>
      <w:r w:rsidRPr="00A7321E">
        <w:rPr>
          <w:rFonts w:ascii="Arial" w:hAnsi="Arial" w:cs="Arial"/>
          <w:lang w:val="en-GB"/>
        </w:rPr>
        <w:t>-</w:t>
      </w:r>
      <w:r w:rsidRPr="00A7321E">
        <w:rPr>
          <w:rFonts w:ascii="Arial" w:hAnsi="Arial" w:cs="Arial"/>
          <w:lang w:val="en-GB"/>
        </w:rPr>
        <w:tab/>
      </w:r>
      <w:r w:rsidRPr="00A7321E">
        <w:rPr>
          <w:rFonts w:ascii="Arial" w:hAnsi="Arial" w:cs="Arial"/>
          <w:bCs/>
        </w:rPr>
        <w:t xml:space="preserve">6177 Modraszek telejus Phengaris Telesiu - </w:t>
      </w:r>
      <w:r w:rsidRPr="00A7321E">
        <w:rPr>
          <w:rFonts w:ascii="Arial" w:hAnsi="Arial" w:cs="Arial"/>
        </w:rPr>
        <w:t>Celem działań ochronnych jest weryfikacja stanu zachowania gatunku potwierdzających jego występowanie w obszarze. Pozwoli to na podjęcie niezbędnych zadań ochronnych.</w:t>
      </w:r>
    </w:p>
    <w:p w:rsidR="002960E2" w:rsidRPr="00A7321E" w:rsidRDefault="0080436C" w:rsidP="00A7321E">
      <w:pPr>
        <w:spacing w:after="0"/>
        <w:rPr>
          <w:rFonts w:ascii="Arial" w:hAnsi="Arial" w:cs="Arial"/>
        </w:rPr>
      </w:pPr>
      <w:r w:rsidRPr="00A7321E">
        <w:rPr>
          <w:rFonts w:ascii="Arial" w:hAnsi="Arial" w:cs="Arial"/>
        </w:rPr>
        <w:t xml:space="preserve">W projekcie Zarządzenia Regionalnego Dyrektora Ochrony Środowiska w Katowicach w sprawie ustanowienia planu zadań ochronnych dla obszaru Natura 2000 Ostoja Olsztyńsko-Mirowska PLH240015 zidentyfikowano zagrożenia istniejące i potencjalne dla zachowania właściwego stanu ochrony siedlisk przyrodniczych i gatunku rośliny i jej siedliska będącymi przedmiotami ochrony. Są to m.in.: ścieżki, szlaki piesze, szlaki rowerowe, zmiana składu gatunkowego (sukcesja), konkurencja, zarzucanie pasterstwa, brak wypasu, zalesienie terenów otwartych, turystyka górska, wspinaczka, speleologia, wandalizm, problematyczne gatunki rodzime, sporty i różne formy czynnego wypoczynku i rekreacji uprawiane w plenerze, pozbywanie się odpadów z gospodarstw domowych/obiektów rekreacyjnych, obce gatunki inwazyjne, usuwanie martwych i umierających drzew, rekreacyjna turystyka jaskiniowa. </w:t>
      </w:r>
    </w:p>
    <w:p w:rsidR="00733BDB" w:rsidRPr="00A7321E" w:rsidRDefault="0080436C" w:rsidP="00A7321E">
      <w:pPr>
        <w:spacing w:after="0"/>
        <w:rPr>
          <w:rFonts w:ascii="Arial" w:hAnsi="Arial" w:cs="Arial"/>
        </w:rPr>
      </w:pPr>
      <w:r w:rsidRPr="00A7321E">
        <w:rPr>
          <w:rFonts w:ascii="Arial" w:hAnsi="Arial" w:cs="Arial"/>
        </w:rPr>
        <w:t>Budowa gazociągu w odległości 4,2 km od granicy przedmiotowego obszaru, nie stanowi zagrożenia dla przedmiotowego obszaru Natura 2000. Mając na uwadze przedmioty ochrony ww. obszaru wymienione w Standardowym Formularzu Danych, charakter, lokalizację i skalę możliwego oddziaływania przedsięwzięcia należy stwierdzić, że przedmiotowa inwestycja nie pogorszy stanu siedlisk przyrodniczych i siedlisk gatunków dla których ochrony wyznaczono obszar Natura 2000.</w:t>
      </w:r>
    </w:p>
    <w:p w:rsidR="00733BDB" w:rsidRPr="00A7321E" w:rsidRDefault="0080436C" w:rsidP="00A7321E">
      <w:pPr>
        <w:spacing w:after="120"/>
        <w:rPr>
          <w:rFonts w:ascii="Arial" w:eastAsia="Arial" w:hAnsi="Arial" w:cs="Arial"/>
        </w:rPr>
      </w:pPr>
      <w:r w:rsidRPr="00A7321E">
        <w:rPr>
          <w:rFonts w:ascii="Arial" w:eastAsia="Arial" w:hAnsi="Arial" w:cs="Arial"/>
        </w:rPr>
        <w:t xml:space="preserve">Teren realizacji przedsięwzięcia znajduje się częściowo w zasięgu korytarzy ekologicznych: korytarz spójności obszarów chronionych o nazwie: Górna Warta, regionalny korytarz migracji ptaków o nazwie: Dolina górnej Warty. Zarówno realizacja jak i eksploatacja przedsięwzięcia nie wpłynie na ciągłość i funkcjonalność korytarzy. </w:t>
      </w:r>
    </w:p>
    <w:p w:rsidR="00733BDB" w:rsidRPr="00A7321E" w:rsidRDefault="0080436C" w:rsidP="00A7321E">
      <w:pPr>
        <w:spacing w:after="120"/>
        <w:rPr>
          <w:rFonts w:ascii="Arial" w:hAnsi="Arial" w:cs="Arial"/>
        </w:rPr>
      </w:pPr>
      <w:r w:rsidRPr="00A7321E">
        <w:rPr>
          <w:rFonts w:ascii="Arial" w:hAnsi="Arial" w:cs="Arial"/>
        </w:rPr>
        <w:t xml:space="preserve">Planowane przedsięwzięcie znajduje się w granicach JCWPd o kodzie PLGW600099, która charakteryzuje się dobrym stanem ilościowym oraz chemicznym. Jest ona monitorowana, </w:t>
      </w:r>
      <w:r w:rsidRPr="00A7321E">
        <w:rPr>
          <w:rFonts w:ascii="Arial" w:hAnsi="Arial" w:cs="Arial"/>
        </w:rPr>
        <w:lastRenderedPageBreak/>
        <w:t>a ocena ryzyka nieosiągnięcia celów środowiskowych nie jest zagrożona. JCWPd przeznaczona jest do poboru wody na potrzeby zaopatrzania ludności w wodę przeznaczoną do spożycia. Planowana inwestycja zlokalizowana będzie w regionie wodnym Warty, w zlewni Jednolitej Części Wód Powierzchniowych (JCWP) Warta od Zbiornika Poraj do Cieku spod Rudnik o kodzie PLRW60001918133. JCWP posiada status silnie zmienionej części wód o złym stanie. Jest ona monitorowana i jest określona jako „zagrożona” nieosiągnięciem celów środowiskowych. Dla omawianej JCWP przedłużono termin osiągnięcia celu środowiskowego ze względu na brak możliwości technicznych. Projektowane obiekty gazownicze stanowią obiekty hermetyczne, które w trakcie eksploatacji nie powodują emisji zanieczyszczeń, w tym ścieków mogących zagrażać jakości wód, czy zmianą ich zasobów.</w:t>
      </w:r>
    </w:p>
    <w:p w:rsidR="00733BDB" w:rsidRPr="00A7321E" w:rsidRDefault="0080436C" w:rsidP="00A7321E">
      <w:pPr>
        <w:spacing w:after="120"/>
        <w:rPr>
          <w:rFonts w:ascii="Arial" w:hAnsi="Arial" w:cs="Arial"/>
        </w:rPr>
      </w:pPr>
      <w:r w:rsidRPr="00A7321E">
        <w:rPr>
          <w:rFonts w:ascii="Arial" w:hAnsi="Arial" w:cs="Arial"/>
        </w:rPr>
        <w:t>Mając na względzie charakter i skalę oddziaływania, zastosowane rozwiązania i technologie oraz przy założeniu realizacji określonych w sentencji warunków stwierdza się brak możliwości znaczącego oddziaływania na pozostające w zasięgu oddziaływania jednolite części wód i nie stwierdza się negatywnego oddziaływania przedmiotowego przedsięwzięcia, na realizację celów środowiskowych, o których mowa w art. 56, art. 57, art. 59 i art. 61 ustawy z dnia 20 lipca 2017 r. – Prawo wodne, a określonych dla tych części wód w „Planie gospodarowania wodami na obszarze dorzecza Odry”, przyjętym rozporządzeniem Rady Ministrów z dnia 18 października 2016 r. (Dz. U. z 2016 r. poz. 1967).</w:t>
      </w:r>
    </w:p>
    <w:p w:rsidR="00733BDB" w:rsidRPr="00A7321E" w:rsidRDefault="0080436C" w:rsidP="00A7321E">
      <w:pPr>
        <w:spacing w:after="120"/>
        <w:rPr>
          <w:rFonts w:ascii="Arial" w:hAnsi="Arial" w:cs="Arial"/>
        </w:rPr>
      </w:pPr>
      <w:r w:rsidRPr="00A7321E">
        <w:rPr>
          <w:rFonts w:ascii="Arial" w:hAnsi="Arial" w:cs="Arial"/>
          <w:color w:val="00000A"/>
        </w:rPr>
        <w:t xml:space="preserve">Oddziaływanie przedsięwzięcia ze względu na jego rodzaj będzie miało zasięg lokalny. Nie przewiduje się występowania oddziaływania skumulowanego. </w:t>
      </w:r>
      <w:r w:rsidRPr="00A7321E">
        <w:rPr>
          <w:rStyle w:val="FontStyle22"/>
          <w:rFonts w:ascii="Arial" w:hAnsi="Arial" w:cs="Arial"/>
        </w:rPr>
        <w:t>Ze względu na znaczną odległość inwestycji od granicy Państwa (ok. 100 km od planowanego zamierzenia), nie będą występowały oddziaływania transgraniczne.</w:t>
      </w:r>
    </w:p>
    <w:p w:rsidR="00733BDB" w:rsidRPr="00A7321E" w:rsidRDefault="0080436C" w:rsidP="00A7321E">
      <w:pPr>
        <w:spacing w:after="120"/>
        <w:rPr>
          <w:rFonts w:ascii="Arial" w:hAnsi="Arial" w:cs="Arial"/>
          <w:color w:val="00000A"/>
        </w:rPr>
      </w:pPr>
      <w:r w:rsidRPr="00A7321E">
        <w:rPr>
          <w:rFonts w:ascii="Arial" w:hAnsi="Arial" w:cs="Arial"/>
          <w:color w:val="00000A"/>
        </w:rPr>
        <w:t>Ryzyko wystąpienia katastrofy budowlanej jest niewielkie. Obszar inwestycji nie jest położony na obszarach, na których istnieje znaczące ryzyko powodzi lub na których wystąpienie dużego ryzyka jest prawdopodobne.</w:t>
      </w:r>
    </w:p>
    <w:p w:rsidR="00733BDB" w:rsidRPr="00A7321E" w:rsidRDefault="0080436C" w:rsidP="00A7321E">
      <w:pPr>
        <w:spacing w:after="120"/>
        <w:rPr>
          <w:rFonts w:ascii="Arial" w:hAnsi="Arial" w:cs="Arial"/>
          <w:color w:val="00000A"/>
        </w:rPr>
      </w:pPr>
      <w:r w:rsidRPr="00A7321E">
        <w:rPr>
          <w:rFonts w:ascii="Arial" w:hAnsi="Arial" w:cs="Arial"/>
          <w:color w:val="00000A"/>
        </w:rPr>
        <w:t>Przedsięwzięcie nie kwalifikuje się do kategorii zakładów stwarzających zagrożenie wystąpienia poważnej awarii przemysłowej. Nie ma ryzyka wystąpienia poważnej awarii przemysłowej i katastrofy naturalnej.</w:t>
      </w:r>
    </w:p>
    <w:p w:rsidR="00733BDB" w:rsidRPr="00A7321E" w:rsidRDefault="0080436C" w:rsidP="00A7321E">
      <w:pPr>
        <w:spacing w:after="120"/>
        <w:rPr>
          <w:rFonts w:ascii="Arial" w:hAnsi="Arial" w:cs="Arial"/>
          <w:color w:val="00000A"/>
          <w:kern w:val="2"/>
        </w:rPr>
      </w:pPr>
      <w:r w:rsidRPr="00A7321E">
        <w:rPr>
          <w:rFonts w:ascii="Arial" w:hAnsi="Arial" w:cs="Arial"/>
          <w:color w:val="00000A"/>
          <w:kern w:val="2"/>
        </w:rPr>
        <w:t>Teren, na którym będzie realizowana inwestycja nie jest objęty ochroną konserwatorską. Brak jest stanowisk archeologicznych. Teren przedsięwzięcia nie jest wpisany do rejestru zabytków.</w:t>
      </w:r>
    </w:p>
    <w:p w:rsidR="00733BDB" w:rsidRPr="00A7321E" w:rsidRDefault="0080436C" w:rsidP="00A7321E">
      <w:pPr>
        <w:spacing w:after="120"/>
        <w:rPr>
          <w:rFonts w:ascii="Arial" w:hAnsi="Arial" w:cs="Arial"/>
        </w:rPr>
      </w:pPr>
      <w:r w:rsidRPr="00A7321E">
        <w:rPr>
          <w:rFonts w:ascii="Arial" w:hAnsi="Arial" w:cs="Arial"/>
        </w:rPr>
        <w:t>Pełnomocnik inwestora wnioskiem z 9 marca 2022 r. wystąpił o nadanie rygoru natychmiastowej wykonalności przedmiotowej decyzji.</w:t>
      </w:r>
    </w:p>
    <w:p w:rsidR="00733BDB" w:rsidRPr="00A7321E" w:rsidRDefault="0080436C" w:rsidP="00A7321E">
      <w:pPr>
        <w:spacing w:after="120"/>
        <w:rPr>
          <w:rFonts w:ascii="Arial" w:hAnsi="Arial" w:cs="Arial"/>
        </w:rPr>
      </w:pPr>
      <w:r w:rsidRPr="00A7321E">
        <w:rPr>
          <w:rFonts w:ascii="Arial" w:hAnsi="Arial" w:cs="Arial"/>
        </w:rPr>
        <w:t xml:space="preserve">Niniejszej decyzji nadano rygor natychmiastowej wykonalności na ww. wniosek. Zgodnie z art. 108 § 1 ustawy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Katalog przesłanek uzasadniających nadanie decyzji rygoru natychmiastowej wykonalności jest zamknięty, a zatem jedynie wzgląd na dobra i wartości określone w wyżej przywołanym art. 108 § 1 Kpa zobowiązuje organ administracji publicznej do nadania decyzji takiego rygoru. </w:t>
      </w:r>
    </w:p>
    <w:p w:rsidR="00C30617" w:rsidRPr="00A7321E" w:rsidRDefault="0080436C" w:rsidP="00A7321E">
      <w:pPr>
        <w:spacing w:after="120"/>
        <w:rPr>
          <w:rFonts w:ascii="Arial" w:hAnsi="Arial" w:cs="Arial"/>
        </w:rPr>
      </w:pPr>
      <w:r w:rsidRPr="00A7321E">
        <w:rPr>
          <w:rFonts w:ascii="Arial" w:hAnsi="Arial" w:cs="Arial"/>
        </w:rPr>
        <w:t xml:space="preserve">We wniosku z 9 marca 2022 r., uzasadniono, iż nadanie rygoru natychmiastowej wykonalności decyzji Regionalnego Dyrektora Ochrony Środowiska w Katowicach </w:t>
      </w:r>
      <w:r w:rsidRPr="00A7321E">
        <w:rPr>
          <w:rFonts w:ascii="Arial" w:hAnsi="Arial" w:cs="Arial"/>
        </w:rPr>
        <w:lastRenderedPageBreak/>
        <w:t xml:space="preserve">o środowiskowych uwarunkowaniach, jest niezbędne z uwagi na ważny interes społeczny oraz szczególnie ważny interes Strony. </w:t>
      </w:r>
    </w:p>
    <w:p w:rsidR="00733BDB" w:rsidRPr="00A7321E" w:rsidRDefault="0080436C" w:rsidP="00A7321E">
      <w:pPr>
        <w:spacing w:after="120"/>
        <w:rPr>
          <w:rFonts w:ascii="Arial" w:hAnsi="Arial" w:cs="Arial"/>
        </w:rPr>
      </w:pPr>
      <w:r w:rsidRPr="00A7321E">
        <w:rPr>
          <w:rFonts w:ascii="Arial" w:hAnsi="Arial" w:cs="Arial"/>
        </w:rPr>
        <w:t>Projektowana budowa gazociągu wysokiego ciśnienia DN250 w gminach Poczesna oraz Częstochowa jest inwestycją celu publicznego, poprawiającą bezpieczeństwo energetyczne regionu dla okolicznych odbiorców indywidualnych i przemysłowych. Dzięki przeprowadzonej przebudowie ulegnie poprawie bezpieczeństwo użytkowania sieci, co ma bezpośredni wpływ na ochronę życia i zdrowia ludzkiego. Ponadto, na Wnioskodawcy, jako przedsiębiorstwie energetycznym i operatorze sieci przesyłowej, ciąży obowiązek o charakterze publiczno-prawnym, polegający na zapewnieniu sprawności urządzeń technicznych, w sposób gwarantujący zarówno bezpieczeństwo eksploatacji sieci gazowej, jak również bezpieczeństwo energetyczne. Obowiązek ten wynika m.in. z art. 4 ust. 1 Ustawy z dnia 10 kwietnia 1997 r. - Prawo energetyczne (Dz. U. z 2021 poz. 716 z późn. zm.). W kontekście powyższego wymaga podkreślenia, ze nadanie przedmiotowej decyzji rygoru natychmiastowej wykonalności przyspieszy procedurę wydania zezwolenia na realizację ww. inwestycji, a tym samym rozpoczęcie robot budowanych związanych z przebudową gazociągu.</w:t>
      </w:r>
    </w:p>
    <w:p w:rsidR="001974B3" w:rsidRPr="00A7321E" w:rsidRDefault="0080436C" w:rsidP="00A7321E">
      <w:pPr>
        <w:spacing w:after="0"/>
        <w:rPr>
          <w:rFonts w:ascii="Arial" w:hAnsi="Arial" w:cs="Arial"/>
        </w:rPr>
      </w:pPr>
      <w:r w:rsidRPr="00A7321E">
        <w:rPr>
          <w:rFonts w:ascii="Arial" w:hAnsi="Arial" w:cs="Arial"/>
        </w:rPr>
        <w:t xml:space="preserve">Postęp cywilizacyjny wymusza rosnące zapotrzebowanie na paliwa. Cechą inwestycji jest zwiększenie niezawodności istniejącego systemu przesyłowego. </w:t>
      </w:r>
    </w:p>
    <w:p w:rsidR="001974B3" w:rsidRPr="00A7321E" w:rsidRDefault="0080436C" w:rsidP="00A7321E">
      <w:pPr>
        <w:spacing w:after="0"/>
        <w:rPr>
          <w:rFonts w:ascii="Arial" w:hAnsi="Arial" w:cs="Arial"/>
        </w:rPr>
      </w:pPr>
      <w:r w:rsidRPr="00A7321E">
        <w:rPr>
          <w:rFonts w:ascii="Arial" w:hAnsi="Arial" w:cs="Arial"/>
        </w:rPr>
        <w:t>Budowa nowego gazociągu znacząco zmniejszy stopień ryzyka wystąpienia awarii, zakłóceń spowodowanych awarią jak również utrudnień i ograniczeń niezbędnych dla realizacji prac remontowych.</w:t>
      </w:r>
    </w:p>
    <w:p w:rsidR="00733BDB" w:rsidRPr="00A7321E" w:rsidRDefault="0080436C" w:rsidP="00A7321E">
      <w:pPr>
        <w:spacing w:after="120"/>
        <w:rPr>
          <w:rFonts w:ascii="Arial" w:hAnsi="Arial" w:cs="Arial"/>
        </w:rPr>
      </w:pPr>
      <w:r w:rsidRPr="00A7321E">
        <w:rPr>
          <w:rFonts w:ascii="Arial" w:hAnsi="Arial" w:cs="Arial"/>
        </w:rPr>
        <w:t>Biorąc pod uwagę powyższe stwierdzono, że przesłanka do nadania rygoru natychmiastowej wykonalności decyzji Regionalnego Dyrektora Ochrony Środowiska w Katowicach o środowiskowych uwarunkowaniach, wydanej dla przedsięwzięcia pn.: „Budowa gazociągu wysokiego ciśnienia DN250 MOP 5,5 MPa wraz z budową ZZU liniowego DN250 w ramach zadania": Opracowanie dokumentacji projektowej na przebudowę gazociągu wysokiego ciśnienia relacji Trzebiesławice - Częstochowa DN250 MOP 5,5 MPa - odc. Relacji Borowe Pole - Częstochowa, odgałęzienie Nowa Wieś Auchan - ZZU Słowik - rz. Warta wraz z budową ZZU liniowego DN250”” z uwagi na ważny interes społeczny, określony w art. 108 § 1 ustawy z dnia 14 czerwca 1960 r. – Kodeks postępowania administracyjnego (Dz. U. 2021 r., poz. 735 z późn. zm.), została spełniona.</w:t>
      </w:r>
    </w:p>
    <w:p w:rsidR="00733BDB" w:rsidRPr="00A7321E" w:rsidRDefault="0080436C" w:rsidP="00A7321E">
      <w:pPr>
        <w:spacing w:after="0"/>
        <w:rPr>
          <w:rFonts w:ascii="Arial" w:hAnsi="Arial" w:cs="Arial"/>
        </w:rPr>
      </w:pPr>
      <w:r w:rsidRPr="00A7321E">
        <w:rPr>
          <w:rFonts w:ascii="Arial" w:hAnsi="Arial" w:cs="Arial"/>
        </w:rPr>
        <w:t xml:space="preserve">Biorąc pod uwagę zakres planowanego przedsięwzięcia i proponowane rozwiązania techniczne można uznać, że przy zachowaniu zasad bezpieczeństwa oraz podstawowych wymogów ochrony środowiska przedmiotowa inwestycja nie będzie znacząco negatywnie oddziaływać na środowisko. Uwzględniając szczegółowe uwarunkowania wymienione w art. 63 ust. 1 ustawy o udostępnianiu informacji o środowisku, a zwłaszcza: </w:t>
      </w:r>
    </w:p>
    <w:p w:rsidR="007A765B" w:rsidRPr="00A7321E" w:rsidRDefault="0080436C" w:rsidP="00A7321E">
      <w:pPr>
        <w:pStyle w:val="Akapitzlist"/>
        <w:numPr>
          <w:ilvl w:val="0"/>
          <w:numId w:val="10"/>
        </w:numPr>
        <w:spacing w:after="0"/>
        <w:ind w:left="426" w:hanging="284"/>
        <w:rPr>
          <w:rFonts w:ascii="Arial" w:hAnsi="Arial" w:cs="Arial"/>
        </w:rPr>
      </w:pPr>
      <w:r w:rsidRPr="00A7321E">
        <w:rPr>
          <w:rFonts w:ascii="Arial" w:hAnsi="Arial" w:cs="Arial"/>
        </w:rPr>
        <w:t>lokalizację przedsięwzięcia poza terenami wymagającymi ochrony przyrodniczej,</w:t>
      </w:r>
    </w:p>
    <w:p w:rsidR="007A765B" w:rsidRPr="00A7321E" w:rsidRDefault="0080436C" w:rsidP="00A7321E">
      <w:pPr>
        <w:pStyle w:val="Akapitzlist"/>
        <w:numPr>
          <w:ilvl w:val="0"/>
          <w:numId w:val="10"/>
        </w:numPr>
        <w:spacing w:after="0"/>
        <w:ind w:left="426" w:hanging="284"/>
        <w:rPr>
          <w:rFonts w:ascii="Arial" w:hAnsi="Arial" w:cs="Arial"/>
        </w:rPr>
      </w:pPr>
      <w:r w:rsidRPr="00A7321E">
        <w:rPr>
          <w:rFonts w:ascii="Arial" w:hAnsi="Arial" w:cs="Arial"/>
        </w:rPr>
        <w:t>charakter i nieznaczną skalę oddziaływania, ograniczoną głównie do krótkotrwałego etapu realizacji przedsięwzięcia i bezpośredniej lokalizacji planowanych obiektów,</w:t>
      </w:r>
    </w:p>
    <w:p w:rsidR="00733BDB" w:rsidRPr="00A7321E" w:rsidRDefault="0080436C" w:rsidP="00A7321E">
      <w:pPr>
        <w:pStyle w:val="Akapitzlist"/>
        <w:numPr>
          <w:ilvl w:val="0"/>
          <w:numId w:val="10"/>
        </w:numPr>
        <w:spacing w:after="0"/>
        <w:ind w:left="426" w:hanging="284"/>
        <w:rPr>
          <w:rFonts w:ascii="Arial" w:hAnsi="Arial" w:cs="Arial"/>
        </w:rPr>
      </w:pPr>
      <w:r w:rsidRPr="00A7321E">
        <w:rPr>
          <w:rFonts w:ascii="Arial" w:hAnsi="Arial" w:cs="Arial"/>
        </w:rPr>
        <w:t>sposób korzystania ze środowiska nie wiążący się z powstaniem nowych znaczących stałych źródeł emisji lub koniecznością przekształcenia znacznej powierzchni terenu,</w:t>
      </w:r>
    </w:p>
    <w:p w:rsidR="00733BDB" w:rsidRPr="00A7321E" w:rsidRDefault="0080436C" w:rsidP="00A7321E">
      <w:pPr>
        <w:pStyle w:val="Akapitzlist"/>
        <w:numPr>
          <w:ilvl w:val="0"/>
          <w:numId w:val="10"/>
        </w:numPr>
        <w:spacing w:after="0"/>
        <w:ind w:left="426" w:hanging="284"/>
        <w:rPr>
          <w:rFonts w:ascii="Arial" w:hAnsi="Arial" w:cs="Arial"/>
        </w:rPr>
      </w:pPr>
      <w:r w:rsidRPr="00A7321E">
        <w:rPr>
          <w:rFonts w:ascii="Arial" w:hAnsi="Arial" w:cs="Arial"/>
        </w:rPr>
        <w:t>przyjęte sprawdzone rozwiązania techniczne, pozwalające na zminimalizowanie i ograniczenie prognozowanych oddziaływań,</w:t>
      </w:r>
    </w:p>
    <w:p w:rsidR="00733BDB" w:rsidRPr="00A7321E" w:rsidRDefault="0080436C" w:rsidP="00A7321E">
      <w:pPr>
        <w:spacing w:after="120"/>
        <w:rPr>
          <w:rFonts w:ascii="Arial" w:hAnsi="Arial" w:cs="Arial"/>
        </w:rPr>
      </w:pPr>
      <w:r w:rsidRPr="00A7321E">
        <w:rPr>
          <w:rFonts w:ascii="Arial" w:hAnsi="Arial" w:cs="Arial"/>
        </w:rPr>
        <w:t xml:space="preserve">po szczegółowej analizie przedłożonych informacji o planowanym przedsięwzięciu ustalono, że planowana inwestycja nie wpłynie na pogorszenie stanu środowiska na terenie, na którym będzie zlokalizowana. </w:t>
      </w:r>
    </w:p>
    <w:p w:rsidR="00733BDB" w:rsidRPr="00A7321E" w:rsidRDefault="0080436C" w:rsidP="00A7321E">
      <w:pPr>
        <w:spacing w:after="120"/>
        <w:rPr>
          <w:rFonts w:ascii="Arial" w:hAnsi="Arial" w:cs="Arial"/>
        </w:rPr>
      </w:pPr>
      <w:r w:rsidRPr="00A7321E">
        <w:rPr>
          <w:rFonts w:ascii="Arial" w:hAnsi="Arial" w:cs="Arial"/>
        </w:rPr>
        <w:lastRenderedPageBreak/>
        <w:t>Mając na uwadze powyższe i po uwzględnieniu opinii Śląskiego Państwowego Wojewódzkiego Inspektora Sanitarnego, Dyrektora Zarządu Zlewni Wód Polskich w Sieradzu, Regionalny Dyrektor Ochrony Środowiska w Katowicach stwierdził brak potrzeby przeprowadzenia oceny oddziaływania na środowisko dla przedmiotowego przedsięwzięcia i orzekł jak w sentencji niniejszej decyzji.</w:t>
      </w:r>
    </w:p>
    <w:p w:rsidR="00733BDB" w:rsidRPr="00A7321E" w:rsidRDefault="0080436C" w:rsidP="00A7321E">
      <w:pPr>
        <w:spacing w:after="120"/>
        <w:rPr>
          <w:rFonts w:ascii="Arial" w:hAnsi="Arial" w:cs="Arial"/>
          <w:kern w:val="2"/>
        </w:rPr>
      </w:pPr>
      <w:r w:rsidRPr="00A7321E">
        <w:rPr>
          <w:rFonts w:ascii="Arial" w:hAnsi="Arial" w:cs="Arial"/>
          <w:kern w:val="2"/>
        </w:rPr>
        <w:t>Pouczenie</w:t>
      </w:r>
    </w:p>
    <w:p w:rsidR="00733BDB" w:rsidRPr="00A7321E" w:rsidRDefault="0080436C" w:rsidP="00A7321E">
      <w:pPr>
        <w:spacing w:after="120"/>
        <w:textAlignment w:val="baseline"/>
        <w:rPr>
          <w:rFonts w:ascii="Arial" w:hAnsi="Arial" w:cs="Arial"/>
          <w:kern w:val="2"/>
        </w:rPr>
      </w:pPr>
      <w:r w:rsidRPr="00A7321E">
        <w:rPr>
          <w:rFonts w:ascii="Arial" w:hAnsi="Arial" w:cs="Arial"/>
          <w:kern w:val="2"/>
        </w:rPr>
        <w:t xml:space="preserve">Od niniejszej decyzji służy stronom odwołanie do Generalnego Dyrektora Ochrony Środowiska za pośrednictwem Regionalnego Dyrektora Ochrony Środowiska w Katowicach w terminie 14 dni od dnia doręczenia niniejszej decyzji (art. 127 § 1 i 2 oraz art. 129 § 1 i 2 Kpa). </w:t>
      </w:r>
    </w:p>
    <w:p w:rsidR="00733BDB" w:rsidRPr="00A7321E" w:rsidRDefault="0080436C" w:rsidP="00A7321E">
      <w:pPr>
        <w:spacing w:after="120"/>
        <w:textAlignment w:val="baseline"/>
        <w:rPr>
          <w:rFonts w:ascii="Arial" w:hAnsi="Arial" w:cs="Arial"/>
          <w:kern w:val="2"/>
        </w:rPr>
      </w:pPr>
      <w:r w:rsidRPr="00A7321E">
        <w:rPr>
          <w:rFonts w:ascii="Arial" w:hAnsi="Arial" w:cs="Arial"/>
          <w:kern w:val="2"/>
        </w:rPr>
        <w:t>W trakcie biegu terminu do wniesienia odwołania, strona ma prawo do zrzeczenia się wniesienia odwołania składając stosowne oświadczenie organowi, który decyzję wydał, nie później niż w 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rsidR="00733BDB" w:rsidRPr="00A7321E" w:rsidRDefault="0080436C" w:rsidP="00A7321E">
      <w:pPr>
        <w:spacing w:after="120"/>
        <w:textAlignment w:val="baseline"/>
        <w:rPr>
          <w:rFonts w:ascii="Arial" w:hAnsi="Arial" w:cs="Arial"/>
          <w:kern w:val="2"/>
        </w:rPr>
      </w:pPr>
      <w:r w:rsidRPr="00A7321E">
        <w:rPr>
          <w:rFonts w:ascii="Arial" w:hAnsi="Arial" w:cs="Arial"/>
          <w:kern w:val="2"/>
        </w:rPr>
        <w:t>Decyzja podlega wykonaniu przed upływem terminu do wniesienia odwołania, jeżeli jest zgodna z żądaniem wszystkich stron lub jeżeli wszystkie strony zrzekły się prawa do wniesienia odwołania (art. 130 § 4 Kpa).</w:t>
      </w:r>
    </w:p>
    <w:p w:rsidR="00733BDB" w:rsidRPr="00A7321E" w:rsidRDefault="0080436C" w:rsidP="00A7321E">
      <w:pPr>
        <w:spacing w:after="240"/>
        <w:textAlignment w:val="baseline"/>
        <w:rPr>
          <w:rFonts w:ascii="Arial" w:hAnsi="Arial" w:cs="Arial"/>
          <w:kern w:val="2"/>
        </w:rPr>
      </w:pPr>
      <w:r w:rsidRPr="00A7321E">
        <w:rPr>
          <w:rFonts w:ascii="Arial" w:hAnsi="Arial" w:cs="Arial"/>
          <w:kern w:val="2"/>
        </w:rPr>
        <w:t>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733BDB" w:rsidRPr="00A7321E" w:rsidRDefault="0080436C" w:rsidP="00A7321E">
      <w:pPr>
        <w:pStyle w:val="Tekstpodstawowy"/>
        <w:spacing w:line="276" w:lineRule="auto"/>
        <w:jc w:val="left"/>
        <w:rPr>
          <w:rFonts w:ascii="Arial" w:hAnsi="Arial" w:cs="Arial"/>
          <w:sz w:val="22"/>
          <w:szCs w:val="22"/>
        </w:rPr>
      </w:pPr>
      <w:r w:rsidRPr="00A7321E">
        <w:rPr>
          <w:rFonts w:ascii="Arial" w:hAnsi="Arial" w:cs="Arial"/>
          <w:sz w:val="22"/>
          <w:szCs w:val="22"/>
        </w:rPr>
        <w:t>Załączniki do decyzji:</w:t>
      </w:r>
    </w:p>
    <w:p w:rsidR="00733BDB" w:rsidRPr="00A7321E" w:rsidRDefault="0080436C" w:rsidP="00A7321E">
      <w:pPr>
        <w:pStyle w:val="Tekstpodstawowy"/>
        <w:numPr>
          <w:ilvl w:val="0"/>
          <w:numId w:val="13"/>
        </w:numPr>
        <w:spacing w:line="276" w:lineRule="auto"/>
        <w:ind w:left="426" w:hanging="284"/>
        <w:jc w:val="left"/>
        <w:rPr>
          <w:rFonts w:ascii="Arial" w:hAnsi="Arial" w:cs="Arial"/>
          <w:sz w:val="22"/>
          <w:szCs w:val="22"/>
        </w:rPr>
      </w:pPr>
      <w:r w:rsidRPr="00A7321E">
        <w:rPr>
          <w:rFonts w:ascii="Arial" w:hAnsi="Arial" w:cs="Arial"/>
          <w:sz w:val="22"/>
          <w:szCs w:val="22"/>
        </w:rPr>
        <w:t>Charakterystyka przedsięwzięcia.</w:t>
      </w:r>
    </w:p>
    <w:p w:rsidR="00733BDB" w:rsidRPr="00A7321E" w:rsidRDefault="0080436C" w:rsidP="00A7321E">
      <w:pPr>
        <w:pStyle w:val="Tekstpodstawowy"/>
        <w:numPr>
          <w:ilvl w:val="0"/>
          <w:numId w:val="13"/>
        </w:numPr>
        <w:spacing w:after="480" w:line="276" w:lineRule="auto"/>
        <w:ind w:left="426" w:hanging="284"/>
        <w:jc w:val="left"/>
        <w:rPr>
          <w:rFonts w:ascii="Arial" w:hAnsi="Arial" w:cs="Arial"/>
          <w:sz w:val="22"/>
          <w:szCs w:val="22"/>
        </w:rPr>
      </w:pPr>
      <w:r w:rsidRPr="00A7321E">
        <w:rPr>
          <w:rFonts w:ascii="Arial" w:hAnsi="Arial" w:cs="Arial"/>
          <w:sz w:val="22"/>
          <w:szCs w:val="22"/>
        </w:rPr>
        <w:t>Mapa lokalizacji przedsięwzięcia</w:t>
      </w:r>
    </w:p>
    <w:p w:rsidR="00733BDB" w:rsidRPr="00A7321E" w:rsidRDefault="0080436C" w:rsidP="00A7321E">
      <w:pPr>
        <w:spacing w:after="0"/>
        <w:rPr>
          <w:rFonts w:ascii="Arial" w:hAnsi="Arial" w:cs="Arial"/>
        </w:rPr>
      </w:pPr>
      <w:r w:rsidRPr="00A7321E">
        <w:rPr>
          <w:rFonts w:ascii="Arial" w:hAnsi="Arial" w:cs="Arial"/>
        </w:rPr>
        <w:t>Regionalny Dyrektor</w:t>
      </w:r>
    </w:p>
    <w:p w:rsidR="00733BDB" w:rsidRPr="00A7321E" w:rsidRDefault="0080436C" w:rsidP="00A7321E">
      <w:pPr>
        <w:spacing w:after="0"/>
        <w:rPr>
          <w:rFonts w:ascii="Arial" w:hAnsi="Arial" w:cs="Arial"/>
        </w:rPr>
      </w:pPr>
      <w:r w:rsidRPr="00A7321E">
        <w:rPr>
          <w:rFonts w:ascii="Arial" w:hAnsi="Arial" w:cs="Arial"/>
        </w:rPr>
        <w:t>Ochrony Środowiska w Katowicach</w:t>
      </w:r>
    </w:p>
    <w:p w:rsidR="00733BDB" w:rsidRPr="00A7321E" w:rsidRDefault="0080436C" w:rsidP="00A7321E">
      <w:pPr>
        <w:spacing w:after="0"/>
        <w:rPr>
          <w:rFonts w:ascii="Arial" w:hAnsi="Arial" w:cs="Arial"/>
        </w:rPr>
      </w:pPr>
      <w:r w:rsidRPr="00A7321E">
        <w:rPr>
          <w:rFonts w:ascii="Arial" w:hAnsi="Arial" w:cs="Arial"/>
        </w:rPr>
        <w:t xml:space="preserve">dr Mirosława Mierczyk-Sawicka </w:t>
      </w:r>
    </w:p>
    <w:p w:rsidR="00733BDB" w:rsidRPr="00A7321E" w:rsidRDefault="0080436C" w:rsidP="00A7321E">
      <w:pPr>
        <w:spacing w:after="360"/>
        <w:rPr>
          <w:rFonts w:ascii="Arial" w:hAnsi="Arial" w:cs="Arial"/>
        </w:rPr>
      </w:pPr>
      <w:r w:rsidRPr="00A7321E">
        <w:rPr>
          <w:rFonts w:ascii="Arial" w:hAnsi="Arial" w:cs="Arial"/>
        </w:rPr>
        <w:t>podpisano elektronicznie</w:t>
      </w:r>
    </w:p>
    <w:p w:rsidR="00733BDB" w:rsidRPr="00A7321E" w:rsidRDefault="0080436C" w:rsidP="00A7321E">
      <w:pPr>
        <w:pStyle w:val="Zwykytekst1"/>
        <w:tabs>
          <w:tab w:val="left" w:pos="2310"/>
        </w:tabs>
        <w:spacing w:line="276" w:lineRule="auto"/>
        <w:rPr>
          <w:rFonts w:ascii="Arial" w:hAnsi="Arial" w:cs="Arial"/>
          <w:sz w:val="22"/>
          <w:szCs w:val="22"/>
          <w:u w:val="single"/>
        </w:rPr>
      </w:pPr>
      <w:r w:rsidRPr="00A7321E">
        <w:rPr>
          <w:rFonts w:ascii="Arial" w:hAnsi="Arial" w:cs="Arial"/>
          <w:sz w:val="22"/>
          <w:szCs w:val="22"/>
          <w:u w:val="single"/>
          <w:lang w:eastAsia="ar-SA"/>
        </w:rPr>
        <w:t>Otrzymują:</w:t>
      </w:r>
    </w:p>
    <w:p w:rsidR="00733BDB" w:rsidRPr="00A7321E" w:rsidRDefault="0080436C" w:rsidP="00A7321E">
      <w:pPr>
        <w:pStyle w:val="Rozdzielnik"/>
        <w:numPr>
          <w:ilvl w:val="0"/>
          <w:numId w:val="15"/>
        </w:numPr>
        <w:spacing w:line="276" w:lineRule="auto"/>
        <w:ind w:left="426" w:hanging="284"/>
        <w:jc w:val="left"/>
        <w:rPr>
          <w:sz w:val="22"/>
          <w:szCs w:val="22"/>
        </w:rPr>
      </w:pPr>
      <w:r w:rsidRPr="00A7321E">
        <w:rPr>
          <w:sz w:val="22"/>
          <w:szCs w:val="22"/>
        </w:rPr>
        <w:t>Operator Gazociągów Przesyłowych GAZ-SYSTEM S.A.</w:t>
      </w:r>
    </w:p>
    <w:p w:rsidR="00733BDB" w:rsidRPr="00A7321E" w:rsidRDefault="0080436C" w:rsidP="00A7321E">
      <w:pPr>
        <w:pStyle w:val="Rozdzielnik"/>
        <w:numPr>
          <w:ilvl w:val="0"/>
          <w:numId w:val="0"/>
        </w:numPr>
        <w:spacing w:line="276" w:lineRule="auto"/>
        <w:ind w:left="426"/>
        <w:jc w:val="left"/>
        <w:rPr>
          <w:sz w:val="22"/>
          <w:szCs w:val="22"/>
        </w:rPr>
      </w:pPr>
      <w:r w:rsidRPr="00A7321E">
        <w:rPr>
          <w:sz w:val="22"/>
          <w:szCs w:val="22"/>
        </w:rPr>
        <w:t>02-337 Warszawa, ul. Mszczonowska 4</w:t>
      </w:r>
    </w:p>
    <w:p w:rsidR="00733BDB" w:rsidRPr="00A7321E" w:rsidRDefault="0080436C" w:rsidP="00A7321E">
      <w:pPr>
        <w:pStyle w:val="Rozdzielnik"/>
        <w:numPr>
          <w:ilvl w:val="0"/>
          <w:numId w:val="0"/>
        </w:numPr>
        <w:spacing w:line="276" w:lineRule="auto"/>
        <w:ind w:left="426"/>
        <w:jc w:val="left"/>
        <w:rPr>
          <w:sz w:val="22"/>
          <w:szCs w:val="22"/>
        </w:rPr>
      </w:pPr>
      <w:r w:rsidRPr="00A7321E">
        <w:rPr>
          <w:sz w:val="22"/>
          <w:szCs w:val="22"/>
        </w:rPr>
        <w:t xml:space="preserve">poprzez pełnomocnika </w:t>
      </w:r>
      <w:r w:rsidR="00B73B1C">
        <w:rPr>
          <w:sz w:val="22"/>
          <w:szCs w:val="22"/>
        </w:rPr>
        <w:t>–(dane osobowe zanonimizowano)</w:t>
      </w:r>
    </w:p>
    <w:p w:rsidR="00733BDB" w:rsidRPr="00A7321E" w:rsidRDefault="0080436C" w:rsidP="00A7321E">
      <w:pPr>
        <w:pStyle w:val="Rozdzielnik"/>
        <w:numPr>
          <w:ilvl w:val="0"/>
          <w:numId w:val="15"/>
        </w:numPr>
        <w:spacing w:line="276" w:lineRule="auto"/>
        <w:ind w:left="426" w:hanging="284"/>
        <w:jc w:val="left"/>
        <w:rPr>
          <w:sz w:val="22"/>
          <w:szCs w:val="22"/>
        </w:rPr>
      </w:pPr>
      <w:r w:rsidRPr="00A7321E">
        <w:rPr>
          <w:sz w:val="22"/>
          <w:szCs w:val="22"/>
        </w:rPr>
        <w:lastRenderedPageBreak/>
        <w:t xml:space="preserve">Pozostałe strony w formie obwieszczenia w trybie art. 49 Kpa w związku z art. 74 ust. </w:t>
      </w:r>
      <w:r w:rsidRPr="00A7321E">
        <w:rPr>
          <w:sz w:val="22"/>
          <w:szCs w:val="22"/>
        </w:rPr>
        <w:br/>
        <w:t>o udostępnianiu informacji o środowisku i jego ochronie, udziale społeczeństwa w ochronie środowiska oraz o ocenach oddziaływania na środowisko (</w:t>
      </w:r>
      <w:r w:rsidRPr="00A7321E">
        <w:rPr>
          <w:iCs/>
          <w:sz w:val="22"/>
          <w:szCs w:val="22"/>
        </w:rPr>
        <w:t>t.j. Dz. U. z 2022 r. poz. 1029</w:t>
      </w:r>
      <w:r w:rsidRPr="00A7321E">
        <w:rPr>
          <w:sz w:val="22"/>
          <w:szCs w:val="22"/>
        </w:rPr>
        <w:t>).</w:t>
      </w:r>
    </w:p>
    <w:p w:rsidR="00733BDB" w:rsidRPr="00A7321E" w:rsidRDefault="0080436C" w:rsidP="00A7321E">
      <w:pPr>
        <w:pStyle w:val="Rozdzielnik"/>
        <w:numPr>
          <w:ilvl w:val="0"/>
          <w:numId w:val="15"/>
        </w:numPr>
        <w:spacing w:after="600" w:line="276" w:lineRule="auto"/>
        <w:ind w:left="426" w:hanging="284"/>
        <w:jc w:val="left"/>
        <w:rPr>
          <w:sz w:val="22"/>
          <w:szCs w:val="22"/>
        </w:rPr>
      </w:pPr>
      <w:r w:rsidRPr="00A7321E">
        <w:rPr>
          <w:sz w:val="22"/>
          <w:szCs w:val="22"/>
        </w:rPr>
        <w:t>WOOŚ – 2 x aa</w:t>
      </w:r>
    </w:p>
    <w:p w:rsidR="005C35F9" w:rsidRPr="00A7321E" w:rsidRDefault="002F555D" w:rsidP="00A7321E">
      <w:pPr>
        <w:pStyle w:val="Rozdzielnik"/>
        <w:numPr>
          <w:ilvl w:val="0"/>
          <w:numId w:val="0"/>
        </w:numPr>
        <w:spacing w:after="600" w:line="276" w:lineRule="auto"/>
        <w:ind w:left="142"/>
        <w:jc w:val="left"/>
        <w:rPr>
          <w:sz w:val="22"/>
          <w:szCs w:val="22"/>
        </w:rPr>
      </w:pPr>
    </w:p>
    <w:p w:rsidR="00733BDB" w:rsidRPr="00A7321E" w:rsidRDefault="0080436C" w:rsidP="00A7321E">
      <w:pPr>
        <w:pStyle w:val="Rozdzielnik"/>
        <w:numPr>
          <w:ilvl w:val="0"/>
          <w:numId w:val="0"/>
        </w:numPr>
        <w:spacing w:line="276" w:lineRule="auto"/>
        <w:contextualSpacing w:val="0"/>
        <w:jc w:val="left"/>
        <w:rPr>
          <w:sz w:val="22"/>
          <w:szCs w:val="22"/>
          <w:u w:val="single"/>
        </w:rPr>
      </w:pPr>
      <w:r w:rsidRPr="00A7321E">
        <w:rPr>
          <w:sz w:val="22"/>
          <w:szCs w:val="22"/>
          <w:u w:val="single"/>
        </w:rPr>
        <w:t>Do wiadomości:</w:t>
      </w:r>
    </w:p>
    <w:p w:rsidR="00733BDB" w:rsidRPr="00A7321E" w:rsidRDefault="0080436C" w:rsidP="00A7321E">
      <w:pPr>
        <w:pStyle w:val="Rozdzielnik"/>
        <w:numPr>
          <w:ilvl w:val="0"/>
          <w:numId w:val="16"/>
        </w:numPr>
        <w:spacing w:line="276" w:lineRule="auto"/>
        <w:ind w:left="426" w:hanging="284"/>
        <w:jc w:val="left"/>
        <w:rPr>
          <w:sz w:val="22"/>
          <w:szCs w:val="22"/>
        </w:rPr>
      </w:pPr>
      <w:r w:rsidRPr="00A7321E">
        <w:rPr>
          <w:sz w:val="22"/>
          <w:szCs w:val="22"/>
        </w:rPr>
        <w:t>Śląski Państwowy Wojewódzki Inspektor Sanitarny (zgodnie z art. 74 ust. 4 ustawy ooś)</w:t>
      </w:r>
    </w:p>
    <w:p w:rsidR="00733BDB" w:rsidRPr="00A7321E" w:rsidRDefault="0080436C" w:rsidP="00A7321E">
      <w:pPr>
        <w:pStyle w:val="Rozdzielnik"/>
        <w:numPr>
          <w:ilvl w:val="0"/>
          <w:numId w:val="16"/>
        </w:numPr>
        <w:spacing w:line="276" w:lineRule="auto"/>
        <w:ind w:left="426" w:hanging="284"/>
        <w:jc w:val="left"/>
        <w:rPr>
          <w:sz w:val="22"/>
          <w:szCs w:val="22"/>
        </w:rPr>
      </w:pPr>
      <w:r w:rsidRPr="00A7321E">
        <w:rPr>
          <w:sz w:val="22"/>
          <w:szCs w:val="22"/>
        </w:rPr>
        <w:t>Dyrektor Zarządu Zlewni Wód Polskich w Sieradzu (zgodnie z art. 74 ust. 4 ustawy ooś)</w:t>
      </w:r>
    </w:p>
    <w:p w:rsidR="00733BDB" w:rsidRPr="00A7321E" w:rsidRDefault="0080436C" w:rsidP="00A7321E">
      <w:pPr>
        <w:pStyle w:val="Rozdzielnik"/>
        <w:numPr>
          <w:ilvl w:val="0"/>
          <w:numId w:val="16"/>
        </w:numPr>
        <w:spacing w:line="276" w:lineRule="auto"/>
        <w:ind w:left="426" w:hanging="284"/>
        <w:contextualSpacing w:val="0"/>
        <w:jc w:val="left"/>
        <w:rPr>
          <w:sz w:val="22"/>
          <w:szCs w:val="22"/>
        </w:rPr>
      </w:pPr>
      <w:r w:rsidRPr="00A7321E">
        <w:rPr>
          <w:sz w:val="22"/>
          <w:szCs w:val="22"/>
        </w:rPr>
        <w:t>Starosta Częstochowski (zgodnie z art. 86a ustawy ooś.)</w:t>
      </w:r>
    </w:p>
    <w:p w:rsidR="00733BDB" w:rsidRPr="00A7321E" w:rsidRDefault="0080436C" w:rsidP="00A7321E">
      <w:pPr>
        <w:pStyle w:val="Rozdzielnik"/>
        <w:numPr>
          <w:ilvl w:val="0"/>
          <w:numId w:val="16"/>
        </w:numPr>
        <w:spacing w:after="120" w:line="276" w:lineRule="auto"/>
        <w:ind w:left="426" w:hanging="284"/>
        <w:jc w:val="left"/>
        <w:rPr>
          <w:sz w:val="22"/>
          <w:szCs w:val="22"/>
        </w:rPr>
      </w:pPr>
      <w:r w:rsidRPr="00A7321E">
        <w:rPr>
          <w:sz w:val="22"/>
          <w:szCs w:val="22"/>
        </w:rPr>
        <w:t>Minister Infrastruktury (zgodnie z art. 19 ust. 2 i ust. 5 pkt 1 ustawy o inwestycjach w zakresie terminalu</w:t>
      </w:r>
      <w:r w:rsidRPr="00A7321E">
        <w:rPr>
          <w:kern w:val="2"/>
          <w:sz w:val="22"/>
          <w:szCs w:val="22"/>
        </w:rPr>
        <w:t>)</w:t>
      </w:r>
    </w:p>
    <w:p w:rsidR="000573EA" w:rsidRPr="00A7321E" w:rsidRDefault="0080436C" w:rsidP="00A7321E">
      <w:pPr>
        <w:pStyle w:val="Standardowy0"/>
        <w:spacing w:line="276" w:lineRule="auto"/>
        <w:jc w:val="left"/>
        <w:rPr>
          <w:rFonts w:ascii="Arial" w:hAnsi="Arial" w:cs="Arial"/>
          <w:sz w:val="22"/>
          <w:szCs w:val="22"/>
        </w:rPr>
      </w:pPr>
      <w:r w:rsidRPr="00A7321E">
        <w:rPr>
          <w:rFonts w:ascii="Arial" w:hAnsi="Arial" w:cs="Arial"/>
          <w:sz w:val="22"/>
          <w:szCs w:val="22"/>
        </w:rPr>
        <w:t>Zgodnie z ustawą z dnia 16 listopada 2006 r. o opłacie skarbowej (t.j. Dz. U. z 2021 r. poz. 1923 z późn. zm.), za wydanie decyzji 18 czerwca 2021 r. uiszczono opłatę skarbową w wysokości 205 zł oraz 2 x 17 zł za pełnomocnictwa na konto Urzędu Miasta Katowice (gł. specjalista Joanna Żółkiewicz).</w:t>
      </w:r>
    </w:p>
    <w:sectPr w:rsidR="000573EA" w:rsidRPr="00A7321E" w:rsidSect="00564E3F">
      <w:headerReference w:type="default" r:id="rId9"/>
      <w:footerReference w:type="default" r:id="rId10"/>
      <w:headerReference w:type="first" r:id="rId11"/>
      <w:footerReference w:type="first" r:id="rId12"/>
      <w:pgSz w:w="11906" w:h="16838"/>
      <w:pgMar w:top="1046" w:right="1417" w:bottom="1843" w:left="1417"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5D" w:rsidRDefault="002F555D" w:rsidP="000F0A39">
      <w:pPr>
        <w:spacing w:after="0" w:line="240" w:lineRule="auto"/>
      </w:pPr>
      <w:r>
        <w:separator/>
      </w:r>
    </w:p>
  </w:endnote>
  <w:endnote w:type="continuationSeparator" w:id="0">
    <w:p w:rsidR="002F555D" w:rsidRDefault="002F555D" w:rsidP="000F0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oudy Old Style CE ATT">
    <w:altName w:val="Book Antiqua"/>
    <w:charset w:val="EE"/>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roma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enturyGoth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C6" w:rsidRPr="004E1C1C" w:rsidRDefault="005E2B13" w:rsidP="005B6EC6">
    <w:pPr>
      <w:tabs>
        <w:tab w:val="center" w:pos="4536"/>
        <w:tab w:val="right" w:pos="9072"/>
      </w:tabs>
      <w:spacing w:after="0" w:line="240" w:lineRule="auto"/>
      <w:jc w:val="center"/>
      <w:rPr>
        <w:rFonts w:ascii="Arial" w:eastAsia="Times New Roman" w:hAnsi="Arial" w:cs="Arial"/>
        <w:sz w:val="18"/>
        <w:szCs w:val="18"/>
        <w:lang w:eastAsia="pl-PL"/>
      </w:rPr>
    </w:pPr>
    <w:r w:rsidRPr="004E1C1C">
      <w:rPr>
        <w:rFonts w:ascii="Arial" w:eastAsia="Times New Roman" w:hAnsi="Arial" w:cs="Arial"/>
        <w:sz w:val="18"/>
        <w:szCs w:val="18"/>
        <w:lang w:eastAsia="pl-PL"/>
      </w:rPr>
      <w:fldChar w:fldCharType="begin"/>
    </w:r>
    <w:r w:rsidR="0080436C" w:rsidRPr="004E1C1C">
      <w:rPr>
        <w:rFonts w:ascii="Arial" w:eastAsia="Times New Roman" w:hAnsi="Arial" w:cs="Arial"/>
        <w:sz w:val="18"/>
        <w:szCs w:val="18"/>
        <w:lang w:eastAsia="pl-PL"/>
      </w:rPr>
      <w:instrText xml:space="preserve"> PAGE </w:instrText>
    </w:r>
    <w:r w:rsidRPr="004E1C1C">
      <w:rPr>
        <w:rFonts w:ascii="Arial" w:eastAsia="Times New Roman" w:hAnsi="Arial" w:cs="Arial"/>
        <w:sz w:val="18"/>
        <w:szCs w:val="18"/>
        <w:lang w:eastAsia="pl-PL"/>
      </w:rPr>
      <w:fldChar w:fldCharType="separate"/>
    </w:r>
    <w:r w:rsidR="00B73B1C">
      <w:rPr>
        <w:rFonts w:ascii="Arial" w:eastAsia="Times New Roman" w:hAnsi="Arial" w:cs="Arial"/>
        <w:noProof/>
        <w:sz w:val="18"/>
        <w:szCs w:val="18"/>
        <w:lang w:eastAsia="pl-PL"/>
      </w:rPr>
      <w:t>20</w:t>
    </w:r>
    <w:r w:rsidRPr="004E1C1C">
      <w:rPr>
        <w:rFonts w:ascii="Arial" w:eastAsia="Times New Roman" w:hAnsi="Arial" w:cs="Arial"/>
        <w:sz w:val="18"/>
        <w:szCs w:val="18"/>
        <w:lang w:eastAsia="pl-PL"/>
      </w:rPr>
      <w:fldChar w:fldCharType="end"/>
    </w:r>
    <w:r w:rsidR="0080436C" w:rsidRPr="004E1C1C">
      <w:rPr>
        <w:rFonts w:ascii="Arial" w:eastAsia="Times New Roman" w:hAnsi="Arial" w:cs="Arial"/>
        <w:sz w:val="18"/>
        <w:szCs w:val="18"/>
        <w:lang w:eastAsia="pl-PL"/>
      </w:rPr>
      <w:t>/</w:t>
    </w:r>
    <w:r w:rsidRPr="004E1C1C">
      <w:rPr>
        <w:rFonts w:ascii="Arial" w:eastAsia="Times New Roman" w:hAnsi="Arial" w:cs="Arial"/>
        <w:sz w:val="18"/>
        <w:szCs w:val="18"/>
        <w:lang w:eastAsia="pl-PL"/>
      </w:rPr>
      <w:fldChar w:fldCharType="begin"/>
    </w:r>
    <w:r w:rsidR="0080436C" w:rsidRPr="004E1C1C">
      <w:rPr>
        <w:rFonts w:ascii="Arial" w:eastAsia="Times New Roman" w:hAnsi="Arial" w:cs="Arial"/>
        <w:sz w:val="18"/>
        <w:szCs w:val="18"/>
        <w:lang w:eastAsia="pl-PL"/>
      </w:rPr>
      <w:instrText xml:space="preserve"> NUMPAGES </w:instrText>
    </w:r>
    <w:r w:rsidRPr="004E1C1C">
      <w:rPr>
        <w:rFonts w:ascii="Arial" w:eastAsia="Times New Roman" w:hAnsi="Arial" w:cs="Arial"/>
        <w:sz w:val="18"/>
        <w:szCs w:val="18"/>
        <w:lang w:eastAsia="pl-PL"/>
      </w:rPr>
      <w:fldChar w:fldCharType="separate"/>
    </w:r>
    <w:r w:rsidR="00B73B1C">
      <w:rPr>
        <w:rFonts w:ascii="Arial" w:eastAsia="Times New Roman" w:hAnsi="Arial" w:cs="Arial"/>
        <w:noProof/>
        <w:sz w:val="18"/>
        <w:szCs w:val="18"/>
        <w:lang w:eastAsia="pl-PL"/>
      </w:rPr>
      <w:t>21</w:t>
    </w:r>
    <w:r w:rsidRPr="004E1C1C">
      <w:rPr>
        <w:rFonts w:ascii="Arial" w:eastAsia="Times New Roman" w:hAnsi="Arial" w:cs="Arial"/>
        <w:sz w:val="18"/>
        <w:szCs w:val="18"/>
        <w:lang w:eastAsia="pl-PL"/>
      </w:rPr>
      <w:fldChar w:fldCharType="end"/>
    </w:r>
  </w:p>
  <w:p w:rsidR="001F489F" w:rsidRDefault="002F555D" w:rsidP="007A7EBB">
    <w:pPr>
      <w:pStyle w:val="Stopk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6" w:rsidRPr="00425F85" w:rsidRDefault="002F555D" w:rsidP="00F23225">
    <w:pPr>
      <w:pStyle w:val="Stopka"/>
      <w:tabs>
        <w:tab w:val="clear" w:pos="4536"/>
        <w:tab w:val="clear" w:pos="9072"/>
      </w:tabs>
      <w:ind w:hanging="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5D" w:rsidRDefault="002F555D" w:rsidP="000F0A39">
      <w:pPr>
        <w:spacing w:after="0" w:line="240" w:lineRule="auto"/>
      </w:pPr>
      <w:r>
        <w:separator/>
      </w:r>
    </w:p>
  </w:footnote>
  <w:footnote w:type="continuationSeparator" w:id="0">
    <w:p w:rsidR="002F555D" w:rsidRDefault="002F555D" w:rsidP="000F0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8F9" w:rsidRDefault="002F555D" w:rsidP="000F38F9">
    <w:pPr>
      <w:pStyle w:val="Nagwek"/>
      <w:ind w:hanging="113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ACA" w:rsidRDefault="002F555D" w:rsidP="00A7321E">
    <w:pPr>
      <w:tabs>
        <w:tab w:val="center" w:pos="141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494"/>
    <w:multiLevelType w:val="hybridMultilevel"/>
    <w:tmpl w:val="9E80265E"/>
    <w:lvl w:ilvl="0" w:tplc="BA6A0E76">
      <w:start w:val="1"/>
      <w:numFmt w:val="lowerLetter"/>
      <w:lvlText w:val="%1)"/>
      <w:lvlJc w:val="left"/>
      <w:pPr>
        <w:ind w:left="1080" w:hanging="360"/>
      </w:pPr>
      <w:rPr>
        <w:rFonts w:hint="default"/>
      </w:rPr>
    </w:lvl>
    <w:lvl w:ilvl="1" w:tplc="0FC0A47C" w:tentative="1">
      <w:start w:val="1"/>
      <w:numFmt w:val="lowerLetter"/>
      <w:lvlText w:val="%2."/>
      <w:lvlJc w:val="left"/>
      <w:pPr>
        <w:ind w:left="1800" w:hanging="360"/>
      </w:pPr>
    </w:lvl>
    <w:lvl w:ilvl="2" w:tplc="C94C1318" w:tentative="1">
      <w:start w:val="1"/>
      <w:numFmt w:val="lowerRoman"/>
      <w:lvlText w:val="%3."/>
      <w:lvlJc w:val="right"/>
      <w:pPr>
        <w:ind w:left="2520" w:hanging="180"/>
      </w:pPr>
    </w:lvl>
    <w:lvl w:ilvl="3" w:tplc="F0FECD04" w:tentative="1">
      <w:start w:val="1"/>
      <w:numFmt w:val="decimal"/>
      <w:lvlText w:val="%4."/>
      <w:lvlJc w:val="left"/>
      <w:pPr>
        <w:ind w:left="3240" w:hanging="360"/>
      </w:pPr>
    </w:lvl>
    <w:lvl w:ilvl="4" w:tplc="C3506EEE" w:tentative="1">
      <w:start w:val="1"/>
      <w:numFmt w:val="lowerLetter"/>
      <w:lvlText w:val="%5."/>
      <w:lvlJc w:val="left"/>
      <w:pPr>
        <w:ind w:left="3960" w:hanging="360"/>
      </w:pPr>
    </w:lvl>
    <w:lvl w:ilvl="5" w:tplc="25B4DF62" w:tentative="1">
      <w:start w:val="1"/>
      <w:numFmt w:val="lowerRoman"/>
      <w:lvlText w:val="%6."/>
      <w:lvlJc w:val="right"/>
      <w:pPr>
        <w:ind w:left="4680" w:hanging="180"/>
      </w:pPr>
    </w:lvl>
    <w:lvl w:ilvl="6" w:tplc="77D0D6AC" w:tentative="1">
      <w:start w:val="1"/>
      <w:numFmt w:val="decimal"/>
      <w:lvlText w:val="%7."/>
      <w:lvlJc w:val="left"/>
      <w:pPr>
        <w:ind w:left="5400" w:hanging="360"/>
      </w:pPr>
    </w:lvl>
    <w:lvl w:ilvl="7" w:tplc="1C7AB594" w:tentative="1">
      <w:start w:val="1"/>
      <w:numFmt w:val="lowerLetter"/>
      <w:lvlText w:val="%8."/>
      <w:lvlJc w:val="left"/>
      <w:pPr>
        <w:ind w:left="6120" w:hanging="360"/>
      </w:pPr>
    </w:lvl>
    <w:lvl w:ilvl="8" w:tplc="9920F8A0" w:tentative="1">
      <w:start w:val="1"/>
      <w:numFmt w:val="lowerRoman"/>
      <w:lvlText w:val="%9."/>
      <w:lvlJc w:val="right"/>
      <w:pPr>
        <w:ind w:left="6840" w:hanging="180"/>
      </w:pPr>
    </w:lvl>
  </w:abstractNum>
  <w:abstractNum w:abstractNumId="1">
    <w:nsid w:val="0A06304A"/>
    <w:multiLevelType w:val="hybridMultilevel"/>
    <w:tmpl w:val="658AD6AA"/>
    <w:lvl w:ilvl="0" w:tplc="955C54BA">
      <w:start w:val="1"/>
      <w:numFmt w:val="decimal"/>
      <w:lvlText w:val="%1)"/>
      <w:lvlJc w:val="left"/>
      <w:pPr>
        <w:ind w:left="1353" w:hanging="360"/>
      </w:pPr>
      <w:rPr>
        <w:rFonts w:hint="default"/>
      </w:rPr>
    </w:lvl>
    <w:lvl w:ilvl="1" w:tplc="EE36526E" w:tentative="1">
      <w:start w:val="1"/>
      <w:numFmt w:val="lowerLetter"/>
      <w:lvlText w:val="%2."/>
      <w:lvlJc w:val="left"/>
      <w:pPr>
        <w:ind w:left="1440" w:hanging="360"/>
      </w:pPr>
    </w:lvl>
    <w:lvl w:ilvl="2" w:tplc="DE6A3CBE" w:tentative="1">
      <w:start w:val="1"/>
      <w:numFmt w:val="lowerRoman"/>
      <w:lvlText w:val="%3."/>
      <w:lvlJc w:val="right"/>
      <w:pPr>
        <w:ind w:left="2160" w:hanging="180"/>
      </w:pPr>
    </w:lvl>
    <w:lvl w:ilvl="3" w:tplc="B262F380" w:tentative="1">
      <w:start w:val="1"/>
      <w:numFmt w:val="decimal"/>
      <w:lvlText w:val="%4."/>
      <w:lvlJc w:val="left"/>
      <w:pPr>
        <w:ind w:left="2880" w:hanging="360"/>
      </w:pPr>
    </w:lvl>
    <w:lvl w:ilvl="4" w:tplc="173A8B3E" w:tentative="1">
      <w:start w:val="1"/>
      <w:numFmt w:val="lowerLetter"/>
      <w:lvlText w:val="%5."/>
      <w:lvlJc w:val="left"/>
      <w:pPr>
        <w:ind w:left="3600" w:hanging="360"/>
      </w:pPr>
    </w:lvl>
    <w:lvl w:ilvl="5" w:tplc="6BA06B36" w:tentative="1">
      <w:start w:val="1"/>
      <w:numFmt w:val="lowerRoman"/>
      <w:lvlText w:val="%6."/>
      <w:lvlJc w:val="right"/>
      <w:pPr>
        <w:ind w:left="4320" w:hanging="180"/>
      </w:pPr>
    </w:lvl>
    <w:lvl w:ilvl="6" w:tplc="8D543166" w:tentative="1">
      <w:start w:val="1"/>
      <w:numFmt w:val="decimal"/>
      <w:lvlText w:val="%7."/>
      <w:lvlJc w:val="left"/>
      <w:pPr>
        <w:ind w:left="5040" w:hanging="360"/>
      </w:pPr>
    </w:lvl>
    <w:lvl w:ilvl="7" w:tplc="79CAB258" w:tentative="1">
      <w:start w:val="1"/>
      <w:numFmt w:val="lowerLetter"/>
      <w:lvlText w:val="%8."/>
      <w:lvlJc w:val="left"/>
      <w:pPr>
        <w:ind w:left="5760" w:hanging="360"/>
      </w:pPr>
    </w:lvl>
    <w:lvl w:ilvl="8" w:tplc="5A4CAFA2" w:tentative="1">
      <w:start w:val="1"/>
      <w:numFmt w:val="lowerRoman"/>
      <w:lvlText w:val="%9."/>
      <w:lvlJc w:val="right"/>
      <w:pPr>
        <w:ind w:left="6480" w:hanging="180"/>
      </w:pPr>
    </w:lvl>
  </w:abstractNum>
  <w:abstractNum w:abstractNumId="2">
    <w:nsid w:val="0C4D1398"/>
    <w:multiLevelType w:val="hybridMultilevel"/>
    <w:tmpl w:val="23086BDE"/>
    <w:lvl w:ilvl="0" w:tplc="DE8079FE">
      <w:start w:val="1"/>
      <w:numFmt w:val="decimal"/>
      <w:lvlText w:val="%1."/>
      <w:lvlJc w:val="left"/>
      <w:pPr>
        <w:ind w:left="786" w:hanging="360"/>
      </w:pPr>
      <w:rPr>
        <w:rFonts w:hint="default"/>
        <w:b w:val="0"/>
        <w:bCs w:val="0"/>
        <w:caps w:val="0"/>
        <w:color w:val="000000"/>
        <w:sz w:val="22"/>
        <w:szCs w:val="22"/>
      </w:rPr>
    </w:lvl>
    <w:lvl w:ilvl="1" w:tplc="7F9C2056">
      <w:start w:val="1"/>
      <w:numFmt w:val="lowerLetter"/>
      <w:lvlText w:val="%2)"/>
      <w:lvlJc w:val="left"/>
      <w:pPr>
        <w:ind w:left="2160" w:hanging="360"/>
      </w:pPr>
      <w:rPr>
        <w:rFonts w:ascii="Arial" w:eastAsia="Calibri" w:hAnsi="Arial" w:cs="Arial"/>
      </w:rPr>
    </w:lvl>
    <w:lvl w:ilvl="2" w:tplc="DCD21314" w:tentative="1">
      <w:start w:val="1"/>
      <w:numFmt w:val="lowerRoman"/>
      <w:lvlText w:val="%3."/>
      <w:lvlJc w:val="right"/>
      <w:pPr>
        <w:ind w:left="2880" w:hanging="180"/>
      </w:pPr>
    </w:lvl>
    <w:lvl w:ilvl="3" w:tplc="61A6B394" w:tentative="1">
      <w:start w:val="1"/>
      <w:numFmt w:val="decimal"/>
      <w:lvlText w:val="%4."/>
      <w:lvlJc w:val="left"/>
      <w:pPr>
        <w:ind w:left="3600" w:hanging="360"/>
      </w:pPr>
    </w:lvl>
    <w:lvl w:ilvl="4" w:tplc="A9FE104A" w:tentative="1">
      <w:start w:val="1"/>
      <w:numFmt w:val="lowerLetter"/>
      <w:lvlText w:val="%5."/>
      <w:lvlJc w:val="left"/>
      <w:pPr>
        <w:ind w:left="4320" w:hanging="360"/>
      </w:pPr>
    </w:lvl>
    <w:lvl w:ilvl="5" w:tplc="4738A720" w:tentative="1">
      <w:start w:val="1"/>
      <w:numFmt w:val="lowerRoman"/>
      <w:lvlText w:val="%6."/>
      <w:lvlJc w:val="right"/>
      <w:pPr>
        <w:ind w:left="5040" w:hanging="180"/>
      </w:pPr>
    </w:lvl>
    <w:lvl w:ilvl="6" w:tplc="187C9F9E" w:tentative="1">
      <w:start w:val="1"/>
      <w:numFmt w:val="decimal"/>
      <w:lvlText w:val="%7."/>
      <w:lvlJc w:val="left"/>
      <w:pPr>
        <w:ind w:left="5760" w:hanging="360"/>
      </w:pPr>
    </w:lvl>
    <w:lvl w:ilvl="7" w:tplc="F880F896" w:tentative="1">
      <w:start w:val="1"/>
      <w:numFmt w:val="lowerLetter"/>
      <w:lvlText w:val="%8."/>
      <w:lvlJc w:val="left"/>
      <w:pPr>
        <w:ind w:left="6480" w:hanging="360"/>
      </w:pPr>
    </w:lvl>
    <w:lvl w:ilvl="8" w:tplc="2A8CBED8" w:tentative="1">
      <w:start w:val="1"/>
      <w:numFmt w:val="lowerRoman"/>
      <w:lvlText w:val="%9."/>
      <w:lvlJc w:val="right"/>
      <w:pPr>
        <w:ind w:left="7200" w:hanging="180"/>
      </w:pPr>
    </w:lvl>
  </w:abstractNum>
  <w:abstractNum w:abstractNumId="3">
    <w:nsid w:val="1BD161B8"/>
    <w:multiLevelType w:val="hybridMultilevel"/>
    <w:tmpl w:val="D62AA54E"/>
    <w:lvl w:ilvl="0" w:tplc="A2CE412E">
      <w:start w:val="1"/>
      <w:numFmt w:val="bullet"/>
      <w:lvlText w:val=""/>
      <w:lvlJc w:val="left"/>
      <w:pPr>
        <w:ind w:left="720" w:hanging="360"/>
      </w:pPr>
      <w:rPr>
        <w:rFonts w:ascii="Wingdings" w:hAnsi="Wingdings" w:hint="default"/>
      </w:rPr>
    </w:lvl>
    <w:lvl w:ilvl="1" w:tplc="07861A36" w:tentative="1">
      <w:start w:val="1"/>
      <w:numFmt w:val="bullet"/>
      <w:lvlText w:val="o"/>
      <w:lvlJc w:val="left"/>
      <w:pPr>
        <w:ind w:left="1440" w:hanging="360"/>
      </w:pPr>
      <w:rPr>
        <w:rFonts w:ascii="Courier New" w:hAnsi="Courier New" w:cs="Courier New" w:hint="default"/>
      </w:rPr>
    </w:lvl>
    <w:lvl w:ilvl="2" w:tplc="E58E066E" w:tentative="1">
      <w:start w:val="1"/>
      <w:numFmt w:val="bullet"/>
      <w:lvlText w:val=""/>
      <w:lvlJc w:val="left"/>
      <w:pPr>
        <w:ind w:left="2160" w:hanging="360"/>
      </w:pPr>
      <w:rPr>
        <w:rFonts w:ascii="Wingdings" w:hAnsi="Wingdings" w:hint="default"/>
      </w:rPr>
    </w:lvl>
    <w:lvl w:ilvl="3" w:tplc="EB14214E" w:tentative="1">
      <w:start w:val="1"/>
      <w:numFmt w:val="bullet"/>
      <w:lvlText w:val=""/>
      <w:lvlJc w:val="left"/>
      <w:pPr>
        <w:ind w:left="2880" w:hanging="360"/>
      </w:pPr>
      <w:rPr>
        <w:rFonts w:ascii="Symbol" w:hAnsi="Symbol" w:hint="default"/>
      </w:rPr>
    </w:lvl>
    <w:lvl w:ilvl="4" w:tplc="1FF6A406" w:tentative="1">
      <w:start w:val="1"/>
      <w:numFmt w:val="bullet"/>
      <w:lvlText w:val="o"/>
      <w:lvlJc w:val="left"/>
      <w:pPr>
        <w:ind w:left="3600" w:hanging="360"/>
      </w:pPr>
      <w:rPr>
        <w:rFonts w:ascii="Courier New" w:hAnsi="Courier New" w:cs="Courier New" w:hint="default"/>
      </w:rPr>
    </w:lvl>
    <w:lvl w:ilvl="5" w:tplc="F0241F3E" w:tentative="1">
      <w:start w:val="1"/>
      <w:numFmt w:val="bullet"/>
      <w:lvlText w:val=""/>
      <w:lvlJc w:val="left"/>
      <w:pPr>
        <w:ind w:left="4320" w:hanging="360"/>
      </w:pPr>
      <w:rPr>
        <w:rFonts w:ascii="Wingdings" w:hAnsi="Wingdings" w:hint="default"/>
      </w:rPr>
    </w:lvl>
    <w:lvl w:ilvl="6" w:tplc="E512A1EA" w:tentative="1">
      <w:start w:val="1"/>
      <w:numFmt w:val="bullet"/>
      <w:lvlText w:val=""/>
      <w:lvlJc w:val="left"/>
      <w:pPr>
        <w:ind w:left="5040" w:hanging="360"/>
      </w:pPr>
      <w:rPr>
        <w:rFonts w:ascii="Symbol" w:hAnsi="Symbol" w:hint="default"/>
      </w:rPr>
    </w:lvl>
    <w:lvl w:ilvl="7" w:tplc="158854EE" w:tentative="1">
      <w:start w:val="1"/>
      <w:numFmt w:val="bullet"/>
      <w:lvlText w:val="o"/>
      <w:lvlJc w:val="left"/>
      <w:pPr>
        <w:ind w:left="5760" w:hanging="360"/>
      </w:pPr>
      <w:rPr>
        <w:rFonts w:ascii="Courier New" w:hAnsi="Courier New" w:cs="Courier New" w:hint="default"/>
      </w:rPr>
    </w:lvl>
    <w:lvl w:ilvl="8" w:tplc="967211FE" w:tentative="1">
      <w:start w:val="1"/>
      <w:numFmt w:val="bullet"/>
      <w:lvlText w:val=""/>
      <w:lvlJc w:val="left"/>
      <w:pPr>
        <w:ind w:left="6480" w:hanging="360"/>
      </w:pPr>
      <w:rPr>
        <w:rFonts w:ascii="Wingdings" w:hAnsi="Wingdings" w:hint="default"/>
      </w:rPr>
    </w:lvl>
  </w:abstractNum>
  <w:abstractNum w:abstractNumId="4">
    <w:nsid w:val="1D5E56DF"/>
    <w:multiLevelType w:val="hybridMultilevel"/>
    <w:tmpl w:val="763673EA"/>
    <w:lvl w:ilvl="0" w:tplc="B0FE8068">
      <w:start w:val="1"/>
      <w:numFmt w:val="bullet"/>
      <w:lvlText w:val=""/>
      <w:lvlJc w:val="left"/>
      <w:pPr>
        <w:tabs>
          <w:tab w:val="num" w:pos="903"/>
        </w:tabs>
        <w:ind w:left="903" w:hanging="363"/>
      </w:pPr>
      <w:rPr>
        <w:rFonts w:ascii="Symbol" w:hAnsi="Symbol" w:hint="default"/>
      </w:rPr>
    </w:lvl>
    <w:lvl w:ilvl="1" w:tplc="AC98B534" w:tentative="1">
      <w:start w:val="1"/>
      <w:numFmt w:val="bullet"/>
      <w:lvlText w:val="o"/>
      <w:lvlJc w:val="left"/>
      <w:pPr>
        <w:tabs>
          <w:tab w:val="num" w:pos="1440"/>
        </w:tabs>
        <w:ind w:left="1440" w:hanging="360"/>
      </w:pPr>
      <w:rPr>
        <w:rFonts w:ascii="Courier New" w:hAnsi="Courier New" w:cs="Courier New" w:hint="default"/>
      </w:rPr>
    </w:lvl>
    <w:lvl w:ilvl="2" w:tplc="1BBA085A" w:tentative="1">
      <w:start w:val="1"/>
      <w:numFmt w:val="bullet"/>
      <w:lvlText w:val=""/>
      <w:lvlJc w:val="left"/>
      <w:pPr>
        <w:tabs>
          <w:tab w:val="num" w:pos="2160"/>
        </w:tabs>
        <w:ind w:left="2160" w:hanging="360"/>
      </w:pPr>
      <w:rPr>
        <w:rFonts w:ascii="Wingdings" w:hAnsi="Wingdings" w:hint="default"/>
      </w:rPr>
    </w:lvl>
    <w:lvl w:ilvl="3" w:tplc="D67A8B06" w:tentative="1">
      <w:start w:val="1"/>
      <w:numFmt w:val="bullet"/>
      <w:lvlText w:val=""/>
      <w:lvlJc w:val="left"/>
      <w:pPr>
        <w:tabs>
          <w:tab w:val="num" w:pos="2880"/>
        </w:tabs>
        <w:ind w:left="2880" w:hanging="360"/>
      </w:pPr>
      <w:rPr>
        <w:rFonts w:ascii="Symbol" w:hAnsi="Symbol" w:hint="default"/>
      </w:rPr>
    </w:lvl>
    <w:lvl w:ilvl="4" w:tplc="0BC62B5E" w:tentative="1">
      <w:start w:val="1"/>
      <w:numFmt w:val="bullet"/>
      <w:lvlText w:val="o"/>
      <w:lvlJc w:val="left"/>
      <w:pPr>
        <w:tabs>
          <w:tab w:val="num" w:pos="3600"/>
        </w:tabs>
        <w:ind w:left="3600" w:hanging="360"/>
      </w:pPr>
      <w:rPr>
        <w:rFonts w:ascii="Courier New" w:hAnsi="Courier New" w:cs="Courier New" w:hint="default"/>
      </w:rPr>
    </w:lvl>
    <w:lvl w:ilvl="5" w:tplc="04E07A12" w:tentative="1">
      <w:start w:val="1"/>
      <w:numFmt w:val="bullet"/>
      <w:lvlText w:val=""/>
      <w:lvlJc w:val="left"/>
      <w:pPr>
        <w:tabs>
          <w:tab w:val="num" w:pos="4320"/>
        </w:tabs>
        <w:ind w:left="4320" w:hanging="360"/>
      </w:pPr>
      <w:rPr>
        <w:rFonts w:ascii="Wingdings" w:hAnsi="Wingdings" w:hint="default"/>
      </w:rPr>
    </w:lvl>
    <w:lvl w:ilvl="6" w:tplc="6F940CFA" w:tentative="1">
      <w:start w:val="1"/>
      <w:numFmt w:val="bullet"/>
      <w:lvlText w:val=""/>
      <w:lvlJc w:val="left"/>
      <w:pPr>
        <w:tabs>
          <w:tab w:val="num" w:pos="5040"/>
        </w:tabs>
        <w:ind w:left="5040" w:hanging="360"/>
      </w:pPr>
      <w:rPr>
        <w:rFonts w:ascii="Symbol" w:hAnsi="Symbol" w:hint="default"/>
      </w:rPr>
    </w:lvl>
    <w:lvl w:ilvl="7" w:tplc="4F9A3E72" w:tentative="1">
      <w:start w:val="1"/>
      <w:numFmt w:val="bullet"/>
      <w:lvlText w:val="o"/>
      <w:lvlJc w:val="left"/>
      <w:pPr>
        <w:tabs>
          <w:tab w:val="num" w:pos="5760"/>
        </w:tabs>
        <w:ind w:left="5760" w:hanging="360"/>
      </w:pPr>
      <w:rPr>
        <w:rFonts w:ascii="Courier New" w:hAnsi="Courier New" w:cs="Courier New" w:hint="default"/>
      </w:rPr>
    </w:lvl>
    <w:lvl w:ilvl="8" w:tplc="F30A4D6E" w:tentative="1">
      <w:start w:val="1"/>
      <w:numFmt w:val="bullet"/>
      <w:lvlText w:val=""/>
      <w:lvlJc w:val="left"/>
      <w:pPr>
        <w:tabs>
          <w:tab w:val="num" w:pos="6480"/>
        </w:tabs>
        <w:ind w:left="6480" w:hanging="360"/>
      </w:pPr>
      <w:rPr>
        <w:rFonts w:ascii="Wingdings" w:hAnsi="Wingdings" w:hint="default"/>
      </w:rPr>
    </w:lvl>
  </w:abstractNum>
  <w:abstractNum w:abstractNumId="5">
    <w:nsid w:val="21C36E1A"/>
    <w:multiLevelType w:val="hybridMultilevel"/>
    <w:tmpl w:val="8FC29362"/>
    <w:lvl w:ilvl="0" w:tplc="DF126DF2">
      <w:start w:val="1"/>
      <w:numFmt w:val="decimal"/>
      <w:lvlText w:val="%1)"/>
      <w:lvlJc w:val="left"/>
      <w:pPr>
        <w:ind w:left="720" w:hanging="360"/>
      </w:pPr>
    </w:lvl>
    <w:lvl w:ilvl="1" w:tplc="384C4042" w:tentative="1">
      <w:start w:val="1"/>
      <w:numFmt w:val="lowerLetter"/>
      <w:lvlText w:val="%2."/>
      <w:lvlJc w:val="left"/>
      <w:pPr>
        <w:ind w:left="1440" w:hanging="360"/>
      </w:pPr>
    </w:lvl>
    <w:lvl w:ilvl="2" w:tplc="787834E2" w:tentative="1">
      <w:start w:val="1"/>
      <w:numFmt w:val="lowerRoman"/>
      <w:lvlText w:val="%3."/>
      <w:lvlJc w:val="right"/>
      <w:pPr>
        <w:ind w:left="2160" w:hanging="180"/>
      </w:pPr>
    </w:lvl>
    <w:lvl w:ilvl="3" w:tplc="37DC6E12" w:tentative="1">
      <w:start w:val="1"/>
      <w:numFmt w:val="decimal"/>
      <w:lvlText w:val="%4."/>
      <w:lvlJc w:val="left"/>
      <w:pPr>
        <w:ind w:left="2880" w:hanging="360"/>
      </w:pPr>
    </w:lvl>
    <w:lvl w:ilvl="4" w:tplc="36D851CC" w:tentative="1">
      <w:start w:val="1"/>
      <w:numFmt w:val="lowerLetter"/>
      <w:lvlText w:val="%5."/>
      <w:lvlJc w:val="left"/>
      <w:pPr>
        <w:ind w:left="3600" w:hanging="360"/>
      </w:pPr>
    </w:lvl>
    <w:lvl w:ilvl="5" w:tplc="68DC1E20" w:tentative="1">
      <w:start w:val="1"/>
      <w:numFmt w:val="lowerRoman"/>
      <w:lvlText w:val="%6."/>
      <w:lvlJc w:val="right"/>
      <w:pPr>
        <w:ind w:left="4320" w:hanging="180"/>
      </w:pPr>
    </w:lvl>
    <w:lvl w:ilvl="6" w:tplc="F3AA64F8" w:tentative="1">
      <w:start w:val="1"/>
      <w:numFmt w:val="decimal"/>
      <w:lvlText w:val="%7."/>
      <w:lvlJc w:val="left"/>
      <w:pPr>
        <w:ind w:left="5040" w:hanging="360"/>
      </w:pPr>
    </w:lvl>
    <w:lvl w:ilvl="7" w:tplc="DF882746" w:tentative="1">
      <w:start w:val="1"/>
      <w:numFmt w:val="lowerLetter"/>
      <w:lvlText w:val="%8."/>
      <w:lvlJc w:val="left"/>
      <w:pPr>
        <w:ind w:left="5760" w:hanging="360"/>
      </w:pPr>
    </w:lvl>
    <w:lvl w:ilvl="8" w:tplc="1FC2A1A2" w:tentative="1">
      <w:start w:val="1"/>
      <w:numFmt w:val="lowerRoman"/>
      <w:lvlText w:val="%9."/>
      <w:lvlJc w:val="right"/>
      <w:pPr>
        <w:ind w:left="6480" w:hanging="180"/>
      </w:pPr>
    </w:lvl>
  </w:abstractNum>
  <w:abstractNum w:abstractNumId="6">
    <w:nsid w:val="290A1493"/>
    <w:multiLevelType w:val="hybridMultilevel"/>
    <w:tmpl w:val="4DAC3B5E"/>
    <w:lvl w:ilvl="0" w:tplc="8048E77E">
      <w:start w:val="1"/>
      <w:numFmt w:val="upperRoman"/>
      <w:lvlText w:val="%1."/>
      <w:lvlJc w:val="left"/>
      <w:pPr>
        <w:ind w:left="1080" w:hanging="720"/>
      </w:pPr>
      <w:rPr>
        <w:rFonts w:hint="default"/>
      </w:rPr>
    </w:lvl>
    <w:lvl w:ilvl="1" w:tplc="58505294" w:tentative="1">
      <w:start w:val="1"/>
      <w:numFmt w:val="lowerLetter"/>
      <w:lvlText w:val="%2."/>
      <w:lvlJc w:val="left"/>
      <w:pPr>
        <w:ind w:left="1440" w:hanging="360"/>
      </w:pPr>
    </w:lvl>
    <w:lvl w:ilvl="2" w:tplc="53961A2E" w:tentative="1">
      <w:start w:val="1"/>
      <w:numFmt w:val="lowerRoman"/>
      <w:lvlText w:val="%3."/>
      <w:lvlJc w:val="right"/>
      <w:pPr>
        <w:ind w:left="2160" w:hanging="180"/>
      </w:pPr>
    </w:lvl>
    <w:lvl w:ilvl="3" w:tplc="AA5031DA" w:tentative="1">
      <w:start w:val="1"/>
      <w:numFmt w:val="decimal"/>
      <w:lvlText w:val="%4."/>
      <w:lvlJc w:val="left"/>
      <w:pPr>
        <w:ind w:left="2880" w:hanging="360"/>
      </w:pPr>
    </w:lvl>
    <w:lvl w:ilvl="4" w:tplc="FC1A20D4" w:tentative="1">
      <w:start w:val="1"/>
      <w:numFmt w:val="lowerLetter"/>
      <w:lvlText w:val="%5."/>
      <w:lvlJc w:val="left"/>
      <w:pPr>
        <w:ind w:left="3600" w:hanging="360"/>
      </w:pPr>
    </w:lvl>
    <w:lvl w:ilvl="5" w:tplc="C7022F9A" w:tentative="1">
      <w:start w:val="1"/>
      <w:numFmt w:val="lowerRoman"/>
      <w:lvlText w:val="%6."/>
      <w:lvlJc w:val="right"/>
      <w:pPr>
        <w:ind w:left="4320" w:hanging="180"/>
      </w:pPr>
    </w:lvl>
    <w:lvl w:ilvl="6" w:tplc="71E28F7E" w:tentative="1">
      <w:start w:val="1"/>
      <w:numFmt w:val="decimal"/>
      <w:lvlText w:val="%7."/>
      <w:lvlJc w:val="left"/>
      <w:pPr>
        <w:ind w:left="5040" w:hanging="360"/>
      </w:pPr>
    </w:lvl>
    <w:lvl w:ilvl="7" w:tplc="6346DA5A" w:tentative="1">
      <w:start w:val="1"/>
      <w:numFmt w:val="lowerLetter"/>
      <w:lvlText w:val="%8."/>
      <w:lvlJc w:val="left"/>
      <w:pPr>
        <w:ind w:left="5760" w:hanging="360"/>
      </w:pPr>
    </w:lvl>
    <w:lvl w:ilvl="8" w:tplc="29D8BC18" w:tentative="1">
      <w:start w:val="1"/>
      <w:numFmt w:val="lowerRoman"/>
      <w:lvlText w:val="%9."/>
      <w:lvlJc w:val="right"/>
      <w:pPr>
        <w:ind w:left="6480" w:hanging="180"/>
      </w:pPr>
    </w:lvl>
  </w:abstractNum>
  <w:abstractNum w:abstractNumId="7">
    <w:nsid w:val="2934637F"/>
    <w:multiLevelType w:val="hybridMultilevel"/>
    <w:tmpl w:val="1534E260"/>
    <w:lvl w:ilvl="0" w:tplc="22C66C46">
      <w:start w:val="1"/>
      <w:numFmt w:val="decimal"/>
      <w:lvlText w:val="%1."/>
      <w:lvlJc w:val="left"/>
      <w:pPr>
        <w:ind w:left="720" w:hanging="360"/>
      </w:pPr>
      <w:rPr>
        <w:rFonts w:hint="default"/>
      </w:rPr>
    </w:lvl>
    <w:lvl w:ilvl="1" w:tplc="41AA72C4" w:tentative="1">
      <w:start w:val="1"/>
      <w:numFmt w:val="lowerLetter"/>
      <w:lvlText w:val="%2."/>
      <w:lvlJc w:val="left"/>
      <w:pPr>
        <w:ind w:left="1440" w:hanging="360"/>
      </w:pPr>
    </w:lvl>
    <w:lvl w:ilvl="2" w:tplc="38903916" w:tentative="1">
      <w:start w:val="1"/>
      <w:numFmt w:val="lowerRoman"/>
      <w:lvlText w:val="%3."/>
      <w:lvlJc w:val="right"/>
      <w:pPr>
        <w:ind w:left="2160" w:hanging="180"/>
      </w:pPr>
    </w:lvl>
    <w:lvl w:ilvl="3" w:tplc="56662270" w:tentative="1">
      <w:start w:val="1"/>
      <w:numFmt w:val="decimal"/>
      <w:lvlText w:val="%4."/>
      <w:lvlJc w:val="left"/>
      <w:pPr>
        <w:ind w:left="2880" w:hanging="360"/>
      </w:pPr>
    </w:lvl>
    <w:lvl w:ilvl="4" w:tplc="64020192" w:tentative="1">
      <w:start w:val="1"/>
      <w:numFmt w:val="lowerLetter"/>
      <w:lvlText w:val="%5."/>
      <w:lvlJc w:val="left"/>
      <w:pPr>
        <w:ind w:left="3600" w:hanging="360"/>
      </w:pPr>
    </w:lvl>
    <w:lvl w:ilvl="5" w:tplc="AD727CFE" w:tentative="1">
      <w:start w:val="1"/>
      <w:numFmt w:val="lowerRoman"/>
      <w:lvlText w:val="%6."/>
      <w:lvlJc w:val="right"/>
      <w:pPr>
        <w:ind w:left="4320" w:hanging="180"/>
      </w:pPr>
    </w:lvl>
    <w:lvl w:ilvl="6" w:tplc="916C52F6" w:tentative="1">
      <w:start w:val="1"/>
      <w:numFmt w:val="decimal"/>
      <w:lvlText w:val="%7."/>
      <w:lvlJc w:val="left"/>
      <w:pPr>
        <w:ind w:left="5040" w:hanging="360"/>
      </w:pPr>
    </w:lvl>
    <w:lvl w:ilvl="7" w:tplc="FA60C386" w:tentative="1">
      <w:start w:val="1"/>
      <w:numFmt w:val="lowerLetter"/>
      <w:lvlText w:val="%8."/>
      <w:lvlJc w:val="left"/>
      <w:pPr>
        <w:ind w:left="5760" w:hanging="360"/>
      </w:pPr>
    </w:lvl>
    <w:lvl w:ilvl="8" w:tplc="7CF06020" w:tentative="1">
      <w:start w:val="1"/>
      <w:numFmt w:val="lowerRoman"/>
      <w:lvlText w:val="%9."/>
      <w:lvlJc w:val="right"/>
      <w:pPr>
        <w:ind w:left="6480" w:hanging="180"/>
      </w:pPr>
    </w:lvl>
  </w:abstractNum>
  <w:abstractNum w:abstractNumId="8">
    <w:nsid w:val="2B39729C"/>
    <w:multiLevelType w:val="hybridMultilevel"/>
    <w:tmpl w:val="E0BC28BA"/>
    <w:lvl w:ilvl="0" w:tplc="E20ED13A">
      <w:start w:val="1"/>
      <w:numFmt w:val="decimal"/>
      <w:lvlText w:val="%1."/>
      <w:lvlJc w:val="left"/>
      <w:pPr>
        <w:ind w:left="720" w:hanging="360"/>
      </w:pPr>
      <w:rPr>
        <w:rFonts w:hint="default"/>
      </w:rPr>
    </w:lvl>
    <w:lvl w:ilvl="1" w:tplc="3F54DF66" w:tentative="1">
      <w:start w:val="1"/>
      <w:numFmt w:val="lowerLetter"/>
      <w:lvlText w:val="%2."/>
      <w:lvlJc w:val="left"/>
      <w:pPr>
        <w:ind w:left="1440" w:hanging="360"/>
      </w:pPr>
    </w:lvl>
    <w:lvl w:ilvl="2" w:tplc="0B2E6414" w:tentative="1">
      <w:start w:val="1"/>
      <w:numFmt w:val="lowerRoman"/>
      <w:lvlText w:val="%3."/>
      <w:lvlJc w:val="right"/>
      <w:pPr>
        <w:ind w:left="2160" w:hanging="180"/>
      </w:pPr>
    </w:lvl>
    <w:lvl w:ilvl="3" w:tplc="ACB4E584" w:tentative="1">
      <w:start w:val="1"/>
      <w:numFmt w:val="decimal"/>
      <w:lvlText w:val="%4."/>
      <w:lvlJc w:val="left"/>
      <w:pPr>
        <w:ind w:left="2880" w:hanging="360"/>
      </w:pPr>
    </w:lvl>
    <w:lvl w:ilvl="4" w:tplc="A290F4BE" w:tentative="1">
      <w:start w:val="1"/>
      <w:numFmt w:val="lowerLetter"/>
      <w:lvlText w:val="%5."/>
      <w:lvlJc w:val="left"/>
      <w:pPr>
        <w:ind w:left="3600" w:hanging="360"/>
      </w:pPr>
    </w:lvl>
    <w:lvl w:ilvl="5" w:tplc="CD249560" w:tentative="1">
      <w:start w:val="1"/>
      <w:numFmt w:val="lowerRoman"/>
      <w:lvlText w:val="%6."/>
      <w:lvlJc w:val="right"/>
      <w:pPr>
        <w:ind w:left="4320" w:hanging="180"/>
      </w:pPr>
    </w:lvl>
    <w:lvl w:ilvl="6" w:tplc="18E44E1A" w:tentative="1">
      <w:start w:val="1"/>
      <w:numFmt w:val="decimal"/>
      <w:lvlText w:val="%7."/>
      <w:lvlJc w:val="left"/>
      <w:pPr>
        <w:ind w:left="5040" w:hanging="360"/>
      </w:pPr>
    </w:lvl>
    <w:lvl w:ilvl="7" w:tplc="B87887C2" w:tentative="1">
      <w:start w:val="1"/>
      <w:numFmt w:val="lowerLetter"/>
      <w:lvlText w:val="%8."/>
      <w:lvlJc w:val="left"/>
      <w:pPr>
        <w:ind w:left="5760" w:hanging="360"/>
      </w:pPr>
    </w:lvl>
    <w:lvl w:ilvl="8" w:tplc="7F08FD26" w:tentative="1">
      <w:start w:val="1"/>
      <w:numFmt w:val="lowerRoman"/>
      <w:lvlText w:val="%9."/>
      <w:lvlJc w:val="right"/>
      <w:pPr>
        <w:ind w:left="6480" w:hanging="180"/>
      </w:pPr>
    </w:lvl>
  </w:abstractNum>
  <w:abstractNum w:abstractNumId="9">
    <w:nsid w:val="339A5BE2"/>
    <w:multiLevelType w:val="hybridMultilevel"/>
    <w:tmpl w:val="289A1EC6"/>
    <w:lvl w:ilvl="0" w:tplc="32568218">
      <w:start w:val="1"/>
      <w:numFmt w:val="decimal"/>
      <w:lvlText w:val="%1."/>
      <w:lvlJc w:val="left"/>
      <w:pPr>
        <w:ind w:left="720" w:hanging="360"/>
      </w:pPr>
      <w:rPr>
        <w:rFonts w:hint="default"/>
        <w:color w:val="auto"/>
      </w:rPr>
    </w:lvl>
    <w:lvl w:ilvl="1" w:tplc="65200680" w:tentative="1">
      <w:start w:val="1"/>
      <w:numFmt w:val="lowerLetter"/>
      <w:lvlText w:val="%2."/>
      <w:lvlJc w:val="left"/>
      <w:pPr>
        <w:ind w:left="1440" w:hanging="360"/>
      </w:pPr>
    </w:lvl>
    <w:lvl w:ilvl="2" w:tplc="B68CBEB0" w:tentative="1">
      <w:start w:val="1"/>
      <w:numFmt w:val="lowerRoman"/>
      <w:lvlText w:val="%3."/>
      <w:lvlJc w:val="right"/>
      <w:pPr>
        <w:ind w:left="2160" w:hanging="180"/>
      </w:pPr>
    </w:lvl>
    <w:lvl w:ilvl="3" w:tplc="E29E4300" w:tentative="1">
      <w:start w:val="1"/>
      <w:numFmt w:val="decimal"/>
      <w:lvlText w:val="%4."/>
      <w:lvlJc w:val="left"/>
      <w:pPr>
        <w:ind w:left="2880" w:hanging="360"/>
      </w:pPr>
    </w:lvl>
    <w:lvl w:ilvl="4" w:tplc="D2BAE372" w:tentative="1">
      <w:start w:val="1"/>
      <w:numFmt w:val="lowerLetter"/>
      <w:lvlText w:val="%5."/>
      <w:lvlJc w:val="left"/>
      <w:pPr>
        <w:ind w:left="3600" w:hanging="360"/>
      </w:pPr>
    </w:lvl>
    <w:lvl w:ilvl="5" w:tplc="3B9677EA" w:tentative="1">
      <w:start w:val="1"/>
      <w:numFmt w:val="lowerRoman"/>
      <w:lvlText w:val="%6."/>
      <w:lvlJc w:val="right"/>
      <w:pPr>
        <w:ind w:left="4320" w:hanging="180"/>
      </w:pPr>
    </w:lvl>
    <w:lvl w:ilvl="6" w:tplc="B232C9F8" w:tentative="1">
      <w:start w:val="1"/>
      <w:numFmt w:val="decimal"/>
      <w:lvlText w:val="%7."/>
      <w:lvlJc w:val="left"/>
      <w:pPr>
        <w:ind w:left="5040" w:hanging="360"/>
      </w:pPr>
    </w:lvl>
    <w:lvl w:ilvl="7" w:tplc="DD28E4A4" w:tentative="1">
      <w:start w:val="1"/>
      <w:numFmt w:val="lowerLetter"/>
      <w:lvlText w:val="%8."/>
      <w:lvlJc w:val="left"/>
      <w:pPr>
        <w:ind w:left="5760" w:hanging="360"/>
      </w:pPr>
    </w:lvl>
    <w:lvl w:ilvl="8" w:tplc="FE862552" w:tentative="1">
      <w:start w:val="1"/>
      <w:numFmt w:val="lowerRoman"/>
      <w:lvlText w:val="%9."/>
      <w:lvlJc w:val="right"/>
      <w:pPr>
        <w:ind w:left="6480" w:hanging="180"/>
      </w:pPr>
    </w:lvl>
  </w:abstractNum>
  <w:abstractNum w:abstractNumId="10">
    <w:nsid w:val="3E5D4775"/>
    <w:multiLevelType w:val="hybridMultilevel"/>
    <w:tmpl w:val="39E683DE"/>
    <w:lvl w:ilvl="0" w:tplc="B65C9D8C">
      <w:start w:val="1"/>
      <w:numFmt w:val="bullet"/>
      <w:lvlText w:val=""/>
      <w:lvlJc w:val="left"/>
      <w:pPr>
        <w:tabs>
          <w:tab w:val="num" w:pos="502"/>
        </w:tabs>
        <w:ind w:left="502" w:hanging="360"/>
      </w:pPr>
      <w:rPr>
        <w:rFonts w:ascii="Symbol" w:hAnsi="Symbol" w:hint="default"/>
      </w:rPr>
    </w:lvl>
    <w:lvl w:ilvl="1" w:tplc="A2B0BC7E">
      <w:start w:val="1"/>
      <w:numFmt w:val="bullet"/>
      <w:lvlText w:val="o"/>
      <w:lvlJc w:val="left"/>
      <w:pPr>
        <w:tabs>
          <w:tab w:val="num" w:pos="1440"/>
        </w:tabs>
        <w:ind w:left="1440" w:hanging="360"/>
      </w:pPr>
      <w:rPr>
        <w:rFonts w:ascii="Courier New" w:hAnsi="Courier New" w:hint="default"/>
      </w:rPr>
    </w:lvl>
    <w:lvl w:ilvl="2" w:tplc="E46CACDC">
      <w:start w:val="1"/>
      <w:numFmt w:val="bullet"/>
      <w:lvlText w:val=""/>
      <w:lvlJc w:val="left"/>
      <w:pPr>
        <w:tabs>
          <w:tab w:val="num" w:pos="2160"/>
        </w:tabs>
        <w:ind w:left="2160" w:hanging="360"/>
      </w:pPr>
      <w:rPr>
        <w:rFonts w:ascii="Wingdings" w:hAnsi="Wingdings" w:hint="default"/>
      </w:rPr>
    </w:lvl>
    <w:lvl w:ilvl="3" w:tplc="F5BE35CA">
      <w:start w:val="1"/>
      <w:numFmt w:val="bullet"/>
      <w:lvlText w:val=""/>
      <w:lvlJc w:val="left"/>
      <w:pPr>
        <w:tabs>
          <w:tab w:val="num" w:pos="2880"/>
        </w:tabs>
        <w:ind w:left="2880" w:hanging="360"/>
      </w:pPr>
      <w:rPr>
        <w:rFonts w:ascii="Symbol" w:hAnsi="Symbol" w:hint="default"/>
      </w:rPr>
    </w:lvl>
    <w:lvl w:ilvl="4" w:tplc="D060AE3C">
      <w:start w:val="1"/>
      <w:numFmt w:val="bullet"/>
      <w:lvlText w:val="o"/>
      <w:lvlJc w:val="left"/>
      <w:pPr>
        <w:tabs>
          <w:tab w:val="num" w:pos="3600"/>
        </w:tabs>
        <w:ind w:left="3600" w:hanging="360"/>
      </w:pPr>
      <w:rPr>
        <w:rFonts w:ascii="Courier New" w:hAnsi="Courier New" w:hint="default"/>
      </w:rPr>
    </w:lvl>
    <w:lvl w:ilvl="5" w:tplc="A1FA8400">
      <w:start w:val="1"/>
      <w:numFmt w:val="bullet"/>
      <w:lvlText w:val=""/>
      <w:lvlJc w:val="left"/>
      <w:pPr>
        <w:tabs>
          <w:tab w:val="num" w:pos="4320"/>
        </w:tabs>
        <w:ind w:left="4320" w:hanging="360"/>
      </w:pPr>
      <w:rPr>
        <w:rFonts w:ascii="Wingdings" w:hAnsi="Wingdings" w:hint="default"/>
      </w:rPr>
    </w:lvl>
    <w:lvl w:ilvl="6" w:tplc="5B5C40AC">
      <w:start w:val="1"/>
      <w:numFmt w:val="bullet"/>
      <w:lvlText w:val=""/>
      <w:lvlJc w:val="left"/>
      <w:pPr>
        <w:tabs>
          <w:tab w:val="num" w:pos="5040"/>
        </w:tabs>
        <w:ind w:left="5040" w:hanging="360"/>
      </w:pPr>
      <w:rPr>
        <w:rFonts w:ascii="Symbol" w:hAnsi="Symbol" w:hint="default"/>
      </w:rPr>
    </w:lvl>
    <w:lvl w:ilvl="7" w:tplc="8FC297DA">
      <w:start w:val="1"/>
      <w:numFmt w:val="bullet"/>
      <w:lvlText w:val="o"/>
      <w:lvlJc w:val="left"/>
      <w:pPr>
        <w:tabs>
          <w:tab w:val="num" w:pos="5760"/>
        </w:tabs>
        <w:ind w:left="5760" w:hanging="360"/>
      </w:pPr>
      <w:rPr>
        <w:rFonts w:ascii="Courier New" w:hAnsi="Courier New" w:hint="default"/>
      </w:rPr>
    </w:lvl>
    <w:lvl w:ilvl="8" w:tplc="232A80B4">
      <w:start w:val="1"/>
      <w:numFmt w:val="bullet"/>
      <w:lvlText w:val=""/>
      <w:lvlJc w:val="left"/>
      <w:pPr>
        <w:tabs>
          <w:tab w:val="num" w:pos="6480"/>
        </w:tabs>
        <w:ind w:left="6480" w:hanging="360"/>
      </w:pPr>
      <w:rPr>
        <w:rFonts w:ascii="Wingdings" w:hAnsi="Wingdings" w:hint="default"/>
      </w:rPr>
    </w:lvl>
  </w:abstractNum>
  <w:abstractNum w:abstractNumId="11">
    <w:nsid w:val="44DF60B4"/>
    <w:multiLevelType w:val="hybridMultilevel"/>
    <w:tmpl w:val="5F1C4DAA"/>
    <w:lvl w:ilvl="0" w:tplc="B2CA6D24">
      <w:start w:val="1"/>
      <w:numFmt w:val="lowerLetter"/>
      <w:lvlText w:val="%1)"/>
      <w:lvlJc w:val="left"/>
      <w:pPr>
        <w:ind w:left="644" w:hanging="360"/>
      </w:pPr>
    </w:lvl>
    <w:lvl w:ilvl="1" w:tplc="80C8E358">
      <w:start w:val="1"/>
      <w:numFmt w:val="decimal"/>
      <w:lvlText w:val="%2)"/>
      <w:lvlJc w:val="left"/>
      <w:pPr>
        <w:ind w:left="1979" w:hanging="975"/>
      </w:pPr>
      <w:rPr>
        <w:rFonts w:hint="default"/>
      </w:rPr>
    </w:lvl>
    <w:lvl w:ilvl="2" w:tplc="66D46648" w:tentative="1">
      <w:start w:val="1"/>
      <w:numFmt w:val="lowerRoman"/>
      <w:lvlText w:val="%3."/>
      <w:lvlJc w:val="right"/>
      <w:pPr>
        <w:ind w:left="2084" w:hanging="180"/>
      </w:pPr>
    </w:lvl>
    <w:lvl w:ilvl="3" w:tplc="37D450E8" w:tentative="1">
      <w:start w:val="1"/>
      <w:numFmt w:val="decimal"/>
      <w:lvlText w:val="%4."/>
      <w:lvlJc w:val="left"/>
      <w:pPr>
        <w:ind w:left="2804" w:hanging="360"/>
      </w:pPr>
    </w:lvl>
    <w:lvl w:ilvl="4" w:tplc="647AFC30" w:tentative="1">
      <w:start w:val="1"/>
      <w:numFmt w:val="lowerLetter"/>
      <w:lvlText w:val="%5."/>
      <w:lvlJc w:val="left"/>
      <w:pPr>
        <w:ind w:left="3524" w:hanging="360"/>
      </w:pPr>
    </w:lvl>
    <w:lvl w:ilvl="5" w:tplc="83049D58" w:tentative="1">
      <w:start w:val="1"/>
      <w:numFmt w:val="lowerRoman"/>
      <w:lvlText w:val="%6."/>
      <w:lvlJc w:val="right"/>
      <w:pPr>
        <w:ind w:left="4244" w:hanging="180"/>
      </w:pPr>
    </w:lvl>
    <w:lvl w:ilvl="6" w:tplc="E9F4DA76" w:tentative="1">
      <w:start w:val="1"/>
      <w:numFmt w:val="decimal"/>
      <w:lvlText w:val="%7."/>
      <w:lvlJc w:val="left"/>
      <w:pPr>
        <w:ind w:left="4964" w:hanging="360"/>
      </w:pPr>
    </w:lvl>
    <w:lvl w:ilvl="7" w:tplc="8F2AB5D8" w:tentative="1">
      <w:start w:val="1"/>
      <w:numFmt w:val="lowerLetter"/>
      <w:lvlText w:val="%8."/>
      <w:lvlJc w:val="left"/>
      <w:pPr>
        <w:ind w:left="5684" w:hanging="360"/>
      </w:pPr>
    </w:lvl>
    <w:lvl w:ilvl="8" w:tplc="9E9A1D88" w:tentative="1">
      <w:start w:val="1"/>
      <w:numFmt w:val="lowerRoman"/>
      <w:lvlText w:val="%9."/>
      <w:lvlJc w:val="right"/>
      <w:pPr>
        <w:ind w:left="6404" w:hanging="180"/>
      </w:pPr>
    </w:lvl>
  </w:abstractNum>
  <w:abstractNum w:abstractNumId="12">
    <w:nsid w:val="45965E8B"/>
    <w:multiLevelType w:val="multilevel"/>
    <w:tmpl w:val="7A34A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D420BB"/>
    <w:multiLevelType w:val="hybridMultilevel"/>
    <w:tmpl w:val="93A47548"/>
    <w:lvl w:ilvl="0" w:tplc="6A9C61B6">
      <w:start w:val="1"/>
      <w:numFmt w:val="decimal"/>
      <w:lvlText w:val="II.%1."/>
      <w:lvlJc w:val="left"/>
      <w:pPr>
        <w:ind w:left="1003" w:hanging="360"/>
      </w:pPr>
      <w:rPr>
        <w:rFonts w:hint="default"/>
      </w:rPr>
    </w:lvl>
    <w:lvl w:ilvl="1" w:tplc="E106222C">
      <w:start w:val="1"/>
      <w:numFmt w:val="lowerLetter"/>
      <w:lvlText w:val="%2)"/>
      <w:lvlJc w:val="left"/>
      <w:pPr>
        <w:ind w:left="1723" w:hanging="360"/>
      </w:pPr>
      <w:rPr>
        <w:rFonts w:ascii="Arial" w:eastAsia="Times New Roman" w:hAnsi="Arial" w:cs="Arial"/>
      </w:rPr>
    </w:lvl>
    <w:lvl w:ilvl="2" w:tplc="3D5666AA">
      <w:start w:val="1"/>
      <w:numFmt w:val="lowerRoman"/>
      <w:lvlText w:val="%3."/>
      <w:lvlJc w:val="right"/>
      <w:pPr>
        <w:ind w:left="2443" w:hanging="180"/>
      </w:pPr>
    </w:lvl>
    <w:lvl w:ilvl="3" w:tplc="115E8922">
      <w:start w:val="1"/>
      <w:numFmt w:val="decimal"/>
      <w:lvlText w:val="II.%4."/>
      <w:lvlJc w:val="left"/>
      <w:pPr>
        <w:ind w:left="3163" w:hanging="360"/>
      </w:pPr>
      <w:rPr>
        <w:rFonts w:hint="default"/>
      </w:rPr>
    </w:lvl>
    <w:lvl w:ilvl="4" w:tplc="54048094">
      <w:start w:val="1"/>
      <w:numFmt w:val="lowerLetter"/>
      <w:lvlText w:val="%5."/>
      <w:lvlJc w:val="left"/>
      <w:pPr>
        <w:ind w:left="3883" w:hanging="360"/>
      </w:pPr>
    </w:lvl>
    <w:lvl w:ilvl="5" w:tplc="54FE2CBA" w:tentative="1">
      <w:start w:val="1"/>
      <w:numFmt w:val="lowerRoman"/>
      <w:lvlText w:val="%6."/>
      <w:lvlJc w:val="right"/>
      <w:pPr>
        <w:ind w:left="4603" w:hanging="180"/>
      </w:pPr>
    </w:lvl>
    <w:lvl w:ilvl="6" w:tplc="23F2590A">
      <w:start w:val="1"/>
      <w:numFmt w:val="decimal"/>
      <w:lvlText w:val="II.%7."/>
      <w:lvlJc w:val="left"/>
      <w:pPr>
        <w:ind w:left="5323" w:hanging="360"/>
      </w:pPr>
      <w:rPr>
        <w:rFonts w:hint="default"/>
      </w:rPr>
    </w:lvl>
    <w:lvl w:ilvl="7" w:tplc="397CC61E">
      <w:start w:val="1"/>
      <w:numFmt w:val="lowerLetter"/>
      <w:lvlText w:val="%8."/>
      <w:lvlJc w:val="left"/>
      <w:pPr>
        <w:ind w:left="6043" w:hanging="360"/>
      </w:pPr>
    </w:lvl>
    <w:lvl w:ilvl="8" w:tplc="10EC8A44" w:tentative="1">
      <w:start w:val="1"/>
      <w:numFmt w:val="lowerRoman"/>
      <w:lvlText w:val="%9."/>
      <w:lvlJc w:val="right"/>
      <w:pPr>
        <w:ind w:left="6763" w:hanging="180"/>
      </w:pPr>
    </w:lvl>
  </w:abstractNum>
  <w:abstractNum w:abstractNumId="14">
    <w:nsid w:val="4CCE489D"/>
    <w:multiLevelType w:val="multilevel"/>
    <w:tmpl w:val="7A34A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FBA6353"/>
    <w:multiLevelType w:val="hybridMultilevel"/>
    <w:tmpl w:val="6AEA2E9E"/>
    <w:lvl w:ilvl="0" w:tplc="CC54460C">
      <w:start w:val="1"/>
      <w:numFmt w:val="decimal"/>
      <w:lvlText w:val="%1)"/>
      <w:lvlJc w:val="left"/>
      <w:pPr>
        <w:ind w:left="720" w:hanging="360"/>
      </w:pPr>
      <w:rPr>
        <w:rFonts w:hint="default"/>
      </w:rPr>
    </w:lvl>
    <w:lvl w:ilvl="1" w:tplc="A27E2660" w:tentative="1">
      <w:start w:val="1"/>
      <w:numFmt w:val="lowerLetter"/>
      <w:lvlText w:val="%2."/>
      <w:lvlJc w:val="left"/>
      <w:pPr>
        <w:ind w:left="1440" w:hanging="360"/>
      </w:pPr>
    </w:lvl>
    <w:lvl w:ilvl="2" w:tplc="9970D9EA" w:tentative="1">
      <w:start w:val="1"/>
      <w:numFmt w:val="lowerRoman"/>
      <w:lvlText w:val="%3."/>
      <w:lvlJc w:val="right"/>
      <w:pPr>
        <w:ind w:left="2160" w:hanging="180"/>
      </w:pPr>
    </w:lvl>
    <w:lvl w:ilvl="3" w:tplc="6F14DBC8" w:tentative="1">
      <w:start w:val="1"/>
      <w:numFmt w:val="decimal"/>
      <w:lvlText w:val="%4."/>
      <w:lvlJc w:val="left"/>
      <w:pPr>
        <w:ind w:left="2880" w:hanging="360"/>
      </w:pPr>
    </w:lvl>
    <w:lvl w:ilvl="4" w:tplc="3D98628C" w:tentative="1">
      <w:start w:val="1"/>
      <w:numFmt w:val="lowerLetter"/>
      <w:lvlText w:val="%5."/>
      <w:lvlJc w:val="left"/>
      <w:pPr>
        <w:ind w:left="3600" w:hanging="360"/>
      </w:pPr>
    </w:lvl>
    <w:lvl w:ilvl="5" w:tplc="11B6C206" w:tentative="1">
      <w:start w:val="1"/>
      <w:numFmt w:val="lowerRoman"/>
      <w:lvlText w:val="%6."/>
      <w:lvlJc w:val="right"/>
      <w:pPr>
        <w:ind w:left="4320" w:hanging="180"/>
      </w:pPr>
    </w:lvl>
    <w:lvl w:ilvl="6" w:tplc="E812A2C6" w:tentative="1">
      <w:start w:val="1"/>
      <w:numFmt w:val="decimal"/>
      <w:lvlText w:val="%7."/>
      <w:lvlJc w:val="left"/>
      <w:pPr>
        <w:ind w:left="5040" w:hanging="360"/>
      </w:pPr>
    </w:lvl>
    <w:lvl w:ilvl="7" w:tplc="06DC77F6" w:tentative="1">
      <w:start w:val="1"/>
      <w:numFmt w:val="lowerLetter"/>
      <w:lvlText w:val="%8."/>
      <w:lvlJc w:val="left"/>
      <w:pPr>
        <w:ind w:left="5760" w:hanging="360"/>
      </w:pPr>
    </w:lvl>
    <w:lvl w:ilvl="8" w:tplc="B9F47B22" w:tentative="1">
      <w:start w:val="1"/>
      <w:numFmt w:val="lowerRoman"/>
      <w:lvlText w:val="%9."/>
      <w:lvlJc w:val="right"/>
      <w:pPr>
        <w:ind w:left="6480" w:hanging="180"/>
      </w:pPr>
    </w:lvl>
  </w:abstractNum>
  <w:abstractNum w:abstractNumId="16">
    <w:nsid w:val="533306CE"/>
    <w:multiLevelType w:val="hybridMultilevel"/>
    <w:tmpl w:val="5C6870D2"/>
    <w:lvl w:ilvl="0" w:tplc="71AA13A8">
      <w:start w:val="1"/>
      <w:numFmt w:val="bullet"/>
      <w:lvlText w:val=""/>
      <w:lvlJc w:val="left"/>
      <w:pPr>
        <w:ind w:left="720" w:hanging="360"/>
      </w:pPr>
      <w:rPr>
        <w:rFonts w:ascii="Symbol" w:hAnsi="Symbol" w:hint="default"/>
      </w:rPr>
    </w:lvl>
    <w:lvl w:ilvl="1" w:tplc="96FE03BC" w:tentative="1">
      <w:start w:val="1"/>
      <w:numFmt w:val="bullet"/>
      <w:lvlText w:val="o"/>
      <w:lvlJc w:val="left"/>
      <w:pPr>
        <w:ind w:left="1440" w:hanging="360"/>
      </w:pPr>
      <w:rPr>
        <w:rFonts w:ascii="Courier New" w:hAnsi="Courier New" w:cs="Courier New" w:hint="default"/>
      </w:rPr>
    </w:lvl>
    <w:lvl w:ilvl="2" w:tplc="8A52E7B4" w:tentative="1">
      <w:start w:val="1"/>
      <w:numFmt w:val="bullet"/>
      <w:lvlText w:val=""/>
      <w:lvlJc w:val="left"/>
      <w:pPr>
        <w:ind w:left="2160" w:hanging="360"/>
      </w:pPr>
      <w:rPr>
        <w:rFonts w:ascii="Wingdings" w:hAnsi="Wingdings" w:hint="default"/>
      </w:rPr>
    </w:lvl>
    <w:lvl w:ilvl="3" w:tplc="99F28918" w:tentative="1">
      <w:start w:val="1"/>
      <w:numFmt w:val="bullet"/>
      <w:lvlText w:val=""/>
      <w:lvlJc w:val="left"/>
      <w:pPr>
        <w:ind w:left="2880" w:hanging="360"/>
      </w:pPr>
      <w:rPr>
        <w:rFonts w:ascii="Symbol" w:hAnsi="Symbol" w:hint="default"/>
      </w:rPr>
    </w:lvl>
    <w:lvl w:ilvl="4" w:tplc="054EE9D8" w:tentative="1">
      <w:start w:val="1"/>
      <w:numFmt w:val="bullet"/>
      <w:lvlText w:val="o"/>
      <w:lvlJc w:val="left"/>
      <w:pPr>
        <w:ind w:left="3600" w:hanging="360"/>
      </w:pPr>
      <w:rPr>
        <w:rFonts w:ascii="Courier New" w:hAnsi="Courier New" w:cs="Courier New" w:hint="default"/>
      </w:rPr>
    </w:lvl>
    <w:lvl w:ilvl="5" w:tplc="9CFCF2B8" w:tentative="1">
      <w:start w:val="1"/>
      <w:numFmt w:val="bullet"/>
      <w:lvlText w:val=""/>
      <w:lvlJc w:val="left"/>
      <w:pPr>
        <w:ind w:left="4320" w:hanging="360"/>
      </w:pPr>
      <w:rPr>
        <w:rFonts w:ascii="Wingdings" w:hAnsi="Wingdings" w:hint="default"/>
      </w:rPr>
    </w:lvl>
    <w:lvl w:ilvl="6" w:tplc="03CAD3B8" w:tentative="1">
      <w:start w:val="1"/>
      <w:numFmt w:val="bullet"/>
      <w:lvlText w:val=""/>
      <w:lvlJc w:val="left"/>
      <w:pPr>
        <w:ind w:left="5040" w:hanging="360"/>
      </w:pPr>
      <w:rPr>
        <w:rFonts w:ascii="Symbol" w:hAnsi="Symbol" w:hint="default"/>
      </w:rPr>
    </w:lvl>
    <w:lvl w:ilvl="7" w:tplc="C9CE68FE" w:tentative="1">
      <w:start w:val="1"/>
      <w:numFmt w:val="bullet"/>
      <w:lvlText w:val="o"/>
      <w:lvlJc w:val="left"/>
      <w:pPr>
        <w:ind w:left="5760" w:hanging="360"/>
      </w:pPr>
      <w:rPr>
        <w:rFonts w:ascii="Courier New" w:hAnsi="Courier New" w:cs="Courier New" w:hint="default"/>
      </w:rPr>
    </w:lvl>
    <w:lvl w:ilvl="8" w:tplc="40545AAC" w:tentative="1">
      <w:start w:val="1"/>
      <w:numFmt w:val="bullet"/>
      <w:lvlText w:val=""/>
      <w:lvlJc w:val="left"/>
      <w:pPr>
        <w:ind w:left="6480" w:hanging="360"/>
      </w:pPr>
      <w:rPr>
        <w:rFonts w:ascii="Wingdings" w:hAnsi="Wingdings" w:hint="default"/>
      </w:rPr>
    </w:lvl>
  </w:abstractNum>
  <w:abstractNum w:abstractNumId="17">
    <w:nsid w:val="53AC37E3"/>
    <w:multiLevelType w:val="multilevel"/>
    <w:tmpl w:val="E3A27F6C"/>
    <w:lvl w:ilvl="0">
      <w:start w:val="1"/>
      <w:numFmt w:val="upperRoman"/>
      <w:lvlText w:val="%1."/>
      <w:lvlJc w:val="righ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18">
    <w:nsid w:val="67DD6063"/>
    <w:multiLevelType w:val="hybridMultilevel"/>
    <w:tmpl w:val="B74685F8"/>
    <w:lvl w:ilvl="0" w:tplc="071E8B6E">
      <w:start w:val="1"/>
      <w:numFmt w:val="lowerLetter"/>
      <w:lvlText w:val="%1)"/>
      <w:lvlJc w:val="left"/>
      <w:pPr>
        <w:ind w:left="1146" w:hanging="360"/>
      </w:pPr>
      <w:rPr>
        <w:rFonts w:hint="default"/>
      </w:rPr>
    </w:lvl>
    <w:lvl w:ilvl="1" w:tplc="68BC63FC" w:tentative="1">
      <w:start w:val="1"/>
      <w:numFmt w:val="lowerLetter"/>
      <w:lvlText w:val="%2."/>
      <w:lvlJc w:val="left"/>
      <w:pPr>
        <w:ind w:left="1866" w:hanging="360"/>
      </w:pPr>
    </w:lvl>
    <w:lvl w:ilvl="2" w:tplc="33C2EF8A" w:tentative="1">
      <w:start w:val="1"/>
      <w:numFmt w:val="lowerRoman"/>
      <w:lvlText w:val="%3."/>
      <w:lvlJc w:val="right"/>
      <w:pPr>
        <w:ind w:left="2586" w:hanging="180"/>
      </w:pPr>
    </w:lvl>
    <w:lvl w:ilvl="3" w:tplc="1E587BBE" w:tentative="1">
      <w:start w:val="1"/>
      <w:numFmt w:val="decimal"/>
      <w:lvlText w:val="%4."/>
      <w:lvlJc w:val="left"/>
      <w:pPr>
        <w:ind w:left="3306" w:hanging="360"/>
      </w:pPr>
    </w:lvl>
    <w:lvl w:ilvl="4" w:tplc="C608B70C" w:tentative="1">
      <w:start w:val="1"/>
      <w:numFmt w:val="lowerLetter"/>
      <w:lvlText w:val="%5."/>
      <w:lvlJc w:val="left"/>
      <w:pPr>
        <w:ind w:left="4026" w:hanging="360"/>
      </w:pPr>
    </w:lvl>
    <w:lvl w:ilvl="5" w:tplc="E43A25DA" w:tentative="1">
      <w:start w:val="1"/>
      <w:numFmt w:val="lowerRoman"/>
      <w:lvlText w:val="%6."/>
      <w:lvlJc w:val="right"/>
      <w:pPr>
        <w:ind w:left="4746" w:hanging="180"/>
      </w:pPr>
    </w:lvl>
    <w:lvl w:ilvl="6" w:tplc="932A437C" w:tentative="1">
      <w:start w:val="1"/>
      <w:numFmt w:val="decimal"/>
      <w:lvlText w:val="%7."/>
      <w:lvlJc w:val="left"/>
      <w:pPr>
        <w:ind w:left="5466" w:hanging="360"/>
      </w:pPr>
    </w:lvl>
    <w:lvl w:ilvl="7" w:tplc="5200587A" w:tentative="1">
      <w:start w:val="1"/>
      <w:numFmt w:val="lowerLetter"/>
      <w:lvlText w:val="%8."/>
      <w:lvlJc w:val="left"/>
      <w:pPr>
        <w:ind w:left="6186" w:hanging="360"/>
      </w:pPr>
    </w:lvl>
    <w:lvl w:ilvl="8" w:tplc="A88CA474" w:tentative="1">
      <w:start w:val="1"/>
      <w:numFmt w:val="lowerRoman"/>
      <w:lvlText w:val="%9."/>
      <w:lvlJc w:val="right"/>
      <w:pPr>
        <w:ind w:left="6906" w:hanging="180"/>
      </w:pPr>
    </w:lvl>
  </w:abstractNum>
  <w:abstractNum w:abstractNumId="19">
    <w:nsid w:val="67F746FF"/>
    <w:multiLevelType w:val="hybridMultilevel"/>
    <w:tmpl w:val="B14893A4"/>
    <w:lvl w:ilvl="0" w:tplc="2A7C1FDE">
      <w:start w:val="1"/>
      <w:numFmt w:val="bullet"/>
      <w:lvlText w:val=""/>
      <w:lvlJc w:val="left"/>
      <w:pPr>
        <w:ind w:left="720" w:hanging="360"/>
      </w:pPr>
      <w:rPr>
        <w:rFonts w:ascii="Symbol" w:hAnsi="Symbol" w:hint="default"/>
      </w:rPr>
    </w:lvl>
    <w:lvl w:ilvl="1" w:tplc="06228606">
      <w:start w:val="1"/>
      <w:numFmt w:val="bullet"/>
      <w:lvlText w:val="o"/>
      <w:lvlJc w:val="left"/>
      <w:pPr>
        <w:ind w:left="1440" w:hanging="360"/>
      </w:pPr>
      <w:rPr>
        <w:rFonts w:ascii="Courier New" w:hAnsi="Courier New" w:cs="Courier New" w:hint="default"/>
      </w:rPr>
    </w:lvl>
    <w:lvl w:ilvl="2" w:tplc="07BAB4B8" w:tentative="1">
      <w:start w:val="1"/>
      <w:numFmt w:val="bullet"/>
      <w:lvlText w:val=""/>
      <w:lvlJc w:val="left"/>
      <w:pPr>
        <w:ind w:left="2160" w:hanging="360"/>
      </w:pPr>
      <w:rPr>
        <w:rFonts w:ascii="Wingdings" w:hAnsi="Wingdings" w:hint="default"/>
      </w:rPr>
    </w:lvl>
    <w:lvl w:ilvl="3" w:tplc="6A34D5E6" w:tentative="1">
      <w:start w:val="1"/>
      <w:numFmt w:val="bullet"/>
      <w:lvlText w:val=""/>
      <w:lvlJc w:val="left"/>
      <w:pPr>
        <w:ind w:left="2880" w:hanging="360"/>
      </w:pPr>
      <w:rPr>
        <w:rFonts w:ascii="Symbol" w:hAnsi="Symbol" w:hint="default"/>
      </w:rPr>
    </w:lvl>
    <w:lvl w:ilvl="4" w:tplc="88E66A16" w:tentative="1">
      <w:start w:val="1"/>
      <w:numFmt w:val="bullet"/>
      <w:lvlText w:val="o"/>
      <w:lvlJc w:val="left"/>
      <w:pPr>
        <w:ind w:left="3600" w:hanging="360"/>
      </w:pPr>
      <w:rPr>
        <w:rFonts w:ascii="Courier New" w:hAnsi="Courier New" w:cs="Courier New" w:hint="default"/>
      </w:rPr>
    </w:lvl>
    <w:lvl w:ilvl="5" w:tplc="5F6AD362" w:tentative="1">
      <w:start w:val="1"/>
      <w:numFmt w:val="bullet"/>
      <w:lvlText w:val=""/>
      <w:lvlJc w:val="left"/>
      <w:pPr>
        <w:ind w:left="4320" w:hanging="360"/>
      </w:pPr>
      <w:rPr>
        <w:rFonts w:ascii="Wingdings" w:hAnsi="Wingdings" w:hint="default"/>
      </w:rPr>
    </w:lvl>
    <w:lvl w:ilvl="6" w:tplc="18A001E6" w:tentative="1">
      <w:start w:val="1"/>
      <w:numFmt w:val="bullet"/>
      <w:lvlText w:val=""/>
      <w:lvlJc w:val="left"/>
      <w:pPr>
        <w:ind w:left="5040" w:hanging="360"/>
      </w:pPr>
      <w:rPr>
        <w:rFonts w:ascii="Symbol" w:hAnsi="Symbol" w:hint="default"/>
      </w:rPr>
    </w:lvl>
    <w:lvl w:ilvl="7" w:tplc="4AA6492A" w:tentative="1">
      <w:start w:val="1"/>
      <w:numFmt w:val="bullet"/>
      <w:lvlText w:val="o"/>
      <w:lvlJc w:val="left"/>
      <w:pPr>
        <w:ind w:left="5760" w:hanging="360"/>
      </w:pPr>
      <w:rPr>
        <w:rFonts w:ascii="Courier New" w:hAnsi="Courier New" w:cs="Courier New" w:hint="default"/>
      </w:rPr>
    </w:lvl>
    <w:lvl w:ilvl="8" w:tplc="1CE02FE6" w:tentative="1">
      <w:start w:val="1"/>
      <w:numFmt w:val="bullet"/>
      <w:lvlText w:val=""/>
      <w:lvlJc w:val="left"/>
      <w:pPr>
        <w:ind w:left="6480" w:hanging="360"/>
      </w:pPr>
      <w:rPr>
        <w:rFonts w:ascii="Wingdings" w:hAnsi="Wingdings" w:hint="default"/>
      </w:rPr>
    </w:lvl>
  </w:abstractNum>
  <w:abstractNum w:abstractNumId="20">
    <w:nsid w:val="68CD53CC"/>
    <w:multiLevelType w:val="hybridMultilevel"/>
    <w:tmpl w:val="8DA45E62"/>
    <w:lvl w:ilvl="0" w:tplc="232CC0B2">
      <w:start w:val="1"/>
      <w:numFmt w:val="decimal"/>
      <w:pStyle w:val="Rozdzielnik"/>
      <w:lvlText w:val="%1."/>
      <w:lvlJc w:val="left"/>
      <w:pPr>
        <w:ind w:left="720" w:hanging="360"/>
      </w:pPr>
    </w:lvl>
    <w:lvl w:ilvl="1" w:tplc="FF38C3CA" w:tentative="1">
      <w:start w:val="1"/>
      <w:numFmt w:val="lowerLetter"/>
      <w:lvlText w:val="%2."/>
      <w:lvlJc w:val="left"/>
      <w:pPr>
        <w:ind w:left="1440" w:hanging="360"/>
      </w:pPr>
    </w:lvl>
    <w:lvl w:ilvl="2" w:tplc="A6D48C3E" w:tentative="1">
      <w:start w:val="1"/>
      <w:numFmt w:val="lowerRoman"/>
      <w:lvlText w:val="%3."/>
      <w:lvlJc w:val="right"/>
      <w:pPr>
        <w:ind w:left="2160" w:hanging="180"/>
      </w:pPr>
    </w:lvl>
    <w:lvl w:ilvl="3" w:tplc="96BAC7C2" w:tentative="1">
      <w:start w:val="1"/>
      <w:numFmt w:val="decimal"/>
      <w:lvlText w:val="%4."/>
      <w:lvlJc w:val="left"/>
      <w:pPr>
        <w:ind w:left="2880" w:hanging="360"/>
      </w:pPr>
    </w:lvl>
    <w:lvl w:ilvl="4" w:tplc="03E264CA" w:tentative="1">
      <w:start w:val="1"/>
      <w:numFmt w:val="lowerLetter"/>
      <w:lvlText w:val="%5."/>
      <w:lvlJc w:val="left"/>
      <w:pPr>
        <w:ind w:left="3600" w:hanging="360"/>
      </w:pPr>
    </w:lvl>
    <w:lvl w:ilvl="5" w:tplc="2688AFC8" w:tentative="1">
      <w:start w:val="1"/>
      <w:numFmt w:val="lowerRoman"/>
      <w:lvlText w:val="%6."/>
      <w:lvlJc w:val="right"/>
      <w:pPr>
        <w:ind w:left="4320" w:hanging="180"/>
      </w:pPr>
    </w:lvl>
    <w:lvl w:ilvl="6" w:tplc="FAAE7EA4" w:tentative="1">
      <w:start w:val="1"/>
      <w:numFmt w:val="decimal"/>
      <w:lvlText w:val="%7."/>
      <w:lvlJc w:val="left"/>
      <w:pPr>
        <w:ind w:left="5040" w:hanging="360"/>
      </w:pPr>
    </w:lvl>
    <w:lvl w:ilvl="7" w:tplc="FB30145E" w:tentative="1">
      <w:start w:val="1"/>
      <w:numFmt w:val="lowerLetter"/>
      <w:lvlText w:val="%8."/>
      <w:lvlJc w:val="left"/>
      <w:pPr>
        <w:ind w:left="5760" w:hanging="360"/>
      </w:pPr>
    </w:lvl>
    <w:lvl w:ilvl="8" w:tplc="BF18A8FE" w:tentative="1">
      <w:start w:val="1"/>
      <w:numFmt w:val="lowerRoman"/>
      <w:lvlText w:val="%9."/>
      <w:lvlJc w:val="right"/>
      <w:pPr>
        <w:ind w:left="6480" w:hanging="180"/>
      </w:pPr>
    </w:lvl>
  </w:abstractNum>
  <w:abstractNum w:abstractNumId="21">
    <w:nsid w:val="70083176"/>
    <w:multiLevelType w:val="hybridMultilevel"/>
    <w:tmpl w:val="5C98A88A"/>
    <w:lvl w:ilvl="0" w:tplc="9F90E14C">
      <w:start w:val="1"/>
      <w:numFmt w:val="bullet"/>
      <w:lvlText w:val=""/>
      <w:lvlJc w:val="left"/>
      <w:pPr>
        <w:ind w:left="720" w:hanging="360"/>
      </w:pPr>
      <w:rPr>
        <w:rFonts w:ascii="Wingdings" w:hAnsi="Wingdings" w:hint="default"/>
      </w:rPr>
    </w:lvl>
    <w:lvl w:ilvl="1" w:tplc="B2F2A2B0" w:tentative="1">
      <w:start w:val="1"/>
      <w:numFmt w:val="bullet"/>
      <w:lvlText w:val="o"/>
      <w:lvlJc w:val="left"/>
      <w:pPr>
        <w:ind w:left="1440" w:hanging="360"/>
      </w:pPr>
      <w:rPr>
        <w:rFonts w:ascii="Courier New" w:hAnsi="Courier New" w:cs="Courier New" w:hint="default"/>
      </w:rPr>
    </w:lvl>
    <w:lvl w:ilvl="2" w:tplc="B6102CF4" w:tentative="1">
      <w:start w:val="1"/>
      <w:numFmt w:val="bullet"/>
      <w:lvlText w:val=""/>
      <w:lvlJc w:val="left"/>
      <w:pPr>
        <w:ind w:left="2160" w:hanging="360"/>
      </w:pPr>
      <w:rPr>
        <w:rFonts w:ascii="Wingdings" w:hAnsi="Wingdings" w:hint="default"/>
      </w:rPr>
    </w:lvl>
    <w:lvl w:ilvl="3" w:tplc="DA0EE57A" w:tentative="1">
      <w:start w:val="1"/>
      <w:numFmt w:val="bullet"/>
      <w:lvlText w:val=""/>
      <w:lvlJc w:val="left"/>
      <w:pPr>
        <w:ind w:left="2880" w:hanging="360"/>
      </w:pPr>
      <w:rPr>
        <w:rFonts w:ascii="Symbol" w:hAnsi="Symbol" w:hint="default"/>
      </w:rPr>
    </w:lvl>
    <w:lvl w:ilvl="4" w:tplc="04B60A82" w:tentative="1">
      <w:start w:val="1"/>
      <w:numFmt w:val="bullet"/>
      <w:lvlText w:val="o"/>
      <w:lvlJc w:val="left"/>
      <w:pPr>
        <w:ind w:left="3600" w:hanging="360"/>
      </w:pPr>
      <w:rPr>
        <w:rFonts w:ascii="Courier New" w:hAnsi="Courier New" w:cs="Courier New" w:hint="default"/>
      </w:rPr>
    </w:lvl>
    <w:lvl w:ilvl="5" w:tplc="598825F8" w:tentative="1">
      <w:start w:val="1"/>
      <w:numFmt w:val="bullet"/>
      <w:lvlText w:val=""/>
      <w:lvlJc w:val="left"/>
      <w:pPr>
        <w:ind w:left="4320" w:hanging="360"/>
      </w:pPr>
      <w:rPr>
        <w:rFonts w:ascii="Wingdings" w:hAnsi="Wingdings" w:hint="default"/>
      </w:rPr>
    </w:lvl>
    <w:lvl w:ilvl="6" w:tplc="1200F7B8" w:tentative="1">
      <w:start w:val="1"/>
      <w:numFmt w:val="bullet"/>
      <w:lvlText w:val=""/>
      <w:lvlJc w:val="left"/>
      <w:pPr>
        <w:ind w:left="5040" w:hanging="360"/>
      </w:pPr>
      <w:rPr>
        <w:rFonts w:ascii="Symbol" w:hAnsi="Symbol" w:hint="default"/>
      </w:rPr>
    </w:lvl>
    <w:lvl w:ilvl="7" w:tplc="171603D0" w:tentative="1">
      <w:start w:val="1"/>
      <w:numFmt w:val="bullet"/>
      <w:lvlText w:val="o"/>
      <w:lvlJc w:val="left"/>
      <w:pPr>
        <w:ind w:left="5760" w:hanging="360"/>
      </w:pPr>
      <w:rPr>
        <w:rFonts w:ascii="Courier New" w:hAnsi="Courier New" w:cs="Courier New" w:hint="default"/>
      </w:rPr>
    </w:lvl>
    <w:lvl w:ilvl="8" w:tplc="8E6C622C" w:tentative="1">
      <w:start w:val="1"/>
      <w:numFmt w:val="bullet"/>
      <w:lvlText w:val=""/>
      <w:lvlJc w:val="left"/>
      <w:pPr>
        <w:ind w:left="6480" w:hanging="360"/>
      </w:pPr>
      <w:rPr>
        <w:rFonts w:ascii="Wingdings" w:hAnsi="Wingdings" w:hint="default"/>
      </w:rPr>
    </w:lvl>
  </w:abstractNum>
  <w:abstractNum w:abstractNumId="22">
    <w:nsid w:val="722E20C1"/>
    <w:multiLevelType w:val="hybridMultilevel"/>
    <w:tmpl w:val="6AB657C2"/>
    <w:lvl w:ilvl="0" w:tplc="8E108FAC">
      <w:start w:val="1"/>
      <w:numFmt w:val="decimal"/>
      <w:lvlText w:val="%1."/>
      <w:lvlJc w:val="left"/>
      <w:pPr>
        <w:ind w:left="720" w:hanging="360"/>
      </w:pPr>
      <w:rPr>
        <w:rFonts w:hint="default"/>
      </w:rPr>
    </w:lvl>
    <w:lvl w:ilvl="1" w:tplc="3188B7B4">
      <w:start w:val="1"/>
      <w:numFmt w:val="lowerLetter"/>
      <w:lvlText w:val="%2."/>
      <w:lvlJc w:val="left"/>
      <w:pPr>
        <w:ind w:left="1440" w:hanging="360"/>
      </w:pPr>
    </w:lvl>
    <w:lvl w:ilvl="2" w:tplc="1332C242" w:tentative="1">
      <w:start w:val="1"/>
      <w:numFmt w:val="lowerRoman"/>
      <w:lvlText w:val="%3."/>
      <w:lvlJc w:val="right"/>
      <w:pPr>
        <w:ind w:left="2160" w:hanging="180"/>
      </w:pPr>
    </w:lvl>
    <w:lvl w:ilvl="3" w:tplc="030A0A0A" w:tentative="1">
      <w:start w:val="1"/>
      <w:numFmt w:val="decimal"/>
      <w:lvlText w:val="%4."/>
      <w:lvlJc w:val="left"/>
      <w:pPr>
        <w:ind w:left="2880" w:hanging="360"/>
      </w:pPr>
    </w:lvl>
    <w:lvl w:ilvl="4" w:tplc="64F23228" w:tentative="1">
      <w:start w:val="1"/>
      <w:numFmt w:val="lowerLetter"/>
      <w:lvlText w:val="%5."/>
      <w:lvlJc w:val="left"/>
      <w:pPr>
        <w:ind w:left="3600" w:hanging="360"/>
      </w:pPr>
    </w:lvl>
    <w:lvl w:ilvl="5" w:tplc="97EE1D46" w:tentative="1">
      <w:start w:val="1"/>
      <w:numFmt w:val="lowerRoman"/>
      <w:lvlText w:val="%6."/>
      <w:lvlJc w:val="right"/>
      <w:pPr>
        <w:ind w:left="4320" w:hanging="180"/>
      </w:pPr>
    </w:lvl>
    <w:lvl w:ilvl="6" w:tplc="6502631A" w:tentative="1">
      <w:start w:val="1"/>
      <w:numFmt w:val="decimal"/>
      <w:lvlText w:val="%7."/>
      <w:lvlJc w:val="left"/>
      <w:pPr>
        <w:ind w:left="5040" w:hanging="360"/>
      </w:pPr>
    </w:lvl>
    <w:lvl w:ilvl="7" w:tplc="3C2CF482" w:tentative="1">
      <w:start w:val="1"/>
      <w:numFmt w:val="lowerLetter"/>
      <w:lvlText w:val="%8."/>
      <w:lvlJc w:val="left"/>
      <w:pPr>
        <w:ind w:left="5760" w:hanging="360"/>
      </w:pPr>
    </w:lvl>
    <w:lvl w:ilvl="8" w:tplc="D01EB2C2" w:tentative="1">
      <w:start w:val="1"/>
      <w:numFmt w:val="lowerRoman"/>
      <w:lvlText w:val="%9."/>
      <w:lvlJc w:val="right"/>
      <w:pPr>
        <w:ind w:left="6480" w:hanging="180"/>
      </w:pPr>
    </w:lvl>
  </w:abstractNum>
  <w:abstractNum w:abstractNumId="23">
    <w:nsid w:val="743C039C"/>
    <w:multiLevelType w:val="hybridMultilevel"/>
    <w:tmpl w:val="F9946388"/>
    <w:lvl w:ilvl="0" w:tplc="FFAAA858">
      <w:start w:val="1"/>
      <w:numFmt w:val="lowerLetter"/>
      <w:lvlText w:val="%1)"/>
      <w:lvlJc w:val="left"/>
      <w:pPr>
        <w:ind w:left="720" w:hanging="360"/>
      </w:pPr>
    </w:lvl>
    <w:lvl w:ilvl="1" w:tplc="A63E1C02" w:tentative="1">
      <w:start w:val="1"/>
      <w:numFmt w:val="lowerLetter"/>
      <w:lvlText w:val="%2."/>
      <w:lvlJc w:val="left"/>
      <w:pPr>
        <w:ind w:left="1440" w:hanging="360"/>
      </w:pPr>
    </w:lvl>
    <w:lvl w:ilvl="2" w:tplc="F8E88C30" w:tentative="1">
      <w:start w:val="1"/>
      <w:numFmt w:val="lowerRoman"/>
      <w:lvlText w:val="%3."/>
      <w:lvlJc w:val="right"/>
      <w:pPr>
        <w:ind w:left="2160" w:hanging="180"/>
      </w:pPr>
    </w:lvl>
    <w:lvl w:ilvl="3" w:tplc="7BF013FE" w:tentative="1">
      <w:start w:val="1"/>
      <w:numFmt w:val="decimal"/>
      <w:lvlText w:val="%4."/>
      <w:lvlJc w:val="left"/>
      <w:pPr>
        <w:ind w:left="2880" w:hanging="360"/>
      </w:pPr>
    </w:lvl>
    <w:lvl w:ilvl="4" w:tplc="7262900E" w:tentative="1">
      <w:start w:val="1"/>
      <w:numFmt w:val="lowerLetter"/>
      <w:lvlText w:val="%5."/>
      <w:lvlJc w:val="left"/>
      <w:pPr>
        <w:ind w:left="3600" w:hanging="360"/>
      </w:pPr>
    </w:lvl>
    <w:lvl w:ilvl="5" w:tplc="D4C6469C" w:tentative="1">
      <w:start w:val="1"/>
      <w:numFmt w:val="lowerRoman"/>
      <w:lvlText w:val="%6."/>
      <w:lvlJc w:val="right"/>
      <w:pPr>
        <w:ind w:left="4320" w:hanging="180"/>
      </w:pPr>
    </w:lvl>
    <w:lvl w:ilvl="6" w:tplc="4516E2A4" w:tentative="1">
      <w:start w:val="1"/>
      <w:numFmt w:val="decimal"/>
      <w:lvlText w:val="%7."/>
      <w:lvlJc w:val="left"/>
      <w:pPr>
        <w:ind w:left="5040" w:hanging="360"/>
      </w:pPr>
    </w:lvl>
    <w:lvl w:ilvl="7" w:tplc="3E327CCC" w:tentative="1">
      <w:start w:val="1"/>
      <w:numFmt w:val="lowerLetter"/>
      <w:lvlText w:val="%8."/>
      <w:lvlJc w:val="left"/>
      <w:pPr>
        <w:ind w:left="5760" w:hanging="360"/>
      </w:pPr>
    </w:lvl>
    <w:lvl w:ilvl="8" w:tplc="32EE5010" w:tentative="1">
      <w:start w:val="1"/>
      <w:numFmt w:val="lowerRoman"/>
      <w:lvlText w:val="%9."/>
      <w:lvlJc w:val="right"/>
      <w:pPr>
        <w:ind w:left="6480" w:hanging="180"/>
      </w:pPr>
    </w:lvl>
  </w:abstractNum>
  <w:abstractNum w:abstractNumId="24">
    <w:nsid w:val="74827819"/>
    <w:multiLevelType w:val="hybridMultilevel"/>
    <w:tmpl w:val="B56C7180"/>
    <w:lvl w:ilvl="0" w:tplc="9D680C0E">
      <w:start w:val="1"/>
      <w:numFmt w:val="lowerLetter"/>
      <w:lvlText w:val="%1)"/>
      <w:lvlJc w:val="left"/>
      <w:pPr>
        <w:ind w:left="720" w:hanging="360"/>
      </w:pPr>
      <w:rPr>
        <w:color w:val="auto"/>
      </w:rPr>
    </w:lvl>
    <w:lvl w:ilvl="1" w:tplc="D8C46BF0" w:tentative="1">
      <w:start w:val="1"/>
      <w:numFmt w:val="lowerLetter"/>
      <w:lvlText w:val="%2."/>
      <w:lvlJc w:val="left"/>
      <w:pPr>
        <w:ind w:left="1440" w:hanging="360"/>
      </w:pPr>
    </w:lvl>
    <w:lvl w:ilvl="2" w:tplc="47EC91DA" w:tentative="1">
      <w:start w:val="1"/>
      <w:numFmt w:val="lowerRoman"/>
      <w:lvlText w:val="%3."/>
      <w:lvlJc w:val="right"/>
      <w:pPr>
        <w:ind w:left="2160" w:hanging="180"/>
      </w:pPr>
    </w:lvl>
    <w:lvl w:ilvl="3" w:tplc="FCFCF898" w:tentative="1">
      <w:start w:val="1"/>
      <w:numFmt w:val="decimal"/>
      <w:lvlText w:val="%4."/>
      <w:lvlJc w:val="left"/>
      <w:pPr>
        <w:ind w:left="2880" w:hanging="360"/>
      </w:pPr>
    </w:lvl>
    <w:lvl w:ilvl="4" w:tplc="7ED637AA" w:tentative="1">
      <w:start w:val="1"/>
      <w:numFmt w:val="lowerLetter"/>
      <w:lvlText w:val="%5."/>
      <w:lvlJc w:val="left"/>
      <w:pPr>
        <w:ind w:left="3600" w:hanging="360"/>
      </w:pPr>
    </w:lvl>
    <w:lvl w:ilvl="5" w:tplc="C7FA545A" w:tentative="1">
      <w:start w:val="1"/>
      <w:numFmt w:val="lowerRoman"/>
      <w:lvlText w:val="%6."/>
      <w:lvlJc w:val="right"/>
      <w:pPr>
        <w:ind w:left="4320" w:hanging="180"/>
      </w:pPr>
    </w:lvl>
    <w:lvl w:ilvl="6" w:tplc="79D8DE42" w:tentative="1">
      <w:start w:val="1"/>
      <w:numFmt w:val="decimal"/>
      <w:lvlText w:val="%7."/>
      <w:lvlJc w:val="left"/>
      <w:pPr>
        <w:ind w:left="5040" w:hanging="360"/>
      </w:pPr>
    </w:lvl>
    <w:lvl w:ilvl="7" w:tplc="13C4C47C" w:tentative="1">
      <w:start w:val="1"/>
      <w:numFmt w:val="lowerLetter"/>
      <w:lvlText w:val="%8."/>
      <w:lvlJc w:val="left"/>
      <w:pPr>
        <w:ind w:left="5760" w:hanging="360"/>
      </w:pPr>
    </w:lvl>
    <w:lvl w:ilvl="8" w:tplc="859E63D8"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3"/>
  </w:num>
  <w:num w:numId="5">
    <w:abstractNumId w:val="21"/>
  </w:num>
  <w:num w:numId="6">
    <w:abstractNumId w:val="6"/>
  </w:num>
  <w:num w:numId="7">
    <w:abstractNumId w:val="11"/>
  </w:num>
  <w:num w:numId="8">
    <w:abstractNumId w:val="22"/>
  </w:num>
  <w:num w:numId="9">
    <w:abstractNumId w:val="13"/>
  </w:num>
  <w:num w:numId="10">
    <w:abstractNumId w:val="5"/>
  </w:num>
  <w:num w:numId="11">
    <w:abstractNumId w:val="19"/>
  </w:num>
  <w:num w:numId="12">
    <w:abstractNumId w:val="17"/>
  </w:num>
  <w:num w:numId="13">
    <w:abstractNumId w:val="9"/>
  </w:num>
  <w:num w:numId="14">
    <w:abstractNumId w:val="20"/>
  </w:num>
  <w:num w:numId="15">
    <w:abstractNumId w:val="12"/>
  </w:num>
  <w:num w:numId="16">
    <w:abstractNumId w:val="14"/>
  </w:num>
  <w:num w:numId="17">
    <w:abstractNumId w:val="0"/>
  </w:num>
  <w:num w:numId="18">
    <w:abstractNumId w:val="24"/>
  </w:num>
  <w:num w:numId="19">
    <w:abstractNumId w:val="2"/>
  </w:num>
  <w:num w:numId="20">
    <w:abstractNumId w:val="23"/>
  </w:num>
  <w:num w:numId="21">
    <w:abstractNumId w:val="18"/>
  </w:num>
  <w:num w:numId="22">
    <w:abstractNumId w:val="8"/>
  </w:num>
  <w:num w:numId="23">
    <w:abstractNumId w:val="7"/>
  </w:num>
  <w:num w:numId="24">
    <w:abstractNumId w:val="1"/>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F0A39"/>
    <w:rsid w:val="000F0A39"/>
    <w:rsid w:val="00103740"/>
    <w:rsid w:val="002F555D"/>
    <w:rsid w:val="00525BBC"/>
    <w:rsid w:val="00564E3F"/>
    <w:rsid w:val="005E2B13"/>
    <w:rsid w:val="0080436C"/>
    <w:rsid w:val="00A7321E"/>
    <w:rsid w:val="00B73B1C"/>
    <w:rsid w:val="00C26A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3955"/>
    <w:pPr>
      <w:spacing w:after="200" w:line="276" w:lineRule="auto"/>
    </w:pPr>
    <w:rPr>
      <w:sz w:val="22"/>
      <w:szCs w:val="22"/>
      <w:lang w:eastAsia="en-US"/>
    </w:rPr>
  </w:style>
  <w:style w:type="paragraph" w:styleId="Nagwek1">
    <w:name w:val="heading 1"/>
    <w:basedOn w:val="Normalny"/>
    <w:next w:val="Normalny"/>
    <w:link w:val="Nagwek1Znak"/>
    <w:qFormat/>
    <w:rsid w:val="005F0683"/>
    <w:pPr>
      <w:keepNext/>
      <w:spacing w:after="0" w:line="240" w:lineRule="auto"/>
      <w:jc w:val="center"/>
      <w:outlineLvl w:val="0"/>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F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Akapit z listą1,Akapit z listą11,Akapit z listą3,Akapit z listą31,Asia 2  Akapit z listą,BulletC,Bullets,Kolorowa lista — akcent 11,List Paragraph1,List Paragraph_0,Numerowanie,Obiekt,Wyliczanie,Wypunktowanie,normalny,normalny tekst"/>
    <w:basedOn w:val="Normalny"/>
    <w:link w:val="AkapitzlistZnak"/>
    <w:uiPriority w:val="34"/>
    <w:qFormat/>
    <w:rsid w:val="008D3955"/>
    <w:pPr>
      <w:ind w:left="720"/>
      <w:contextualSpacing/>
    </w:pPr>
  </w:style>
  <w:style w:type="paragraph" w:styleId="Bezodstpw">
    <w:name w:val="No Spacing"/>
    <w:aliases w:val="1."/>
    <w:link w:val="BezodstpwZnak"/>
    <w:uiPriority w:val="1"/>
    <w:qFormat/>
    <w:rsid w:val="008D3955"/>
    <w:rPr>
      <w:sz w:val="22"/>
      <w:szCs w:val="22"/>
      <w:lang w:eastAsia="en-US"/>
    </w:rPr>
  </w:style>
  <w:style w:type="paragraph" w:styleId="Tekstpodstawowy">
    <w:name w:val="Body Text"/>
    <w:basedOn w:val="Normalny"/>
    <w:link w:val="TekstpodstawowyZnak"/>
    <w:rsid w:val="00C244A7"/>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C244A7"/>
    <w:rPr>
      <w:rFonts w:ascii="Times New Roman" w:eastAsia="Times New Roman" w:hAnsi="Times New Roman"/>
      <w:sz w:val="24"/>
    </w:rPr>
  </w:style>
  <w:style w:type="paragraph" w:styleId="Tekstpodstawowywcity2">
    <w:name w:val="Body Text Indent 2"/>
    <w:basedOn w:val="Normalny"/>
    <w:link w:val="Tekstpodstawowywcity2Znak"/>
    <w:uiPriority w:val="99"/>
    <w:unhideWhenUsed/>
    <w:rsid w:val="00C244A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C244A7"/>
    <w:rPr>
      <w:rFonts w:ascii="Times New Roman" w:eastAsia="Times New Roman" w:hAnsi="Times New Roman"/>
      <w:sz w:val="24"/>
      <w:szCs w:val="24"/>
    </w:rPr>
  </w:style>
  <w:style w:type="paragraph" w:customStyle="1" w:styleId="zwykywcity">
    <w:name w:val="zwykły wcięty"/>
    <w:basedOn w:val="Normalny"/>
    <w:uiPriority w:val="99"/>
    <w:qFormat/>
    <w:rsid w:val="00C244A7"/>
    <w:pPr>
      <w:suppressAutoHyphens/>
      <w:spacing w:after="60" w:line="360" w:lineRule="auto"/>
      <w:ind w:firstLine="396"/>
      <w:jc w:val="both"/>
    </w:pPr>
    <w:rPr>
      <w:rFonts w:ascii="Goudy Old Style CE ATT" w:eastAsia="Times New Roman" w:hAnsi="Goudy Old Style CE ATT"/>
      <w:sz w:val="24"/>
      <w:szCs w:val="20"/>
      <w:lang w:eastAsia="ar-SA"/>
    </w:rPr>
  </w:style>
  <w:style w:type="paragraph" w:customStyle="1" w:styleId="Zwykytekst1">
    <w:name w:val="Zwykły tekst1"/>
    <w:basedOn w:val="Normalny"/>
    <w:qFormat/>
    <w:rsid w:val="00C244A7"/>
    <w:pPr>
      <w:overflowPunct w:val="0"/>
      <w:autoSpaceDE w:val="0"/>
      <w:autoSpaceDN w:val="0"/>
      <w:adjustRightInd w:val="0"/>
      <w:spacing w:after="0" w:line="240" w:lineRule="auto"/>
      <w:textAlignment w:val="baseline"/>
    </w:pPr>
    <w:rPr>
      <w:rFonts w:ascii="Courier New" w:eastAsia="Times New Roman" w:hAnsi="Courier New"/>
      <w:sz w:val="20"/>
      <w:szCs w:val="20"/>
      <w:lang w:eastAsia="pl-PL"/>
    </w:rPr>
  </w:style>
  <w:style w:type="character" w:customStyle="1" w:styleId="AkapitzlistZnak">
    <w:name w:val="Akapit z listą Znak"/>
    <w:aliases w:val="Akapit z listą1 Znak,Akapit z listą11 Znak,Akapit z listą3 Znak,Akapit z listą31 Znak,Asia 2  Akapit z listą Znak,BulletC Znak,Bullets Znak,Kolorowa lista — akcent 11 Znak,List Paragraph1 Znak,List Paragraph_0 Znak,Numerowanie Znak"/>
    <w:link w:val="Akapitzlist"/>
    <w:uiPriority w:val="34"/>
    <w:qFormat/>
    <w:rsid w:val="000573EA"/>
    <w:rPr>
      <w:sz w:val="22"/>
      <w:szCs w:val="22"/>
      <w:lang w:eastAsia="en-US"/>
    </w:rPr>
  </w:style>
  <w:style w:type="character" w:customStyle="1" w:styleId="Nagwek1Znak">
    <w:name w:val="Nagłówek 1 Znak"/>
    <w:basedOn w:val="Domylnaczcionkaakapitu"/>
    <w:link w:val="Nagwek1"/>
    <w:rsid w:val="005F0683"/>
    <w:rPr>
      <w:rFonts w:ascii="Times New Roman" w:eastAsia="Times New Roman" w:hAnsi="Times New Roman"/>
      <w:b/>
      <w:bCs/>
      <w:sz w:val="24"/>
      <w:szCs w:val="24"/>
    </w:rPr>
  </w:style>
  <w:style w:type="character" w:customStyle="1" w:styleId="highlight">
    <w:name w:val="highlight"/>
    <w:basedOn w:val="Domylnaczcionkaakapitu"/>
    <w:rsid w:val="001C42C0"/>
  </w:style>
  <w:style w:type="paragraph" w:styleId="Tekstpodstawowywcity">
    <w:name w:val="Body Text Indent"/>
    <w:basedOn w:val="Normalny"/>
    <w:link w:val="TekstpodstawowywcityZnak"/>
    <w:uiPriority w:val="99"/>
    <w:semiHidden/>
    <w:unhideWhenUsed/>
    <w:rsid w:val="001135E3"/>
    <w:pPr>
      <w:spacing w:after="120"/>
      <w:ind w:left="283"/>
    </w:pPr>
  </w:style>
  <w:style w:type="character" w:customStyle="1" w:styleId="TekstpodstawowywcityZnak">
    <w:name w:val="Tekst podstawowy wcięty Znak"/>
    <w:basedOn w:val="Domylnaczcionkaakapitu"/>
    <w:link w:val="Tekstpodstawowywcity"/>
    <w:uiPriority w:val="99"/>
    <w:semiHidden/>
    <w:rsid w:val="001135E3"/>
    <w:rPr>
      <w:sz w:val="22"/>
      <w:szCs w:val="22"/>
      <w:lang w:eastAsia="en-US"/>
    </w:rPr>
  </w:style>
  <w:style w:type="paragraph" w:customStyle="1" w:styleId="Default">
    <w:name w:val="Default"/>
    <w:rsid w:val="00190328"/>
    <w:pPr>
      <w:widowControl w:val="0"/>
      <w:autoSpaceDE w:val="0"/>
      <w:autoSpaceDN w:val="0"/>
      <w:adjustRightInd w:val="0"/>
    </w:pPr>
    <w:rPr>
      <w:rFonts w:ascii="Times New Roman" w:eastAsia="Times New Roman" w:hAnsi="Times New Roman"/>
      <w:color w:val="000000"/>
      <w:sz w:val="24"/>
      <w:szCs w:val="24"/>
    </w:rPr>
  </w:style>
  <w:style w:type="paragraph" w:customStyle="1" w:styleId="Nagwek21">
    <w:name w:val="Nagłówek 21"/>
    <w:basedOn w:val="Normalny"/>
    <w:qFormat/>
    <w:rsid w:val="00E32E99"/>
    <w:pPr>
      <w:keepNext/>
      <w:widowControl w:val="0"/>
      <w:suppressAutoHyphens/>
      <w:spacing w:after="0" w:line="240" w:lineRule="auto"/>
      <w:outlineLvl w:val="1"/>
    </w:pPr>
    <w:rPr>
      <w:rFonts w:ascii="Times New Roman" w:eastAsia="Arial Unicode MS" w:hAnsi="Times New Roman"/>
      <w:b/>
      <w:bCs/>
      <w:sz w:val="28"/>
      <w:szCs w:val="20"/>
      <w:lang w:eastAsia="pl-PL"/>
    </w:rPr>
  </w:style>
  <w:style w:type="character" w:customStyle="1" w:styleId="info-list-value-uzasadnienie">
    <w:name w:val="info-list-value-uzasadnienie"/>
    <w:basedOn w:val="Domylnaczcionkaakapitu"/>
    <w:rsid w:val="000E0A26"/>
  </w:style>
  <w:style w:type="character" w:customStyle="1" w:styleId="fontstyle01">
    <w:name w:val="fontstyle01"/>
    <w:basedOn w:val="Domylnaczcionkaakapitu"/>
    <w:rsid w:val="002E2624"/>
    <w:rPr>
      <w:rFonts w:ascii="Times-Bold" w:hAnsi="Times-Bold" w:hint="default"/>
      <w:b/>
      <w:bCs/>
      <w:i w:val="0"/>
      <w:iCs w:val="0"/>
      <w:color w:val="000000"/>
      <w:sz w:val="18"/>
      <w:szCs w:val="18"/>
    </w:rPr>
  </w:style>
  <w:style w:type="paragraph" w:customStyle="1" w:styleId="just">
    <w:name w:val="just"/>
    <w:basedOn w:val="Normalny"/>
    <w:rsid w:val="00026D7A"/>
    <w:pPr>
      <w:spacing w:before="45" w:after="45" w:line="240" w:lineRule="auto"/>
      <w:jc w:val="both"/>
    </w:pPr>
    <w:rPr>
      <w:rFonts w:ascii="Arial Unicode MS" w:eastAsia="Arial Unicode MS" w:hAnsi="Arial Unicode MS" w:cs="Arial Unicode MS"/>
      <w:sz w:val="24"/>
      <w:szCs w:val="24"/>
      <w:lang w:eastAsia="pl-PL"/>
    </w:rPr>
  </w:style>
  <w:style w:type="character" w:customStyle="1" w:styleId="markedcontent">
    <w:name w:val="markedcontent"/>
    <w:basedOn w:val="Domylnaczcionkaakapitu"/>
    <w:rsid w:val="009F4FC3"/>
  </w:style>
  <w:style w:type="paragraph" w:customStyle="1" w:styleId="Standardowy0">
    <w:name w:val="Standardowy_"/>
    <w:rsid w:val="00733BDB"/>
    <w:pPr>
      <w:widowControl w:val="0"/>
      <w:tabs>
        <w:tab w:val="left" w:pos="-720"/>
      </w:tabs>
      <w:suppressAutoHyphens/>
      <w:overflowPunct w:val="0"/>
      <w:autoSpaceDE w:val="0"/>
      <w:autoSpaceDN w:val="0"/>
      <w:adjustRightInd w:val="0"/>
      <w:jc w:val="both"/>
    </w:pPr>
    <w:rPr>
      <w:rFonts w:ascii="Times New Roman" w:eastAsia="Times New Roman" w:hAnsi="Times New Roman"/>
      <w:spacing w:val="-3"/>
      <w:sz w:val="24"/>
    </w:rPr>
  </w:style>
  <w:style w:type="paragraph" w:customStyle="1" w:styleId="Rozdzielnik">
    <w:name w:val="Rozdzielnik"/>
    <w:basedOn w:val="Akapitzlist"/>
    <w:link w:val="RozdzielnikZnak"/>
    <w:qFormat/>
    <w:rsid w:val="00733BDB"/>
    <w:pPr>
      <w:numPr>
        <w:numId w:val="14"/>
      </w:numPr>
      <w:spacing w:after="0" w:line="240" w:lineRule="auto"/>
      <w:jc w:val="both"/>
    </w:pPr>
    <w:rPr>
      <w:rFonts w:ascii="Arial" w:eastAsia="Times New Roman" w:hAnsi="Arial" w:cs="Arial"/>
      <w:sz w:val="20"/>
      <w:szCs w:val="20"/>
      <w:lang w:eastAsia="pl-PL"/>
    </w:rPr>
  </w:style>
  <w:style w:type="character" w:customStyle="1" w:styleId="RozdzielnikZnak">
    <w:name w:val="Rozdzielnik Znak"/>
    <w:basedOn w:val="Domylnaczcionkaakapitu"/>
    <w:link w:val="Rozdzielnik"/>
    <w:qFormat/>
    <w:rsid w:val="00733BDB"/>
    <w:rPr>
      <w:rFonts w:ascii="Arial" w:eastAsia="Times New Roman" w:hAnsi="Arial" w:cs="Arial"/>
    </w:rPr>
  </w:style>
  <w:style w:type="character" w:customStyle="1" w:styleId="FontStyle22">
    <w:name w:val="Font Style22"/>
    <w:basedOn w:val="Domylnaczcionkaakapitu"/>
    <w:uiPriority w:val="99"/>
    <w:rsid w:val="00733BDB"/>
    <w:rPr>
      <w:rFonts w:ascii="Times New Roman" w:hAnsi="Times New Roman" w:cs="Times New Roman"/>
      <w:sz w:val="22"/>
      <w:szCs w:val="22"/>
    </w:rPr>
  </w:style>
  <w:style w:type="character" w:customStyle="1" w:styleId="BezodstpwZnak">
    <w:name w:val="Bez odstępów Znak"/>
    <w:aliases w:val="1. Znak"/>
    <w:link w:val="Bezodstpw"/>
    <w:uiPriority w:val="1"/>
    <w:rsid w:val="00733BDB"/>
    <w:rPr>
      <w:sz w:val="22"/>
      <w:szCs w:val="22"/>
      <w:lang w:eastAsia="en-US"/>
    </w:rPr>
  </w:style>
  <w:style w:type="character" w:styleId="Odwoaniedokomentarza">
    <w:name w:val="annotation reference"/>
    <w:basedOn w:val="Domylnaczcionkaakapitu"/>
    <w:uiPriority w:val="99"/>
    <w:semiHidden/>
    <w:unhideWhenUsed/>
    <w:rsid w:val="00B07C24"/>
    <w:rPr>
      <w:sz w:val="16"/>
      <w:szCs w:val="16"/>
    </w:rPr>
  </w:style>
  <w:style w:type="paragraph" w:styleId="Tekstkomentarza">
    <w:name w:val="annotation text"/>
    <w:basedOn w:val="Normalny"/>
    <w:link w:val="TekstkomentarzaZnak"/>
    <w:uiPriority w:val="99"/>
    <w:semiHidden/>
    <w:unhideWhenUsed/>
    <w:rsid w:val="00B07C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7C24"/>
    <w:rPr>
      <w:lang w:eastAsia="en-US"/>
    </w:rPr>
  </w:style>
  <w:style w:type="paragraph" w:styleId="Tematkomentarza">
    <w:name w:val="annotation subject"/>
    <w:basedOn w:val="Tekstkomentarza"/>
    <w:next w:val="Tekstkomentarza"/>
    <w:link w:val="TematkomentarzaZnak"/>
    <w:uiPriority w:val="99"/>
    <w:semiHidden/>
    <w:unhideWhenUsed/>
    <w:rsid w:val="00B07C24"/>
    <w:rPr>
      <w:b/>
      <w:bCs/>
    </w:rPr>
  </w:style>
  <w:style w:type="character" w:customStyle="1" w:styleId="TematkomentarzaZnak">
    <w:name w:val="Temat komentarza Znak"/>
    <w:basedOn w:val="TekstkomentarzaZnak"/>
    <w:link w:val="Tematkomentarza"/>
    <w:uiPriority w:val="99"/>
    <w:semiHidden/>
    <w:rsid w:val="00B07C24"/>
    <w:rPr>
      <w:b/>
      <w:bCs/>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dos-katowice/poczesna-kolo-czestochowy-plh2400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3410-0FDA-4B2F-9CA8-9D47C2AF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9804</Words>
  <Characters>58824</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RDOŚ Katowice</dc:creator>
  <cp:lastModifiedBy>HP</cp:lastModifiedBy>
  <cp:revision>4</cp:revision>
  <cp:lastPrinted>2022-06-03T08:07:00Z</cp:lastPrinted>
  <dcterms:created xsi:type="dcterms:W3CDTF">2022-06-06T11:12:00Z</dcterms:created>
  <dcterms:modified xsi:type="dcterms:W3CDTF">2022-06-07T12:26:00Z</dcterms:modified>
</cp:coreProperties>
</file>