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A72DA" w14:textId="77777777" w:rsidR="00FD1813" w:rsidRPr="00FD1813" w:rsidRDefault="00FD1813" w:rsidP="00FD1813">
      <w:pPr>
        <w:ind w:firstLine="0"/>
        <w:rPr>
          <w:b/>
          <w:bCs/>
        </w:rPr>
      </w:pPr>
      <w:r w:rsidRPr="00FD1813">
        <w:rPr>
          <w:b/>
          <w:bCs/>
        </w:rPr>
        <w:t>KOMISJA KODYFIKACYJNA</w:t>
      </w:r>
    </w:p>
    <w:p w14:paraId="52E503DD" w14:textId="6B9B15AA" w:rsidR="00FD1813" w:rsidRPr="00FD1813" w:rsidRDefault="00FD1813" w:rsidP="00FD1813">
      <w:pPr>
        <w:ind w:firstLine="0"/>
        <w:rPr>
          <w:b/>
          <w:bCs/>
        </w:rPr>
      </w:pPr>
      <w:r>
        <w:rPr>
          <w:b/>
          <w:bCs/>
        </w:rPr>
        <w:t xml:space="preserve">        </w:t>
      </w:r>
      <w:r w:rsidRPr="00FD1813">
        <w:rPr>
          <w:b/>
          <w:bCs/>
        </w:rPr>
        <w:t>PRAWA KARNEGO</w:t>
      </w:r>
    </w:p>
    <w:p w14:paraId="5227A425" w14:textId="1C5D9797" w:rsidR="00050182" w:rsidRDefault="00FD275F" w:rsidP="00FD1813">
      <w:pPr>
        <w:ind w:left="6372" w:firstLine="708"/>
      </w:pPr>
      <w:r>
        <w:t>5</w:t>
      </w:r>
      <w:r w:rsidR="00050182">
        <w:t xml:space="preserve"> listopada 2024 r. </w:t>
      </w:r>
    </w:p>
    <w:p w14:paraId="50452ACE" w14:textId="77777777" w:rsidR="00050182" w:rsidRDefault="00050182" w:rsidP="00050182">
      <w:pPr>
        <w:jc w:val="center"/>
      </w:pPr>
    </w:p>
    <w:p w14:paraId="13329C64" w14:textId="55D10F4F" w:rsidR="00AA55A4" w:rsidRDefault="00816694" w:rsidP="00313F80">
      <w:pPr>
        <w:ind w:firstLine="0"/>
        <w:jc w:val="center"/>
      </w:pPr>
      <w:r>
        <w:t>Opinia</w:t>
      </w:r>
    </w:p>
    <w:p w14:paraId="2090B405" w14:textId="3E6425AF" w:rsidR="00050182" w:rsidRDefault="00816694" w:rsidP="00313F80">
      <w:pPr>
        <w:ind w:firstLine="0"/>
        <w:jc w:val="center"/>
      </w:pPr>
      <w:r>
        <w:t>w sprawie projektu ustawy o zmianie ustawy Kodeks karny (UD29)</w:t>
      </w:r>
    </w:p>
    <w:p w14:paraId="78E3ADDB" w14:textId="77777777" w:rsidR="00313F80" w:rsidRDefault="00816694" w:rsidP="00313F80">
      <w:pPr>
        <w:ind w:firstLine="0"/>
        <w:jc w:val="center"/>
      </w:pPr>
      <w:r>
        <w:t>wraz z autopoprawką dotyczącego rozszerzenia zakresu penalizacji</w:t>
      </w:r>
    </w:p>
    <w:p w14:paraId="50FEA834" w14:textId="40A0EE53" w:rsidR="00816694" w:rsidRDefault="00816694" w:rsidP="00313F80">
      <w:pPr>
        <w:ind w:firstLine="0"/>
        <w:jc w:val="center"/>
      </w:pPr>
      <w:r>
        <w:t>tzw. „mowy nienawiści”.</w:t>
      </w:r>
    </w:p>
    <w:p w14:paraId="2359E9B8" w14:textId="26AF4E78" w:rsidR="00050182" w:rsidRDefault="00050182" w:rsidP="00FD275F">
      <w:pPr>
        <w:ind w:firstLine="0"/>
      </w:pPr>
    </w:p>
    <w:p w14:paraId="7938121A" w14:textId="77777777" w:rsidR="00816694" w:rsidRDefault="00816694"/>
    <w:p w14:paraId="2112289E" w14:textId="37B4D9AB" w:rsidR="00816694" w:rsidRDefault="00816694">
      <w:r>
        <w:t>1.</w:t>
      </w:r>
      <w:r w:rsidR="00313F80">
        <w:t xml:space="preserve"> </w:t>
      </w:r>
      <w:r>
        <w:t xml:space="preserve">Przedmiotem opinii jest projekt ustawy, </w:t>
      </w:r>
      <w:r w:rsidR="00313F80">
        <w:t>który</w:t>
      </w:r>
      <w:r>
        <w:t xml:space="preserve"> modyfik</w:t>
      </w:r>
      <w:r w:rsidR="00313F80">
        <w:t>uje</w:t>
      </w:r>
      <w:r>
        <w:t xml:space="preserve"> brzmieni</w:t>
      </w:r>
      <w:r w:rsidR="00313F80">
        <w:t>e</w:t>
      </w:r>
      <w:r>
        <w:t xml:space="preserve"> art. 119 § 1, art. 256 § 1 oraz art. 257 Kodeksu karnego. We wszystkich tych regulacjach projektodawcy rozszerzają dotychczasowy zakres penalizacji </w:t>
      </w:r>
      <w:proofErr w:type="spellStart"/>
      <w:r>
        <w:t>zachowań</w:t>
      </w:r>
      <w:proofErr w:type="spellEnd"/>
      <w:r>
        <w:t xml:space="preserve"> motywowanych określonymi cechami osób lub grup osób. W szczególności chodzi o wprowadzenie do wyżej wymienionych przepisów kryterium niepełnosprawności, wieku, płci</w:t>
      </w:r>
      <w:r w:rsidR="00313F80">
        <w:t>,</w:t>
      </w:r>
      <w:r>
        <w:t xml:space="preserve"> orientacji seksualnej oraz tożsamości płciowej. Projekt konsekwentnie przewiduje także modyfikację treści art. 53 § 2a pkt 6 Kodeksu karnego, poprzez rozszerzenie nagannej motywacji</w:t>
      </w:r>
      <w:r w:rsidR="00313F80">
        <w:t>,</w:t>
      </w:r>
      <w:r>
        <w:t xml:space="preserve"> traktowanej jako okoliczność obciążającą przy wymiarze kary</w:t>
      </w:r>
      <w:r w:rsidR="00313F80">
        <w:t>,</w:t>
      </w:r>
      <w:r>
        <w:t xml:space="preserve"> także na przypadki popełnienia przestępstwa motywowanego nienawiścią z powodu niepełnosprawności, wieku, płci, orientacji seksualnej lub tożsamości płciowej pokrzywdzonego.</w:t>
      </w:r>
    </w:p>
    <w:p w14:paraId="4E9F7630" w14:textId="3F610BC8" w:rsidR="00FD275F" w:rsidRDefault="00FD275F">
      <w:r>
        <w:t xml:space="preserve">Do projektu tego przewidziano autopoprawkę, w której w miejsce kryterium „płci” i „tożsamości” płciowej użyto szerszego znaczeniowo terminu „w związku z płcią” lub „ze względu na płeć”.  </w:t>
      </w:r>
    </w:p>
    <w:p w14:paraId="63D585A7" w14:textId="1E72382B" w:rsidR="00816694" w:rsidRDefault="00816694">
      <w:r>
        <w:t>2. Należy zwrócić uwagę, że stosowanie przemocy lub groźby bezprawnej wobec innej osoby, co stanowi karalną czynność wykonawczą w art. 119 § 1 k.k.</w:t>
      </w:r>
      <w:r w:rsidR="00313F80">
        <w:t>,</w:t>
      </w:r>
      <w:r>
        <w:t xml:space="preserve"> stanowi przestępstwo o charakterze powszechnym bez względu na moty</w:t>
      </w:r>
      <w:r w:rsidR="00313F80">
        <w:t>w</w:t>
      </w:r>
      <w:r>
        <w:t xml:space="preserve"> działania oraz bez względu na to, jakiej osoby dotyczy. Podobnie jest w przypadku publicznego znieważenia lub naruszenia nietykalności cielesnej innej osoby. Swoistym typem czynu zabronionego jest nawoływanie do nienawiści wobec innych osób (osoby) z uwagi na określoną ich przynależność lub charakterystykę. W odniesieniu do typu z art. 256 § 1 k.k. brak jest „powszechnego” odpowiednika czynu zabronionego określonego w tym przepisie w postaci „nawoływania do nienawiści” na jakimkolwiek tle (np. poglądów politycznych). </w:t>
      </w:r>
      <w:r w:rsidR="00FD275F">
        <w:t xml:space="preserve">Podobnie w przypadku znieważenia skierowanego do </w:t>
      </w:r>
      <w:r w:rsidR="00FD275F">
        <w:lastRenderedPageBreak/>
        <w:t>grupy osób, art. 27 k.k. stanowi samoistną podstawę penalizacji, art. 216 k.k. odnosi się bowiem wyłącznie do znieważenia indywidualnej osoby.</w:t>
      </w:r>
    </w:p>
    <w:p w14:paraId="6ABF5457" w14:textId="794BD88B" w:rsidR="00DC190F" w:rsidRDefault="00816694" w:rsidP="00313F80">
      <w:r>
        <w:t xml:space="preserve">3. </w:t>
      </w:r>
      <w:r w:rsidR="00DC190F">
        <w:t xml:space="preserve">Powodem wprowadzenia do </w:t>
      </w:r>
      <w:r w:rsidR="00313F80">
        <w:t>K</w:t>
      </w:r>
      <w:r w:rsidR="00DC190F">
        <w:t xml:space="preserve">odeksu karnego typów czynów zabronionych przewidujących wyższą karalność </w:t>
      </w:r>
      <w:r w:rsidR="00313F80">
        <w:t>z</w:t>
      </w:r>
      <w:r w:rsidR="00DC190F">
        <w:t>a stosowanie przemocy, groźby bezprawnej, znieważanie lub naruszenie nietykalności cielesnej z uwag</w:t>
      </w:r>
      <w:r w:rsidR="00313F80">
        <w:t>i</w:t>
      </w:r>
      <w:r w:rsidR="00DC190F">
        <w:t xml:space="preserve"> na określoną charakterystykę pokrzywdzonych tymi </w:t>
      </w:r>
      <w:proofErr w:type="spellStart"/>
      <w:r w:rsidR="00DC190F">
        <w:t>zachowaniami</w:t>
      </w:r>
      <w:proofErr w:type="spellEnd"/>
      <w:r w:rsidR="00DC190F">
        <w:t xml:space="preserve"> i specyficzny motyw sprawcy, jest wyższy stopień społecznej szkodliwości tych </w:t>
      </w:r>
      <w:proofErr w:type="spellStart"/>
      <w:r w:rsidR="00DC190F">
        <w:t>zachowań</w:t>
      </w:r>
      <w:proofErr w:type="spellEnd"/>
      <w:r w:rsidR="00DC190F">
        <w:t xml:space="preserve"> (co równocześnie powoduje ich objęcie ściganiem z urzędu), bowiem godzą one, poza dobrami indywidualnymi, także w spokój publiczny oraz łączą się z niebezpieczeństwem podejmowania na szerszą skalę </w:t>
      </w:r>
      <w:proofErr w:type="spellStart"/>
      <w:r w:rsidR="00DC190F">
        <w:t>zachowań</w:t>
      </w:r>
      <w:proofErr w:type="spellEnd"/>
      <w:r w:rsidR="00DC190F">
        <w:t xml:space="preserve"> charakteryzujących się przemocą słowną i fizyczn</w:t>
      </w:r>
      <w:r w:rsidR="00313F80">
        <w:t>ą,</w:t>
      </w:r>
      <w:r w:rsidR="00DC190F">
        <w:t xml:space="preserve"> a także dyskryminacją wobec osób fizycznych lub grup osób, które mają charakter mniejszościowy, a często są społecznie stygmatyzowane. Zwiększony stopień społecznej szkodliwości </w:t>
      </w:r>
      <w:proofErr w:type="spellStart"/>
      <w:r w:rsidR="00DC190F">
        <w:t>zachowań</w:t>
      </w:r>
      <w:proofErr w:type="spellEnd"/>
      <w:r w:rsidR="00DC190F">
        <w:t xml:space="preserve"> ujętych w art. 119 § 1 </w:t>
      </w:r>
      <w:r w:rsidR="00FD275F">
        <w:t xml:space="preserve">k.k. </w:t>
      </w:r>
      <w:r w:rsidR="00DC190F">
        <w:t xml:space="preserve">oraz 257 </w:t>
      </w:r>
      <w:r w:rsidR="00313F80">
        <w:t>k.k. (</w:t>
      </w:r>
      <w:r w:rsidR="00DC190F">
        <w:t xml:space="preserve">odpowiednio także </w:t>
      </w:r>
      <w:r w:rsidR="00313F80">
        <w:t xml:space="preserve">art. </w:t>
      </w:r>
      <w:r w:rsidR="00DC190F">
        <w:t xml:space="preserve">256 § 1 k.k.) nie tyle jest więc </w:t>
      </w:r>
      <w:r w:rsidR="000E63E8">
        <w:t xml:space="preserve">uzasadniony faktem, skierowania agresji słownej lub fizycznej z uwagi na posiadanie przez pokrzywdzonych </w:t>
      </w:r>
      <w:r w:rsidR="00DC190F">
        <w:t>cech niezależn</w:t>
      </w:r>
      <w:r w:rsidR="000E63E8">
        <w:t xml:space="preserve">ych </w:t>
      </w:r>
      <w:r w:rsidR="00DC190F">
        <w:t>od wyboru t</w:t>
      </w:r>
      <w:r w:rsidR="000E63E8">
        <w:t>ych</w:t>
      </w:r>
      <w:r w:rsidR="00DC190F">
        <w:t xml:space="preserve"> os</w:t>
      </w:r>
      <w:r w:rsidR="000E63E8">
        <w:t>ób</w:t>
      </w:r>
      <w:r w:rsidR="00DC190F">
        <w:t xml:space="preserve">, ale </w:t>
      </w:r>
      <w:r w:rsidR="000E63E8">
        <w:t xml:space="preserve">odwoływanie się przez sprawców do takich </w:t>
      </w:r>
      <w:r w:rsidR="00DC190F">
        <w:t>zobiektywizowan</w:t>
      </w:r>
      <w:r w:rsidR="000E63E8">
        <w:t>ych</w:t>
      </w:r>
      <w:r w:rsidR="00DC190F">
        <w:t xml:space="preserve"> cech „wrażliw</w:t>
      </w:r>
      <w:r w:rsidR="000E63E8">
        <w:t>ych</w:t>
      </w:r>
      <w:r w:rsidR="00DC190F">
        <w:t>”, które były historycznie lub są aktualnie wykorzystywane do stygmatyzacji i</w:t>
      </w:r>
      <w:r w:rsidR="00313F80">
        <w:t xml:space="preserve"> </w:t>
      </w:r>
      <w:r w:rsidR="00DC190F">
        <w:t>(lub) negatywnych ocen</w:t>
      </w:r>
      <w:r w:rsidR="00313F80">
        <w:t>,</w:t>
      </w:r>
      <w:r w:rsidR="00DC190F">
        <w:t xml:space="preserve"> czy postaw wobec osób je posiadających. </w:t>
      </w:r>
    </w:p>
    <w:p w14:paraId="49138F62" w14:textId="5D0D6A2C" w:rsidR="00DC190F" w:rsidRDefault="00DC190F" w:rsidP="00DC190F">
      <w:r>
        <w:t>Należy w tym kontekście podkreślić, że owa stygmatyzacja związana jest z określonymi ideologiami czy subkulturami, w których określone cechy łączą się z negatywną oceną, stanowią podstawę do poniżania i naruszania godności. Nie można tego utożsamiać z klauzulami antydyskryminacyjn</w:t>
      </w:r>
      <w:r w:rsidR="00313F80">
        <w:t>ymi</w:t>
      </w:r>
      <w:r>
        <w:t>. Kryteria przyjmowane w tych klauzulach odnoszą się nie tylko do cech będących podstawą do stygmatyzacji</w:t>
      </w:r>
      <w:r w:rsidR="00313F80">
        <w:t>,</w:t>
      </w:r>
      <w:r>
        <w:t xml:space="preserve"> czy negatywnych ocen występujących na szerszą skalę w danej społeczności, ale także braku przestrzegania zasady równości w oparciu o cechy irrelewantne dla danego uprawnienia, obowiązku czy przywileju. Ograniczanie praw danej kategorii osób z uwagi na takie niedopuszczalne kryteria nie musi się łączyć z negatywną</w:t>
      </w:r>
      <w:r w:rsidR="00F56A7D">
        <w:t>,</w:t>
      </w:r>
      <w:r>
        <w:t xml:space="preserve"> czy poniżającą</w:t>
      </w:r>
      <w:r w:rsidR="00F56A7D">
        <w:t>,</w:t>
      </w:r>
      <w:r>
        <w:t xml:space="preserve"> oceną tych osób. </w:t>
      </w:r>
    </w:p>
    <w:p w14:paraId="0E706D29" w14:textId="3CC650CA" w:rsidR="00DC190F" w:rsidRDefault="00DC190F" w:rsidP="00DC190F">
      <w:r>
        <w:t>Dlatego nie można w sposób automatyczny przenosić cech (czy charakterystyk) z klauzul antydyskryminacyjnych na przepisy prawa karnego dotyczące szeroko rozumianej mowy nienawiści.</w:t>
      </w:r>
    </w:p>
    <w:p w14:paraId="72600E09" w14:textId="76F3CDC2" w:rsidR="0043762A" w:rsidRDefault="00DC190F" w:rsidP="00DC190F">
      <w:r>
        <w:t xml:space="preserve">4. W tej pespektywie pozytywnie należy ocenić wprowadzenie do modyfikowanych regulacji karnych kryterium „orientacji seksualnej”, </w:t>
      </w:r>
      <w:r w:rsidR="00CD1D88">
        <w:t>które</w:t>
      </w:r>
      <w:r>
        <w:t xml:space="preserve"> </w:t>
      </w:r>
      <w:r w:rsidR="0043762A">
        <w:t xml:space="preserve">historycznie </w:t>
      </w:r>
      <w:r w:rsidR="0043762A">
        <w:lastRenderedPageBreak/>
        <w:t xml:space="preserve">łączyło się ze stygmatyzacją społeczną oraz współcześnie stanowi motyw podejmowania wielu działań naruszających nietykalność fizyczną i dobra osobiste innych osób. </w:t>
      </w:r>
    </w:p>
    <w:p w14:paraId="776CEBE6" w14:textId="0577349E" w:rsidR="0043762A" w:rsidRDefault="0043762A" w:rsidP="0043762A">
      <w:r>
        <w:t xml:space="preserve">5. W pierwotnej wersji projektu zaproponowano ponadto kryterium „tożsamości płciowej”. </w:t>
      </w:r>
      <w:r w:rsidRPr="00566ABC">
        <w:rPr>
          <w:b/>
          <w:bCs/>
        </w:rPr>
        <w:t xml:space="preserve">Trafnie jednak w autopoprawce zastąpiono je </w:t>
      </w:r>
      <w:r w:rsidR="00566ABC" w:rsidRPr="00566ABC">
        <w:rPr>
          <w:b/>
          <w:bCs/>
        </w:rPr>
        <w:t>bardziej elastycznym określeniem</w:t>
      </w:r>
      <w:r w:rsidRPr="00566ABC">
        <w:rPr>
          <w:b/>
          <w:bCs/>
        </w:rPr>
        <w:t xml:space="preserve"> „w związku z płcią”.</w:t>
      </w:r>
      <w:r>
        <w:t xml:space="preserve"> Ten ostatni zwrot ma bowiem szerszy zakres znaczeniowy, obejmuje jakiekolwiek motywacje odnoszące się do ludzkiej płciowości, bez względu na to, czy chodzi w tym przypadku o płciowość w rozumieniu biologicznym</w:t>
      </w:r>
      <w:r w:rsidR="00141D6F">
        <w:t>,</w:t>
      </w:r>
      <w:r>
        <w:t xml:space="preserve"> czy społecznym. Pierwotnie użyty termin „tożsamość płciowa” wskazywał na element </w:t>
      </w:r>
      <w:r w:rsidR="00566ABC">
        <w:t xml:space="preserve">jakiejkolwiek </w:t>
      </w:r>
      <w:r>
        <w:t>subiektywnej identyfikacji w odniesieniu do płci, W uzasadnieniach projektowanych zmian wskaz</w:t>
      </w:r>
      <w:r w:rsidR="00566ABC">
        <w:t xml:space="preserve">ywano, że stanowią one realizację </w:t>
      </w:r>
      <w:r>
        <w:t>wymaga</w:t>
      </w:r>
      <w:r w:rsidR="00566ABC">
        <w:t>ń</w:t>
      </w:r>
      <w:r>
        <w:t xml:space="preserve"> wynikając</w:t>
      </w:r>
      <w:r w:rsidR="00566ABC">
        <w:t>ych</w:t>
      </w:r>
      <w:r>
        <w:t xml:space="preserve"> z Konwencji stambulskiej. Problem polega wszakże na tym, że używan</w:t>
      </w:r>
      <w:r w:rsidR="00566ABC">
        <w:t>y</w:t>
      </w:r>
      <w:r>
        <w:t xml:space="preserve"> na gruncie tej Konwencji termin „</w:t>
      </w:r>
      <w:proofErr w:type="spellStart"/>
      <w:r>
        <w:t>gender</w:t>
      </w:r>
      <w:proofErr w:type="spellEnd"/>
      <w:r>
        <w:t xml:space="preserve">”, tłumaczony w języku polskim niekiedy jako „płeć </w:t>
      </w:r>
      <w:proofErr w:type="spellStart"/>
      <w:r>
        <w:t>społeczno</w:t>
      </w:r>
      <w:proofErr w:type="spellEnd"/>
      <w:r w:rsidR="00141D6F">
        <w:t>–</w:t>
      </w:r>
      <w:r>
        <w:t>kulturowa”</w:t>
      </w:r>
      <w:r w:rsidR="00566ABC">
        <w:t>,</w:t>
      </w:r>
      <w:r>
        <w:t xml:space="preserve"> nie oznacza subiektywnie pojmowanej identyfikacji (tożsamości) płciowej, ale zobiektywizowaną rolę społeczną. Nawet więc jeżeli termin ten swoim zakresem znaczeniowym obejmuje szersze spektrum niż płeć</w:t>
      </w:r>
      <w:r w:rsidR="00566ABC">
        <w:t xml:space="preserve"> biologiczna</w:t>
      </w:r>
      <w:r>
        <w:t xml:space="preserve"> </w:t>
      </w:r>
      <w:r w:rsidR="00566ABC">
        <w:t>(m</w:t>
      </w:r>
      <w:r>
        <w:t>ęska i żeńska</w:t>
      </w:r>
      <w:r w:rsidR="00566ABC">
        <w:t>)</w:t>
      </w:r>
      <w:r>
        <w:t xml:space="preserve">, nadal chodzi o obiektywizujące definiowanie płciowości człowieka w różnych formach </w:t>
      </w:r>
      <w:proofErr w:type="spellStart"/>
      <w:r>
        <w:t>społeczno</w:t>
      </w:r>
      <w:proofErr w:type="spellEnd"/>
      <w:r w:rsidR="00141D6F">
        <w:t>–</w:t>
      </w:r>
      <w:r>
        <w:t>kulturowych.</w:t>
      </w:r>
      <w:r w:rsidR="00313F80">
        <w:t xml:space="preserve"> </w:t>
      </w:r>
      <w:r>
        <w:t xml:space="preserve">Podkreślenie owego </w:t>
      </w:r>
      <w:proofErr w:type="spellStart"/>
      <w:r>
        <w:t>społeczn</w:t>
      </w:r>
      <w:r w:rsidR="00141D6F">
        <w:t>o</w:t>
      </w:r>
      <w:proofErr w:type="spellEnd"/>
      <w:r w:rsidR="00141D6F">
        <w:t>–</w:t>
      </w:r>
      <w:r>
        <w:t>kulturowego znaczenia oznacza, że nie chodzi wyłącznie o subiektywne przekonania jednostki</w:t>
      </w:r>
      <w:r w:rsidR="00566ABC">
        <w:t>,</w:t>
      </w:r>
      <w:r>
        <w:t xml:space="preserve"> ale o w miar</w:t>
      </w:r>
      <w:r w:rsidR="00566ABC">
        <w:t>ę</w:t>
      </w:r>
      <w:r>
        <w:t xml:space="preserve"> trwałe </w:t>
      </w:r>
      <w:proofErr w:type="spellStart"/>
      <w:r>
        <w:t>społeczno</w:t>
      </w:r>
      <w:proofErr w:type="spellEnd"/>
      <w:r w:rsidR="00141D6F">
        <w:t>–</w:t>
      </w:r>
      <w:r>
        <w:t>ku</w:t>
      </w:r>
      <w:r w:rsidR="00566ABC">
        <w:t>l</w:t>
      </w:r>
      <w:r>
        <w:t>turowe klasyfikacje tych form.</w:t>
      </w:r>
    </w:p>
    <w:p w14:paraId="28A2E140" w14:textId="77CBDE15" w:rsidR="0043762A" w:rsidRDefault="0043762A" w:rsidP="0043762A">
      <w:r>
        <w:t>Gdyby przyjąć, że współcześnie właśnie przyn</w:t>
      </w:r>
      <w:r w:rsidR="00566ABC">
        <w:t>a</w:t>
      </w:r>
      <w:r>
        <w:t>l</w:t>
      </w:r>
      <w:r w:rsidR="00566ABC">
        <w:t>e</w:t>
      </w:r>
      <w:r>
        <w:t>żność do tych szcz</w:t>
      </w:r>
      <w:r w:rsidR="00566ABC">
        <w:t>e</w:t>
      </w:r>
      <w:r>
        <w:t xml:space="preserve">gólnych </w:t>
      </w:r>
      <w:proofErr w:type="spellStart"/>
      <w:r>
        <w:t>społeczno</w:t>
      </w:r>
      <w:proofErr w:type="spellEnd"/>
      <w:r w:rsidR="00141D6F">
        <w:t>–</w:t>
      </w:r>
      <w:r>
        <w:t>kulturowych form płciowości jest podst</w:t>
      </w:r>
      <w:r w:rsidR="00566ABC">
        <w:t>a</w:t>
      </w:r>
      <w:r>
        <w:t xml:space="preserve">wą </w:t>
      </w:r>
      <w:proofErr w:type="spellStart"/>
      <w:r>
        <w:t>zachowań</w:t>
      </w:r>
      <w:proofErr w:type="spellEnd"/>
      <w:r>
        <w:t xml:space="preserve"> poniżających i stygmatyzujących na szerszą skalę, to w znamionach stosownych typów czynów zabronionych powinno się znale</w:t>
      </w:r>
      <w:r w:rsidR="00566ABC">
        <w:t>ź</w:t>
      </w:r>
      <w:r>
        <w:t xml:space="preserve">ć odpowiednie znamię obiektywne wskazujące na owe formy. </w:t>
      </w:r>
    </w:p>
    <w:p w14:paraId="497F2DC2" w14:textId="540436FD" w:rsidR="0043762A" w:rsidRDefault="0043762A" w:rsidP="0043762A">
      <w:r>
        <w:t>Co do zasady sam termin pł</w:t>
      </w:r>
      <w:r w:rsidR="00566ABC">
        <w:t>e</w:t>
      </w:r>
      <w:r>
        <w:t>ć – wykładany tak jak rozumie go Konwen</w:t>
      </w:r>
      <w:r w:rsidR="00566ABC">
        <w:t>c</w:t>
      </w:r>
      <w:r>
        <w:t>ja stambulska</w:t>
      </w:r>
      <w:r w:rsidR="00141D6F">
        <w:t>,</w:t>
      </w:r>
      <w:r>
        <w:t xml:space="preserve"> powinien być w tym zakresie wystarczający. I </w:t>
      </w:r>
      <w:r w:rsidR="00566ABC">
        <w:t xml:space="preserve">– jak wynika ze wstępnej opinii </w:t>
      </w:r>
      <w:proofErr w:type="spellStart"/>
      <w:r w:rsidR="00566ABC">
        <w:t>prawnoporównawczej</w:t>
      </w:r>
      <w:proofErr w:type="spellEnd"/>
      <w:r w:rsidR="00566ABC">
        <w:t xml:space="preserve"> zleconej na potrzeby Komisji Kodyfikacyjnej – w wielu </w:t>
      </w:r>
      <w:r>
        <w:t>krajach nie wprowadza się innego terminu</w:t>
      </w:r>
      <w:r w:rsidR="00566ABC">
        <w:t>,</w:t>
      </w:r>
      <w:r>
        <w:t xml:space="preserve"> uzyskują</w:t>
      </w:r>
      <w:r w:rsidR="00566ABC">
        <w:t>c</w:t>
      </w:r>
      <w:r>
        <w:t xml:space="preserve"> odpowiednią, </w:t>
      </w:r>
      <w:proofErr w:type="spellStart"/>
      <w:r>
        <w:t>prokonwencyjną</w:t>
      </w:r>
      <w:proofErr w:type="spellEnd"/>
      <w:r>
        <w:t xml:space="preserve"> wykładnię w drodze orzecznictwa. Jeżeli taki mechanizm okazałby się nieskuteczny w przypadku praktyki odrzucającej </w:t>
      </w:r>
      <w:proofErr w:type="spellStart"/>
      <w:r>
        <w:t>prokonwencyj</w:t>
      </w:r>
      <w:r w:rsidR="00566ABC">
        <w:t>n</w:t>
      </w:r>
      <w:r>
        <w:t>ą</w:t>
      </w:r>
      <w:proofErr w:type="spellEnd"/>
      <w:r>
        <w:t xml:space="preserve"> wykładnię </w:t>
      </w:r>
      <w:r w:rsidR="00566ABC">
        <w:t xml:space="preserve">i koncentrującej się na tradycyjnym rozumieniu terminu „płeć” w kontekście wyłącznie płci biologicznej, to wydaje się, że bardziej zasadnym jest przyjęcie rozwiązania zaproponowanego w </w:t>
      </w:r>
      <w:r w:rsidR="00566ABC">
        <w:lastRenderedPageBreak/>
        <w:t>autopoprawce, nawiązującego do regulacji niemieckiego Kodeksu karnego.</w:t>
      </w:r>
      <w:r w:rsidR="00313F80">
        <w:t xml:space="preserve"> </w:t>
      </w:r>
      <w:r>
        <w:t>Polega on na rezygnacji z terminu „z powodu płci” jako kryterium tradycyjnie kojarząc</w:t>
      </w:r>
      <w:r w:rsidR="00141D6F">
        <w:t>ego</w:t>
      </w:r>
      <w:r>
        <w:t xml:space="preserve"> się z dualistycznym podziałem na „mężczyznę” i „kobietę” i zastąpieni</w:t>
      </w:r>
      <w:r w:rsidR="009E46AD">
        <w:t>u</w:t>
      </w:r>
      <w:r>
        <w:t xml:space="preserve"> go określeniem „w związku z płcią”. To ostatnie określenie jest szersze, bowiem obejmuje także działania</w:t>
      </w:r>
      <w:r w:rsidR="00566ABC">
        <w:t>,</w:t>
      </w:r>
      <w:r>
        <w:t xml:space="preserve"> dla których płeć jest </w:t>
      </w:r>
      <w:r w:rsidR="00566ABC">
        <w:t xml:space="preserve">tylko </w:t>
      </w:r>
      <w:r>
        <w:t>kontekstem. W tym sensie nie chodzi już tylko o zachowania np. zniew</w:t>
      </w:r>
      <w:r w:rsidR="00566ABC">
        <w:t>a</w:t>
      </w:r>
      <w:r>
        <w:t>żające z uwagi na to, że inna osoba jest kobietą (albo m</w:t>
      </w:r>
      <w:r w:rsidR="00566ABC">
        <w:t>ę</w:t>
      </w:r>
      <w:r>
        <w:t>żczyzną)</w:t>
      </w:r>
      <w:r w:rsidR="009E46AD">
        <w:t>,</w:t>
      </w:r>
      <w:r>
        <w:t xml:space="preserve"> lecz także wszys</w:t>
      </w:r>
      <w:r w:rsidR="00566ABC">
        <w:t>t</w:t>
      </w:r>
      <w:r>
        <w:t>kie inne zachowania,</w:t>
      </w:r>
      <w:r w:rsidR="00566ABC">
        <w:t xml:space="preserve"> </w:t>
      </w:r>
      <w:r>
        <w:t>dla których kwestia płci</w:t>
      </w:r>
      <w:r w:rsidR="00566ABC">
        <w:t xml:space="preserve">, w tym znaczeniu </w:t>
      </w:r>
      <w:proofErr w:type="spellStart"/>
      <w:r w:rsidR="00566ABC">
        <w:t>społeczno</w:t>
      </w:r>
      <w:proofErr w:type="spellEnd"/>
      <w:r w:rsidR="009E46AD">
        <w:t>–</w:t>
      </w:r>
      <w:r w:rsidR="00566ABC">
        <w:t xml:space="preserve">kulturowym, </w:t>
      </w:r>
      <w:r>
        <w:t>ma znaczenie istotne</w:t>
      </w:r>
      <w:r w:rsidR="00566ABC">
        <w:t>.</w:t>
      </w:r>
    </w:p>
    <w:p w14:paraId="2F8641BF" w14:textId="695BE239" w:rsidR="00DC190F" w:rsidRDefault="00566ABC" w:rsidP="00DC190F">
      <w:r>
        <w:t xml:space="preserve">Należy przy tym pamiętać, że </w:t>
      </w:r>
      <w:r w:rsidR="0043762A">
        <w:t xml:space="preserve">subiektywne postrzeganie własnej osoby (samoidentyfikacji) </w:t>
      </w:r>
      <w:r>
        <w:t xml:space="preserve">w odniesieniu do płci </w:t>
      </w:r>
      <w:r w:rsidR="0043762A">
        <w:t>może być przedmiotem ochrony prawnej, ale z regulacji ogólnych dotyczących ochrony czci (przepis o poniżeniu – art. 212 k.k. oraz przepis o zniewadze, art. 216 oraz odpowiednie przepisy Kodeksu cywilnego o ochronie dóbr osobistych).</w:t>
      </w:r>
      <w:r w:rsidR="00313F80">
        <w:t xml:space="preserve"> </w:t>
      </w:r>
    </w:p>
    <w:p w14:paraId="084945A2" w14:textId="254BA712" w:rsidR="00566ABC" w:rsidRDefault="00566ABC" w:rsidP="009E46AD">
      <w:r>
        <w:t>6. Mają</w:t>
      </w:r>
      <w:r w:rsidR="00050182">
        <w:t>c</w:t>
      </w:r>
      <w:r>
        <w:t xml:space="preserve"> na względzie wskazane wcześniej powody, dla których art. 119 § 1 oraz 257 k.k. obejmują zachowania o zwiększonym stopniu społecznej szkodliwości a przez to zagrożone</w:t>
      </w:r>
      <w:r w:rsidR="009E46AD">
        <w:t xml:space="preserve"> są</w:t>
      </w:r>
      <w:r>
        <w:t xml:space="preserve"> surowszą karą, nie jest zrozumiałe wprowadzenie do projektowanego brzmienia art. 119 § 1, 256 § 1</w:t>
      </w:r>
      <w:r w:rsidR="009E46AD">
        <w:t xml:space="preserve"> </w:t>
      </w:r>
      <w:r>
        <w:t>lub 257 k.k. kategorii „wieku”, która ma oczywiste uzasadnienie w przepisach antydyskryminacyjnych, ale trudno ją powiązać z jakimiś wydarzeniami czy to z przeszłości</w:t>
      </w:r>
      <w:r w:rsidR="009E46AD">
        <w:t>,</w:t>
      </w:r>
      <w:r>
        <w:t xml:space="preserve"> czy współczesnymi, w których ta właśnie cecha wyróżniająca podstawę do </w:t>
      </w:r>
      <w:proofErr w:type="spellStart"/>
      <w:r>
        <w:t>zachowań</w:t>
      </w:r>
      <w:proofErr w:type="spellEnd"/>
      <w:r>
        <w:t xml:space="preserve"> lub wypowiedzi o charakterze </w:t>
      </w:r>
      <w:proofErr w:type="spellStart"/>
      <w:r>
        <w:t>stygmatyzacyjnym</w:t>
      </w:r>
      <w:proofErr w:type="spellEnd"/>
      <w:r>
        <w:t>, czy poniżającym opisanych w tych przepisach, a podejmowanymi na szerszą skalę.</w:t>
      </w:r>
    </w:p>
    <w:p w14:paraId="7E0118D0" w14:textId="2A85740A" w:rsidR="00566ABC" w:rsidRDefault="00050182" w:rsidP="00566ABC">
      <w:r>
        <w:t>Negatywnie natomiast należy ocenić b</w:t>
      </w:r>
      <w:r w:rsidR="00566ABC">
        <w:t>rak w projektowanych regulacjach zupełnie innej kategorii, która współcześnie stanowi kryterium wyodrębnienia grup i indywidualnych osób narażonych na stygmatyzację i poniżenie w szerszej skali – to jest statusu imigranta lub uchodźcy (kategoria ta pojawia się współcześnie w ustawach karnych innych państw)</w:t>
      </w:r>
      <w:r>
        <w:t xml:space="preserve">. </w:t>
      </w:r>
    </w:p>
    <w:p w14:paraId="1296208F" w14:textId="4E210DF1" w:rsidR="00816694" w:rsidRDefault="00313F80">
      <w:r>
        <w:t xml:space="preserve"> </w:t>
      </w:r>
    </w:p>
    <w:p w14:paraId="6EE26FBA" w14:textId="4E66D3E1" w:rsidR="00816694" w:rsidRDefault="00313F80">
      <w:r>
        <w:t xml:space="preserve"> </w:t>
      </w:r>
      <w:r w:rsidR="00816694">
        <w:t xml:space="preserve"> </w:t>
      </w:r>
    </w:p>
    <w:p w14:paraId="73A6F75A" w14:textId="75815CC2" w:rsidR="00816694" w:rsidRDefault="00050182" w:rsidP="000E63E8">
      <w:pPr>
        <w:jc w:val="left"/>
      </w:pPr>
      <w:r>
        <w:t xml:space="preserve">opr. </w:t>
      </w:r>
      <w:r w:rsidR="00FD1813">
        <w:t xml:space="preserve">prof. dr hab. </w:t>
      </w:r>
      <w:r>
        <w:t>Włodzimierz Wróbel</w:t>
      </w:r>
    </w:p>
    <w:p w14:paraId="44BDC8E0" w14:textId="4E2C3D9C" w:rsidR="00816694" w:rsidRDefault="00816694" w:rsidP="000A0209">
      <w:pPr>
        <w:ind w:firstLine="0"/>
      </w:pPr>
    </w:p>
    <w:sectPr w:rsidR="0081669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86D5C" w14:textId="77777777" w:rsidR="003E1747" w:rsidRDefault="003E1747" w:rsidP="00050182">
      <w:pPr>
        <w:spacing w:line="240" w:lineRule="auto"/>
      </w:pPr>
      <w:r>
        <w:separator/>
      </w:r>
    </w:p>
  </w:endnote>
  <w:endnote w:type="continuationSeparator" w:id="0">
    <w:p w14:paraId="489650EF" w14:textId="77777777" w:rsidR="003E1747" w:rsidRDefault="003E1747" w:rsidP="000501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0923193"/>
      <w:docPartObj>
        <w:docPartGallery w:val="Page Numbers (Bottom of Page)"/>
        <w:docPartUnique/>
      </w:docPartObj>
    </w:sdtPr>
    <w:sdtContent>
      <w:p w14:paraId="4CC3E642" w14:textId="549E7123" w:rsidR="00050182" w:rsidRDefault="000501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9E9B92" w14:textId="77777777" w:rsidR="00050182" w:rsidRDefault="000501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34F8D" w14:textId="77777777" w:rsidR="003E1747" w:rsidRDefault="003E1747" w:rsidP="00050182">
      <w:pPr>
        <w:spacing w:line="240" w:lineRule="auto"/>
      </w:pPr>
      <w:r>
        <w:separator/>
      </w:r>
    </w:p>
  </w:footnote>
  <w:footnote w:type="continuationSeparator" w:id="0">
    <w:p w14:paraId="7E960091" w14:textId="77777777" w:rsidR="003E1747" w:rsidRDefault="003E1747" w:rsidP="000501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94"/>
    <w:rsid w:val="00050182"/>
    <w:rsid w:val="000A0209"/>
    <w:rsid w:val="000A7BAC"/>
    <w:rsid w:val="000D65AD"/>
    <w:rsid w:val="000E63E8"/>
    <w:rsid w:val="00104C05"/>
    <w:rsid w:val="00141D6F"/>
    <w:rsid w:val="00182A54"/>
    <w:rsid w:val="001B2853"/>
    <w:rsid w:val="001F0110"/>
    <w:rsid w:val="002506F7"/>
    <w:rsid w:val="00313F80"/>
    <w:rsid w:val="003775C9"/>
    <w:rsid w:val="003E1747"/>
    <w:rsid w:val="0043762A"/>
    <w:rsid w:val="00524E2E"/>
    <w:rsid w:val="0052557A"/>
    <w:rsid w:val="00562442"/>
    <w:rsid w:val="00566ABC"/>
    <w:rsid w:val="00656236"/>
    <w:rsid w:val="006F17D4"/>
    <w:rsid w:val="006F2CAA"/>
    <w:rsid w:val="007345CA"/>
    <w:rsid w:val="00814D37"/>
    <w:rsid w:val="00816694"/>
    <w:rsid w:val="00835ABA"/>
    <w:rsid w:val="00846B01"/>
    <w:rsid w:val="00876116"/>
    <w:rsid w:val="009E46AD"/>
    <w:rsid w:val="00A47706"/>
    <w:rsid w:val="00AA55A4"/>
    <w:rsid w:val="00B00E19"/>
    <w:rsid w:val="00B20095"/>
    <w:rsid w:val="00B624E1"/>
    <w:rsid w:val="00BE7B6F"/>
    <w:rsid w:val="00CD1D88"/>
    <w:rsid w:val="00CE51FA"/>
    <w:rsid w:val="00D219C0"/>
    <w:rsid w:val="00D5353F"/>
    <w:rsid w:val="00D83494"/>
    <w:rsid w:val="00D83D5D"/>
    <w:rsid w:val="00DC190F"/>
    <w:rsid w:val="00DD5DF2"/>
    <w:rsid w:val="00E0393D"/>
    <w:rsid w:val="00EF2FF5"/>
    <w:rsid w:val="00EF79F4"/>
    <w:rsid w:val="00F043FD"/>
    <w:rsid w:val="00F24241"/>
    <w:rsid w:val="00F3099A"/>
    <w:rsid w:val="00F45F0D"/>
    <w:rsid w:val="00F56A7D"/>
    <w:rsid w:val="00FD1813"/>
    <w:rsid w:val="00FD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8113A"/>
  <w15:chartTrackingRefBased/>
  <w15:docId w15:val="{116E84CF-D8A8-49A7-826A-27E27B65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E19"/>
    <w:pPr>
      <w:spacing w:after="0" w:line="360" w:lineRule="auto"/>
      <w:ind w:firstLine="709"/>
      <w:jc w:val="both"/>
    </w:pPr>
    <w:rPr>
      <w:rFonts w:ascii="Arial" w:eastAsiaTheme="minorEastAsia" w:hAnsi="Arial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66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6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669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669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669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669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669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669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669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6694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669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6694"/>
    <w:rPr>
      <w:rFonts w:eastAsiaTheme="majorEastAsia" w:cstheme="majorBidi"/>
      <w:color w:val="2F5496" w:themeColor="accent1" w:themeShade="BF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6694"/>
    <w:rPr>
      <w:rFonts w:eastAsiaTheme="majorEastAsia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6694"/>
    <w:rPr>
      <w:rFonts w:eastAsiaTheme="majorEastAsia" w:cstheme="majorBidi"/>
      <w:color w:val="2F5496" w:themeColor="accent1" w:themeShade="B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6694"/>
    <w:rPr>
      <w:rFonts w:eastAsiaTheme="majorEastAsia" w:cstheme="majorBidi"/>
      <w:i/>
      <w:iCs/>
      <w:color w:val="595959" w:themeColor="text1" w:themeTint="A6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6694"/>
    <w:rPr>
      <w:rFonts w:eastAsiaTheme="majorEastAsia" w:cstheme="majorBidi"/>
      <w:color w:val="595959" w:themeColor="text1" w:themeTint="A6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6694"/>
    <w:rPr>
      <w:rFonts w:eastAsiaTheme="majorEastAsia" w:cstheme="majorBidi"/>
      <w:i/>
      <w:iCs/>
      <w:color w:val="272727" w:themeColor="text1" w:themeTint="D8"/>
      <w:sz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6694"/>
    <w:rPr>
      <w:rFonts w:eastAsiaTheme="majorEastAsia" w:cstheme="majorBidi"/>
      <w:color w:val="272727" w:themeColor="text1" w:themeTint="D8"/>
      <w:sz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166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6694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6694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6694"/>
    <w:rPr>
      <w:rFonts w:eastAsiaTheme="majorEastAsia" w:cstheme="majorBidi"/>
      <w:color w:val="595959" w:themeColor="text1" w:themeTint="A6"/>
      <w:spacing w:val="15"/>
      <w:sz w:val="28"/>
      <w:szCs w:val="28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166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6694"/>
    <w:rPr>
      <w:rFonts w:ascii="Arial" w:eastAsiaTheme="minorEastAsia" w:hAnsi="Arial"/>
      <w:i/>
      <w:iCs/>
      <w:color w:val="404040" w:themeColor="text1" w:themeTint="BF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8166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669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6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6694"/>
    <w:rPr>
      <w:rFonts w:ascii="Arial" w:eastAsiaTheme="minorEastAsia" w:hAnsi="Arial"/>
      <w:i/>
      <w:iCs/>
      <w:color w:val="2F5496" w:themeColor="accent1" w:themeShade="BF"/>
      <w:sz w:val="24"/>
      <w:lang w:eastAsia="pl-PL"/>
    </w:rPr>
  </w:style>
  <w:style w:type="character" w:styleId="Odwoanieintensywne">
    <w:name w:val="Intense Reference"/>
    <w:basedOn w:val="Domylnaczcionkaakapitu"/>
    <w:uiPriority w:val="32"/>
    <w:qFormat/>
    <w:rsid w:val="0081669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5018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182"/>
    <w:rPr>
      <w:rFonts w:ascii="Arial" w:eastAsiaTheme="minorEastAsia" w:hAnsi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018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182"/>
    <w:rPr>
      <w:rFonts w:ascii="Arial" w:eastAsiaTheme="minorEastAsia" w:hAnsi="Arial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1279</Words>
  <Characters>7678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Wróbel</dc:creator>
  <cp:keywords/>
  <dc:description/>
  <cp:lastModifiedBy>Wiraszka-Bereza Beata  (DPK)</cp:lastModifiedBy>
  <cp:revision>2</cp:revision>
  <dcterms:created xsi:type="dcterms:W3CDTF">2025-01-14T12:34:00Z</dcterms:created>
  <dcterms:modified xsi:type="dcterms:W3CDTF">2025-01-14T12:34:00Z</dcterms:modified>
</cp:coreProperties>
</file>