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DBA" w:rsidRPr="00A32DBA" w:rsidRDefault="009B791D" w:rsidP="00E5064D">
      <w:pPr>
        <w:spacing w:before="0" w:after="0" w:line="240" w:lineRule="auto"/>
        <w:contextualSpacing/>
        <w:jc w:val="right"/>
        <w:rPr>
          <w:rFonts w:cstheme="minorHAnsi"/>
          <w:sz w:val="22"/>
          <w:szCs w:val="22"/>
        </w:rPr>
      </w:pPr>
      <w:bookmarkStart w:id="0" w:name="_GoBack"/>
      <w:bookmarkEnd w:id="0"/>
      <w:r>
        <w:rPr>
          <w:rFonts w:cstheme="minorHAnsi"/>
          <w:sz w:val="22"/>
          <w:szCs w:val="22"/>
        </w:rPr>
        <w:t>04</w:t>
      </w:r>
      <w:r w:rsidR="0046570C">
        <w:rPr>
          <w:rFonts w:cstheme="minorHAnsi"/>
          <w:sz w:val="22"/>
          <w:szCs w:val="22"/>
        </w:rPr>
        <w:t>.03</w:t>
      </w:r>
      <w:r w:rsidR="00A32DBA" w:rsidRPr="00A32DBA">
        <w:rPr>
          <w:rFonts w:cstheme="minorHAnsi"/>
          <w:sz w:val="22"/>
          <w:szCs w:val="22"/>
        </w:rPr>
        <w:t>.2020</w:t>
      </w:r>
    </w:p>
    <w:p w:rsidR="00DA5447" w:rsidRDefault="003F5D6F" w:rsidP="00E5064D">
      <w:pPr>
        <w:spacing w:before="0" w:after="0" w:line="240" w:lineRule="auto"/>
        <w:contextualSpacing/>
        <w:jc w:val="center"/>
        <w:outlineLvl w:val="0"/>
        <w:rPr>
          <w:rFonts w:cstheme="minorHAnsi"/>
          <w:sz w:val="22"/>
          <w:szCs w:val="22"/>
        </w:rPr>
      </w:pPr>
      <w:r w:rsidRPr="00FB07F5">
        <w:rPr>
          <w:rFonts w:cstheme="minorHAnsi"/>
          <w:b/>
          <w:sz w:val="22"/>
          <w:szCs w:val="22"/>
        </w:rPr>
        <w:t xml:space="preserve">Zestawienie zgłoszonych uwag do projektu </w:t>
      </w:r>
      <w:r w:rsidR="00370579" w:rsidRPr="00370579">
        <w:rPr>
          <w:rFonts w:cstheme="minorHAnsi"/>
          <w:b/>
          <w:sz w:val="22"/>
          <w:szCs w:val="22"/>
        </w:rPr>
        <w:t>rozporządzenia Ministra Cyfryzacji w sprawie minimalnych środków technicznych i organizacyjnych oraz metod, jakie przedsiębiorcy telekomunikacyjni są obowiązani stosować w celu zapewnienia bezpieczeństwa lub integralności sieci lub usług</w:t>
      </w:r>
      <w:r w:rsidR="00370579">
        <w:rPr>
          <w:rFonts w:cstheme="minorHAnsi"/>
          <w:b/>
          <w:sz w:val="22"/>
          <w:szCs w:val="22"/>
        </w:rPr>
        <w:t xml:space="preserve"> – </w:t>
      </w:r>
      <w:r w:rsidR="00165C05">
        <w:rPr>
          <w:rFonts w:cstheme="minorHAnsi"/>
          <w:b/>
          <w:sz w:val="22"/>
          <w:szCs w:val="22"/>
        </w:rPr>
        <w:t xml:space="preserve">opiniowanie </w:t>
      </w:r>
    </w:p>
    <w:p w:rsidR="00370579" w:rsidRDefault="00370579" w:rsidP="00E5064D">
      <w:pPr>
        <w:spacing w:before="0" w:after="0" w:line="240" w:lineRule="auto"/>
        <w:contextualSpacing/>
        <w:jc w:val="both"/>
        <w:rPr>
          <w:rFonts w:cstheme="minorHAnsi"/>
          <w:sz w:val="22"/>
          <w:szCs w:val="22"/>
        </w:rPr>
      </w:pPr>
    </w:p>
    <w:p w:rsidR="00505184" w:rsidRDefault="00505184" w:rsidP="00E5064D">
      <w:pPr>
        <w:spacing w:before="0" w:after="0" w:line="240" w:lineRule="auto"/>
        <w:contextualSpacing/>
        <w:jc w:val="both"/>
        <w:rPr>
          <w:rFonts w:cstheme="minorHAnsi"/>
          <w:sz w:val="22"/>
          <w:szCs w:val="22"/>
        </w:rPr>
      </w:pPr>
      <w:r>
        <w:rPr>
          <w:rFonts w:cstheme="minorHAnsi"/>
          <w:sz w:val="22"/>
          <w:szCs w:val="22"/>
        </w:rPr>
        <w:t>Uwagi zgłoszone przez:</w:t>
      </w:r>
    </w:p>
    <w:p w:rsidR="00505184" w:rsidRDefault="00165C05" w:rsidP="00E5064D">
      <w:pPr>
        <w:pStyle w:val="Akapitzlist"/>
        <w:numPr>
          <w:ilvl w:val="0"/>
          <w:numId w:val="23"/>
        </w:numPr>
        <w:spacing w:before="0" w:after="0" w:line="240" w:lineRule="auto"/>
        <w:jc w:val="both"/>
        <w:rPr>
          <w:rFonts w:cstheme="minorHAnsi"/>
          <w:sz w:val="22"/>
          <w:szCs w:val="22"/>
        </w:rPr>
      </w:pPr>
      <w:r>
        <w:rPr>
          <w:rFonts w:cstheme="minorHAnsi"/>
          <w:sz w:val="22"/>
          <w:szCs w:val="22"/>
        </w:rPr>
        <w:t xml:space="preserve">Urząd Komunikacji Elektronicznej </w:t>
      </w:r>
    </w:p>
    <w:p w:rsidR="00165C05" w:rsidRDefault="00165C05" w:rsidP="00E5064D">
      <w:pPr>
        <w:pStyle w:val="Akapitzlist"/>
        <w:numPr>
          <w:ilvl w:val="0"/>
          <w:numId w:val="23"/>
        </w:numPr>
        <w:spacing w:before="0" w:after="0" w:line="240" w:lineRule="auto"/>
        <w:jc w:val="both"/>
        <w:rPr>
          <w:rFonts w:cstheme="minorHAnsi"/>
          <w:sz w:val="22"/>
          <w:szCs w:val="22"/>
        </w:rPr>
      </w:pPr>
      <w:r>
        <w:rPr>
          <w:rFonts w:cstheme="minorHAnsi"/>
          <w:sz w:val="22"/>
          <w:szCs w:val="22"/>
        </w:rPr>
        <w:t xml:space="preserve">Urząd Ochrony Danych Osobowych </w:t>
      </w:r>
      <w:r w:rsidR="00CF7AAE">
        <w:rPr>
          <w:rFonts w:cstheme="minorHAnsi"/>
          <w:sz w:val="22"/>
          <w:szCs w:val="22"/>
        </w:rPr>
        <w:t>– nie było przedstawiciela na konferencji uzgodnieniowej</w:t>
      </w:r>
    </w:p>
    <w:p w:rsidR="00165C05" w:rsidRPr="00165C05" w:rsidRDefault="00165C05" w:rsidP="00E5064D">
      <w:pPr>
        <w:pStyle w:val="Akapitzlist"/>
        <w:numPr>
          <w:ilvl w:val="0"/>
          <w:numId w:val="23"/>
        </w:numPr>
        <w:spacing w:before="0" w:after="0" w:line="240" w:lineRule="auto"/>
        <w:jc w:val="both"/>
        <w:rPr>
          <w:rFonts w:cstheme="minorHAnsi"/>
          <w:sz w:val="22"/>
          <w:szCs w:val="22"/>
        </w:rPr>
      </w:pPr>
      <w:r>
        <w:rPr>
          <w:rFonts w:cstheme="minorHAnsi"/>
          <w:sz w:val="22"/>
          <w:szCs w:val="22"/>
        </w:rPr>
        <w:t>Urząd O</w:t>
      </w:r>
      <w:r w:rsidR="00BE6004">
        <w:rPr>
          <w:rFonts w:cstheme="minorHAnsi"/>
          <w:sz w:val="22"/>
          <w:szCs w:val="22"/>
        </w:rPr>
        <w:t>chrony Konkurencji i Konsumentów</w:t>
      </w:r>
      <w:r w:rsidR="00CF7AAE">
        <w:rPr>
          <w:rFonts w:cstheme="minorHAnsi"/>
          <w:sz w:val="22"/>
          <w:szCs w:val="22"/>
        </w:rPr>
        <w:t xml:space="preserve"> – nie było przedstawiciela na konferencji uzgodnieniowej</w:t>
      </w:r>
    </w:p>
    <w:p w:rsidR="00505184" w:rsidRPr="00FB07F5" w:rsidRDefault="00505184" w:rsidP="00E5064D">
      <w:pPr>
        <w:spacing w:before="0" w:after="0" w:line="240" w:lineRule="auto"/>
        <w:contextualSpacing/>
        <w:jc w:val="both"/>
        <w:rPr>
          <w:rFonts w:cstheme="minorHAnsi"/>
          <w:sz w:val="22"/>
          <w:szCs w:val="22"/>
        </w:rPr>
      </w:pPr>
    </w:p>
    <w:tbl>
      <w:tblPr>
        <w:tblW w:w="14905" w:type="dxa"/>
        <w:tblInd w:w="-171" w:type="dxa"/>
        <w:tblLayout w:type="fixed"/>
        <w:tblCellMar>
          <w:top w:w="113" w:type="dxa"/>
          <w:left w:w="113" w:type="dxa"/>
          <w:right w:w="113" w:type="dxa"/>
        </w:tblCellMar>
        <w:tblLook w:val="0000" w:firstRow="0" w:lastRow="0" w:firstColumn="0" w:lastColumn="0" w:noHBand="0" w:noVBand="0"/>
      </w:tblPr>
      <w:tblGrid>
        <w:gridCol w:w="733"/>
        <w:gridCol w:w="1418"/>
        <w:gridCol w:w="1559"/>
        <w:gridCol w:w="6804"/>
        <w:gridCol w:w="4391"/>
      </w:tblGrid>
      <w:tr w:rsidR="00E053E9" w:rsidRPr="00E053E9" w:rsidTr="00E5064D">
        <w:trPr>
          <w:cantSplit/>
          <w:trHeight w:val="1675"/>
        </w:trPr>
        <w:tc>
          <w:tcPr>
            <w:tcW w:w="733" w:type="dxa"/>
            <w:tcBorders>
              <w:top w:val="single" w:sz="4" w:space="0" w:color="000000"/>
              <w:left w:val="single" w:sz="4" w:space="0" w:color="000000"/>
              <w:bottom w:val="single" w:sz="4" w:space="0" w:color="auto"/>
            </w:tcBorders>
            <w:textDirection w:val="btLr"/>
            <w:vAlign w:val="center"/>
          </w:tcPr>
          <w:p w:rsidR="00DA5447" w:rsidRPr="00E053E9" w:rsidRDefault="00DA5447" w:rsidP="00E5064D">
            <w:pPr>
              <w:snapToGrid w:val="0"/>
              <w:spacing w:before="0" w:after="0" w:line="240" w:lineRule="auto"/>
              <w:ind w:left="113" w:right="113"/>
              <w:contextualSpacing/>
              <w:jc w:val="both"/>
              <w:rPr>
                <w:rFonts w:cstheme="minorHAnsi"/>
                <w:b/>
                <w:bCs/>
                <w:sz w:val="22"/>
                <w:szCs w:val="22"/>
              </w:rPr>
            </w:pPr>
            <w:r w:rsidRPr="00E053E9">
              <w:rPr>
                <w:rFonts w:cstheme="minorHAnsi"/>
                <w:b/>
                <w:bCs/>
                <w:sz w:val="22"/>
                <w:szCs w:val="22"/>
              </w:rPr>
              <w:t>Nr uwagi</w:t>
            </w:r>
          </w:p>
        </w:tc>
        <w:tc>
          <w:tcPr>
            <w:tcW w:w="1418" w:type="dxa"/>
            <w:tcBorders>
              <w:top w:val="single" w:sz="4" w:space="0" w:color="000000"/>
              <w:left w:val="single" w:sz="4" w:space="0" w:color="000000"/>
              <w:bottom w:val="single" w:sz="4" w:space="0" w:color="auto"/>
            </w:tcBorders>
            <w:textDirection w:val="btLr"/>
            <w:vAlign w:val="center"/>
          </w:tcPr>
          <w:p w:rsidR="00DA5447" w:rsidRPr="00E053E9" w:rsidRDefault="00DA5447" w:rsidP="00E5064D">
            <w:pPr>
              <w:snapToGrid w:val="0"/>
              <w:spacing w:before="0" w:after="0" w:line="240" w:lineRule="auto"/>
              <w:ind w:left="113" w:right="113"/>
              <w:contextualSpacing/>
              <w:jc w:val="both"/>
              <w:rPr>
                <w:rFonts w:cstheme="minorHAnsi"/>
                <w:b/>
                <w:bCs/>
                <w:sz w:val="22"/>
                <w:szCs w:val="22"/>
              </w:rPr>
            </w:pPr>
            <w:r w:rsidRPr="00E053E9">
              <w:rPr>
                <w:rFonts w:cstheme="minorHAnsi"/>
                <w:b/>
                <w:bCs/>
                <w:sz w:val="22"/>
                <w:szCs w:val="22"/>
              </w:rPr>
              <w:t>Jednos</w:t>
            </w:r>
            <w:r w:rsidR="003F5D6F" w:rsidRPr="00E053E9">
              <w:rPr>
                <w:rFonts w:cstheme="minorHAnsi"/>
                <w:b/>
                <w:bCs/>
                <w:sz w:val="22"/>
                <w:szCs w:val="22"/>
              </w:rPr>
              <w:t>tka redakcyjna projektu</w:t>
            </w:r>
          </w:p>
        </w:tc>
        <w:tc>
          <w:tcPr>
            <w:tcW w:w="1559" w:type="dxa"/>
            <w:tcBorders>
              <w:top w:val="single" w:sz="4" w:space="0" w:color="000000"/>
              <w:left w:val="single" w:sz="4" w:space="0" w:color="000000"/>
              <w:bottom w:val="single" w:sz="4" w:space="0" w:color="auto"/>
            </w:tcBorders>
            <w:textDirection w:val="btLr"/>
            <w:vAlign w:val="center"/>
          </w:tcPr>
          <w:p w:rsidR="00DA5447" w:rsidRPr="00E053E9" w:rsidRDefault="00DA5447" w:rsidP="00E5064D">
            <w:pPr>
              <w:snapToGrid w:val="0"/>
              <w:spacing w:before="0" w:after="0" w:line="240" w:lineRule="auto"/>
              <w:ind w:left="113" w:right="113"/>
              <w:contextualSpacing/>
              <w:jc w:val="both"/>
              <w:rPr>
                <w:rFonts w:cstheme="minorHAnsi"/>
                <w:b/>
                <w:bCs/>
                <w:sz w:val="22"/>
                <w:szCs w:val="22"/>
              </w:rPr>
            </w:pPr>
            <w:r w:rsidRPr="00E053E9">
              <w:rPr>
                <w:rFonts w:cstheme="minorHAnsi"/>
                <w:b/>
                <w:bCs/>
                <w:sz w:val="22"/>
                <w:szCs w:val="22"/>
              </w:rPr>
              <w:t>Zgłaszający</w:t>
            </w:r>
          </w:p>
        </w:tc>
        <w:tc>
          <w:tcPr>
            <w:tcW w:w="6804" w:type="dxa"/>
            <w:tcBorders>
              <w:top w:val="single" w:sz="4" w:space="0" w:color="000000"/>
              <w:left w:val="single" w:sz="4" w:space="0" w:color="000000"/>
              <w:bottom w:val="single" w:sz="4" w:space="0" w:color="auto"/>
            </w:tcBorders>
            <w:vAlign w:val="center"/>
          </w:tcPr>
          <w:p w:rsidR="00DA5447" w:rsidRPr="00E053E9" w:rsidRDefault="00DA5447" w:rsidP="00E5064D">
            <w:pPr>
              <w:snapToGrid w:val="0"/>
              <w:spacing w:before="0" w:after="0" w:line="240" w:lineRule="auto"/>
              <w:contextualSpacing/>
              <w:jc w:val="center"/>
              <w:rPr>
                <w:rFonts w:cstheme="minorHAnsi"/>
                <w:b/>
                <w:bCs/>
                <w:sz w:val="22"/>
                <w:szCs w:val="22"/>
              </w:rPr>
            </w:pPr>
            <w:r w:rsidRPr="00E053E9">
              <w:rPr>
                <w:rFonts w:cstheme="minorHAnsi"/>
                <w:b/>
                <w:bCs/>
                <w:sz w:val="22"/>
                <w:szCs w:val="22"/>
              </w:rPr>
              <w:t>Treść</w:t>
            </w:r>
            <w:r w:rsidR="003F5D6F" w:rsidRPr="00E053E9">
              <w:rPr>
                <w:rFonts w:cstheme="minorHAnsi"/>
                <w:b/>
                <w:bCs/>
                <w:sz w:val="22"/>
                <w:szCs w:val="22"/>
              </w:rPr>
              <w:t xml:space="preserve"> uwagi</w:t>
            </w:r>
          </w:p>
        </w:tc>
        <w:tc>
          <w:tcPr>
            <w:tcW w:w="4391" w:type="dxa"/>
            <w:tcBorders>
              <w:top w:val="single" w:sz="4" w:space="0" w:color="000000"/>
              <w:left w:val="single" w:sz="4" w:space="0" w:color="000000"/>
              <w:bottom w:val="single" w:sz="4" w:space="0" w:color="auto"/>
              <w:right w:val="single" w:sz="4" w:space="0" w:color="000000"/>
            </w:tcBorders>
            <w:vAlign w:val="center"/>
          </w:tcPr>
          <w:p w:rsidR="003F5D6F" w:rsidRPr="00E053E9" w:rsidRDefault="00DA5447" w:rsidP="00E5064D">
            <w:pPr>
              <w:snapToGrid w:val="0"/>
              <w:spacing w:before="0" w:after="0" w:line="240" w:lineRule="auto"/>
              <w:contextualSpacing/>
              <w:jc w:val="center"/>
              <w:rPr>
                <w:rFonts w:cstheme="minorHAnsi"/>
                <w:b/>
                <w:bCs/>
                <w:sz w:val="22"/>
                <w:szCs w:val="22"/>
              </w:rPr>
            </w:pPr>
            <w:r w:rsidRPr="00E053E9">
              <w:rPr>
                <w:rFonts w:cstheme="minorHAnsi"/>
                <w:b/>
                <w:bCs/>
                <w:sz w:val="22"/>
                <w:szCs w:val="22"/>
              </w:rPr>
              <w:t>Stanowisko</w:t>
            </w:r>
            <w:r w:rsidR="00861608" w:rsidRPr="00E053E9">
              <w:rPr>
                <w:rFonts w:cstheme="minorHAnsi"/>
                <w:b/>
                <w:bCs/>
                <w:sz w:val="22"/>
                <w:szCs w:val="22"/>
              </w:rPr>
              <w:t xml:space="preserve"> MC</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9A7D7E" w:rsidRPr="00CF7AAE" w:rsidRDefault="009A7D7E"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9A7D7E" w:rsidRPr="00CF7AAE" w:rsidRDefault="00165C05" w:rsidP="00E5064D">
            <w:pPr>
              <w:snapToGrid w:val="0"/>
              <w:spacing w:before="0" w:after="0" w:line="240" w:lineRule="auto"/>
              <w:contextualSpacing/>
              <w:rPr>
                <w:rFonts w:cstheme="minorHAnsi"/>
                <w:sz w:val="22"/>
                <w:szCs w:val="22"/>
              </w:rPr>
            </w:pPr>
            <w:r w:rsidRPr="00CF7AAE">
              <w:rPr>
                <w:rFonts w:cstheme="minorHAnsi"/>
                <w:sz w:val="22"/>
                <w:szCs w:val="22"/>
              </w:rPr>
              <w:t>Ogólna</w:t>
            </w:r>
          </w:p>
        </w:tc>
        <w:tc>
          <w:tcPr>
            <w:tcW w:w="1559" w:type="dxa"/>
            <w:tcBorders>
              <w:top w:val="single" w:sz="4" w:space="0" w:color="auto"/>
              <w:left w:val="single" w:sz="4" w:space="0" w:color="auto"/>
              <w:bottom w:val="single" w:sz="4" w:space="0" w:color="auto"/>
              <w:right w:val="single" w:sz="4" w:space="0" w:color="auto"/>
            </w:tcBorders>
          </w:tcPr>
          <w:p w:rsidR="00165C05" w:rsidRPr="00CF7AAE" w:rsidRDefault="00165C05"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9A7D7E" w:rsidRPr="00CF7AAE" w:rsidRDefault="009A7D7E" w:rsidP="00E5064D">
            <w:pPr>
              <w:spacing w:before="0" w:after="0" w:line="240" w:lineRule="auto"/>
              <w:contextualSpacing/>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165C05" w:rsidRPr="00CF7AAE" w:rsidRDefault="00165C05" w:rsidP="00E5064D">
            <w:pPr>
              <w:spacing w:before="0" w:after="0" w:line="240" w:lineRule="auto"/>
              <w:jc w:val="both"/>
              <w:rPr>
                <w:bCs/>
                <w:sz w:val="22"/>
              </w:rPr>
            </w:pPr>
            <w:r w:rsidRPr="00CF7AAE">
              <w:rPr>
                <w:sz w:val="22"/>
              </w:rPr>
              <w:t xml:space="preserve">Wbrew deklaracjom zawartym w uzasadnieniu, projektowane rozporządzenie nie precyzuje w wystarczającym stopniu obowiązków ciążących na przedsiębiorcach telekomunikacyjnych. Treść normatywna poszczególnych obowiązków jest trudna do odczytania, w związku z ogólnym i szerokim zakresem znaczeniowym użytych do ich określenia sformułowań (patrz uwagi szczegółowe). Tekst jest w wielu miejscach nieprecyzyjny, a tym samym przenosi kwestię skonkretyzowania obowiązków w sferę interpretacji zarówno podmiotu obowiązanego, jak i regulatora, powodując ryzyko rozbieżności. </w:t>
            </w:r>
          </w:p>
          <w:p w:rsidR="009A7D7E" w:rsidRPr="00CF7AAE" w:rsidRDefault="00165C05" w:rsidP="00E5064D">
            <w:pPr>
              <w:pStyle w:val="Akapitzlist"/>
              <w:spacing w:before="0" w:after="0" w:line="240" w:lineRule="auto"/>
              <w:ind w:left="0"/>
              <w:jc w:val="both"/>
              <w:rPr>
                <w:sz w:val="22"/>
              </w:rPr>
            </w:pPr>
            <w:r w:rsidRPr="00CF7AAE">
              <w:rPr>
                <w:bCs/>
                <w:sz w:val="22"/>
              </w:rPr>
              <w:t xml:space="preserve">W rezultacie rozporządzenie nie dostarcza Prezesowi Urzędu Komunikacji Elektronicznej adekwatnych </w:t>
            </w:r>
            <w:r w:rsidRPr="00CF7AAE">
              <w:rPr>
                <w:sz w:val="22"/>
              </w:rPr>
              <w:t xml:space="preserve">wzorców kontroli koniecznych dla merytorycznej weryfikacji sposobu realizacji przez przedsiębiorców telekomunikacyjnych nałożonych na nich obowiązków. Kontrole przeprowadzane w oparciu o tak sformułowane przepisy będą miały iluzoryczny charakter. </w:t>
            </w:r>
          </w:p>
        </w:tc>
        <w:tc>
          <w:tcPr>
            <w:tcW w:w="4391" w:type="dxa"/>
            <w:tcBorders>
              <w:top w:val="single" w:sz="4" w:space="0" w:color="auto"/>
              <w:left w:val="single" w:sz="4" w:space="0" w:color="auto"/>
              <w:bottom w:val="single" w:sz="4" w:space="0" w:color="auto"/>
              <w:right w:val="single" w:sz="4" w:space="0" w:color="auto"/>
            </w:tcBorders>
          </w:tcPr>
          <w:p w:rsidR="00AB1010" w:rsidRPr="00CF7AAE" w:rsidRDefault="00106748" w:rsidP="00E5064D">
            <w:pPr>
              <w:pStyle w:val="Nagwek"/>
              <w:spacing w:before="0" w:after="0" w:line="240" w:lineRule="auto"/>
              <w:contextualSpacing/>
              <w:jc w:val="both"/>
              <w:rPr>
                <w:rFonts w:cstheme="minorHAnsi"/>
                <w:sz w:val="22"/>
                <w:szCs w:val="22"/>
              </w:rPr>
            </w:pPr>
            <w:r w:rsidRPr="00CF7AAE">
              <w:rPr>
                <w:rFonts w:cstheme="minorHAnsi"/>
                <w:sz w:val="22"/>
                <w:szCs w:val="22"/>
              </w:rPr>
              <w:t>Do ustalenia na konferencji uzgodnieniowej.</w:t>
            </w:r>
          </w:p>
          <w:p w:rsidR="00106748" w:rsidRPr="00CF7AAE" w:rsidRDefault="00106748" w:rsidP="00E5064D">
            <w:pPr>
              <w:pStyle w:val="Nagwek"/>
              <w:spacing w:before="0" w:after="0" w:line="240" w:lineRule="auto"/>
              <w:contextualSpacing/>
              <w:jc w:val="both"/>
              <w:rPr>
                <w:rFonts w:cstheme="minorHAnsi"/>
                <w:sz w:val="22"/>
                <w:szCs w:val="22"/>
              </w:rPr>
            </w:pPr>
          </w:p>
          <w:p w:rsidR="00BE6004" w:rsidRPr="00CF7AAE" w:rsidRDefault="0085620C" w:rsidP="0085620C">
            <w:pPr>
              <w:pStyle w:val="Nagwek"/>
              <w:spacing w:before="0" w:after="0" w:line="240" w:lineRule="auto"/>
              <w:contextualSpacing/>
              <w:jc w:val="both"/>
              <w:rPr>
                <w:rFonts w:cstheme="minorHAnsi"/>
                <w:sz w:val="22"/>
                <w:szCs w:val="22"/>
              </w:rPr>
            </w:pPr>
            <w:r w:rsidRPr="00CF7AAE">
              <w:rPr>
                <w:rFonts w:cstheme="minorHAnsi"/>
                <w:sz w:val="22"/>
                <w:szCs w:val="22"/>
              </w:rPr>
              <w:t xml:space="preserve">Rozporządzenie powinno uwzględniać </w:t>
            </w:r>
            <w:r w:rsidR="002745AA" w:rsidRPr="00CF7AAE">
              <w:rPr>
                <w:rFonts w:cstheme="minorHAnsi"/>
                <w:sz w:val="22"/>
                <w:szCs w:val="22"/>
              </w:rPr>
              <w:t>różnic</w:t>
            </w:r>
            <w:r w:rsidRPr="00CF7AAE">
              <w:rPr>
                <w:rFonts w:cstheme="minorHAnsi"/>
                <w:sz w:val="22"/>
                <w:szCs w:val="22"/>
              </w:rPr>
              <w:t>e</w:t>
            </w:r>
            <w:r w:rsidR="002745AA" w:rsidRPr="00CF7AAE">
              <w:rPr>
                <w:rFonts w:cstheme="minorHAnsi"/>
                <w:sz w:val="22"/>
                <w:szCs w:val="22"/>
              </w:rPr>
              <w:t xml:space="preserve"> w profilach działalności i wykorzystywanych technologiach</w:t>
            </w:r>
            <w:r w:rsidRPr="00CF7AAE">
              <w:rPr>
                <w:rFonts w:cstheme="minorHAnsi"/>
                <w:sz w:val="22"/>
                <w:szCs w:val="22"/>
              </w:rPr>
              <w:t xml:space="preserve"> przez poszczególnych operatorów. Kontrola prowadzona przez UKE także powinna brać pod uwagę ww. różnice.</w:t>
            </w:r>
          </w:p>
          <w:p w:rsidR="001F3696" w:rsidRPr="00CF7AAE" w:rsidRDefault="001F3696" w:rsidP="0085620C">
            <w:pPr>
              <w:pStyle w:val="Nagwek"/>
              <w:spacing w:before="0" w:after="0" w:line="240" w:lineRule="auto"/>
              <w:contextualSpacing/>
              <w:jc w:val="both"/>
              <w:rPr>
                <w:rFonts w:cstheme="minorHAnsi"/>
                <w:sz w:val="22"/>
                <w:szCs w:val="22"/>
              </w:rPr>
            </w:pPr>
          </w:p>
          <w:p w:rsidR="00C77B15" w:rsidRPr="00CF7AAE" w:rsidRDefault="00C77B15" w:rsidP="00530EA3">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0F0D3C" w:rsidRPr="00CF7AAE" w:rsidRDefault="00C77B15" w:rsidP="00530EA3">
            <w:pPr>
              <w:pStyle w:val="Nagwek"/>
              <w:spacing w:before="0" w:after="0" w:line="240" w:lineRule="auto"/>
              <w:contextualSpacing/>
              <w:jc w:val="both"/>
              <w:rPr>
                <w:rFonts w:cstheme="minorHAnsi"/>
                <w:sz w:val="22"/>
                <w:szCs w:val="22"/>
              </w:rPr>
            </w:pPr>
            <w:r w:rsidRPr="00CF7AAE">
              <w:rPr>
                <w:rFonts w:cstheme="minorHAnsi"/>
                <w:sz w:val="22"/>
                <w:szCs w:val="22"/>
              </w:rPr>
              <w:t>Przedstawiono wyjaśnienie MC.</w:t>
            </w:r>
            <w:r w:rsidR="009876DD" w:rsidRPr="00CF7AAE">
              <w:rPr>
                <w:rFonts w:cstheme="minorHAnsi"/>
                <w:sz w:val="22"/>
                <w:szCs w:val="22"/>
              </w:rPr>
              <w:t xml:space="preserve"> </w:t>
            </w:r>
          </w:p>
          <w:p w:rsidR="00C77B15" w:rsidRPr="00CF7AAE" w:rsidRDefault="002F45FB" w:rsidP="00530EA3">
            <w:pPr>
              <w:pStyle w:val="Nagwek"/>
              <w:spacing w:before="0" w:after="0" w:line="240" w:lineRule="auto"/>
              <w:contextualSpacing/>
              <w:jc w:val="both"/>
              <w:rPr>
                <w:rFonts w:cstheme="minorHAnsi"/>
                <w:sz w:val="22"/>
                <w:szCs w:val="22"/>
              </w:rPr>
            </w:pPr>
            <w:r w:rsidRPr="00CF7AAE">
              <w:rPr>
                <w:rFonts w:cstheme="minorHAnsi"/>
                <w:sz w:val="22"/>
                <w:szCs w:val="22"/>
              </w:rPr>
              <w:t xml:space="preserve">Po konferencji dokonano zmian w projekcie aby usunąć </w:t>
            </w:r>
            <w:r w:rsidR="009876DD" w:rsidRPr="00CF7AAE">
              <w:rPr>
                <w:rFonts w:cstheme="minorHAnsi"/>
                <w:sz w:val="22"/>
                <w:szCs w:val="22"/>
              </w:rPr>
              <w:t>wątpliwości dotyczące słownictwa użytego do opisu środków.</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370579" w:rsidRPr="00CF7AAE" w:rsidRDefault="00370579"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370579" w:rsidRPr="00CF7AAE" w:rsidRDefault="00370579" w:rsidP="00E5064D">
            <w:pPr>
              <w:snapToGrid w:val="0"/>
              <w:spacing w:before="0" w:after="0" w:line="240" w:lineRule="auto"/>
              <w:contextualSpacing/>
              <w:rPr>
                <w:rFonts w:cstheme="minorHAnsi"/>
                <w:sz w:val="22"/>
                <w:szCs w:val="22"/>
              </w:rPr>
            </w:pPr>
            <w:r w:rsidRPr="00CF7AAE">
              <w:rPr>
                <w:rFonts w:cstheme="minorHAnsi"/>
                <w:sz w:val="22"/>
                <w:szCs w:val="22"/>
              </w:rPr>
              <w:t xml:space="preserve">Ogólna </w:t>
            </w:r>
          </w:p>
        </w:tc>
        <w:tc>
          <w:tcPr>
            <w:tcW w:w="1559" w:type="dxa"/>
            <w:tcBorders>
              <w:top w:val="single" w:sz="4" w:space="0" w:color="auto"/>
              <w:left w:val="single" w:sz="4" w:space="0" w:color="auto"/>
              <w:bottom w:val="single" w:sz="4" w:space="0" w:color="auto"/>
              <w:right w:val="single" w:sz="4" w:space="0" w:color="auto"/>
            </w:tcBorders>
          </w:tcPr>
          <w:p w:rsidR="00165C05" w:rsidRPr="00CF7AAE" w:rsidRDefault="00165C05"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370579" w:rsidRPr="00CF7AAE" w:rsidRDefault="00370579" w:rsidP="00E5064D">
            <w:pPr>
              <w:spacing w:before="0" w:after="0" w:line="240" w:lineRule="auto"/>
              <w:contextualSpacing/>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165C05" w:rsidRPr="00CF7AAE" w:rsidRDefault="00165C05" w:rsidP="00E5064D">
            <w:pPr>
              <w:pStyle w:val="Akapitzlist"/>
              <w:spacing w:before="0" w:after="0" w:line="240" w:lineRule="auto"/>
              <w:ind w:left="0"/>
              <w:jc w:val="both"/>
              <w:rPr>
                <w:sz w:val="22"/>
                <w:szCs w:val="12"/>
              </w:rPr>
            </w:pPr>
            <w:r w:rsidRPr="00CF7AAE">
              <w:rPr>
                <w:sz w:val="22"/>
              </w:rPr>
              <w:t xml:space="preserve">Równolegle procedowany jest projekt nowego rozporządzenia z upoważnienia zawartego w art. 176a ust. 5 Prawa telekomunikacyjnego, zwanego dalej „Pt”. Rozporządzenie to, jak i opiniowane rozporządzenie z upoważnienia zawartego w art. 175d Pt, mają wiele wspólnych obszarów, a mimo to regulowane są przez projektodawcę w odmienny sposób i przy użyciu innej siatki pojęciowej. Ten stan rzeczy należy ocenić negatywnie. </w:t>
            </w:r>
            <w:r w:rsidRPr="00CF7AAE">
              <w:rPr>
                <w:sz w:val="22"/>
              </w:rPr>
              <w:lastRenderedPageBreak/>
              <w:t>Konieczne jest zapewnienie spójności przepisów obu projektowanych rozporządzeń.</w:t>
            </w:r>
          </w:p>
          <w:p w:rsidR="00370579" w:rsidRPr="00CF7AAE" w:rsidRDefault="00370579" w:rsidP="00E5064D">
            <w:pPr>
              <w:spacing w:before="0" w:after="0" w:line="240" w:lineRule="auto"/>
              <w:jc w:val="both"/>
              <w:rPr>
                <w:sz w:val="22"/>
              </w:rPr>
            </w:pPr>
          </w:p>
        </w:tc>
        <w:tc>
          <w:tcPr>
            <w:tcW w:w="4391" w:type="dxa"/>
            <w:tcBorders>
              <w:top w:val="single" w:sz="4" w:space="0" w:color="auto"/>
              <w:left w:val="single" w:sz="4" w:space="0" w:color="auto"/>
              <w:bottom w:val="single" w:sz="4" w:space="0" w:color="auto"/>
              <w:right w:val="single" w:sz="4" w:space="0" w:color="auto"/>
            </w:tcBorders>
          </w:tcPr>
          <w:p w:rsidR="00370579" w:rsidRPr="00CF7AAE" w:rsidRDefault="00BE6004" w:rsidP="00E5064D">
            <w:pPr>
              <w:pStyle w:val="Nagwek"/>
              <w:spacing w:before="0" w:after="0" w:line="240" w:lineRule="auto"/>
              <w:contextualSpacing/>
              <w:jc w:val="both"/>
              <w:rPr>
                <w:rFonts w:cstheme="minorHAnsi"/>
                <w:sz w:val="22"/>
                <w:szCs w:val="22"/>
              </w:rPr>
            </w:pPr>
            <w:r w:rsidRPr="00CF7AAE">
              <w:rPr>
                <w:rFonts w:cstheme="minorHAnsi"/>
                <w:sz w:val="22"/>
                <w:szCs w:val="22"/>
              </w:rPr>
              <w:lastRenderedPageBreak/>
              <w:t>Wyjaśnienie.</w:t>
            </w:r>
          </w:p>
          <w:p w:rsidR="00BE6004" w:rsidRPr="00CF7AAE" w:rsidRDefault="00BE6004"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Projekty są procedowane równolegle. Oba rozporządzenia mają różne cele i podstawę prawną. Rozporządzenie 175d korzysta z europejskiej siatki pojęciowej, podczas gdy 176a już nie, bo jest powiązane z przepisami obronnymi. </w:t>
            </w:r>
            <w:r w:rsidR="002745AA" w:rsidRPr="00CF7AAE">
              <w:rPr>
                <w:rFonts w:cstheme="minorHAnsi"/>
                <w:sz w:val="22"/>
                <w:szCs w:val="22"/>
              </w:rPr>
              <w:t xml:space="preserve">W ocenie MC są to dwie różne </w:t>
            </w:r>
            <w:r w:rsidR="002745AA" w:rsidRPr="00CF7AAE">
              <w:rPr>
                <w:rFonts w:cstheme="minorHAnsi"/>
                <w:sz w:val="22"/>
                <w:szCs w:val="22"/>
              </w:rPr>
              <w:lastRenderedPageBreak/>
              <w:t>materie, jednak w zakresach, gdzie są zbieżne, z</w:t>
            </w:r>
            <w:r w:rsidRPr="00CF7AAE">
              <w:rPr>
                <w:rFonts w:cstheme="minorHAnsi"/>
                <w:sz w:val="22"/>
                <w:szCs w:val="22"/>
              </w:rPr>
              <w:t>ostanie uzyskana niezbędna spójność</w:t>
            </w:r>
            <w:r w:rsidR="002745AA" w:rsidRPr="00CF7AAE">
              <w:rPr>
                <w:rFonts w:cstheme="minorHAnsi"/>
                <w:sz w:val="22"/>
                <w:szCs w:val="22"/>
              </w:rPr>
              <w:t>. Prośba</w:t>
            </w:r>
            <w:r w:rsidR="0085620C" w:rsidRPr="00CF7AAE">
              <w:rPr>
                <w:rFonts w:cstheme="minorHAnsi"/>
                <w:sz w:val="22"/>
                <w:szCs w:val="22"/>
              </w:rPr>
              <w:t xml:space="preserve"> do UKE</w:t>
            </w:r>
            <w:r w:rsidR="002745AA" w:rsidRPr="00CF7AAE">
              <w:rPr>
                <w:rFonts w:cstheme="minorHAnsi"/>
                <w:sz w:val="22"/>
                <w:szCs w:val="22"/>
              </w:rPr>
              <w:t xml:space="preserve"> o wskazanie na konferencji uzgodnieniowej potencjalnych obszarów zbieżnych.</w:t>
            </w:r>
            <w:r w:rsidR="002C4E22" w:rsidRPr="00CF7AAE">
              <w:rPr>
                <w:rFonts w:cstheme="minorHAnsi"/>
                <w:sz w:val="22"/>
                <w:szCs w:val="22"/>
              </w:rPr>
              <w:t xml:space="preserve"> </w:t>
            </w:r>
          </w:p>
          <w:p w:rsidR="009876DD" w:rsidRPr="00CF7AAE" w:rsidRDefault="009876DD" w:rsidP="00E5064D">
            <w:pPr>
              <w:pStyle w:val="Nagwek"/>
              <w:spacing w:before="0" w:after="0" w:line="240" w:lineRule="auto"/>
              <w:contextualSpacing/>
              <w:jc w:val="both"/>
              <w:rPr>
                <w:rFonts w:cstheme="minorHAnsi"/>
                <w:sz w:val="22"/>
                <w:szCs w:val="22"/>
              </w:rPr>
            </w:pPr>
          </w:p>
          <w:p w:rsidR="001F3696" w:rsidRPr="00CF7AAE" w:rsidRDefault="00145D03" w:rsidP="00E5064D">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1F3696" w:rsidRPr="00CF7AAE" w:rsidRDefault="001F3696" w:rsidP="00E5064D">
            <w:pPr>
              <w:pStyle w:val="Nagwek"/>
              <w:spacing w:before="0" w:after="0" w:line="240" w:lineRule="auto"/>
              <w:contextualSpacing/>
              <w:jc w:val="both"/>
              <w:rPr>
                <w:rFonts w:cstheme="minorHAnsi"/>
                <w:sz w:val="22"/>
                <w:szCs w:val="22"/>
              </w:rPr>
            </w:pPr>
            <w:r w:rsidRPr="00CF7AAE">
              <w:rPr>
                <w:rFonts w:cstheme="minorHAnsi"/>
                <w:sz w:val="22"/>
                <w:szCs w:val="22"/>
              </w:rPr>
              <w:t>UKE przyjęło wyjaśnienia.</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napToGrid w:val="0"/>
              <w:spacing w:before="0" w:after="0" w:line="240" w:lineRule="auto"/>
              <w:contextualSpacing/>
              <w:rPr>
                <w:rFonts w:cstheme="minorHAnsi"/>
                <w:sz w:val="22"/>
                <w:szCs w:val="22"/>
              </w:rPr>
            </w:pPr>
            <w:r w:rsidRPr="00CF7AAE">
              <w:rPr>
                <w:rFonts w:cstheme="minorHAnsi"/>
                <w:sz w:val="22"/>
                <w:szCs w:val="22"/>
              </w:rPr>
              <w:t xml:space="preserve">Ogólna </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Ochrony Danych Osobowych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sz w:val="22"/>
              </w:rPr>
            </w:pPr>
            <w:r w:rsidRPr="00CF7AAE">
              <w:rPr>
                <w:sz w:val="22"/>
              </w:rPr>
              <w:t>Projektowane przepisy określają minimalne środ</w:t>
            </w:r>
            <w:r w:rsidR="001C7481" w:rsidRPr="00CF7AAE">
              <w:rPr>
                <w:sz w:val="22"/>
              </w:rPr>
              <w:t xml:space="preserve">ki techniczne i organizacyjne, </w:t>
            </w:r>
            <w:r w:rsidRPr="00CF7AAE">
              <w:rPr>
                <w:sz w:val="22"/>
              </w:rPr>
              <w:t xml:space="preserve">a także metody jakie obowiązani są stosować przedsiębiorcy telekomunikacyjni dla zapewnienia bezpieczeństwa lub integralności sieci lub usług, a ich stosowanie powinno właściwie korespondować w tej działalności ze stosowaniem przepisów wynikających  z rozporządzenia 2016/679. </w:t>
            </w:r>
          </w:p>
          <w:p w:rsidR="002C1947" w:rsidRPr="00CF7AAE" w:rsidRDefault="002C1947" w:rsidP="00E5064D">
            <w:pPr>
              <w:pStyle w:val="Akapitzlist"/>
              <w:spacing w:before="0" w:after="0" w:line="240" w:lineRule="auto"/>
              <w:ind w:left="0"/>
              <w:jc w:val="both"/>
              <w:rPr>
                <w:sz w:val="22"/>
              </w:rPr>
            </w:pPr>
            <w:r w:rsidRPr="00CF7AAE">
              <w:rPr>
                <w:sz w:val="22"/>
              </w:rPr>
              <w:t>W szczególności na przedsiębiorcach telekomunikacyjnych spoczywa obowiązek wdrożenia odpowiednich środków technicznych i organizacyjnych, w tym odpowiednich polityk ochrony danych osobowych (art. 24 rozporządzenia 2016/679).</w:t>
            </w:r>
          </w:p>
          <w:p w:rsidR="002C1947" w:rsidRPr="00CF7AAE" w:rsidRDefault="002C1947" w:rsidP="00E5064D">
            <w:pPr>
              <w:pStyle w:val="Akapitzlist"/>
              <w:spacing w:before="0" w:after="0" w:line="240" w:lineRule="auto"/>
              <w:ind w:left="0"/>
              <w:jc w:val="both"/>
              <w:rPr>
                <w:sz w:val="22"/>
              </w:rPr>
            </w:pPr>
            <w:r w:rsidRPr="00CF7AAE">
              <w:rPr>
                <w:sz w:val="22"/>
              </w:rPr>
              <w:t xml:space="preserve">Przedsiębiorcy telekomunikacyjni uwzględniać powinni również ochronę danych w fazie projektowania wszelkich procesów związanych </w:t>
            </w:r>
            <w:r w:rsidRPr="00CF7AAE">
              <w:rPr>
                <w:sz w:val="22"/>
              </w:rPr>
              <w:br/>
              <w:t>z przetwarzaniem (art. 25 ust. 1 rozporządzenia 2016/679). A zatem wdrażać powinni odpowiednie środki techniczne i organizacyjne - przy określaniu sposobów przetwarzania, jak i w czasie samego przetwarzania - zaprojektowane w celu skutecznej realizacji zasad ochrony danych oraz w celu nadania przetwarzaniu niezbędnych zabezpieczeń. Wdrażanie takich środków powinno następować z uwzględnieniem stanu wiedzy technicznej, kosztu wdrażania oraz charakteru, zakresu, kontekstu i celów przetwarzania. Działania te powinny być podejmowane również z uwzględnieniem ryzyka naruszenia praw lub wolności osób fizycznych, jego różnego prawdopodobieństwa wystąpienia, jak i różnej wagi zagrożeń wynikających z przetwarzania. Przyjmowanie takich rozwiązań służyć  ma spełnianiu wymogów rozporządzenia 2016/679 oraz ochronie praw osób, których dane przetwarzane przez przedsiębiorców telekomunikacyjnych dotyczą Obowiązek uwzględniania ochrony danych powinien być realizowany na każdym etapie funkcjonowania systemów, z których korzystają przedsiębiorcy telekomunikacyjni, tj. w fazie ich projektowani</w:t>
            </w:r>
            <w:r w:rsidR="00BC6DE9" w:rsidRPr="00CF7AAE">
              <w:rPr>
                <w:sz w:val="22"/>
              </w:rPr>
              <w:t xml:space="preserve">a (privacy by design), a także </w:t>
            </w:r>
            <w:r w:rsidRPr="00CF7AAE">
              <w:rPr>
                <w:sz w:val="22"/>
              </w:rPr>
              <w:t xml:space="preserve">w trakcie ich rozwoju, utrzymania i wygaszania.  </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D63051" w:rsidP="00E5064D">
            <w:pPr>
              <w:pStyle w:val="Nagwek"/>
              <w:spacing w:before="0" w:after="0" w:line="240" w:lineRule="auto"/>
              <w:contextualSpacing/>
              <w:jc w:val="both"/>
              <w:rPr>
                <w:rFonts w:cstheme="minorHAnsi"/>
                <w:sz w:val="22"/>
                <w:szCs w:val="22"/>
              </w:rPr>
            </w:pPr>
            <w:r w:rsidRPr="00CF7AAE">
              <w:rPr>
                <w:rFonts w:cstheme="minorHAnsi"/>
                <w:sz w:val="22"/>
                <w:szCs w:val="22"/>
              </w:rPr>
              <w:t>Wyjaśnienie.</w:t>
            </w:r>
          </w:p>
          <w:p w:rsidR="00D63051" w:rsidRPr="00CF7AAE" w:rsidRDefault="00D63051"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Przedsiębiorcy telekomunikacyjni są zobowiązani przestrzegać rozporządzenia 2016/679. Jest to niezależne od obowiązków wynikających z ustawy – Prawo telekomunikacyjne. </w:t>
            </w:r>
          </w:p>
          <w:p w:rsidR="00B8659D" w:rsidRPr="00CF7AAE" w:rsidRDefault="00B8659D" w:rsidP="00E5064D">
            <w:pPr>
              <w:pStyle w:val="Nagwek"/>
              <w:spacing w:before="0" w:after="0" w:line="240" w:lineRule="auto"/>
              <w:contextualSpacing/>
              <w:jc w:val="both"/>
              <w:rPr>
                <w:rFonts w:cstheme="minorHAnsi"/>
                <w:sz w:val="22"/>
                <w:szCs w:val="22"/>
              </w:rPr>
            </w:pPr>
          </w:p>
          <w:p w:rsidR="00B8659D" w:rsidRPr="00CF7AAE" w:rsidRDefault="00B8659D" w:rsidP="00E5064D">
            <w:pPr>
              <w:pStyle w:val="Nagwek"/>
              <w:spacing w:before="0" w:after="0" w:line="240" w:lineRule="auto"/>
              <w:contextualSpacing/>
              <w:jc w:val="both"/>
              <w:rPr>
                <w:rFonts w:cstheme="minorHAnsi"/>
                <w:sz w:val="22"/>
                <w:szCs w:val="22"/>
              </w:rPr>
            </w:pPr>
          </w:p>
          <w:p w:rsidR="00B8659D" w:rsidRPr="00CF7AAE" w:rsidRDefault="00B8659D" w:rsidP="00530EA3">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B8659D" w:rsidRPr="00CF7AAE" w:rsidRDefault="00B8659D" w:rsidP="00B8659D">
            <w:pPr>
              <w:pStyle w:val="Nagwek"/>
              <w:spacing w:before="0" w:after="0" w:line="240" w:lineRule="auto"/>
              <w:contextualSpacing/>
              <w:jc w:val="both"/>
              <w:rPr>
                <w:rFonts w:cstheme="minorHAnsi"/>
                <w:sz w:val="22"/>
                <w:szCs w:val="22"/>
              </w:rPr>
            </w:pPr>
            <w:r w:rsidRPr="00CF7AAE">
              <w:rPr>
                <w:rFonts w:cstheme="minorHAnsi"/>
                <w:sz w:val="22"/>
                <w:szCs w:val="22"/>
              </w:rPr>
              <w:t>Przedstawiono wyjaśnienie MC.</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napToGrid w:val="0"/>
              <w:spacing w:before="0" w:after="0" w:line="240" w:lineRule="auto"/>
              <w:contextualSpacing/>
              <w:rPr>
                <w:rFonts w:cstheme="minorHAnsi"/>
                <w:sz w:val="22"/>
                <w:szCs w:val="22"/>
              </w:rPr>
            </w:pPr>
            <w:r w:rsidRPr="00CF7AAE">
              <w:rPr>
                <w:rFonts w:cstheme="minorHAnsi"/>
                <w:sz w:val="22"/>
                <w:szCs w:val="22"/>
              </w:rPr>
              <w:t xml:space="preserve">Ogólna </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Ochrony Danych Osobowych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sz w:val="22"/>
              </w:rPr>
            </w:pPr>
            <w:r w:rsidRPr="00CF7AAE">
              <w:rPr>
                <w:sz w:val="22"/>
              </w:rPr>
              <w:t>Ponadto, przedsiębiorcy telekomunikacyjni świadczący usługi telekomunikacyjne uwzględniać powinni zarówno wymogi norm PN-EN ISO/IEC 27001, PN-EN ISO 22301, określających zasady bezpieczeństwa informacji w organizacji, jak i normy PN-ISO/IEC 29151:2019-01, która określa wytyczne dotyczące wdrożenia zabezpieczeń w celu spełnienia wymagań zidentyfikowanych w trakcie szacowania ryz</w:t>
            </w:r>
            <w:r w:rsidR="00F64788" w:rsidRPr="00CF7AAE">
              <w:rPr>
                <w:sz w:val="22"/>
              </w:rPr>
              <w:t xml:space="preserve">yka i oceny skutków związanych </w:t>
            </w:r>
            <w:r w:rsidRPr="00CF7AAE">
              <w:rPr>
                <w:sz w:val="22"/>
              </w:rPr>
              <w:t>z ochroną informacji o identyfikowalnych osobach. Ponadto przedsiębiorcy telekomunikacyjni powinni w ocenie organu nadzorczego spełniać wymogi normy ISO/IEC 27002, wyznaczającej wytyczne związane z ustanowieniem, wdrożeniem, eksploatacją, monitorowani</w:t>
            </w:r>
            <w:r w:rsidR="00BC6DE9" w:rsidRPr="00CF7AAE">
              <w:rPr>
                <w:sz w:val="22"/>
              </w:rPr>
              <w:t xml:space="preserve">em, przeglądaniem, utrzymaniem </w:t>
            </w:r>
            <w:r w:rsidRPr="00CF7AAE">
              <w:rPr>
                <w:sz w:val="22"/>
              </w:rPr>
              <w:t>i doskonaleniem Systemu Zarządzania Bezpieczeństwem Informacji. Norma ta przeznaczona jest do stosowania przez organizacje, które zamierzają wdrażać zabezpieczenia zgodnie z ISO/IEC 27001.</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BE6004" w:rsidP="00E5064D">
            <w:pPr>
              <w:pStyle w:val="Nagwek"/>
              <w:spacing w:before="0" w:after="0" w:line="240" w:lineRule="auto"/>
              <w:contextualSpacing/>
              <w:jc w:val="both"/>
              <w:rPr>
                <w:rFonts w:cstheme="minorHAnsi"/>
                <w:sz w:val="22"/>
                <w:szCs w:val="22"/>
              </w:rPr>
            </w:pPr>
            <w:r w:rsidRPr="00CF7AAE">
              <w:rPr>
                <w:rFonts w:cstheme="minorHAnsi"/>
                <w:sz w:val="22"/>
                <w:szCs w:val="22"/>
              </w:rPr>
              <w:t>Wyjaśnienie.</w:t>
            </w:r>
          </w:p>
          <w:p w:rsidR="00BE6004" w:rsidRPr="00CF7AAE" w:rsidRDefault="00BE6004"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Zgodnie z polskim prawem, stosowanie norm jest dopuszczalne. Uczynienie ich obowiązkowymi jest możliwe jedynie w drodze ustawy. </w:t>
            </w:r>
          </w:p>
          <w:p w:rsidR="00BE6004" w:rsidRPr="00CF7AAE" w:rsidRDefault="00BE6004"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Możliwe jest za to rozszerzenie uzasadnienia o wskazane elementy jako preferowaną drogę realizacji obowiązków. </w:t>
            </w:r>
          </w:p>
          <w:p w:rsidR="00720FE3" w:rsidRPr="00CF7AAE" w:rsidRDefault="00720FE3" w:rsidP="00E5064D">
            <w:pPr>
              <w:pStyle w:val="Nagwek"/>
              <w:spacing w:before="0" w:after="0" w:line="240" w:lineRule="auto"/>
              <w:contextualSpacing/>
              <w:jc w:val="both"/>
              <w:rPr>
                <w:rFonts w:cstheme="minorHAnsi"/>
                <w:sz w:val="22"/>
                <w:szCs w:val="22"/>
              </w:rPr>
            </w:pPr>
          </w:p>
          <w:p w:rsidR="00720FE3" w:rsidRPr="00CF7AAE" w:rsidRDefault="00720FE3" w:rsidP="00E5064D">
            <w:pPr>
              <w:pStyle w:val="Nagwek"/>
              <w:spacing w:before="0" w:after="0" w:line="240" w:lineRule="auto"/>
              <w:contextualSpacing/>
              <w:jc w:val="both"/>
              <w:rPr>
                <w:rFonts w:cstheme="minorHAnsi"/>
                <w:sz w:val="22"/>
                <w:szCs w:val="22"/>
              </w:rPr>
            </w:pPr>
          </w:p>
          <w:p w:rsidR="00720FE3" w:rsidRPr="00CF7AAE" w:rsidRDefault="00720FE3" w:rsidP="00530EA3">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720FE3" w:rsidRPr="00CF7AAE" w:rsidRDefault="00720FE3" w:rsidP="00720FE3">
            <w:pPr>
              <w:pStyle w:val="Nagwek"/>
              <w:spacing w:before="0" w:after="0" w:line="240" w:lineRule="auto"/>
              <w:contextualSpacing/>
              <w:jc w:val="both"/>
              <w:rPr>
                <w:rFonts w:cstheme="minorHAnsi"/>
                <w:sz w:val="22"/>
                <w:szCs w:val="22"/>
              </w:rPr>
            </w:pPr>
            <w:r w:rsidRPr="00CF7AAE">
              <w:rPr>
                <w:rFonts w:cstheme="minorHAnsi"/>
                <w:sz w:val="22"/>
                <w:szCs w:val="22"/>
              </w:rPr>
              <w:t>Przedstawiono wyjaśnienie MC.</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napToGrid w:val="0"/>
              <w:spacing w:before="0" w:after="0" w:line="240" w:lineRule="auto"/>
              <w:contextualSpacing/>
              <w:rPr>
                <w:rFonts w:cstheme="minorHAnsi"/>
                <w:sz w:val="22"/>
                <w:szCs w:val="22"/>
              </w:rPr>
            </w:pPr>
            <w:r w:rsidRPr="00CF7AAE">
              <w:rPr>
                <w:rFonts w:cstheme="minorHAnsi"/>
                <w:sz w:val="22"/>
                <w:szCs w:val="22"/>
              </w:rPr>
              <w:t xml:space="preserve">Ogólna </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Ochrony Konkurencji </w:t>
            </w:r>
            <w:r w:rsidRPr="00CF7AAE">
              <w:rPr>
                <w:rFonts w:cstheme="minorHAnsi"/>
                <w:sz w:val="22"/>
                <w:szCs w:val="22"/>
              </w:rPr>
              <w:br/>
            </w:r>
            <w:r w:rsidR="007B1DFC" w:rsidRPr="00CF7AAE">
              <w:rPr>
                <w:rFonts w:cstheme="minorHAnsi"/>
                <w:sz w:val="22"/>
                <w:szCs w:val="22"/>
              </w:rPr>
              <w:t>i Konsumentów</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BE6004" w:rsidRPr="00CF7AAE" w:rsidRDefault="007B1DFC" w:rsidP="00E5064D">
            <w:pPr>
              <w:spacing w:before="0" w:after="0" w:line="240" w:lineRule="auto"/>
              <w:rPr>
                <w:sz w:val="22"/>
              </w:rPr>
            </w:pPr>
            <w:r w:rsidRPr="00CF7AAE">
              <w:rPr>
                <w:sz w:val="22"/>
              </w:rPr>
              <w:t>Projekt przewiduje, że przedsiębiorca telekomunikacyjny dostarczający sieć piątej generacji (5G), zobowiązany jest do zapewnienia i stosowana środków minimalizujących skutki wystąpienia zagrożeń, w zakresie bezpieczeństwa i integralności sieci i usług, uwzględniając m.in. podwyższanie odporności na zakłócenia sieci i usług telekomunikacyjnych. Projektodawca jednocześnie nie wskazuje środków osiągnięcia tego celu, mając na uwadze fakt, iż można gdyż można go zrealizować na różne sposoby (np. poprzez redundancję sprzętu czy zapewnienie roamingu krajowego).</w:t>
            </w:r>
          </w:p>
          <w:p w:rsidR="002C1947" w:rsidRPr="00CF7AAE" w:rsidRDefault="002C1947" w:rsidP="00E5064D">
            <w:pPr>
              <w:spacing w:before="0" w:after="0" w:line="240" w:lineRule="auto"/>
              <w:jc w:val="both"/>
              <w:rPr>
                <w:sz w:val="22"/>
              </w:rPr>
            </w:pPr>
            <w:r w:rsidRPr="00CF7AAE">
              <w:rPr>
                <w:sz w:val="22"/>
              </w:rPr>
              <w:t xml:space="preserve">Jednocześnie w uzasadnieniu do Projektu, odwołując się do art. 8 ust. 1 ustawy z dnia 16 lutego 2007 r. o ochronie konkurencji i konsumentów (Dz. U. z 2019 r. poz. 369, ze zm.)(dalej: u.o.k.k.), wskazano, że wprowadzenie redundantnej konfiguracji sieci „nie naruszy reguł konkurencji”. Projektodawca stwierdza, że zawarcie przez przedsiębiorców porozumienia dotyczącego wprowadzenia redundantnej konfiguracji sieci na podstawie art. 8 ust. 1 u.o.k.k., będzie legalne, o ile spełnione zostaną przesłanki określone </w:t>
            </w:r>
            <w:r w:rsidR="00F64788" w:rsidRPr="00CF7AAE">
              <w:rPr>
                <w:sz w:val="22"/>
              </w:rPr>
              <w:t xml:space="preserve">w art. 8 u.o.k.k. Jednocześnie </w:t>
            </w:r>
            <w:r w:rsidRPr="00CF7AAE">
              <w:rPr>
                <w:sz w:val="22"/>
              </w:rPr>
              <w:t>w dalszej części uzasadnienia podjęto próbę wykazania, że porozumienie, które ma na celu zapewnienie większego poziomu bezpieczeństwa i zachowania integralności sieci, będzie spełniało określone w ww. przepisie przesłanki.</w:t>
            </w:r>
          </w:p>
          <w:p w:rsidR="002C1947" w:rsidRPr="00CF7AAE" w:rsidRDefault="002C1947" w:rsidP="00E5064D">
            <w:pPr>
              <w:spacing w:before="0" w:after="0" w:line="240" w:lineRule="auto"/>
              <w:jc w:val="both"/>
              <w:rPr>
                <w:sz w:val="22"/>
              </w:rPr>
            </w:pPr>
            <w:r w:rsidRPr="00CF7AAE">
              <w:rPr>
                <w:sz w:val="22"/>
              </w:rPr>
              <w:t>W istocie, zgodnie z art. 8 ust. 1 u.o.k.k. niektóre porozumienia mogą zostać indywidualnie wyłączone spod zakazu porozumień ograniczających konkurencję. Dotyczy to sytuacji, w których uczestnik naruszenia wykaże, że dane porozumienie jednocześnie:</w:t>
            </w:r>
          </w:p>
          <w:p w:rsidR="002C1947" w:rsidRPr="00CF7AAE" w:rsidRDefault="002C1947" w:rsidP="00E5064D">
            <w:pPr>
              <w:spacing w:before="0" w:after="0" w:line="240" w:lineRule="auto"/>
              <w:jc w:val="both"/>
              <w:rPr>
                <w:sz w:val="22"/>
              </w:rPr>
            </w:pPr>
            <w:r w:rsidRPr="00CF7AAE">
              <w:rPr>
                <w:sz w:val="22"/>
              </w:rPr>
              <w:lastRenderedPageBreak/>
              <w:t>1.</w:t>
            </w:r>
            <w:r w:rsidRPr="00CF7AAE">
              <w:rPr>
                <w:sz w:val="22"/>
              </w:rPr>
              <w:tab/>
              <w:t>przyczynia się do polepszenia produkcji, dystrybucji lub postępu technicznego, lub gospodarczego,</w:t>
            </w:r>
          </w:p>
          <w:p w:rsidR="002C1947" w:rsidRPr="00CF7AAE" w:rsidRDefault="002C1947" w:rsidP="00E5064D">
            <w:pPr>
              <w:spacing w:before="0" w:after="0" w:line="240" w:lineRule="auto"/>
              <w:jc w:val="both"/>
              <w:rPr>
                <w:sz w:val="22"/>
              </w:rPr>
            </w:pPr>
            <w:r w:rsidRPr="00CF7AAE">
              <w:rPr>
                <w:sz w:val="22"/>
              </w:rPr>
              <w:t>2.</w:t>
            </w:r>
            <w:r w:rsidRPr="00CF7AAE">
              <w:rPr>
                <w:sz w:val="22"/>
              </w:rPr>
              <w:tab/>
              <w:t>zapewnia nabywcy lub użytkownikowi odpowiednią część wynikających z porozumienia korzyści,</w:t>
            </w:r>
          </w:p>
          <w:p w:rsidR="002C1947" w:rsidRPr="00CF7AAE" w:rsidRDefault="002C1947" w:rsidP="00E5064D">
            <w:pPr>
              <w:spacing w:before="0" w:after="0" w:line="240" w:lineRule="auto"/>
              <w:jc w:val="both"/>
              <w:rPr>
                <w:sz w:val="22"/>
              </w:rPr>
            </w:pPr>
            <w:r w:rsidRPr="00CF7AAE">
              <w:rPr>
                <w:sz w:val="22"/>
              </w:rPr>
              <w:t>3.</w:t>
            </w:r>
            <w:r w:rsidRPr="00CF7AAE">
              <w:rPr>
                <w:sz w:val="22"/>
              </w:rPr>
              <w:tab/>
              <w:t>nie nakłada na zainteresowanych przedsiębiorców ograniczeń, które nie są niezbędne do osiągnięcia tych celów,</w:t>
            </w:r>
          </w:p>
          <w:p w:rsidR="002C1947" w:rsidRPr="00CF7AAE" w:rsidRDefault="002C1947" w:rsidP="00E5064D">
            <w:pPr>
              <w:spacing w:before="0" w:after="0" w:line="240" w:lineRule="auto"/>
              <w:jc w:val="both"/>
              <w:rPr>
                <w:sz w:val="22"/>
              </w:rPr>
            </w:pPr>
            <w:r w:rsidRPr="00CF7AAE">
              <w:rPr>
                <w:sz w:val="22"/>
              </w:rPr>
              <w:t>4.</w:t>
            </w:r>
            <w:r w:rsidRPr="00CF7AAE">
              <w:rPr>
                <w:sz w:val="22"/>
              </w:rPr>
              <w:tab/>
              <w:t>nie stwarza tym przedsiębiorcom możliwości wyeliminowania konkurencji na rynku właściwym w zakresie znacznej części określonych towarów.</w:t>
            </w:r>
          </w:p>
          <w:p w:rsidR="002C1947" w:rsidRPr="00CF7AAE" w:rsidRDefault="002C1947" w:rsidP="00E5064D">
            <w:pPr>
              <w:spacing w:before="0" w:after="0" w:line="240" w:lineRule="auto"/>
              <w:jc w:val="both"/>
              <w:rPr>
                <w:sz w:val="22"/>
              </w:rPr>
            </w:pPr>
            <w:r w:rsidRPr="00CF7AAE">
              <w:rPr>
                <w:sz w:val="22"/>
              </w:rPr>
              <w:t>Wyłączenie indywidualne opiera się na zało</w:t>
            </w:r>
            <w:r w:rsidR="00F64788" w:rsidRPr="00CF7AAE">
              <w:rPr>
                <w:sz w:val="22"/>
              </w:rPr>
              <w:t xml:space="preserve">żeniu, że porozumienie, pomimo </w:t>
            </w:r>
            <w:r w:rsidRPr="00CF7AAE">
              <w:rPr>
                <w:sz w:val="22"/>
              </w:rPr>
              <w:t>że z formalnego punktu widzenia jest antykonkurencyjne i powinno być zakazane, może wywoływać prokonkurencyjne skutki (jest korzystne dla rynku). Negatywne skutki takiego porozumienia muszą być równoważone przez korzyści płynące z jego zawarcia.</w:t>
            </w:r>
          </w:p>
          <w:p w:rsidR="002C1947" w:rsidRPr="00CF7AAE" w:rsidRDefault="002C1947" w:rsidP="00E5064D">
            <w:pPr>
              <w:spacing w:before="0" w:after="0" w:line="240" w:lineRule="auto"/>
              <w:jc w:val="both"/>
              <w:rPr>
                <w:sz w:val="22"/>
              </w:rPr>
            </w:pPr>
            <w:r w:rsidRPr="00CF7AAE">
              <w:rPr>
                <w:sz w:val="22"/>
              </w:rPr>
              <w:t xml:space="preserve">Zwolnienie w takim wypadku, rzeczywiście następuje z mocy prawa, </w:t>
            </w:r>
            <w:r w:rsidRPr="00CF7AAE">
              <w:rPr>
                <w:sz w:val="22"/>
              </w:rPr>
              <w:br/>
              <w:t xml:space="preserve">a orzeczenie sądowe lub administracyjne, w którym dokonane zostanie stwierdzenie zastosowania art. 8 ust. 1 do danego porozumienia, ma charakter deklaratoryjny . Pragniemy jednak wyjaśnić, że ocena spełnienia przesłanek, dokonywana jest indywidualnie w wypadku danego porozumienia. Ponadto podkreślamy, że w wypadku dokonywania weryfikacji spełnienia warunków zwolnienia w ramach postępowania wyjaśniającego lub antymonopolowego prowadzonego przez Prezesa UOKiK wykazanie prokonkurencyjnych skutków porozumienia spoczywa na przedsiębiorcy (art. 8 ust. 2 u.o.k.k). </w:t>
            </w:r>
          </w:p>
          <w:p w:rsidR="002C1947" w:rsidRPr="00CF7AAE" w:rsidRDefault="002C1947" w:rsidP="00E5064D">
            <w:pPr>
              <w:spacing w:before="0" w:after="0" w:line="240" w:lineRule="auto"/>
              <w:jc w:val="both"/>
              <w:rPr>
                <w:sz w:val="22"/>
              </w:rPr>
            </w:pPr>
            <w:r w:rsidRPr="00CF7AAE">
              <w:rPr>
                <w:sz w:val="22"/>
              </w:rPr>
              <w:t xml:space="preserve">Mając na uwadze powyższe wyjaśnienia, zwracamy uwagę, że zawarte </w:t>
            </w:r>
            <w:r w:rsidRPr="00CF7AAE">
              <w:rPr>
                <w:sz w:val="22"/>
              </w:rPr>
              <w:br/>
              <w:t>w uzasadnieniu do przedmiotowego Projektu stwierdzenie, iż należy przyjąć, że wskazany rodzaj porozumień nie będzie naruszał reguł konkurencji, może wprowadzać uczestników wskazanych rynków w błąd co do ich sytuacji prawnej. Jak słusznie wskazuje projektodawca, w wypadku spełnienia określonych przesłanek, porozumienie będzie legalne. Jednak weryfikacja tej okoliczności jest przeprowadzana indywidualnie dla danego, potencjalnie antykonkurencyjnego porozumienia.</w:t>
            </w:r>
          </w:p>
          <w:p w:rsidR="002C1947" w:rsidRPr="00CF7AAE" w:rsidRDefault="002C1947" w:rsidP="00E5064D">
            <w:pPr>
              <w:spacing w:before="0" w:after="0" w:line="240" w:lineRule="auto"/>
              <w:jc w:val="both"/>
              <w:rPr>
                <w:sz w:val="22"/>
              </w:rPr>
            </w:pPr>
            <w:r w:rsidRPr="00CF7AAE">
              <w:rPr>
                <w:sz w:val="22"/>
              </w:rPr>
              <w:t xml:space="preserve">W tym miejscu zwracamy uwagę, że zgodnie z art. 8 ust. 3 u.o.k.k. Rada Ministrów jest upoważniona, by biorąc pod uwagę korzyści, jakie mogą przynieść określone rodzaje porozumień, dokonać wyłączenia spod zakazu określonego w art. 6 u.o.k.k. takich rodzajów porozumień, które w ocenie ustawodawcy, spełniają przesłanki, o których mowa w art. 8 ust. 1 u.o.k.k. Takie wyłączenie, nazywane „grupowym”, dokonywane jest w drodze </w:t>
            </w:r>
            <w:r w:rsidRPr="00CF7AAE">
              <w:rPr>
                <w:sz w:val="22"/>
              </w:rPr>
              <w:lastRenderedPageBreak/>
              <w:t>rozporządzenia. Tego rodzaju zwolnienie wprowadza domniemanie legalności i ważności porozumień objętych zakresem zastosowania danego rozporządzenia. W takim wypadku jeżeli porozumienie spełnia przesłanki określone w akcie wykonawczym, nie ma konieczności każdorazowego badania, czy istnieją przesłanki do wyłączenia indywidualnego.</w:t>
            </w:r>
          </w:p>
          <w:p w:rsidR="002C1947" w:rsidRPr="00CF7AAE" w:rsidRDefault="002C1947" w:rsidP="00E5064D">
            <w:pPr>
              <w:spacing w:before="0" w:after="0" w:line="240" w:lineRule="auto"/>
              <w:jc w:val="both"/>
              <w:rPr>
                <w:sz w:val="22"/>
              </w:rPr>
            </w:pPr>
            <w:r w:rsidRPr="00CF7AAE">
              <w:rPr>
                <w:sz w:val="22"/>
              </w:rPr>
              <w:t>Ponadto wskazujemy, że art. 8 ust. 1 u.o.k.k.</w:t>
            </w:r>
            <w:r w:rsidR="00F64788" w:rsidRPr="00CF7AAE">
              <w:rPr>
                <w:sz w:val="22"/>
              </w:rPr>
              <w:t xml:space="preserve"> znajduje zastosowanie jedynie </w:t>
            </w:r>
            <w:r w:rsidRPr="00CF7AAE">
              <w:rPr>
                <w:sz w:val="22"/>
              </w:rPr>
              <w:t>do porozumień ograniczających konkurencję w rozumieniu w art. 6 ust. 1 u.o.k.k. Zgodnie z tym przepisem dotyczy to podejmowania przez niezależnych przedsiębiorców jakichkolwiek uzgodnień, których celem lub skutkiem jest eliminowanie, ograniczenie lub zniekształcenie konkurencji, polegające  w szczególności na:</w:t>
            </w:r>
          </w:p>
          <w:p w:rsidR="002C1947" w:rsidRPr="00CF7AAE" w:rsidRDefault="002C1947" w:rsidP="00E5064D">
            <w:pPr>
              <w:spacing w:before="0" w:after="0" w:line="240" w:lineRule="auto"/>
              <w:jc w:val="both"/>
              <w:rPr>
                <w:sz w:val="22"/>
              </w:rPr>
            </w:pPr>
            <w:r w:rsidRPr="00CF7AAE">
              <w:rPr>
                <w:sz w:val="22"/>
              </w:rPr>
              <w:t>1.</w:t>
            </w:r>
            <w:r w:rsidRPr="00CF7AAE">
              <w:rPr>
                <w:sz w:val="22"/>
              </w:rPr>
              <w:tab/>
              <w:t>ustalaniu, bezpośrednio lub pośrednio, cen i innych warunków zakupu lub sprzedaży towarów;</w:t>
            </w:r>
          </w:p>
          <w:p w:rsidR="002C1947" w:rsidRPr="00CF7AAE" w:rsidRDefault="002C1947" w:rsidP="00E5064D">
            <w:pPr>
              <w:spacing w:before="0" w:after="0" w:line="240" w:lineRule="auto"/>
              <w:jc w:val="both"/>
              <w:rPr>
                <w:sz w:val="22"/>
              </w:rPr>
            </w:pPr>
            <w:r w:rsidRPr="00CF7AAE">
              <w:rPr>
                <w:sz w:val="22"/>
              </w:rPr>
              <w:t>2.</w:t>
            </w:r>
            <w:r w:rsidRPr="00CF7AAE">
              <w:rPr>
                <w:sz w:val="22"/>
              </w:rPr>
              <w:tab/>
              <w:t>ograniczaniu lub kontrolowaniu produkcji lub zbytu oraz postępu technicznego lub inwestycji;</w:t>
            </w:r>
          </w:p>
          <w:p w:rsidR="002C1947" w:rsidRPr="00CF7AAE" w:rsidRDefault="002C1947" w:rsidP="00E5064D">
            <w:pPr>
              <w:spacing w:before="0" w:after="0" w:line="240" w:lineRule="auto"/>
              <w:jc w:val="both"/>
              <w:rPr>
                <w:sz w:val="22"/>
              </w:rPr>
            </w:pPr>
            <w:r w:rsidRPr="00CF7AAE">
              <w:rPr>
                <w:sz w:val="22"/>
              </w:rPr>
              <w:t>3.</w:t>
            </w:r>
            <w:r w:rsidRPr="00CF7AAE">
              <w:rPr>
                <w:sz w:val="22"/>
              </w:rPr>
              <w:tab/>
              <w:t>podziale rynków zbytu lub zakupu;</w:t>
            </w:r>
          </w:p>
          <w:p w:rsidR="002C1947" w:rsidRPr="00CF7AAE" w:rsidRDefault="002C1947" w:rsidP="00E5064D">
            <w:pPr>
              <w:spacing w:before="0" w:after="0" w:line="240" w:lineRule="auto"/>
              <w:jc w:val="both"/>
              <w:rPr>
                <w:sz w:val="22"/>
              </w:rPr>
            </w:pPr>
            <w:r w:rsidRPr="00CF7AAE">
              <w:rPr>
                <w:sz w:val="22"/>
              </w:rPr>
              <w:t>4.</w:t>
            </w:r>
            <w:r w:rsidRPr="00CF7AAE">
              <w:rPr>
                <w:sz w:val="22"/>
              </w:rPr>
              <w:tab/>
              <w:t>stosowaniu w podobnych umowach z osobami trzecimi uciążliwych lub niejednolitych warunków umów, stwarzających tym osobom zróżnicowane warunki konkurencji;</w:t>
            </w:r>
          </w:p>
          <w:p w:rsidR="002C1947" w:rsidRPr="00CF7AAE" w:rsidRDefault="002C1947" w:rsidP="00E5064D">
            <w:pPr>
              <w:spacing w:before="0" w:after="0" w:line="240" w:lineRule="auto"/>
              <w:jc w:val="both"/>
              <w:rPr>
                <w:sz w:val="22"/>
              </w:rPr>
            </w:pPr>
            <w:r w:rsidRPr="00CF7AAE">
              <w:rPr>
                <w:sz w:val="22"/>
              </w:rPr>
              <w:t>5.</w:t>
            </w:r>
            <w:r w:rsidRPr="00CF7AAE">
              <w:rPr>
                <w:sz w:val="22"/>
              </w:rPr>
              <w:tab/>
              <w:t>uzależnianiu zawarcia umowy od przyjęcia lub spełnienia przez drugą stronę innego świadczenia, niemającego rzeczowego ani zwyczajowego związku z przedmiotem umowy;</w:t>
            </w:r>
          </w:p>
          <w:p w:rsidR="002C1947" w:rsidRPr="00CF7AAE" w:rsidRDefault="002C1947" w:rsidP="00E5064D">
            <w:pPr>
              <w:spacing w:before="0" w:after="0" w:line="240" w:lineRule="auto"/>
              <w:jc w:val="both"/>
              <w:rPr>
                <w:sz w:val="22"/>
              </w:rPr>
            </w:pPr>
            <w:r w:rsidRPr="00CF7AAE">
              <w:rPr>
                <w:sz w:val="22"/>
              </w:rPr>
              <w:t>6.</w:t>
            </w:r>
            <w:r w:rsidRPr="00CF7AAE">
              <w:rPr>
                <w:sz w:val="22"/>
              </w:rPr>
              <w:tab/>
              <w:t>ograniczaniu dostępu do rynku lub eliminowaniu z rynku przedsiębiorców nieobjętych porozumieniem;</w:t>
            </w:r>
          </w:p>
          <w:p w:rsidR="002C1947" w:rsidRPr="00CF7AAE" w:rsidRDefault="002C1947" w:rsidP="00E5064D">
            <w:pPr>
              <w:spacing w:before="0" w:after="0" w:line="240" w:lineRule="auto"/>
              <w:jc w:val="both"/>
              <w:rPr>
                <w:sz w:val="22"/>
              </w:rPr>
            </w:pPr>
            <w:r w:rsidRPr="00CF7AAE">
              <w:rPr>
                <w:sz w:val="22"/>
              </w:rPr>
              <w:t>7.</w:t>
            </w:r>
            <w:r w:rsidRPr="00CF7AAE">
              <w:rPr>
                <w:sz w:val="22"/>
              </w:rPr>
              <w:tab/>
              <w:t>uzgadnianiu przez przedsiębiorców przystępujących do przetargu lub przez tych przedsiębiorców i przedsiębiorcę będącego organizatorem przetargu warunków składanych ofert, w szczególności zakresu prac lub ceny.</w:t>
            </w:r>
          </w:p>
          <w:p w:rsidR="002C1947" w:rsidRPr="00CF7AAE" w:rsidRDefault="002C1947" w:rsidP="00E5064D">
            <w:pPr>
              <w:spacing w:before="0" w:after="0" w:line="240" w:lineRule="auto"/>
              <w:jc w:val="both"/>
              <w:rPr>
                <w:sz w:val="22"/>
              </w:rPr>
            </w:pPr>
            <w:r w:rsidRPr="00CF7AAE">
              <w:rPr>
                <w:sz w:val="22"/>
              </w:rPr>
              <w:t>Należy zatem rozważyć czy uzgodnienia dotyczące redundantnej konfiguracji sieci faktycznie będą zawierały elementy pozwalające uznać je za porozumienia ograniczające konkurencję w rozumieniu u.o.k.k.</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7B1DFC" w:rsidP="00E5064D">
            <w:pPr>
              <w:pStyle w:val="Nagwek"/>
              <w:spacing w:before="0" w:after="0" w:line="240" w:lineRule="auto"/>
              <w:contextualSpacing/>
              <w:jc w:val="both"/>
              <w:rPr>
                <w:rFonts w:cstheme="minorHAnsi"/>
                <w:sz w:val="22"/>
                <w:szCs w:val="22"/>
              </w:rPr>
            </w:pPr>
            <w:r w:rsidRPr="00CF7AAE">
              <w:rPr>
                <w:rFonts w:cstheme="minorHAnsi"/>
                <w:sz w:val="22"/>
                <w:szCs w:val="22"/>
              </w:rPr>
              <w:lastRenderedPageBreak/>
              <w:t>Wyjaśnienie.</w:t>
            </w:r>
          </w:p>
          <w:p w:rsidR="007B1DFC" w:rsidRPr="00CF7AAE" w:rsidRDefault="007B1DFC" w:rsidP="00E5064D">
            <w:pPr>
              <w:pStyle w:val="Nagwek"/>
              <w:spacing w:before="0" w:after="0" w:line="240" w:lineRule="auto"/>
              <w:contextualSpacing/>
              <w:jc w:val="both"/>
              <w:rPr>
                <w:rFonts w:cstheme="minorHAnsi"/>
                <w:sz w:val="22"/>
                <w:szCs w:val="22"/>
              </w:rPr>
            </w:pPr>
            <w:r w:rsidRPr="00CF7AAE">
              <w:rPr>
                <w:rFonts w:cstheme="minorHAnsi"/>
                <w:sz w:val="22"/>
                <w:szCs w:val="22"/>
              </w:rPr>
              <w:t>Nie jest planowane zastosowanie wyłączenia grupowego – każdy przypadek będzie musiał być analizowany indywidualnie przez przedsiębiorcę w zależności od posiadanej infrastruktury, zasięgu działania, rodzaju świadczonych usług i sytuacji na rynku.</w:t>
            </w:r>
          </w:p>
          <w:p w:rsidR="00242B00" w:rsidRPr="00CF7AAE" w:rsidRDefault="00242B00" w:rsidP="00E5064D">
            <w:pPr>
              <w:pStyle w:val="Nagwek"/>
              <w:spacing w:before="0" w:after="0" w:line="240" w:lineRule="auto"/>
              <w:contextualSpacing/>
              <w:jc w:val="both"/>
              <w:rPr>
                <w:rFonts w:cstheme="minorHAnsi"/>
                <w:sz w:val="22"/>
                <w:szCs w:val="22"/>
              </w:rPr>
            </w:pPr>
          </w:p>
          <w:p w:rsidR="00720FE3" w:rsidRPr="00CF7AAE" w:rsidRDefault="00720FE3" w:rsidP="00E5064D">
            <w:pPr>
              <w:pStyle w:val="Nagwek"/>
              <w:spacing w:before="0" w:after="0" w:line="240" w:lineRule="auto"/>
              <w:contextualSpacing/>
              <w:jc w:val="both"/>
              <w:rPr>
                <w:rFonts w:cstheme="minorHAnsi"/>
                <w:sz w:val="22"/>
                <w:szCs w:val="22"/>
              </w:rPr>
            </w:pPr>
          </w:p>
          <w:p w:rsidR="00720FE3" w:rsidRPr="00CF7AAE" w:rsidRDefault="00720FE3" w:rsidP="00E5064D">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242B00" w:rsidRPr="00CF7AAE" w:rsidRDefault="00F45164" w:rsidP="00F45164">
            <w:pPr>
              <w:pStyle w:val="Nagwek"/>
              <w:spacing w:before="0" w:after="0" w:line="240" w:lineRule="auto"/>
              <w:contextualSpacing/>
              <w:jc w:val="both"/>
              <w:rPr>
                <w:rFonts w:cstheme="minorHAnsi"/>
                <w:sz w:val="22"/>
                <w:szCs w:val="22"/>
              </w:rPr>
            </w:pPr>
            <w:r w:rsidRPr="00CF7AAE">
              <w:rPr>
                <w:rFonts w:cstheme="minorHAnsi"/>
                <w:sz w:val="22"/>
                <w:szCs w:val="22"/>
              </w:rPr>
              <w:t>Uzgodniono, że u</w:t>
            </w:r>
            <w:r w:rsidR="001F3696" w:rsidRPr="00CF7AAE">
              <w:rPr>
                <w:rFonts w:cstheme="minorHAnsi"/>
                <w:sz w:val="22"/>
                <w:szCs w:val="22"/>
              </w:rPr>
              <w:t xml:space="preserve">zasadnienie w tym zakresie zostanie uzupełnione. </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2</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2 pkt 2 – pojęcie „wykaz infrastruktury” wymaga doprecyzowania. Proponuję ograniczyć ten wykaz do urządzeń mających istotny wpływ na funkcjonowanie sieci i usług telekomunikacyjnych. Ponadto nie wiadomo, czego dotyczy określenie „rodzaj i konfigurację”</w:t>
            </w:r>
          </w:p>
        </w:tc>
        <w:tc>
          <w:tcPr>
            <w:tcW w:w="4391" w:type="dxa"/>
            <w:tcBorders>
              <w:top w:val="single" w:sz="4" w:space="0" w:color="auto"/>
              <w:left w:val="single" w:sz="4" w:space="0" w:color="auto"/>
              <w:bottom w:val="single" w:sz="4" w:space="0" w:color="auto"/>
              <w:right w:val="single" w:sz="4" w:space="0" w:color="auto"/>
            </w:tcBorders>
          </w:tcPr>
          <w:p w:rsidR="00BE6004" w:rsidRPr="00CF7AAE" w:rsidRDefault="00BE6004" w:rsidP="00E5064D">
            <w:pPr>
              <w:pStyle w:val="Nagwek"/>
              <w:spacing w:before="0" w:after="0" w:line="240" w:lineRule="auto"/>
              <w:contextualSpacing/>
              <w:jc w:val="both"/>
              <w:rPr>
                <w:rFonts w:cstheme="minorHAnsi"/>
                <w:sz w:val="22"/>
                <w:szCs w:val="22"/>
              </w:rPr>
            </w:pPr>
            <w:r w:rsidRPr="00CF7AAE">
              <w:rPr>
                <w:rFonts w:cstheme="minorHAnsi"/>
                <w:sz w:val="22"/>
                <w:szCs w:val="22"/>
              </w:rPr>
              <w:t>Uwaga nieuwzględniona.</w:t>
            </w:r>
          </w:p>
          <w:p w:rsidR="00BE6004" w:rsidRPr="00CF7AAE" w:rsidRDefault="0038474B"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Nie istnieje definicja urządzeń mających istotny wpływ na funkcjonowanie sieci i usług telekomunikacyjnych. Wykazy mogą wtedy w istotny sposób się między sobą różnić. </w:t>
            </w:r>
          </w:p>
          <w:p w:rsidR="00366426" w:rsidRPr="00CF7AAE" w:rsidRDefault="00366426" w:rsidP="001F3696">
            <w:pPr>
              <w:pStyle w:val="Nagwek"/>
              <w:spacing w:before="0" w:after="0" w:line="240" w:lineRule="auto"/>
              <w:contextualSpacing/>
              <w:jc w:val="both"/>
              <w:rPr>
                <w:rFonts w:cstheme="minorHAnsi"/>
                <w:sz w:val="22"/>
                <w:szCs w:val="22"/>
              </w:rPr>
            </w:pPr>
          </w:p>
          <w:p w:rsidR="00366426" w:rsidRPr="00CF7AAE" w:rsidRDefault="00366426" w:rsidP="001F3696">
            <w:pPr>
              <w:pStyle w:val="Nagwek"/>
              <w:spacing w:before="0" w:after="0" w:line="240" w:lineRule="auto"/>
              <w:contextualSpacing/>
              <w:jc w:val="both"/>
              <w:rPr>
                <w:rFonts w:cstheme="minorHAnsi"/>
                <w:sz w:val="22"/>
                <w:szCs w:val="22"/>
              </w:rPr>
            </w:pPr>
            <w:r w:rsidRPr="00CF7AAE">
              <w:rPr>
                <w:rFonts w:cstheme="minorHAnsi"/>
                <w:sz w:val="22"/>
                <w:szCs w:val="22"/>
              </w:rPr>
              <w:t>Po konferencji:</w:t>
            </w:r>
          </w:p>
          <w:p w:rsidR="00366426" w:rsidRPr="00CF7AAE" w:rsidRDefault="00366426" w:rsidP="00530EA3">
            <w:pPr>
              <w:pStyle w:val="Nagwek"/>
              <w:spacing w:before="0" w:after="0" w:line="240" w:lineRule="auto"/>
              <w:contextualSpacing/>
              <w:jc w:val="both"/>
              <w:rPr>
                <w:rFonts w:cstheme="minorHAnsi"/>
                <w:sz w:val="22"/>
                <w:szCs w:val="22"/>
              </w:rPr>
            </w:pPr>
            <w:r w:rsidRPr="00CF7AAE">
              <w:rPr>
                <w:rFonts w:cstheme="minorHAnsi"/>
                <w:sz w:val="22"/>
                <w:szCs w:val="22"/>
              </w:rPr>
              <w:lastRenderedPageBreak/>
              <w:t>Przygotowano nowe brzmienie przepisu</w:t>
            </w:r>
            <w:r w:rsidR="009876DD" w:rsidRPr="00CF7AAE">
              <w:rPr>
                <w:rFonts w:cstheme="minorHAnsi"/>
                <w:sz w:val="22"/>
                <w:szCs w:val="22"/>
              </w:rPr>
              <w:t>, odnoszące się do wykazu, który będzie zawierał kluczową infrastrukturę.</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3</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2 pkt 3 – w przepisie odwołano się wyłącznie do dokumentu na poziomie europejskim publikowanego przez ENISA, z pominięciem publikacji i raportów przygotowywanych przez podmioty spełniające kluczowe role w krajowym systemie cyberbezpieczeństwa. Ponadto należy doprecyzować, o jakie „zagrożenia” chodzi w  przepisie</w:t>
            </w:r>
            <w:r w:rsidR="00BC6DE9" w:rsidRPr="00CF7AAE">
              <w:rPr>
                <w:sz w:val="22"/>
              </w:rPr>
              <w:t>.</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D01380" w:rsidP="00E5064D">
            <w:pPr>
              <w:pStyle w:val="Nagwek"/>
              <w:spacing w:before="0" w:after="0" w:line="240" w:lineRule="auto"/>
              <w:contextualSpacing/>
              <w:jc w:val="both"/>
              <w:rPr>
                <w:rFonts w:cstheme="minorHAnsi"/>
                <w:sz w:val="22"/>
                <w:szCs w:val="22"/>
              </w:rPr>
            </w:pPr>
            <w:r w:rsidRPr="00CF7AAE">
              <w:rPr>
                <w:rFonts w:cstheme="minorHAnsi"/>
                <w:sz w:val="22"/>
                <w:szCs w:val="22"/>
              </w:rPr>
              <w:t>Wyjaśnienie.</w:t>
            </w:r>
          </w:p>
          <w:p w:rsidR="00B721FE" w:rsidRPr="00CF7AAE" w:rsidRDefault="00D01380" w:rsidP="00E5064D">
            <w:pPr>
              <w:pStyle w:val="Nagwek"/>
              <w:spacing w:before="0" w:after="0" w:line="240" w:lineRule="auto"/>
              <w:contextualSpacing/>
              <w:jc w:val="both"/>
              <w:rPr>
                <w:rFonts w:cstheme="minorHAnsi"/>
                <w:sz w:val="22"/>
                <w:szCs w:val="22"/>
              </w:rPr>
            </w:pPr>
            <w:r w:rsidRPr="00CF7AAE">
              <w:rPr>
                <w:rFonts w:cstheme="minorHAnsi"/>
                <w:sz w:val="22"/>
                <w:szCs w:val="22"/>
              </w:rPr>
              <w:t>W ocenie MC dokument jest wyczerpujący i nie ma potrzeby powoływać się na inne publikacje</w:t>
            </w:r>
            <w:r w:rsidR="0038474B" w:rsidRPr="00CF7AAE">
              <w:rPr>
                <w:rFonts w:cstheme="minorHAnsi"/>
                <w:sz w:val="22"/>
                <w:szCs w:val="22"/>
              </w:rPr>
              <w:t>.</w:t>
            </w:r>
            <w:r w:rsidR="002745AA" w:rsidRPr="00CF7AAE">
              <w:rPr>
                <w:rFonts w:cstheme="minorHAnsi"/>
                <w:sz w:val="22"/>
                <w:szCs w:val="22"/>
              </w:rPr>
              <w:t xml:space="preserve"> </w:t>
            </w:r>
            <w:r w:rsidR="00F577E4" w:rsidRPr="00CF7AAE">
              <w:rPr>
                <w:rFonts w:cstheme="minorHAnsi"/>
                <w:sz w:val="22"/>
                <w:szCs w:val="22"/>
              </w:rPr>
              <w:t>Należy dodatkowo</w:t>
            </w:r>
            <w:r w:rsidR="002745AA" w:rsidRPr="00CF7AAE">
              <w:rPr>
                <w:rFonts w:cstheme="minorHAnsi"/>
                <w:sz w:val="22"/>
                <w:szCs w:val="22"/>
              </w:rPr>
              <w:t xml:space="preserve"> wskazać, że zgodnie z</w:t>
            </w:r>
            <w:r w:rsidR="00BC6DE9" w:rsidRPr="00CF7AAE">
              <w:rPr>
                <w:rFonts w:cstheme="minorHAnsi"/>
                <w:sz w:val="22"/>
                <w:szCs w:val="22"/>
              </w:rPr>
              <w:t xml:space="preserve"> wytyczą, zawartą w</w:t>
            </w:r>
            <w:r w:rsidR="002745AA" w:rsidRPr="00CF7AAE">
              <w:rPr>
                <w:rFonts w:cstheme="minorHAnsi"/>
                <w:sz w:val="22"/>
                <w:szCs w:val="22"/>
              </w:rPr>
              <w:t xml:space="preserve"> </w:t>
            </w:r>
            <w:r w:rsidR="00BC6DE9" w:rsidRPr="00CF7AAE">
              <w:rPr>
                <w:rFonts w:cstheme="minorHAnsi"/>
                <w:sz w:val="22"/>
                <w:szCs w:val="22"/>
              </w:rPr>
              <w:t>upoważnieniu</w:t>
            </w:r>
            <w:r w:rsidR="00F577E4" w:rsidRPr="00CF7AAE">
              <w:rPr>
                <w:rFonts w:cstheme="minorHAnsi"/>
                <w:sz w:val="22"/>
                <w:szCs w:val="22"/>
              </w:rPr>
              <w:t xml:space="preserve"> </w:t>
            </w:r>
            <w:r w:rsidR="002745AA" w:rsidRPr="00CF7AAE">
              <w:rPr>
                <w:rFonts w:cstheme="minorHAnsi"/>
                <w:sz w:val="22"/>
                <w:szCs w:val="22"/>
              </w:rPr>
              <w:t xml:space="preserve"> </w:t>
            </w:r>
            <w:r w:rsidR="00896AD1" w:rsidRPr="00CF7AAE">
              <w:rPr>
                <w:rFonts w:cstheme="minorHAnsi"/>
                <w:sz w:val="22"/>
                <w:szCs w:val="22"/>
              </w:rPr>
              <w:t>ustawowym należy</w:t>
            </w:r>
            <w:r w:rsidR="002745AA" w:rsidRPr="00CF7AAE">
              <w:rPr>
                <w:rFonts w:cstheme="minorHAnsi"/>
                <w:sz w:val="22"/>
                <w:szCs w:val="22"/>
              </w:rPr>
              <w:t xml:space="preserve"> opierać</w:t>
            </w:r>
            <w:r w:rsidR="00896AD1" w:rsidRPr="00CF7AAE">
              <w:rPr>
                <w:rFonts w:cstheme="minorHAnsi"/>
                <w:sz w:val="22"/>
                <w:szCs w:val="22"/>
              </w:rPr>
              <w:t xml:space="preserve"> się</w:t>
            </w:r>
            <w:r w:rsidR="002745AA" w:rsidRPr="00CF7AAE">
              <w:rPr>
                <w:rFonts w:cstheme="minorHAnsi"/>
                <w:sz w:val="22"/>
                <w:szCs w:val="22"/>
              </w:rPr>
              <w:t xml:space="preserve"> przede wszystkim na publikacjach ENISA.</w:t>
            </w:r>
          </w:p>
          <w:p w:rsidR="00016771" w:rsidRPr="00CF7AAE" w:rsidRDefault="00016771" w:rsidP="00E5064D">
            <w:pPr>
              <w:pStyle w:val="Nagwek"/>
              <w:spacing w:before="0" w:after="0" w:line="240" w:lineRule="auto"/>
              <w:contextualSpacing/>
              <w:jc w:val="both"/>
              <w:rPr>
                <w:rFonts w:cstheme="minorHAnsi"/>
                <w:sz w:val="22"/>
                <w:szCs w:val="22"/>
              </w:rPr>
            </w:pPr>
          </w:p>
          <w:p w:rsidR="00CC145B" w:rsidRPr="00CF7AAE" w:rsidRDefault="00CC145B" w:rsidP="00E5064D">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016771" w:rsidRPr="00CF7AAE" w:rsidRDefault="00016771"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Na wniosek </w:t>
            </w:r>
            <w:r w:rsidR="00D8547B" w:rsidRPr="00CF7AAE">
              <w:rPr>
                <w:rFonts w:cstheme="minorHAnsi"/>
                <w:sz w:val="22"/>
                <w:szCs w:val="22"/>
              </w:rPr>
              <w:t>Lewiatana i PIIT usunięto odniesienie do dokumentów ENISA.</w:t>
            </w:r>
            <w:r w:rsidR="009876DD" w:rsidRPr="00CF7AAE">
              <w:rPr>
                <w:rFonts w:cstheme="minorHAnsi"/>
                <w:sz w:val="22"/>
                <w:szCs w:val="22"/>
              </w:rPr>
              <w:t xml:space="preserve"> Zostanie rozszerzone uzasadnienie w tym zakresie.</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5</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2 pkt 5 – redakcja tego punktu sprowadzająca się do określenia, że „minimalnym środkiem technicznym lub organizacyjnym” (o którym mowa w §1) stosowanym przez przedsiębiorcę jest „zapewnienie środków minimalizujących” jest nielogiczna i nie  zawiera żadnej treści normatywnej</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38474B" w:rsidP="00E5064D">
            <w:pPr>
              <w:pStyle w:val="Nagwek"/>
              <w:spacing w:before="0" w:after="0" w:line="240" w:lineRule="auto"/>
              <w:contextualSpacing/>
              <w:jc w:val="both"/>
              <w:rPr>
                <w:rFonts w:cstheme="minorHAnsi"/>
                <w:sz w:val="22"/>
                <w:szCs w:val="22"/>
              </w:rPr>
            </w:pPr>
            <w:r w:rsidRPr="00CF7AAE">
              <w:rPr>
                <w:rFonts w:cstheme="minorHAnsi"/>
                <w:sz w:val="22"/>
                <w:szCs w:val="22"/>
              </w:rPr>
              <w:t>Uwaga uwzględniona.</w:t>
            </w:r>
          </w:p>
          <w:p w:rsidR="0038474B" w:rsidRPr="00CF7AAE" w:rsidRDefault="0038474B" w:rsidP="00E5064D">
            <w:pPr>
              <w:pStyle w:val="Nagwek"/>
              <w:spacing w:before="0" w:after="0" w:line="240" w:lineRule="auto"/>
              <w:contextualSpacing/>
              <w:jc w:val="both"/>
              <w:rPr>
                <w:rFonts w:cstheme="minorHAnsi"/>
                <w:sz w:val="22"/>
                <w:szCs w:val="22"/>
              </w:rPr>
            </w:pPr>
            <w:r w:rsidRPr="00CF7AAE">
              <w:rPr>
                <w:rFonts w:cstheme="minorHAnsi"/>
                <w:sz w:val="22"/>
                <w:szCs w:val="22"/>
              </w:rPr>
              <w:t>Propozycja nowego zapisu: „minimalizuje skutki wystąpienia oddziaływań zagrożeń, o których mowa w pkt 3”</w:t>
            </w:r>
            <w:r w:rsidR="00A079DC" w:rsidRPr="00CF7AAE">
              <w:rPr>
                <w:rFonts w:cstheme="minorHAnsi"/>
                <w:sz w:val="22"/>
                <w:szCs w:val="22"/>
              </w:rPr>
              <w:t>.</w:t>
            </w:r>
          </w:p>
          <w:p w:rsidR="00B721FE" w:rsidRPr="00CF7AAE" w:rsidRDefault="00B721FE" w:rsidP="00E5064D">
            <w:pPr>
              <w:pStyle w:val="Nagwek"/>
              <w:spacing w:before="0" w:after="0" w:line="240" w:lineRule="auto"/>
              <w:contextualSpacing/>
              <w:jc w:val="both"/>
              <w:rPr>
                <w:rFonts w:cstheme="minorHAnsi"/>
                <w:sz w:val="22"/>
                <w:szCs w:val="22"/>
              </w:rPr>
            </w:pPr>
          </w:p>
          <w:p w:rsidR="00060DB2" w:rsidRPr="00CF7AAE" w:rsidRDefault="00016771" w:rsidP="00E5064D">
            <w:pPr>
              <w:pStyle w:val="Nagwek"/>
              <w:spacing w:before="0" w:after="0" w:line="240" w:lineRule="auto"/>
              <w:contextualSpacing/>
              <w:jc w:val="both"/>
              <w:rPr>
                <w:rFonts w:cstheme="minorHAnsi"/>
                <w:sz w:val="22"/>
                <w:szCs w:val="22"/>
              </w:rPr>
            </w:pPr>
            <w:r w:rsidRPr="00CF7AAE">
              <w:rPr>
                <w:rFonts w:cstheme="minorHAnsi"/>
                <w:sz w:val="22"/>
                <w:szCs w:val="22"/>
              </w:rPr>
              <w:t>Na konferencji</w:t>
            </w:r>
            <w:r w:rsidR="00060DB2" w:rsidRPr="00CF7AAE">
              <w:rPr>
                <w:rFonts w:cstheme="minorHAnsi"/>
                <w:sz w:val="22"/>
                <w:szCs w:val="22"/>
              </w:rPr>
              <w:t>:</w:t>
            </w:r>
          </w:p>
          <w:p w:rsidR="00B721FE" w:rsidRPr="00CF7AAE" w:rsidRDefault="009876DD" w:rsidP="009A3D41">
            <w:pPr>
              <w:pStyle w:val="Nagwek"/>
              <w:spacing w:before="0" w:after="0" w:line="240" w:lineRule="auto"/>
              <w:contextualSpacing/>
              <w:jc w:val="both"/>
              <w:rPr>
                <w:rFonts w:cstheme="minorHAnsi"/>
                <w:sz w:val="22"/>
                <w:szCs w:val="22"/>
              </w:rPr>
            </w:pPr>
            <w:r w:rsidRPr="00CF7AAE">
              <w:rPr>
                <w:rFonts w:cstheme="minorHAnsi"/>
                <w:sz w:val="22"/>
                <w:szCs w:val="22"/>
              </w:rPr>
              <w:t>P</w:t>
            </w:r>
            <w:r w:rsidR="00D8547B" w:rsidRPr="00CF7AAE">
              <w:rPr>
                <w:rFonts w:cstheme="minorHAnsi"/>
                <w:sz w:val="22"/>
                <w:szCs w:val="22"/>
              </w:rPr>
              <w:t>ostanowiono o połączeniu pkt 5 i 6 (</w:t>
            </w:r>
            <w:r w:rsidR="00EF67D6" w:rsidRPr="00CF7AAE">
              <w:rPr>
                <w:rFonts w:cstheme="minorHAnsi"/>
                <w:sz w:val="22"/>
                <w:szCs w:val="22"/>
              </w:rPr>
              <w:t>„</w:t>
            </w:r>
            <w:r w:rsidR="00D8547B" w:rsidRPr="00CF7AAE">
              <w:rPr>
                <w:rFonts w:cstheme="minorHAnsi"/>
                <w:sz w:val="22"/>
                <w:szCs w:val="22"/>
              </w:rPr>
              <w:t>przygotowuje i stosuje</w:t>
            </w:r>
            <w:r w:rsidR="00EF67D6" w:rsidRPr="00CF7AAE">
              <w:rPr>
                <w:rFonts w:cstheme="minorHAnsi"/>
                <w:sz w:val="22"/>
                <w:szCs w:val="22"/>
              </w:rPr>
              <w:t>”</w:t>
            </w:r>
            <w:r w:rsidR="00D8547B" w:rsidRPr="00CF7AAE">
              <w:rPr>
                <w:rFonts w:cstheme="minorHAnsi"/>
                <w:sz w:val="22"/>
                <w:szCs w:val="22"/>
              </w:rPr>
              <w:t>)</w:t>
            </w:r>
            <w:r w:rsidR="00EF67D6" w:rsidRPr="00CF7AAE">
              <w:rPr>
                <w:rFonts w:cstheme="minorHAnsi"/>
                <w:sz w:val="22"/>
                <w:szCs w:val="22"/>
              </w:rPr>
              <w:t>.</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6</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2 pkt 6 – przepis zawiera wymóg stosowania środków minimalizujących skutki zagrożeń, co jest już przedmiotem regulacji przepisu ustawowego (art. 175c ust. 1 Pt)</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896AD1" w:rsidP="00E5064D">
            <w:pPr>
              <w:pStyle w:val="Nagwek"/>
              <w:spacing w:before="0" w:after="0" w:line="240" w:lineRule="auto"/>
              <w:contextualSpacing/>
              <w:jc w:val="both"/>
              <w:rPr>
                <w:rFonts w:cstheme="minorHAnsi"/>
                <w:sz w:val="22"/>
                <w:szCs w:val="22"/>
              </w:rPr>
            </w:pPr>
            <w:r w:rsidRPr="00CF7AAE">
              <w:rPr>
                <w:rFonts w:cstheme="minorHAnsi"/>
                <w:sz w:val="22"/>
                <w:szCs w:val="22"/>
              </w:rPr>
              <w:t>Wyjaśnienie</w:t>
            </w:r>
            <w:r w:rsidR="0038474B" w:rsidRPr="00CF7AAE">
              <w:rPr>
                <w:rFonts w:cstheme="minorHAnsi"/>
                <w:sz w:val="22"/>
                <w:szCs w:val="22"/>
              </w:rPr>
              <w:t xml:space="preserve">. </w:t>
            </w:r>
          </w:p>
          <w:p w:rsidR="00172C81" w:rsidRPr="00CF7AAE" w:rsidRDefault="00172C81" w:rsidP="00E5064D">
            <w:pPr>
              <w:pStyle w:val="Nagwek"/>
              <w:spacing w:before="0" w:after="0" w:line="240" w:lineRule="auto"/>
              <w:contextualSpacing/>
              <w:jc w:val="both"/>
              <w:rPr>
                <w:rFonts w:cstheme="minorHAnsi"/>
                <w:sz w:val="22"/>
                <w:szCs w:val="22"/>
              </w:rPr>
            </w:pPr>
            <w:r w:rsidRPr="00CF7AAE">
              <w:rPr>
                <w:rFonts w:cstheme="minorHAnsi"/>
                <w:sz w:val="22"/>
                <w:szCs w:val="22"/>
              </w:rPr>
              <w:t>Zagroże</w:t>
            </w:r>
            <w:r w:rsidR="00896AD1" w:rsidRPr="00CF7AAE">
              <w:rPr>
                <w:rFonts w:cstheme="minorHAnsi"/>
                <w:sz w:val="22"/>
                <w:szCs w:val="22"/>
              </w:rPr>
              <w:t>ń</w:t>
            </w:r>
            <w:r w:rsidRPr="00CF7AAE">
              <w:rPr>
                <w:rFonts w:cstheme="minorHAnsi"/>
                <w:sz w:val="22"/>
                <w:szCs w:val="22"/>
              </w:rPr>
              <w:t xml:space="preserve"> </w:t>
            </w:r>
            <w:r w:rsidR="00896AD1" w:rsidRPr="00CF7AAE">
              <w:rPr>
                <w:rFonts w:cstheme="minorHAnsi"/>
                <w:sz w:val="22"/>
                <w:szCs w:val="22"/>
              </w:rPr>
              <w:t>określonych</w:t>
            </w:r>
            <w:r w:rsidRPr="00CF7AAE">
              <w:rPr>
                <w:rFonts w:cstheme="minorHAnsi"/>
                <w:sz w:val="22"/>
                <w:szCs w:val="22"/>
              </w:rPr>
              <w:t xml:space="preserve"> w art. 175c PT nie</w:t>
            </w:r>
            <w:r w:rsidR="00896AD1" w:rsidRPr="00CF7AAE">
              <w:rPr>
                <w:rFonts w:cstheme="minorHAnsi"/>
                <w:sz w:val="22"/>
                <w:szCs w:val="22"/>
              </w:rPr>
              <w:t xml:space="preserve"> należy utożsamiać</w:t>
            </w:r>
            <w:r w:rsidRPr="00CF7AAE">
              <w:rPr>
                <w:rFonts w:cstheme="minorHAnsi"/>
                <w:sz w:val="22"/>
                <w:szCs w:val="22"/>
              </w:rPr>
              <w:t xml:space="preserve"> </w:t>
            </w:r>
            <w:r w:rsidR="00896AD1" w:rsidRPr="00CF7AAE">
              <w:rPr>
                <w:rFonts w:cstheme="minorHAnsi"/>
                <w:sz w:val="22"/>
                <w:szCs w:val="22"/>
              </w:rPr>
              <w:t xml:space="preserve">z </w:t>
            </w:r>
            <w:r w:rsidRPr="00CF7AAE">
              <w:rPr>
                <w:rFonts w:cstheme="minorHAnsi"/>
                <w:sz w:val="22"/>
                <w:szCs w:val="22"/>
              </w:rPr>
              <w:t>zagrożenia</w:t>
            </w:r>
            <w:r w:rsidR="00896AD1" w:rsidRPr="00CF7AAE">
              <w:rPr>
                <w:rFonts w:cstheme="minorHAnsi"/>
                <w:sz w:val="22"/>
                <w:szCs w:val="22"/>
              </w:rPr>
              <w:t>mi</w:t>
            </w:r>
            <w:r w:rsidRPr="00CF7AAE">
              <w:rPr>
                <w:rFonts w:cstheme="minorHAnsi"/>
                <w:sz w:val="22"/>
                <w:szCs w:val="22"/>
              </w:rPr>
              <w:t xml:space="preserve">, które zostały zidentyfikowane przez przedsiębiorcę zgodnie z § 2 pkt 3. </w:t>
            </w:r>
          </w:p>
          <w:p w:rsidR="0038474B" w:rsidRPr="00CF7AAE" w:rsidRDefault="00896AD1"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Przepis </w:t>
            </w:r>
            <w:r w:rsidR="00172C81" w:rsidRPr="00CF7AAE">
              <w:rPr>
                <w:rFonts w:cstheme="minorHAnsi"/>
                <w:sz w:val="22"/>
                <w:szCs w:val="22"/>
              </w:rPr>
              <w:t xml:space="preserve">§ 2 pkt 3 odnosi się do typowych zagrożeń dla działalności telekomunikacyjnej, podczas gdy </w:t>
            </w:r>
            <w:r w:rsidRPr="00CF7AAE">
              <w:rPr>
                <w:rFonts w:cstheme="minorHAnsi"/>
                <w:sz w:val="22"/>
                <w:szCs w:val="22"/>
              </w:rPr>
              <w:t xml:space="preserve">w </w:t>
            </w:r>
            <w:r w:rsidR="00172C81" w:rsidRPr="00CF7AAE">
              <w:rPr>
                <w:rFonts w:cstheme="minorHAnsi"/>
                <w:sz w:val="22"/>
                <w:szCs w:val="22"/>
              </w:rPr>
              <w:t>art. 175c PT bardzo konkretnie chodzi o przekazy komunikatów oraz świadczenia usługi telekomunikacyjnej na zakończeniu sieci, z którego następuje wysyłanie komunikatów zagrażających bezpieczeństwu sieci lub usług.</w:t>
            </w:r>
          </w:p>
          <w:p w:rsidR="00D8547B" w:rsidRPr="00CF7AAE" w:rsidRDefault="00D8547B" w:rsidP="00E5064D">
            <w:pPr>
              <w:pStyle w:val="Nagwek"/>
              <w:spacing w:before="0" w:after="0" w:line="240" w:lineRule="auto"/>
              <w:contextualSpacing/>
              <w:jc w:val="both"/>
              <w:rPr>
                <w:rFonts w:cstheme="minorHAnsi"/>
                <w:sz w:val="22"/>
                <w:szCs w:val="22"/>
              </w:rPr>
            </w:pPr>
          </w:p>
          <w:p w:rsidR="002234E7" w:rsidRPr="00CF7AAE" w:rsidRDefault="00EF67D6" w:rsidP="00E5064D">
            <w:pPr>
              <w:pStyle w:val="Nagwek"/>
              <w:spacing w:before="0" w:after="0" w:line="240" w:lineRule="auto"/>
              <w:contextualSpacing/>
              <w:jc w:val="both"/>
              <w:rPr>
                <w:rFonts w:cstheme="minorHAnsi"/>
                <w:sz w:val="22"/>
                <w:szCs w:val="22"/>
              </w:rPr>
            </w:pPr>
            <w:r w:rsidRPr="00CF7AAE">
              <w:rPr>
                <w:rFonts w:cstheme="minorHAnsi"/>
                <w:sz w:val="22"/>
                <w:szCs w:val="22"/>
              </w:rPr>
              <w:lastRenderedPageBreak/>
              <w:t>Na konferencji</w:t>
            </w:r>
            <w:r w:rsidR="002234E7" w:rsidRPr="00CF7AAE">
              <w:rPr>
                <w:rFonts w:cstheme="minorHAnsi"/>
                <w:sz w:val="22"/>
                <w:szCs w:val="22"/>
              </w:rPr>
              <w:t>:</w:t>
            </w:r>
          </w:p>
          <w:p w:rsidR="00D8547B" w:rsidRPr="00CF7AAE" w:rsidRDefault="009876DD" w:rsidP="009A3D41">
            <w:pPr>
              <w:pStyle w:val="Nagwek"/>
              <w:spacing w:before="0" w:after="0" w:line="240" w:lineRule="auto"/>
              <w:contextualSpacing/>
              <w:jc w:val="both"/>
              <w:rPr>
                <w:rFonts w:cstheme="minorHAnsi"/>
                <w:sz w:val="22"/>
                <w:szCs w:val="22"/>
              </w:rPr>
            </w:pPr>
            <w:r w:rsidRPr="00CF7AAE">
              <w:rPr>
                <w:rFonts w:cstheme="minorHAnsi"/>
                <w:sz w:val="22"/>
                <w:szCs w:val="22"/>
              </w:rPr>
              <w:t>P</w:t>
            </w:r>
            <w:r w:rsidR="00EF67D6" w:rsidRPr="00CF7AAE">
              <w:rPr>
                <w:rFonts w:cstheme="minorHAnsi"/>
                <w:sz w:val="22"/>
                <w:szCs w:val="22"/>
              </w:rPr>
              <w:t>ostanowiono o połą</w:t>
            </w:r>
            <w:r w:rsidR="009A3D41" w:rsidRPr="00CF7AAE">
              <w:rPr>
                <w:rFonts w:cstheme="minorHAnsi"/>
                <w:sz w:val="22"/>
                <w:szCs w:val="22"/>
              </w:rPr>
              <w:t>czeniu pkt 5 i 6 („przygotowuje</w:t>
            </w:r>
            <w:r w:rsidR="00EF67D6" w:rsidRPr="00CF7AAE">
              <w:rPr>
                <w:rFonts w:cstheme="minorHAnsi"/>
                <w:sz w:val="22"/>
                <w:szCs w:val="22"/>
              </w:rPr>
              <w:t xml:space="preserve"> i stosuje”).</w:t>
            </w:r>
          </w:p>
        </w:tc>
      </w:tr>
      <w:tr w:rsidR="00CF7AAE" w:rsidRPr="00CF7AAE" w:rsidTr="00E5064D">
        <w:trPr>
          <w:trHeight w:val="856"/>
        </w:trPr>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7</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2 pkt 7 – należy doprecyzować, kogo mają dotyczyć zasady i procedury dostępu, o których mowa w przepisie. Niejasne jest pojęcie „kluczowe zasoby systemowe”. Nie wiadomo również, do czego odnoszą się użyte w przepisie wyrazy „obejmujących” oraz „mających”</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303D5E" w:rsidP="00E5064D">
            <w:pPr>
              <w:pStyle w:val="Nagwek"/>
              <w:spacing w:before="0" w:after="0" w:line="240" w:lineRule="auto"/>
              <w:contextualSpacing/>
              <w:jc w:val="both"/>
              <w:rPr>
                <w:rFonts w:cstheme="minorHAnsi"/>
                <w:sz w:val="22"/>
                <w:szCs w:val="22"/>
              </w:rPr>
            </w:pPr>
            <w:r w:rsidRPr="00CF7AAE">
              <w:rPr>
                <w:rFonts w:cstheme="minorHAnsi"/>
                <w:sz w:val="22"/>
                <w:szCs w:val="22"/>
              </w:rPr>
              <w:t>Uwaga częściowo uwzględniona</w:t>
            </w:r>
            <w:r w:rsidR="003D21B3" w:rsidRPr="00CF7AAE">
              <w:rPr>
                <w:rFonts w:cstheme="minorHAnsi"/>
                <w:sz w:val="22"/>
                <w:szCs w:val="22"/>
              </w:rPr>
              <w:t>.</w:t>
            </w:r>
          </w:p>
          <w:p w:rsidR="00303D5E" w:rsidRPr="00CF7AAE" w:rsidRDefault="003D21B3" w:rsidP="00BC6DE9">
            <w:pPr>
              <w:pStyle w:val="Nagwek"/>
              <w:spacing w:before="0" w:after="0" w:line="240" w:lineRule="auto"/>
              <w:contextualSpacing/>
              <w:rPr>
                <w:rFonts w:cstheme="minorHAnsi"/>
                <w:sz w:val="22"/>
                <w:szCs w:val="22"/>
              </w:rPr>
            </w:pPr>
            <w:r w:rsidRPr="00CF7AAE">
              <w:rPr>
                <w:rFonts w:cstheme="minorHAnsi"/>
                <w:sz w:val="22"/>
                <w:szCs w:val="22"/>
              </w:rPr>
              <w:t>Wskazanie kluczowych zasobów systemowych należy do decyzji przedsiębiorcy</w:t>
            </w:r>
            <w:r w:rsidR="00A079DC" w:rsidRPr="00CF7AAE">
              <w:rPr>
                <w:rFonts w:cstheme="minorHAnsi"/>
                <w:sz w:val="22"/>
                <w:szCs w:val="22"/>
              </w:rPr>
              <w:t xml:space="preserve">. </w:t>
            </w:r>
          </w:p>
          <w:p w:rsidR="003D21B3" w:rsidRPr="00CF7AAE" w:rsidRDefault="00A079DC" w:rsidP="00BC6DE9">
            <w:pPr>
              <w:pStyle w:val="Nagwek"/>
              <w:spacing w:before="0" w:after="0" w:line="240" w:lineRule="auto"/>
              <w:contextualSpacing/>
              <w:rPr>
                <w:rFonts w:cstheme="minorHAnsi"/>
                <w:sz w:val="22"/>
                <w:szCs w:val="22"/>
              </w:rPr>
            </w:pPr>
            <w:r w:rsidRPr="00CF7AAE">
              <w:rPr>
                <w:rFonts w:cstheme="minorHAnsi"/>
                <w:sz w:val="22"/>
                <w:szCs w:val="22"/>
              </w:rPr>
              <w:t>Zgodnie z wyjaśnieniami przedsiębiorców przekazywanymi podczas warsztatów</w:t>
            </w:r>
            <w:r w:rsidR="00303D5E" w:rsidRPr="00CF7AAE">
              <w:rPr>
                <w:rFonts w:cstheme="minorHAnsi"/>
                <w:sz w:val="22"/>
                <w:szCs w:val="22"/>
              </w:rPr>
              <w:t xml:space="preserve"> w ramach prekonsultacji</w:t>
            </w:r>
            <w:r w:rsidRPr="00CF7AAE">
              <w:rPr>
                <w:rFonts w:cstheme="minorHAnsi"/>
                <w:sz w:val="22"/>
                <w:szCs w:val="22"/>
              </w:rPr>
              <w:t xml:space="preserve">, kluczowe zasoby systemowe mogą </w:t>
            </w:r>
            <w:r w:rsidR="00303D5E" w:rsidRPr="00CF7AAE">
              <w:rPr>
                <w:rFonts w:cstheme="minorHAnsi"/>
                <w:sz w:val="22"/>
                <w:szCs w:val="22"/>
              </w:rPr>
              <w:t>się znacząco</w:t>
            </w:r>
            <w:r w:rsidRPr="00CF7AAE">
              <w:rPr>
                <w:rFonts w:cstheme="minorHAnsi"/>
                <w:sz w:val="22"/>
                <w:szCs w:val="22"/>
              </w:rPr>
              <w:t xml:space="preserve"> różn</w:t>
            </w:r>
            <w:r w:rsidR="00303D5E" w:rsidRPr="00CF7AAE">
              <w:rPr>
                <w:rFonts w:cstheme="minorHAnsi"/>
                <w:sz w:val="22"/>
                <w:szCs w:val="22"/>
              </w:rPr>
              <w:t>ić</w:t>
            </w:r>
            <w:r w:rsidRPr="00CF7AAE">
              <w:rPr>
                <w:rFonts w:cstheme="minorHAnsi"/>
                <w:sz w:val="22"/>
                <w:szCs w:val="22"/>
              </w:rPr>
              <w:t xml:space="preserve"> w zależności od modelu sieci</w:t>
            </w:r>
            <w:r w:rsidR="00303D5E" w:rsidRPr="00CF7AAE">
              <w:rPr>
                <w:rFonts w:cstheme="minorHAnsi"/>
                <w:sz w:val="22"/>
                <w:szCs w:val="22"/>
              </w:rPr>
              <w:t xml:space="preserve">. Będą zatem wskazywane przez przedsiębiorców indywidualnie. </w:t>
            </w:r>
          </w:p>
          <w:p w:rsidR="00EF67D6" w:rsidRPr="00CF7AAE" w:rsidRDefault="003D21B3" w:rsidP="00E5064D">
            <w:pPr>
              <w:pStyle w:val="Nagwek"/>
              <w:spacing w:before="0" w:after="0" w:line="240" w:lineRule="auto"/>
              <w:contextualSpacing/>
              <w:jc w:val="both"/>
              <w:rPr>
                <w:rFonts w:cstheme="minorHAnsi"/>
                <w:sz w:val="22"/>
                <w:szCs w:val="22"/>
              </w:rPr>
            </w:pPr>
            <w:r w:rsidRPr="00CF7AAE">
              <w:rPr>
                <w:rFonts w:cstheme="minorHAnsi"/>
                <w:sz w:val="22"/>
                <w:szCs w:val="22"/>
              </w:rPr>
              <w:t>Wyrazy „obejmujących” oraz „mających” odnoszą się do zasad i procedur</w:t>
            </w:r>
            <w:r w:rsidR="00303D5E" w:rsidRPr="00CF7AAE">
              <w:rPr>
                <w:rFonts w:cstheme="minorHAnsi"/>
                <w:sz w:val="22"/>
                <w:szCs w:val="22"/>
              </w:rPr>
              <w:t>,</w:t>
            </w:r>
            <w:r w:rsidR="0085620C" w:rsidRPr="00CF7AAE">
              <w:rPr>
                <w:rFonts w:cstheme="minorHAnsi"/>
                <w:sz w:val="22"/>
                <w:szCs w:val="22"/>
              </w:rPr>
              <w:t xml:space="preserve"> </w:t>
            </w:r>
            <w:r w:rsidR="00896AD1" w:rsidRPr="00CF7AAE">
              <w:rPr>
                <w:rFonts w:cstheme="minorHAnsi"/>
                <w:sz w:val="22"/>
                <w:szCs w:val="22"/>
              </w:rPr>
              <w:t>a</w:t>
            </w:r>
            <w:r w:rsidR="00303D5E" w:rsidRPr="00CF7AAE">
              <w:rPr>
                <w:rFonts w:cstheme="minorHAnsi"/>
                <w:sz w:val="22"/>
                <w:szCs w:val="22"/>
              </w:rPr>
              <w:t xml:space="preserve"> ich forma zostanie poprawiona</w:t>
            </w:r>
            <w:r w:rsidRPr="00CF7AAE">
              <w:rPr>
                <w:rFonts w:cstheme="minorHAnsi"/>
                <w:sz w:val="22"/>
                <w:szCs w:val="22"/>
              </w:rPr>
              <w:t>.</w:t>
            </w:r>
          </w:p>
          <w:p w:rsidR="002234E7" w:rsidRPr="00CF7AAE" w:rsidRDefault="002234E7" w:rsidP="00E5064D">
            <w:pPr>
              <w:pStyle w:val="Nagwek"/>
              <w:spacing w:before="0" w:after="0" w:line="240" w:lineRule="auto"/>
              <w:contextualSpacing/>
              <w:jc w:val="both"/>
              <w:rPr>
                <w:rFonts w:cstheme="minorHAnsi"/>
                <w:sz w:val="22"/>
                <w:szCs w:val="22"/>
              </w:rPr>
            </w:pPr>
          </w:p>
          <w:p w:rsidR="002234E7" w:rsidRPr="00CF7AAE" w:rsidRDefault="002234E7" w:rsidP="00530EA3">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2234E7" w:rsidRPr="00CF7AAE" w:rsidRDefault="002234E7" w:rsidP="002234E7">
            <w:pPr>
              <w:pStyle w:val="Nagwek"/>
              <w:spacing w:before="0" w:after="0" w:line="240" w:lineRule="auto"/>
              <w:contextualSpacing/>
              <w:jc w:val="both"/>
              <w:rPr>
                <w:rFonts w:cstheme="minorHAnsi"/>
                <w:sz w:val="22"/>
                <w:szCs w:val="22"/>
              </w:rPr>
            </w:pPr>
            <w:r w:rsidRPr="00CF7AAE">
              <w:rPr>
                <w:rFonts w:cstheme="minorHAnsi"/>
                <w:sz w:val="22"/>
                <w:szCs w:val="22"/>
              </w:rPr>
              <w:t>Przedstawiono wyjaśnienie MC.</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7-8</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2 pkt 7-8 – zastosowane pojęcie „kluczowe zasoby infrastruktury” jest niejasne, zwłaszcza w zestawieniu z zastosowanym w pkt 7 pojęciem „kluczowych zasobów systemowych” – czy chodzi tu o te same zasoby? Dodatkowo w pkt 8 brakuje wskazania, o czyim dostępie jest mowa w przepisie</w:t>
            </w:r>
          </w:p>
        </w:tc>
        <w:tc>
          <w:tcPr>
            <w:tcW w:w="4391" w:type="dxa"/>
            <w:tcBorders>
              <w:top w:val="single" w:sz="4" w:space="0" w:color="auto"/>
              <w:left w:val="single" w:sz="4" w:space="0" w:color="auto"/>
              <w:bottom w:val="single" w:sz="4" w:space="0" w:color="auto"/>
              <w:right w:val="single" w:sz="4" w:space="0" w:color="auto"/>
            </w:tcBorders>
          </w:tcPr>
          <w:p w:rsidR="00E356D3" w:rsidRPr="00CF7AAE" w:rsidRDefault="00E356D3" w:rsidP="00E5064D">
            <w:pPr>
              <w:pStyle w:val="Nagwek"/>
              <w:spacing w:before="0" w:after="0" w:line="240" w:lineRule="auto"/>
              <w:contextualSpacing/>
              <w:jc w:val="both"/>
              <w:rPr>
                <w:rFonts w:cstheme="minorHAnsi"/>
                <w:sz w:val="22"/>
                <w:szCs w:val="22"/>
              </w:rPr>
            </w:pPr>
            <w:r w:rsidRPr="00CF7AAE">
              <w:rPr>
                <w:rFonts w:cstheme="minorHAnsi"/>
                <w:sz w:val="22"/>
                <w:szCs w:val="22"/>
              </w:rPr>
              <w:t>Uwaga częściowo uwzględniona.</w:t>
            </w:r>
          </w:p>
          <w:p w:rsidR="00597854" w:rsidRPr="00CF7AAE" w:rsidRDefault="00E356D3" w:rsidP="00BC6DE9">
            <w:pPr>
              <w:pStyle w:val="Nagwek"/>
              <w:spacing w:before="0" w:after="0" w:line="240" w:lineRule="auto"/>
              <w:contextualSpacing/>
              <w:jc w:val="both"/>
              <w:rPr>
                <w:rFonts w:cstheme="minorHAnsi"/>
                <w:sz w:val="22"/>
                <w:szCs w:val="22"/>
              </w:rPr>
            </w:pPr>
            <w:r w:rsidRPr="00CF7AAE">
              <w:rPr>
                <w:rFonts w:cstheme="minorHAnsi"/>
                <w:sz w:val="22"/>
                <w:szCs w:val="22"/>
              </w:rPr>
              <w:t>Przepisy zostaną doprecyzowane</w:t>
            </w:r>
            <w:r w:rsidR="00303D5E" w:rsidRPr="00CF7AAE">
              <w:rPr>
                <w:rFonts w:cstheme="minorHAnsi"/>
                <w:sz w:val="22"/>
                <w:szCs w:val="22"/>
              </w:rPr>
              <w:t xml:space="preserve"> – termin zostanie ujednolicony</w:t>
            </w:r>
            <w:r w:rsidR="00896AD1" w:rsidRPr="00CF7AAE">
              <w:rPr>
                <w:rFonts w:cstheme="minorHAnsi"/>
                <w:sz w:val="22"/>
                <w:szCs w:val="22"/>
              </w:rPr>
              <w:t xml:space="preserve"> przez wskazanie</w:t>
            </w:r>
            <w:r w:rsidR="00303D5E" w:rsidRPr="00CF7AAE">
              <w:rPr>
                <w:rFonts w:cstheme="minorHAnsi"/>
                <w:sz w:val="22"/>
                <w:szCs w:val="22"/>
              </w:rPr>
              <w:t xml:space="preserve"> „kluczow</w:t>
            </w:r>
            <w:r w:rsidR="00896AD1" w:rsidRPr="00CF7AAE">
              <w:rPr>
                <w:rFonts w:cstheme="minorHAnsi"/>
                <w:sz w:val="22"/>
                <w:szCs w:val="22"/>
              </w:rPr>
              <w:t>ych</w:t>
            </w:r>
            <w:r w:rsidR="00303D5E" w:rsidRPr="00CF7AAE">
              <w:rPr>
                <w:rFonts w:cstheme="minorHAnsi"/>
                <w:sz w:val="22"/>
                <w:szCs w:val="22"/>
              </w:rPr>
              <w:t xml:space="preserve"> zasob</w:t>
            </w:r>
            <w:r w:rsidR="00896AD1" w:rsidRPr="00CF7AAE">
              <w:rPr>
                <w:rFonts w:cstheme="minorHAnsi"/>
                <w:sz w:val="22"/>
                <w:szCs w:val="22"/>
              </w:rPr>
              <w:t>ów</w:t>
            </w:r>
            <w:r w:rsidR="00303D5E" w:rsidRPr="00CF7AAE">
              <w:rPr>
                <w:rFonts w:cstheme="minorHAnsi"/>
                <w:sz w:val="22"/>
                <w:szCs w:val="22"/>
              </w:rPr>
              <w:t xml:space="preserve"> infrastruktury”</w:t>
            </w:r>
            <w:r w:rsidRPr="00CF7AAE">
              <w:rPr>
                <w:rFonts w:cstheme="minorHAnsi"/>
                <w:sz w:val="22"/>
                <w:szCs w:val="22"/>
              </w:rPr>
              <w:t>.</w:t>
            </w:r>
          </w:p>
          <w:p w:rsidR="00D8547B" w:rsidRPr="00CF7AAE" w:rsidRDefault="00D8547B" w:rsidP="00BC6DE9">
            <w:pPr>
              <w:pStyle w:val="Nagwek"/>
              <w:spacing w:before="0" w:after="0" w:line="240" w:lineRule="auto"/>
              <w:contextualSpacing/>
              <w:jc w:val="both"/>
              <w:rPr>
                <w:rFonts w:cstheme="minorHAnsi"/>
                <w:sz w:val="22"/>
                <w:szCs w:val="22"/>
              </w:rPr>
            </w:pPr>
          </w:p>
          <w:p w:rsidR="002234E7" w:rsidRPr="00CF7AAE" w:rsidRDefault="002234E7" w:rsidP="00BC6DE9">
            <w:pPr>
              <w:pStyle w:val="Nagwek"/>
              <w:spacing w:before="0" w:after="0" w:line="240" w:lineRule="auto"/>
              <w:contextualSpacing/>
              <w:jc w:val="both"/>
              <w:rPr>
                <w:rFonts w:cstheme="minorHAnsi"/>
                <w:sz w:val="22"/>
                <w:szCs w:val="22"/>
              </w:rPr>
            </w:pPr>
            <w:r w:rsidRPr="00CF7AAE">
              <w:rPr>
                <w:rFonts w:cstheme="minorHAnsi"/>
                <w:sz w:val="22"/>
                <w:szCs w:val="22"/>
              </w:rPr>
              <w:t>Po konferencji:</w:t>
            </w:r>
          </w:p>
          <w:p w:rsidR="002234E7" w:rsidRPr="00CF7AAE" w:rsidRDefault="002234E7" w:rsidP="00814842">
            <w:pPr>
              <w:pStyle w:val="Nagwek"/>
              <w:spacing w:before="0" w:after="0" w:line="240" w:lineRule="auto"/>
              <w:contextualSpacing/>
              <w:jc w:val="both"/>
              <w:rPr>
                <w:rFonts w:cstheme="minorHAnsi"/>
                <w:sz w:val="22"/>
                <w:szCs w:val="22"/>
              </w:rPr>
            </w:pPr>
            <w:r w:rsidRPr="00CF7AAE">
              <w:rPr>
                <w:rFonts w:cstheme="minorHAnsi"/>
                <w:sz w:val="22"/>
                <w:szCs w:val="22"/>
              </w:rPr>
              <w:t>Nadano nowe brzmienie § 2 pkt 2, w którym zastosowano skrót „kluczowa infrastruktura” oraz ujednolicono terminologię w całym projekcie.</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9</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2 pkt 9 – niejasne jest, jakie dane miałyby być objęte przepisem (wszystkie, osobowe, transmisyjne, objęte tajemnicą telekomunikacyjną?)</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597854" w:rsidP="00E5064D">
            <w:pPr>
              <w:pStyle w:val="Nagwek"/>
              <w:spacing w:before="0" w:after="0" w:line="240" w:lineRule="auto"/>
              <w:contextualSpacing/>
              <w:jc w:val="both"/>
              <w:rPr>
                <w:rFonts w:cstheme="minorHAnsi"/>
                <w:sz w:val="22"/>
                <w:szCs w:val="22"/>
              </w:rPr>
            </w:pPr>
            <w:r w:rsidRPr="00CF7AAE">
              <w:rPr>
                <w:rFonts w:cstheme="minorHAnsi"/>
                <w:sz w:val="22"/>
                <w:szCs w:val="22"/>
              </w:rPr>
              <w:t>Wyjaśnienie.</w:t>
            </w:r>
          </w:p>
          <w:p w:rsidR="00597854" w:rsidRPr="00CF7AAE" w:rsidRDefault="00597854" w:rsidP="00E5064D">
            <w:pPr>
              <w:pStyle w:val="Nagwek"/>
              <w:spacing w:before="0" w:after="0" w:line="240" w:lineRule="auto"/>
              <w:contextualSpacing/>
              <w:jc w:val="both"/>
              <w:rPr>
                <w:rFonts w:cstheme="minorHAnsi"/>
                <w:sz w:val="22"/>
                <w:szCs w:val="22"/>
              </w:rPr>
            </w:pPr>
            <w:r w:rsidRPr="00CF7AAE">
              <w:rPr>
                <w:rFonts w:cstheme="minorHAnsi"/>
                <w:sz w:val="22"/>
                <w:szCs w:val="22"/>
              </w:rPr>
              <w:t>Wszystkie. Poziom bezpieczeństwa zależy od rodzaju danych – tajemnicę przedsiębiorstwa chroni się inaczej niż dane osobowe.</w:t>
            </w:r>
          </w:p>
          <w:p w:rsidR="00597854" w:rsidRPr="00CF7AAE" w:rsidRDefault="00597854" w:rsidP="00E5064D">
            <w:pPr>
              <w:pStyle w:val="Nagwek"/>
              <w:spacing w:before="0" w:after="0" w:line="240" w:lineRule="auto"/>
              <w:contextualSpacing/>
              <w:jc w:val="both"/>
              <w:rPr>
                <w:rFonts w:cstheme="minorHAnsi"/>
                <w:sz w:val="22"/>
                <w:szCs w:val="22"/>
              </w:rPr>
            </w:pPr>
            <w:r w:rsidRPr="00CF7AAE">
              <w:rPr>
                <w:rFonts w:cstheme="minorHAnsi"/>
                <w:sz w:val="22"/>
                <w:szCs w:val="22"/>
              </w:rPr>
              <w:t>Tu istotny jest element przetwarzania zdalnego – należy minimalizować ilość przechowywanych lokalnie danych etc.</w:t>
            </w:r>
          </w:p>
          <w:p w:rsidR="009876DD" w:rsidRPr="00CF7AAE" w:rsidRDefault="009876DD" w:rsidP="000E725C">
            <w:pPr>
              <w:pStyle w:val="Nagwek"/>
              <w:spacing w:before="0" w:after="0" w:line="240" w:lineRule="auto"/>
              <w:contextualSpacing/>
              <w:jc w:val="both"/>
              <w:rPr>
                <w:rFonts w:cstheme="minorHAnsi"/>
                <w:sz w:val="22"/>
                <w:szCs w:val="22"/>
              </w:rPr>
            </w:pPr>
          </w:p>
          <w:p w:rsidR="000E725C" w:rsidRPr="00CF7AAE" w:rsidRDefault="00E2275B" w:rsidP="000E725C">
            <w:pPr>
              <w:pStyle w:val="Nagwek"/>
              <w:spacing w:before="0" w:after="0" w:line="240" w:lineRule="auto"/>
              <w:contextualSpacing/>
              <w:jc w:val="both"/>
              <w:rPr>
                <w:rFonts w:cstheme="minorHAnsi"/>
                <w:sz w:val="22"/>
                <w:szCs w:val="22"/>
              </w:rPr>
            </w:pPr>
            <w:r w:rsidRPr="00CF7AAE">
              <w:rPr>
                <w:rFonts w:cstheme="minorHAnsi"/>
                <w:sz w:val="22"/>
                <w:szCs w:val="22"/>
              </w:rPr>
              <w:lastRenderedPageBreak/>
              <w:t>Na konferencji:</w:t>
            </w:r>
          </w:p>
          <w:p w:rsidR="000E725C" w:rsidRPr="00CF7AAE" w:rsidRDefault="00E2275B" w:rsidP="000E725C">
            <w:pPr>
              <w:pStyle w:val="Nagwek"/>
              <w:spacing w:before="0" w:after="0" w:line="240" w:lineRule="auto"/>
              <w:contextualSpacing/>
              <w:jc w:val="both"/>
              <w:rPr>
                <w:rFonts w:cstheme="minorHAnsi"/>
                <w:sz w:val="22"/>
                <w:szCs w:val="22"/>
              </w:rPr>
            </w:pPr>
            <w:r w:rsidRPr="00CF7AAE">
              <w:rPr>
                <w:rFonts w:cstheme="minorHAnsi"/>
                <w:sz w:val="22"/>
                <w:szCs w:val="22"/>
              </w:rPr>
              <w:t>Przyjęto nowe brzmienie przepisu</w:t>
            </w:r>
            <w:r w:rsidR="009876DD" w:rsidRPr="00CF7AAE">
              <w:rPr>
                <w:rFonts w:cstheme="minorHAnsi"/>
                <w:sz w:val="22"/>
                <w:szCs w:val="22"/>
              </w:rPr>
              <w:t xml:space="preserve"> („…zasady bezpiecznego przetwarzania…”).</w:t>
            </w:r>
          </w:p>
        </w:tc>
      </w:tr>
      <w:tr w:rsidR="00CF7AAE" w:rsidRPr="00CF7AAE" w:rsidTr="00E5064D">
        <w:trPr>
          <w:trHeight w:val="1616"/>
        </w:trPr>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10</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2 pkt 10 – podobnie jak w przypadku pkt 9 niej</w:t>
            </w:r>
            <w:r w:rsidR="00F64788" w:rsidRPr="00CF7AAE">
              <w:rPr>
                <w:sz w:val="22"/>
              </w:rPr>
              <w:t xml:space="preserve">asne jest, o jakie dane chodzi </w:t>
            </w:r>
            <w:r w:rsidRPr="00CF7AAE">
              <w:rPr>
                <w:sz w:val="22"/>
              </w:rPr>
              <w:t>w  przepisie. Ponadto sformułowanie „znacząco redukujący” jest w wysokim stopniu ocenne, a tym samym niemożliwe do jednoznacznej weryfikacji w toku kontroli,</w:t>
            </w:r>
          </w:p>
        </w:tc>
        <w:tc>
          <w:tcPr>
            <w:tcW w:w="4391" w:type="dxa"/>
            <w:tcBorders>
              <w:top w:val="single" w:sz="4" w:space="0" w:color="auto"/>
              <w:left w:val="single" w:sz="4" w:space="0" w:color="auto"/>
              <w:bottom w:val="single" w:sz="4" w:space="0" w:color="auto"/>
              <w:right w:val="single" w:sz="4" w:space="0" w:color="auto"/>
            </w:tcBorders>
          </w:tcPr>
          <w:p w:rsidR="00E356D3" w:rsidRPr="00CF7AAE" w:rsidRDefault="00E356D3" w:rsidP="00E5064D">
            <w:pPr>
              <w:pStyle w:val="Nagwek"/>
              <w:spacing w:before="0" w:after="0" w:line="240" w:lineRule="auto"/>
              <w:contextualSpacing/>
              <w:jc w:val="both"/>
              <w:rPr>
                <w:rFonts w:cstheme="minorHAnsi"/>
                <w:sz w:val="22"/>
                <w:szCs w:val="22"/>
              </w:rPr>
            </w:pPr>
            <w:r w:rsidRPr="00CF7AAE">
              <w:rPr>
                <w:rFonts w:cstheme="minorHAnsi"/>
                <w:sz w:val="22"/>
                <w:szCs w:val="22"/>
              </w:rPr>
              <w:t>Uwaga uwzględniona.</w:t>
            </w:r>
          </w:p>
          <w:p w:rsidR="00E356D3" w:rsidRPr="00CF7AAE" w:rsidRDefault="00E356D3" w:rsidP="00E5064D">
            <w:pPr>
              <w:pStyle w:val="Nagwek"/>
              <w:spacing w:before="0" w:after="0" w:line="240" w:lineRule="auto"/>
              <w:contextualSpacing/>
              <w:jc w:val="both"/>
              <w:rPr>
                <w:rFonts w:cstheme="minorHAnsi"/>
                <w:sz w:val="22"/>
                <w:szCs w:val="22"/>
              </w:rPr>
            </w:pPr>
            <w:r w:rsidRPr="00CF7AAE">
              <w:rPr>
                <w:rFonts w:cstheme="minorHAnsi"/>
                <w:sz w:val="22"/>
                <w:szCs w:val="22"/>
              </w:rPr>
              <w:t>Przeformułowano nadając brzmienie:</w:t>
            </w:r>
          </w:p>
          <w:p w:rsidR="000E725C" w:rsidRPr="00CF7AAE" w:rsidRDefault="00C82BB3" w:rsidP="00E5064D">
            <w:pPr>
              <w:pStyle w:val="Nagwek"/>
              <w:spacing w:before="0" w:after="0" w:line="240" w:lineRule="auto"/>
              <w:contextualSpacing/>
              <w:jc w:val="both"/>
              <w:rPr>
                <w:rFonts w:cstheme="minorHAnsi"/>
                <w:sz w:val="22"/>
                <w:szCs w:val="22"/>
              </w:rPr>
            </w:pPr>
            <w:r w:rsidRPr="00CF7AAE">
              <w:rPr>
                <w:rFonts w:cstheme="minorHAnsi"/>
                <w:sz w:val="22"/>
                <w:szCs w:val="22"/>
              </w:rPr>
              <w:t>„</w:t>
            </w:r>
            <w:r w:rsidR="00E356D3" w:rsidRPr="00CF7AAE">
              <w:rPr>
                <w:rFonts w:cstheme="minorHAnsi"/>
                <w:sz w:val="22"/>
                <w:szCs w:val="22"/>
              </w:rPr>
              <w:t>10) stosuje, wynikające z oceny prawdopodobieństwa wystąpienia oddziaływania zagrożeń, środki zabezpieczające dla poszczególnych kategorii danych</w:t>
            </w:r>
            <w:r w:rsidRPr="00CF7AAE">
              <w:rPr>
                <w:rFonts w:cstheme="minorHAnsi"/>
                <w:sz w:val="22"/>
                <w:szCs w:val="22"/>
              </w:rPr>
              <w:t xml:space="preserve">”. </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12</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2 pkt 12 – zapis niezrozumiały ze względu na niewłaściwą formę wyrazu „mających”</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E356D3" w:rsidP="00E5064D">
            <w:pPr>
              <w:pStyle w:val="Nagwek"/>
              <w:spacing w:before="0" w:after="0" w:line="240" w:lineRule="auto"/>
              <w:contextualSpacing/>
              <w:jc w:val="both"/>
              <w:rPr>
                <w:rFonts w:cstheme="minorHAnsi"/>
                <w:sz w:val="22"/>
                <w:szCs w:val="22"/>
              </w:rPr>
            </w:pPr>
            <w:r w:rsidRPr="00CF7AAE">
              <w:rPr>
                <w:rFonts w:cstheme="minorHAnsi"/>
                <w:sz w:val="22"/>
                <w:szCs w:val="22"/>
              </w:rPr>
              <w:t>Uwag</w:t>
            </w:r>
            <w:r w:rsidR="00284CE5" w:rsidRPr="00CF7AAE">
              <w:rPr>
                <w:rFonts w:cstheme="minorHAnsi"/>
                <w:sz w:val="22"/>
                <w:szCs w:val="22"/>
              </w:rPr>
              <w:t>a</w:t>
            </w:r>
            <w:r w:rsidRPr="00CF7AAE">
              <w:rPr>
                <w:rFonts w:cstheme="minorHAnsi"/>
                <w:sz w:val="22"/>
                <w:szCs w:val="22"/>
              </w:rPr>
              <w:t xml:space="preserve"> uwzględniona.</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2 pkt 13</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xml:space="preserve">§ 2 pkt 13 – sformułowanie „procedury umożliwiające zgłaszanie naruszeń” jest niespójne z ustawą, bowiem przepis art. 175a </w:t>
            </w:r>
            <w:r w:rsidR="00F64788" w:rsidRPr="00CF7AAE">
              <w:rPr>
                <w:sz w:val="22"/>
              </w:rPr>
              <w:t xml:space="preserve">ust. 1 Pt stanowi o obowiązku, </w:t>
            </w:r>
            <w:r w:rsidRPr="00CF7AAE">
              <w:rPr>
                <w:sz w:val="22"/>
              </w:rPr>
              <w:t>a nie uprawnieniu do zgłaszania takich naruszeń. W projektowanym przepisie powinna być mowa o procedurach wewnętrznych przedsiębiorcy telekomunikacyjnego mających na celu niezwłoczne i wiarygodne przekazywanie informacji Prezesowi Urzędu Komunikacji Elektronicznej.  Przedsiębiorca powinien również ustalić procedurę zgłaszania naruszeń przez abonentów lub odbiorców – jako jeden z minimalnych środków lub metod zapobiegania zagrożeniom</w:t>
            </w:r>
          </w:p>
        </w:tc>
        <w:tc>
          <w:tcPr>
            <w:tcW w:w="4391" w:type="dxa"/>
            <w:tcBorders>
              <w:top w:val="single" w:sz="4" w:space="0" w:color="auto"/>
              <w:left w:val="single" w:sz="4" w:space="0" w:color="auto"/>
              <w:bottom w:val="single" w:sz="4" w:space="0" w:color="auto"/>
              <w:right w:val="single" w:sz="4" w:space="0" w:color="auto"/>
            </w:tcBorders>
          </w:tcPr>
          <w:p w:rsidR="00597854" w:rsidRPr="00CF7AAE" w:rsidRDefault="00597854"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Uwaga uwzględniona. </w:t>
            </w:r>
          </w:p>
          <w:p w:rsidR="00597854" w:rsidRPr="00CF7AAE" w:rsidRDefault="00597854" w:rsidP="00E5064D">
            <w:pPr>
              <w:pStyle w:val="Nagwek"/>
              <w:spacing w:before="0" w:after="0" w:line="240" w:lineRule="auto"/>
              <w:contextualSpacing/>
              <w:jc w:val="both"/>
              <w:rPr>
                <w:rFonts w:cstheme="minorHAnsi"/>
                <w:sz w:val="22"/>
                <w:szCs w:val="22"/>
              </w:rPr>
            </w:pPr>
            <w:r w:rsidRPr="00CF7AAE">
              <w:rPr>
                <w:rFonts w:cstheme="minorHAnsi"/>
                <w:sz w:val="22"/>
                <w:szCs w:val="22"/>
              </w:rPr>
              <w:t>Przepis zostanie zmieniony tak, aby było jasne, że zgłaszanie incydentów jest obligatoryjne.</w:t>
            </w:r>
          </w:p>
          <w:p w:rsidR="000E725C" w:rsidRPr="00CF7AAE" w:rsidRDefault="000E725C" w:rsidP="00E5064D">
            <w:pPr>
              <w:pStyle w:val="Nagwek"/>
              <w:spacing w:before="0" w:after="0" w:line="240" w:lineRule="auto"/>
              <w:contextualSpacing/>
              <w:jc w:val="both"/>
              <w:rPr>
                <w:rFonts w:cstheme="minorHAnsi"/>
                <w:sz w:val="22"/>
                <w:szCs w:val="22"/>
              </w:rPr>
            </w:pPr>
          </w:p>
          <w:p w:rsidR="0094412F" w:rsidRPr="00CF7AAE" w:rsidRDefault="0094412F" w:rsidP="00E5064D">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0E725C" w:rsidRPr="00CF7AAE" w:rsidRDefault="00B062FB" w:rsidP="0062322C">
            <w:pPr>
              <w:pStyle w:val="Nagwek"/>
              <w:spacing w:before="0" w:after="0" w:line="240" w:lineRule="auto"/>
              <w:contextualSpacing/>
              <w:jc w:val="both"/>
              <w:rPr>
                <w:rFonts w:cstheme="minorHAnsi"/>
                <w:sz w:val="22"/>
                <w:szCs w:val="22"/>
              </w:rPr>
            </w:pPr>
            <w:r>
              <w:rPr>
                <w:rFonts w:cstheme="minorHAnsi"/>
                <w:sz w:val="22"/>
                <w:szCs w:val="22"/>
              </w:rPr>
              <w:t>przyjęto propozycję brzmienia</w:t>
            </w:r>
            <w:r w:rsidR="0094412F" w:rsidRPr="00CF7AAE">
              <w:rPr>
                <w:rFonts w:cstheme="minorHAnsi"/>
                <w:sz w:val="22"/>
                <w:szCs w:val="22"/>
              </w:rPr>
              <w:t xml:space="preserve"> przepisu</w:t>
            </w:r>
            <w:r w:rsidR="000E725C" w:rsidRPr="00CF7AAE">
              <w:rPr>
                <w:rFonts w:cstheme="minorHAnsi"/>
                <w:sz w:val="22"/>
                <w:szCs w:val="22"/>
              </w:rPr>
              <w:t>: „ustal</w:t>
            </w:r>
            <w:r w:rsidR="002F45FB" w:rsidRPr="00CF7AAE">
              <w:rPr>
                <w:rFonts w:cstheme="minorHAnsi"/>
                <w:sz w:val="22"/>
                <w:szCs w:val="22"/>
              </w:rPr>
              <w:t>a wewnętrzne</w:t>
            </w:r>
            <w:r w:rsidR="000E725C" w:rsidRPr="00CF7AAE">
              <w:rPr>
                <w:rFonts w:cstheme="minorHAnsi"/>
                <w:sz w:val="22"/>
                <w:szCs w:val="22"/>
              </w:rPr>
              <w:t xml:space="preserve"> procedury zgłaszania naruszeń bezpieczeństwa</w:t>
            </w:r>
            <w:r w:rsidR="00C0145D" w:rsidRPr="00CF7AAE">
              <w:rPr>
                <w:rFonts w:cstheme="minorHAnsi"/>
                <w:sz w:val="22"/>
                <w:szCs w:val="22"/>
              </w:rPr>
              <w:t>”.</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3</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xml:space="preserve">W projektowanym § 3 zawarto określenie obowiązków dla przedsiębiorców telekomunikacyjnych dostarczających sieć piątej generacji. Taka norma prawna pozostaje w niejasnej relacji do obowiązków określonych w § 2. Nie wiadomo bowiem, czy obowiązki z § 3 mają być stosowane zamiast obowiązków z § 2, czy łącznie z nimi, tym bardziej że zawarte we wprowadzeniu do § 3 ust. 1 sformułowanie „identyfikuje zagrożenia, ocenia prawdopodobieństwo ich wystąpienia, zapewnia i stosuje środki minimalizujące skutki wystąpienia zagrożeń” stanowi właściwie częściowe powtórzenie przepisów odpowiednio </w:t>
            </w:r>
            <w:r w:rsidRPr="00CF7AAE">
              <w:rPr>
                <w:sz w:val="22"/>
              </w:rPr>
              <w:br/>
              <w:t>§ 2 pkt 3 – 6</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597854" w:rsidP="00E5064D">
            <w:pPr>
              <w:pStyle w:val="Nagwek"/>
              <w:spacing w:before="0" w:after="0" w:line="240" w:lineRule="auto"/>
              <w:contextualSpacing/>
              <w:jc w:val="both"/>
              <w:rPr>
                <w:rFonts w:cstheme="minorHAnsi"/>
                <w:sz w:val="22"/>
                <w:szCs w:val="22"/>
              </w:rPr>
            </w:pPr>
            <w:r w:rsidRPr="00CF7AAE">
              <w:rPr>
                <w:rFonts w:cstheme="minorHAnsi"/>
                <w:sz w:val="22"/>
                <w:szCs w:val="22"/>
              </w:rPr>
              <w:t>Wyjaśnienie.</w:t>
            </w:r>
          </w:p>
          <w:p w:rsidR="00597854" w:rsidRPr="00CF7AAE" w:rsidRDefault="00597854"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Obowiązki z § 2 i § 3 mają być stosowane łącznie. Różnica jest w wykorzystywanej technologii. </w:t>
            </w:r>
          </w:p>
          <w:p w:rsidR="00597854" w:rsidRPr="00CF7AAE" w:rsidRDefault="00597854" w:rsidP="00E5064D">
            <w:pPr>
              <w:pStyle w:val="Nagwek"/>
              <w:spacing w:before="0" w:after="0" w:line="240" w:lineRule="auto"/>
              <w:contextualSpacing/>
              <w:jc w:val="both"/>
              <w:rPr>
                <w:rFonts w:cstheme="minorHAnsi"/>
                <w:sz w:val="22"/>
                <w:szCs w:val="22"/>
              </w:rPr>
            </w:pPr>
            <w:r w:rsidRPr="00CF7AAE">
              <w:rPr>
                <w:rFonts w:cstheme="minorHAnsi"/>
                <w:sz w:val="22"/>
                <w:szCs w:val="22"/>
              </w:rPr>
              <w:t>Częściowe powtórzenie przepisów zastosowano, aby obowiązki były jasne.</w:t>
            </w:r>
          </w:p>
          <w:p w:rsidR="00E356D3" w:rsidRPr="00CF7AAE" w:rsidRDefault="00A37A5E" w:rsidP="008B2EDD">
            <w:pPr>
              <w:pStyle w:val="Nagwek"/>
              <w:spacing w:before="0" w:after="0" w:line="240" w:lineRule="auto"/>
              <w:contextualSpacing/>
              <w:jc w:val="both"/>
              <w:rPr>
                <w:rFonts w:cstheme="minorHAnsi"/>
                <w:sz w:val="22"/>
                <w:szCs w:val="22"/>
              </w:rPr>
            </w:pPr>
            <w:r w:rsidRPr="00CF7AAE">
              <w:rPr>
                <w:rFonts w:cstheme="minorHAnsi"/>
                <w:sz w:val="22"/>
                <w:szCs w:val="22"/>
              </w:rPr>
              <w:t>Przepis §</w:t>
            </w:r>
            <w:r w:rsidR="0097303F" w:rsidRPr="00CF7AAE">
              <w:rPr>
                <w:rFonts w:cstheme="minorHAnsi"/>
                <w:sz w:val="22"/>
                <w:szCs w:val="22"/>
              </w:rPr>
              <w:t xml:space="preserve"> 3 zostanie doprecyzowany</w:t>
            </w:r>
            <w:r w:rsidRPr="00CF7AAE">
              <w:rPr>
                <w:rFonts w:cstheme="minorHAnsi"/>
                <w:sz w:val="22"/>
                <w:szCs w:val="22"/>
              </w:rPr>
              <w:t xml:space="preserve"> w ten sposób,</w:t>
            </w:r>
            <w:r w:rsidR="0097303F" w:rsidRPr="00CF7AAE">
              <w:rPr>
                <w:rFonts w:cstheme="minorHAnsi"/>
                <w:sz w:val="22"/>
                <w:szCs w:val="22"/>
              </w:rPr>
              <w:t xml:space="preserve"> aby jasno wynikało, że </w:t>
            </w:r>
            <w:r w:rsidRPr="00CF7AAE">
              <w:rPr>
                <w:rFonts w:cstheme="minorHAnsi"/>
                <w:sz w:val="22"/>
                <w:szCs w:val="22"/>
              </w:rPr>
              <w:t xml:space="preserve">przedsiębiorcy dostarczający sieć 5G  </w:t>
            </w:r>
            <w:r w:rsidR="0097303F" w:rsidRPr="00CF7AAE">
              <w:rPr>
                <w:rFonts w:cstheme="minorHAnsi"/>
                <w:sz w:val="22"/>
                <w:szCs w:val="22"/>
              </w:rPr>
              <w:t>maj</w:t>
            </w:r>
            <w:r w:rsidR="008B2EDD" w:rsidRPr="00CF7AAE">
              <w:rPr>
                <w:rFonts w:cstheme="minorHAnsi"/>
                <w:sz w:val="22"/>
                <w:szCs w:val="22"/>
              </w:rPr>
              <w:t>ą</w:t>
            </w:r>
            <w:r w:rsidR="0097303F" w:rsidRPr="00CF7AAE">
              <w:rPr>
                <w:rFonts w:cstheme="minorHAnsi"/>
                <w:sz w:val="22"/>
                <w:szCs w:val="22"/>
              </w:rPr>
              <w:t xml:space="preserve"> obowiązek stosować </w:t>
            </w:r>
            <w:r w:rsidRPr="00CF7AAE">
              <w:rPr>
                <w:rFonts w:cstheme="minorHAnsi"/>
                <w:sz w:val="22"/>
                <w:szCs w:val="22"/>
              </w:rPr>
              <w:t xml:space="preserve">zarówno § </w:t>
            </w:r>
            <w:r w:rsidR="0097303F" w:rsidRPr="00CF7AAE">
              <w:rPr>
                <w:rFonts w:cstheme="minorHAnsi"/>
                <w:sz w:val="22"/>
                <w:szCs w:val="22"/>
              </w:rPr>
              <w:t xml:space="preserve">2 jak i </w:t>
            </w:r>
            <w:r w:rsidRPr="00CF7AAE">
              <w:rPr>
                <w:rFonts w:cstheme="minorHAnsi"/>
                <w:sz w:val="22"/>
                <w:szCs w:val="22"/>
              </w:rPr>
              <w:t xml:space="preserve">§ </w:t>
            </w:r>
            <w:r w:rsidR="0097303F" w:rsidRPr="00CF7AAE">
              <w:rPr>
                <w:rFonts w:cstheme="minorHAnsi"/>
                <w:sz w:val="22"/>
                <w:szCs w:val="22"/>
              </w:rPr>
              <w:t>3.</w:t>
            </w:r>
          </w:p>
          <w:p w:rsidR="009876DD" w:rsidRPr="00CF7AAE" w:rsidRDefault="009876DD" w:rsidP="008B2EDD">
            <w:pPr>
              <w:pStyle w:val="Nagwek"/>
              <w:spacing w:before="0" w:after="0" w:line="240" w:lineRule="auto"/>
              <w:contextualSpacing/>
              <w:jc w:val="both"/>
              <w:rPr>
                <w:rFonts w:cstheme="minorHAnsi"/>
                <w:sz w:val="22"/>
                <w:szCs w:val="22"/>
              </w:rPr>
            </w:pPr>
          </w:p>
          <w:p w:rsidR="0092634F" w:rsidRPr="00CF7AAE" w:rsidRDefault="0092634F" w:rsidP="00530EA3">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92634F" w:rsidRPr="00CF7AAE" w:rsidRDefault="0092634F" w:rsidP="0092634F">
            <w:pPr>
              <w:pStyle w:val="Nagwek"/>
              <w:spacing w:before="0" w:after="0" w:line="240" w:lineRule="auto"/>
              <w:contextualSpacing/>
              <w:jc w:val="both"/>
              <w:rPr>
                <w:rFonts w:cstheme="minorHAnsi"/>
                <w:sz w:val="22"/>
                <w:szCs w:val="22"/>
              </w:rPr>
            </w:pPr>
            <w:r w:rsidRPr="00CF7AAE">
              <w:rPr>
                <w:rFonts w:cstheme="minorHAnsi"/>
                <w:sz w:val="22"/>
                <w:szCs w:val="22"/>
              </w:rPr>
              <w:t>Przedstawiono wyjaśnienie MC.</w:t>
            </w:r>
          </w:p>
          <w:p w:rsidR="0092634F" w:rsidRPr="00CF7AAE" w:rsidRDefault="0092634F" w:rsidP="0092634F">
            <w:pPr>
              <w:pStyle w:val="Nagwek"/>
              <w:spacing w:before="0" w:after="0" w:line="240" w:lineRule="auto"/>
              <w:contextualSpacing/>
              <w:jc w:val="both"/>
              <w:rPr>
                <w:rFonts w:cstheme="minorHAnsi"/>
                <w:sz w:val="22"/>
                <w:szCs w:val="22"/>
              </w:rPr>
            </w:pPr>
            <w:r w:rsidRPr="00CF7AAE">
              <w:rPr>
                <w:rFonts w:cstheme="minorHAnsi"/>
                <w:sz w:val="22"/>
                <w:szCs w:val="22"/>
              </w:rPr>
              <w:lastRenderedPageBreak/>
              <w:t>MC przygotowało nowe brzmienie przepisu, który będzie przedmiotem posiedzenia komisji prawniczej.</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3 ust. 1</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xml:space="preserve">Zawarte w § 3 ust. 1, w ramach określenia sieci piątej generacji, odesłanie do dokumentu technicznego - Raportu ETSI TR 121 915 V.15.0.0. (2019-10) jest niezgodne z § 4 ust. 3 w związku z § 132 Zasad Techniki Prawodawczej. </w:t>
            </w:r>
            <w:r w:rsidRPr="00CF7AAE">
              <w:rPr>
                <w:sz w:val="22"/>
              </w:rPr>
              <w:br/>
              <w:t>Co więcej, odwołanie do określenia zawartego w ww. Raporcie jest zbyt ogólne (zakres Raportu jest zwykle szerszy niż norma ETSI opracowywana na jego podstawie) i jako takie może powodować problemy ze stosowaniem tego przepisu w praktyce. Dodatkowo w razie ewentualnego wprowadzenia kolejnej wersji raportu w przedmiotowym zakresie nie będzie jasne, która wersja raportu powinna być stosowana</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FA2F43" w:rsidP="00E5064D">
            <w:pPr>
              <w:pStyle w:val="Nagwek"/>
              <w:spacing w:before="0" w:after="0" w:line="240" w:lineRule="auto"/>
              <w:contextualSpacing/>
              <w:jc w:val="both"/>
              <w:rPr>
                <w:rFonts w:cstheme="minorHAnsi"/>
                <w:sz w:val="22"/>
                <w:szCs w:val="22"/>
              </w:rPr>
            </w:pPr>
            <w:r w:rsidRPr="00CF7AAE">
              <w:rPr>
                <w:rFonts w:cstheme="minorHAnsi"/>
                <w:sz w:val="22"/>
                <w:szCs w:val="22"/>
              </w:rPr>
              <w:t>Wyjaśnienie.</w:t>
            </w:r>
          </w:p>
          <w:p w:rsidR="00FA2F43" w:rsidRPr="00CF7AAE" w:rsidRDefault="00EF65A6"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Odesłanie do dokumentu technicznego jest </w:t>
            </w:r>
            <w:r w:rsidR="00A32DBA" w:rsidRPr="00CF7AAE">
              <w:rPr>
                <w:rFonts w:cstheme="minorHAnsi"/>
                <w:sz w:val="22"/>
                <w:szCs w:val="22"/>
              </w:rPr>
              <w:t>zabiegiem</w:t>
            </w:r>
            <w:r w:rsidRPr="00CF7AAE">
              <w:rPr>
                <w:rFonts w:cstheme="minorHAnsi"/>
                <w:sz w:val="22"/>
                <w:szCs w:val="22"/>
              </w:rPr>
              <w:t xml:space="preserve"> </w:t>
            </w:r>
            <w:r w:rsidR="00A32DBA" w:rsidRPr="00CF7AAE">
              <w:rPr>
                <w:rFonts w:cstheme="minorHAnsi"/>
                <w:sz w:val="22"/>
                <w:szCs w:val="22"/>
              </w:rPr>
              <w:t>dopuszczalnym</w:t>
            </w:r>
            <w:r w:rsidRPr="00CF7AAE">
              <w:rPr>
                <w:rFonts w:cstheme="minorHAnsi"/>
                <w:sz w:val="22"/>
                <w:szCs w:val="22"/>
              </w:rPr>
              <w:t xml:space="preserve"> w praktyce polskiej legislacji. </w:t>
            </w:r>
          </w:p>
          <w:p w:rsidR="00EF65A6" w:rsidRPr="00CF7AAE" w:rsidRDefault="00EF65A6" w:rsidP="00E5064D">
            <w:pPr>
              <w:pStyle w:val="Nagwek"/>
              <w:spacing w:before="0" w:after="0" w:line="240" w:lineRule="auto"/>
              <w:contextualSpacing/>
              <w:jc w:val="both"/>
              <w:rPr>
                <w:rFonts w:cstheme="minorHAnsi"/>
                <w:sz w:val="22"/>
                <w:szCs w:val="22"/>
              </w:rPr>
            </w:pPr>
            <w:r w:rsidRPr="00CF7AAE">
              <w:rPr>
                <w:rFonts w:cstheme="minorHAnsi"/>
                <w:sz w:val="22"/>
                <w:szCs w:val="22"/>
              </w:rPr>
              <w:t>Został zastosowany m.in. w rozporządzeniu Rady Ministrów z dnia 28 grudnia 2015 r. w sprawie organizacji i funkcjonowania systemu gromadzącego i udostępniającego informacje i dane od przedsiębiorcy telekomunikacyjnego (Dz. U. poz. 2333), rozporządzeniu Ministra Cyfryzacji z dnia 5 października 2016 r. w sprawie krajowej infrastruktury zaufania (Dz. U. poz. 1632) czy też rozporządzeniu Ministra Cyfryzacji z dnia 5 października 2016 r. w sprawie szczegółowych warunków organizacyjnych i technicznych, które powinien spełniać system teleinformatyczny służący do uwierzytelniania użytkowników (Dz. U. poz. 1627).</w:t>
            </w:r>
          </w:p>
          <w:p w:rsidR="000E725C" w:rsidRPr="00CF7AAE" w:rsidRDefault="000E725C" w:rsidP="00E5064D">
            <w:pPr>
              <w:pStyle w:val="Nagwek"/>
              <w:spacing w:before="0" w:after="0" w:line="240" w:lineRule="auto"/>
              <w:contextualSpacing/>
              <w:jc w:val="both"/>
              <w:rPr>
                <w:rFonts w:cstheme="minorHAnsi"/>
                <w:sz w:val="22"/>
                <w:szCs w:val="22"/>
              </w:rPr>
            </w:pPr>
          </w:p>
          <w:p w:rsidR="00C13791" w:rsidRPr="00CF7AAE" w:rsidRDefault="00C13791" w:rsidP="00E5064D">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0E725C" w:rsidRPr="00CF7AAE" w:rsidRDefault="00C13791" w:rsidP="00E5064D">
            <w:pPr>
              <w:pStyle w:val="Nagwek"/>
              <w:spacing w:before="0" w:after="0" w:line="240" w:lineRule="auto"/>
              <w:contextualSpacing/>
              <w:jc w:val="both"/>
              <w:rPr>
                <w:rFonts w:cstheme="minorHAnsi"/>
                <w:sz w:val="22"/>
                <w:szCs w:val="22"/>
              </w:rPr>
            </w:pPr>
            <w:r w:rsidRPr="00CF7AAE">
              <w:rPr>
                <w:rFonts w:cstheme="minorHAnsi"/>
                <w:sz w:val="22"/>
                <w:szCs w:val="22"/>
              </w:rPr>
              <w:t>Przyjęto propozycję</w:t>
            </w:r>
            <w:r w:rsidR="00C0145D" w:rsidRPr="00CF7AAE">
              <w:rPr>
                <w:rFonts w:cstheme="minorHAnsi"/>
                <w:sz w:val="22"/>
                <w:szCs w:val="22"/>
              </w:rPr>
              <w:t xml:space="preserve"> PKN</w:t>
            </w:r>
            <w:r w:rsidR="00C93E49" w:rsidRPr="00CF7AAE">
              <w:rPr>
                <w:rFonts w:cstheme="minorHAnsi"/>
                <w:sz w:val="22"/>
                <w:szCs w:val="22"/>
              </w:rPr>
              <w:t xml:space="preserve">: </w:t>
            </w:r>
            <w:r w:rsidR="00C0145D" w:rsidRPr="00CF7AAE">
              <w:rPr>
                <w:rFonts w:cstheme="minorHAnsi"/>
                <w:sz w:val="22"/>
                <w:szCs w:val="22"/>
              </w:rPr>
              <w:t>„</w:t>
            </w:r>
            <w:r w:rsidR="000E725C" w:rsidRPr="00CF7AAE">
              <w:rPr>
                <w:rFonts w:cstheme="minorHAnsi"/>
                <w:sz w:val="22"/>
                <w:szCs w:val="22"/>
              </w:rPr>
              <w:t xml:space="preserve">Raporcie ETSI TR 121 915 V.15.0.0. (2019-10) lub dokumencie go </w:t>
            </w:r>
            <w:r w:rsidR="00C93E49" w:rsidRPr="00CF7AAE">
              <w:rPr>
                <w:rFonts w:cstheme="minorHAnsi"/>
                <w:sz w:val="22"/>
                <w:szCs w:val="22"/>
              </w:rPr>
              <w:t>zastępującym</w:t>
            </w:r>
            <w:r w:rsidR="00C0145D" w:rsidRPr="00CF7AAE">
              <w:rPr>
                <w:rFonts w:cstheme="minorHAnsi"/>
                <w:sz w:val="22"/>
                <w:szCs w:val="22"/>
              </w:rPr>
              <w:t>”</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3 ust. 1 pkt 1</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xml:space="preserve">Odesłanie w § 3 ust. 1 pkt 1 do rekomendacji, o której mowa w art. 33 ust. 4 ustawy z dnia 5 lipca 2018 r. krajowym systemie cyberbezpieczeństwa, zwanej dalej „UKSC”, jest nieuprawnione. Łączy ono dwa reżimy prawne, które ustawodawca celowo uczynił odrębnymi, tj. reżimu wymogów dotyczących bezpieczeństwa oraz integralności sieci i usług, wynikającego dla przedsiębiorców telekomunikacyjnych z Pt (art. 175 – art. 175e Pt; implementacja dyrektywy ramowej) oraz reżimu odnoszącego się do systemu bezpieczeństwa oraz zgłaszania incydentów, zawartego w UKSC (implementacja tzw. dyrektywy NIS), z której to ustawy (w nawiązaniu do dyrektywy NIS) wprost wynika wyłączenie przedsiębiorców </w:t>
            </w:r>
            <w:r w:rsidRPr="00CF7AAE">
              <w:rPr>
                <w:sz w:val="22"/>
              </w:rPr>
              <w:lastRenderedPageBreak/>
              <w:t>telekomunikacyjnych spod jej stosowania (art. 1 ust. 2 pkt 1 UKSC). Odesłanie przedsiębiorców telekomunikacyjnych do ww. rekomendacji, wydawanych na podsta</w:t>
            </w:r>
            <w:r w:rsidR="001C7481" w:rsidRPr="00CF7AAE">
              <w:rPr>
                <w:sz w:val="22"/>
              </w:rPr>
              <w:t xml:space="preserve">wie UKSC, celem ich stosowania </w:t>
            </w:r>
            <w:r w:rsidRPr="00CF7AAE">
              <w:rPr>
                <w:sz w:val="22"/>
              </w:rPr>
              <w:t>w procesie zarządzania ryzykiem prowadzonym w reżimie Pt jest zatem niewłaściwe</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FA2F43" w:rsidP="00E5064D">
            <w:pPr>
              <w:pStyle w:val="Nagwek"/>
              <w:spacing w:before="0" w:after="0" w:line="240" w:lineRule="auto"/>
              <w:contextualSpacing/>
              <w:jc w:val="both"/>
              <w:rPr>
                <w:rFonts w:cstheme="minorHAnsi"/>
                <w:sz w:val="22"/>
                <w:szCs w:val="22"/>
              </w:rPr>
            </w:pPr>
            <w:r w:rsidRPr="00CF7AAE">
              <w:rPr>
                <w:rFonts w:cstheme="minorHAnsi"/>
                <w:sz w:val="22"/>
                <w:szCs w:val="22"/>
              </w:rPr>
              <w:lastRenderedPageBreak/>
              <w:t>Wyjaśnienie.</w:t>
            </w:r>
          </w:p>
          <w:p w:rsidR="00FA2F43" w:rsidRPr="00CF7AAE" w:rsidRDefault="00FA2F43" w:rsidP="00E5064D">
            <w:pPr>
              <w:pStyle w:val="Nagwek"/>
              <w:spacing w:before="0" w:after="0" w:line="240" w:lineRule="auto"/>
              <w:contextualSpacing/>
              <w:rPr>
                <w:rFonts w:cstheme="minorHAnsi"/>
                <w:sz w:val="22"/>
                <w:szCs w:val="22"/>
              </w:rPr>
            </w:pPr>
            <w:r w:rsidRPr="00CF7AAE">
              <w:rPr>
                <w:rFonts w:cstheme="minorHAnsi"/>
                <w:sz w:val="22"/>
                <w:szCs w:val="22"/>
              </w:rPr>
              <w:t xml:space="preserve">Wyłączenie przedsiębiorców telekomunikacyjnych spod ustawy o KSC nie jest zupełne – odnosi się tylko do wymogów bezpieczeństwa i zgłaszania incydentów określonych w tej ustawie. Jest możliwe odniesienie się do rekomendacji jako jednego z elementów, który ma być brany pod uwagę w trakcie szacowania ryzyka u danego przedsiębiorcy. </w:t>
            </w:r>
          </w:p>
          <w:p w:rsidR="00E26785" w:rsidRPr="00CF7AAE" w:rsidRDefault="00E26785" w:rsidP="00E5064D">
            <w:pPr>
              <w:pStyle w:val="Nagwek"/>
              <w:spacing w:before="0" w:after="0" w:line="240" w:lineRule="auto"/>
              <w:contextualSpacing/>
              <w:rPr>
                <w:rFonts w:cstheme="minorHAnsi"/>
                <w:sz w:val="22"/>
                <w:szCs w:val="22"/>
              </w:rPr>
            </w:pPr>
          </w:p>
          <w:p w:rsidR="00E26785" w:rsidRPr="00CF7AAE" w:rsidRDefault="00E26785" w:rsidP="00530EA3">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E26785" w:rsidRPr="00CF7AAE" w:rsidRDefault="00E26785" w:rsidP="00530EA3">
            <w:pPr>
              <w:pStyle w:val="Nagwek"/>
              <w:spacing w:before="0" w:after="0" w:line="240" w:lineRule="auto"/>
              <w:contextualSpacing/>
              <w:jc w:val="both"/>
              <w:rPr>
                <w:rFonts w:cstheme="minorHAnsi"/>
                <w:sz w:val="22"/>
                <w:szCs w:val="22"/>
              </w:rPr>
            </w:pPr>
            <w:r w:rsidRPr="00CF7AAE">
              <w:rPr>
                <w:rFonts w:cstheme="minorHAnsi"/>
                <w:sz w:val="22"/>
                <w:szCs w:val="22"/>
              </w:rPr>
              <w:t>Przedstawiono wyjaśnienie MC.</w:t>
            </w:r>
          </w:p>
          <w:p w:rsidR="00E26785" w:rsidRPr="00CF7AAE" w:rsidRDefault="00E26785" w:rsidP="002F45FB">
            <w:pPr>
              <w:pStyle w:val="Nagwek"/>
              <w:spacing w:before="0" w:after="0" w:line="240" w:lineRule="auto"/>
              <w:contextualSpacing/>
              <w:jc w:val="both"/>
              <w:rPr>
                <w:rFonts w:cstheme="minorHAnsi"/>
                <w:sz w:val="22"/>
                <w:szCs w:val="22"/>
              </w:rPr>
            </w:pPr>
            <w:r w:rsidRPr="00CF7AAE">
              <w:rPr>
                <w:rFonts w:cstheme="minorHAnsi"/>
                <w:sz w:val="22"/>
                <w:szCs w:val="22"/>
              </w:rPr>
              <w:t xml:space="preserve">MC przygotowało nowe brzmienie przepisu, który będzie przedmiotem posiedzenia komisji </w:t>
            </w:r>
            <w:r w:rsidR="00A90656" w:rsidRPr="00CF7AAE">
              <w:rPr>
                <w:rFonts w:cstheme="minorHAnsi"/>
                <w:sz w:val="22"/>
                <w:szCs w:val="22"/>
              </w:rPr>
              <w:t>prawniczej</w:t>
            </w:r>
            <w:r w:rsidRPr="00CF7AAE">
              <w:rPr>
                <w:rFonts w:cstheme="minorHAnsi"/>
                <w:sz w:val="22"/>
                <w:szCs w:val="22"/>
              </w:rPr>
              <w:t>.</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3 ust. 1 pkt 2</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Zawarty w § 3 ust. 1 pkt 2 zapis „unikanie uzależnienia od jednego producenta poszczególnych elementów sieci telekomunikacyjnej przy jednoczesnym zapewnieniu interoperacyjności usług oraz wykorzystaniu najnowocześniejszych osiągnięć technicznych” nie zawiera jednoznacznej treści normatywnej - czy chodzi tu de facto o nałożenie obowiązków zapewniania interoperacyjności usług oraz wykorzystania najnowocześniejszych osiągnięć technicznych? Jaka jest relacja tych wymogów do zakresu delegacji ustawowej?</w:t>
            </w:r>
          </w:p>
        </w:tc>
        <w:tc>
          <w:tcPr>
            <w:tcW w:w="4391" w:type="dxa"/>
            <w:tcBorders>
              <w:top w:val="single" w:sz="4" w:space="0" w:color="auto"/>
              <w:left w:val="single" w:sz="4" w:space="0" w:color="auto"/>
              <w:bottom w:val="single" w:sz="4" w:space="0" w:color="auto"/>
              <w:right w:val="single" w:sz="4" w:space="0" w:color="auto"/>
            </w:tcBorders>
          </w:tcPr>
          <w:p w:rsidR="0097303F" w:rsidRPr="00CF7AAE" w:rsidRDefault="0097303F" w:rsidP="00E5064D">
            <w:pPr>
              <w:pStyle w:val="Nagwek"/>
              <w:spacing w:before="0" w:after="0" w:line="240" w:lineRule="auto"/>
              <w:contextualSpacing/>
              <w:jc w:val="both"/>
              <w:rPr>
                <w:rFonts w:cstheme="minorHAnsi"/>
                <w:sz w:val="22"/>
                <w:szCs w:val="22"/>
              </w:rPr>
            </w:pPr>
            <w:r w:rsidRPr="00CF7AAE">
              <w:rPr>
                <w:rFonts w:cstheme="minorHAnsi"/>
                <w:sz w:val="22"/>
                <w:szCs w:val="22"/>
              </w:rPr>
              <w:t>Uwag</w:t>
            </w:r>
            <w:r w:rsidR="00CA430C" w:rsidRPr="00CF7AAE">
              <w:rPr>
                <w:rFonts w:cstheme="minorHAnsi"/>
                <w:sz w:val="22"/>
                <w:szCs w:val="22"/>
              </w:rPr>
              <w:t>a</w:t>
            </w:r>
            <w:r w:rsidRPr="00CF7AAE">
              <w:rPr>
                <w:rFonts w:cstheme="minorHAnsi"/>
                <w:sz w:val="22"/>
                <w:szCs w:val="22"/>
              </w:rPr>
              <w:t xml:space="preserve"> częściowo uwzględniona.</w:t>
            </w:r>
          </w:p>
          <w:p w:rsidR="002C1947" w:rsidRPr="00CF7AAE" w:rsidRDefault="0097303F" w:rsidP="00E5064D">
            <w:pPr>
              <w:pStyle w:val="Nagwek"/>
              <w:spacing w:before="0" w:after="0" w:line="240" w:lineRule="auto"/>
              <w:contextualSpacing/>
              <w:jc w:val="both"/>
              <w:rPr>
                <w:rFonts w:cstheme="minorHAnsi"/>
                <w:sz w:val="22"/>
                <w:szCs w:val="22"/>
              </w:rPr>
            </w:pPr>
            <w:r w:rsidRPr="00CF7AAE">
              <w:rPr>
                <w:rFonts w:cstheme="minorHAnsi"/>
                <w:sz w:val="22"/>
                <w:szCs w:val="22"/>
              </w:rPr>
              <w:t>Usunięto wyraz</w:t>
            </w:r>
            <w:r w:rsidR="00A37A5E" w:rsidRPr="00CF7AAE">
              <w:rPr>
                <w:rFonts w:cstheme="minorHAnsi"/>
                <w:sz w:val="22"/>
                <w:szCs w:val="22"/>
              </w:rPr>
              <w:t>y</w:t>
            </w:r>
            <w:r w:rsidRPr="00CF7AAE">
              <w:rPr>
                <w:rFonts w:cstheme="minorHAnsi"/>
                <w:sz w:val="22"/>
                <w:szCs w:val="22"/>
              </w:rPr>
              <w:t xml:space="preserve"> „</w:t>
            </w:r>
            <w:r w:rsidR="00A37A5E" w:rsidRPr="00CF7AAE">
              <w:rPr>
                <w:rFonts w:cstheme="minorHAnsi"/>
                <w:sz w:val="22"/>
                <w:szCs w:val="22"/>
              </w:rPr>
              <w:t xml:space="preserve">z uwzględnieniem </w:t>
            </w:r>
            <w:r w:rsidRPr="00CF7AAE">
              <w:rPr>
                <w:rFonts w:cstheme="minorHAnsi"/>
                <w:sz w:val="22"/>
                <w:szCs w:val="22"/>
              </w:rPr>
              <w:t>najnowocześniejszych</w:t>
            </w:r>
            <w:r w:rsidR="00A37A5E" w:rsidRPr="00CF7AAE">
              <w:rPr>
                <w:rFonts w:cstheme="minorHAnsi"/>
                <w:sz w:val="22"/>
                <w:szCs w:val="22"/>
              </w:rPr>
              <w:t xml:space="preserve"> osiągnięć technicznych</w:t>
            </w:r>
            <w:r w:rsidRPr="00CF7AAE">
              <w:rPr>
                <w:rFonts w:cstheme="minorHAnsi"/>
                <w:sz w:val="22"/>
                <w:szCs w:val="22"/>
              </w:rPr>
              <w:t>”.</w:t>
            </w:r>
          </w:p>
          <w:p w:rsidR="00FA2F43" w:rsidRPr="00CF7AAE" w:rsidRDefault="00E5064D" w:rsidP="00E5064D">
            <w:pPr>
              <w:pStyle w:val="Nagwek"/>
              <w:spacing w:before="0" w:after="0" w:line="240" w:lineRule="auto"/>
              <w:contextualSpacing/>
              <w:jc w:val="both"/>
              <w:rPr>
                <w:rFonts w:cstheme="minorHAnsi"/>
                <w:sz w:val="22"/>
                <w:szCs w:val="22"/>
              </w:rPr>
            </w:pPr>
            <w:r w:rsidRPr="00CF7AAE">
              <w:rPr>
                <w:rFonts w:cstheme="minorHAnsi"/>
                <w:sz w:val="22"/>
                <w:szCs w:val="22"/>
              </w:rPr>
              <w:t>Odnosząc się</w:t>
            </w:r>
            <w:r w:rsidR="00A37A5E" w:rsidRPr="00CF7AAE">
              <w:rPr>
                <w:rFonts w:cstheme="minorHAnsi"/>
                <w:sz w:val="22"/>
                <w:szCs w:val="22"/>
              </w:rPr>
              <w:t xml:space="preserve"> do drugiej części uwagi - n</w:t>
            </w:r>
            <w:r w:rsidR="00FA2F43" w:rsidRPr="00CF7AAE">
              <w:rPr>
                <w:rFonts w:cstheme="minorHAnsi"/>
                <w:sz w:val="22"/>
                <w:szCs w:val="22"/>
              </w:rPr>
              <w:t xml:space="preserve">ie jest to nałożenie nowego obowiązku, tylko doprecyzowanie istniejącego. </w:t>
            </w:r>
          </w:p>
          <w:p w:rsidR="009876DD" w:rsidRPr="00CF7AAE" w:rsidRDefault="009876DD" w:rsidP="00E5064D">
            <w:pPr>
              <w:pStyle w:val="Nagwek"/>
              <w:spacing w:before="0" w:after="0" w:line="240" w:lineRule="auto"/>
              <w:contextualSpacing/>
              <w:jc w:val="both"/>
              <w:rPr>
                <w:rFonts w:cstheme="minorHAnsi"/>
                <w:sz w:val="22"/>
                <w:szCs w:val="22"/>
              </w:rPr>
            </w:pPr>
          </w:p>
          <w:p w:rsidR="00A90656" w:rsidRPr="00CF7AAE" w:rsidRDefault="00A90656" w:rsidP="00530EA3">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A90656" w:rsidRPr="00CF7AAE" w:rsidRDefault="00A90656" w:rsidP="00A90656">
            <w:pPr>
              <w:pStyle w:val="Nagwek"/>
              <w:spacing w:before="0" w:after="0" w:line="240" w:lineRule="auto"/>
              <w:contextualSpacing/>
              <w:jc w:val="both"/>
              <w:rPr>
                <w:rFonts w:cstheme="minorHAnsi"/>
                <w:sz w:val="22"/>
                <w:szCs w:val="22"/>
              </w:rPr>
            </w:pPr>
            <w:r w:rsidRPr="00CF7AAE">
              <w:rPr>
                <w:rFonts w:cstheme="minorHAnsi"/>
                <w:sz w:val="22"/>
                <w:szCs w:val="22"/>
              </w:rPr>
              <w:t>Przedstawiono wyjaśnienie MC.</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3 ust. 1 pkt 3</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Użyte w § 3 ust. 1 pkt 3 pojęcie „podwyższanie odporności na zakłócenia” jest praktycznie tożsame z zastosowaniem wszystkich pozostałych środków w celu zapewnienia bezpieczeństwa. Należy wykreślić tak sformułowany zapis jako niewnoszący żadnej dodatkowej treści normatywnej</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FA2F43" w:rsidP="00E5064D">
            <w:pPr>
              <w:pStyle w:val="Nagwek"/>
              <w:spacing w:before="0" w:after="0" w:line="240" w:lineRule="auto"/>
              <w:contextualSpacing/>
              <w:jc w:val="both"/>
              <w:rPr>
                <w:rFonts w:cstheme="minorHAnsi"/>
                <w:sz w:val="22"/>
                <w:szCs w:val="22"/>
              </w:rPr>
            </w:pPr>
            <w:r w:rsidRPr="00CF7AAE">
              <w:rPr>
                <w:rFonts w:cstheme="minorHAnsi"/>
                <w:sz w:val="22"/>
                <w:szCs w:val="22"/>
              </w:rPr>
              <w:t xml:space="preserve">Uwaga nieuwzględniona. </w:t>
            </w:r>
          </w:p>
          <w:p w:rsidR="00FA2F43" w:rsidRPr="00CF7AAE" w:rsidRDefault="001B2BBE" w:rsidP="00E5064D">
            <w:pPr>
              <w:pStyle w:val="Nagwek"/>
              <w:spacing w:before="0" w:after="0" w:line="240" w:lineRule="auto"/>
              <w:contextualSpacing/>
              <w:rPr>
                <w:rFonts w:cstheme="minorHAnsi"/>
                <w:sz w:val="22"/>
                <w:szCs w:val="22"/>
              </w:rPr>
            </w:pPr>
            <w:r w:rsidRPr="00CF7AAE">
              <w:rPr>
                <w:rFonts w:cstheme="minorHAnsi"/>
                <w:sz w:val="22"/>
                <w:szCs w:val="22"/>
              </w:rPr>
              <w:t>Zapis wskazuje element, którym ma się kierować przedsiębiorca telekomunikacyjny podczas szacowania ryzyka.</w:t>
            </w:r>
          </w:p>
          <w:p w:rsidR="00A90656" w:rsidRPr="00CF7AAE" w:rsidRDefault="00A90656" w:rsidP="00E5064D">
            <w:pPr>
              <w:pStyle w:val="Nagwek"/>
              <w:spacing w:before="0" w:after="0" w:line="240" w:lineRule="auto"/>
              <w:contextualSpacing/>
              <w:rPr>
                <w:rFonts w:cstheme="minorHAnsi"/>
                <w:sz w:val="22"/>
                <w:szCs w:val="22"/>
              </w:rPr>
            </w:pPr>
          </w:p>
          <w:p w:rsidR="00A90656" w:rsidRPr="00CF7AAE" w:rsidRDefault="00A90656" w:rsidP="00530EA3">
            <w:pPr>
              <w:pStyle w:val="Nagwek"/>
              <w:spacing w:before="0" w:after="0" w:line="240" w:lineRule="auto"/>
              <w:contextualSpacing/>
              <w:jc w:val="both"/>
              <w:rPr>
                <w:rFonts w:cstheme="minorHAnsi"/>
                <w:sz w:val="22"/>
                <w:szCs w:val="22"/>
              </w:rPr>
            </w:pPr>
            <w:r w:rsidRPr="00CF7AAE">
              <w:rPr>
                <w:rFonts w:cstheme="minorHAnsi"/>
                <w:sz w:val="22"/>
                <w:szCs w:val="22"/>
              </w:rPr>
              <w:t>Na konferencji:</w:t>
            </w:r>
          </w:p>
          <w:p w:rsidR="00A90656" w:rsidRPr="00CF7AAE" w:rsidRDefault="00A90656" w:rsidP="00530EA3">
            <w:pPr>
              <w:pStyle w:val="Nagwek"/>
              <w:spacing w:before="0" w:after="0" w:line="240" w:lineRule="auto"/>
              <w:contextualSpacing/>
              <w:jc w:val="both"/>
              <w:rPr>
                <w:rFonts w:cstheme="minorHAnsi"/>
                <w:sz w:val="22"/>
                <w:szCs w:val="22"/>
              </w:rPr>
            </w:pPr>
            <w:r w:rsidRPr="00CF7AAE">
              <w:rPr>
                <w:rFonts w:cstheme="minorHAnsi"/>
                <w:sz w:val="22"/>
                <w:szCs w:val="22"/>
              </w:rPr>
              <w:t>Przedstawiono wyjaśnienie MC.</w:t>
            </w:r>
          </w:p>
        </w:tc>
      </w:tr>
      <w:tr w:rsidR="00CF7AAE" w:rsidRPr="00CF7AAE" w:rsidTr="00E5064D">
        <w:tc>
          <w:tcPr>
            <w:tcW w:w="733"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numPr>
                <w:ilvl w:val="0"/>
                <w:numId w:val="17"/>
              </w:numPr>
              <w:tabs>
                <w:tab w:val="left" w:pos="416"/>
              </w:tabs>
              <w:snapToGrid w:val="0"/>
              <w:spacing w:before="0" w:after="0" w:line="240" w:lineRule="auto"/>
              <w:rPr>
                <w:rFonts w:cstheme="minorHAns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C1947" w:rsidRPr="00CF7AAE" w:rsidRDefault="00AD765C" w:rsidP="00E5064D">
            <w:pPr>
              <w:snapToGrid w:val="0"/>
              <w:spacing w:before="0" w:after="0" w:line="240" w:lineRule="auto"/>
              <w:contextualSpacing/>
              <w:rPr>
                <w:rFonts w:cstheme="minorHAnsi"/>
                <w:sz w:val="22"/>
                <w:szCs w:val="22"/>
              </w:rPr>
            </w:pPr>
            <w:r w:rsidRPr="00CF7AAE">
              <w:t>§ 3 ust. 1</w:t>
            </w:r>
          </w:p>
        </w:tc>
        <w:tc>
          <w:tcPr>
            <w:tcW w:w="1559"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spacing w:before="0" w:after="0" w:line="240" w:lineRule="auto"/>
              <w:jc w:val="both"/>
              <w:rPr>
                <w:rFonts w:cstheme="minorHAnsi"/>
                <w:sz w:val="22"/>
                <w:szCs w:val="22"/>
              </w:rPr>
            </w:pPr>
            <w:r w:rsidRPr="00CF7AAE">
              <w:rPr>
                <w:rFonts w:cstheme="minorHAnsi"/>
                <w:sz w:val="22"/>
                <w:szCs w:val="22"/>
              </w:rPr>
              <w:t xml:space="preserve">Urząd Komunikacji Elektronicznej </w:t>
            </w:r>
          </w:p>
          <w:p w:rsidR="002C1947" w:rsidRPr="00CF7AAE" w:rsidRDefault="002C1947" w:rsidP="00E5064D">
            <w:pPr>
              <w:spacing w:before="0" w:after="0" w:line="240" w:lineRule="auto"/>
              <w:jc w:val="both"/>
              <w:rPr>
                <w:rFonts w:cstheme="minorHAnsi"/>
                <w:sz w:val="22"/>
                <w:szCs w:val="22"/>
              </w:rPr>
            </w:pPr>
          </w:p>
        </w:tc>
        <w:tc>
          <w:tcPr>
            <w:tcW w:w="6804" w:type="dxa"/>
            <w:tcBorders>
              <w:top w:val="single" w:sz="4" w:space="0" w:color="auto"/>
              <w:left w:val="single" w:sz="4" w:space="0" w:color="auto"/>
              <w:bottom w:val="single" w:sz="4" w:space="0" w:color="auto"/>
              <w:right w:val="single" w:sz="4" w:space="0" w:color="auto"/>
            </w:tcBorders>
          </w:tcPr>
          <w:p w:rsidR="002C1947" w:rsidRPr="00CF7AAE" w:rsidRDefault="002C1947" w:rsidP="00E5064D">
            <w:pPr>
              <w:pStyle w:val="Akapitzlist"/>
              <w:spacing w:before="0" w:after="0" w:line="240" w:lineRule="auto"/>
              <w:ind w:left="0"/>
              <w:jc w:val="both"/>
              <w:rPr>
                <w:sz w:val="22"/>
              </w:rPr>
            </w:pPr>
            <w:r w:rsidRPr="00CF7AAE">
              <w:rPr>
                <w:sz w:val="22"/>
              </w:rPr>
              <w:t xml:space="preserve">Zawarty w § 3 ust. 1 wymóg jedynie „uwzględniania”, przy realizacji obowiązków zawartych w tym przepisie, odpowiednich rekomendacji, unikania uzależniania i podwyższania odporności pozostawia przedsiębiorcom znaczny margines swobody w zakresie stopnia uwzględnienia wskazanych w pkt 1 – 3 wytycznych, trudny do weryfikacji w procesie kontroli. Nie kwestionując potrzeby miękkiego sformułowania obowiązków na obecnym etapie rozwoju sieci 5G, należałoby przynajmniej wspomniane wytyczne sformułować w bardziej jednoznaczny sposób, a także wymagać od przedsiębiorców zawarcia w dokumentacji, o której mowa w § 3 ust. 2, uzasadnienia dla sposobu czy stopnia, w jakim te wytyczne zostały uwzględnione.  Dotyczy to zwłaszcza zawartego w § 3 ust. 1 pkt 2 wymogu „unikania uzależnienia od jednego producenta poszczególnych elementów sieci telekomunikacyjnej”, który powinien być określony jednoznacznie z jednoczesnym wskazaniem, w jakich </w:t>
            </w:r>
            <w:r w:rsidRPr="00CF7AAE">
              <w:rPr>
                <w:sz w:val="22"/>
              </w:rPr>
              <w:lastRenderedPageBreak/>
              <w:t>przypadkach możliwe jest odstąpienie od jego stosowania, np. tylko wówczas, gdy zastosowanie urządzeń różnych dostawców jest wykluczone z uwagi na brak ich kompatybilności, brak możliwości współpracy lub też wyklucza współpracę pomiędzy przedsiębiorcami telekomunikacyjnymi przy dostarczaniu sieci/świadczeniu usług.</w:t>
            </w:r>
          </w:p>
        </w:tc>
        <w:tc>
          <w:tcPr>
            <w:tcW w:w="4391" w:type="dxa"/>
            <w:tcBorders>
              <w:top w:val="single" w:sz="4" w:space="0" w:color="auto"/>
              <w:left w:val="single" w:sz="4" w:space="0" w:color="auto"/>
              <w:bottom w:val="single" w:sz="4" w:space="0" w:color="auto"/>
              <w:right w:val="single" w:sz="4" w:space="0" w:color="auto"/>
            </w:tcBorders>
          </w:tcPr>
          <w:p w:rsidR="002C1947" w:rsidRPr="00CF7AAE" w:rsidRDefault="009B74E0" w:rsidP="00E5064D">
            <w:pPr>
              <w:pStyle w:val="Nagwek"/>
              <w:spacing w:before="0" w:after="0" w:line="240" w:lineRule="auto"/>
              <w:contextualSpacing/>
              <w:jc w:val="both"/>
              <w:rPr>
                <w:rFonts w:cstheme="minorHAnsi"/>
                <w:sz w:val="22"/>
                <w:szCs w:val="22"/>
              </w:rPr>
            </w:pPr>
            <w:r w:rsidRPr="00CF7AAE">
              <w:rPr>
                <w:rFonts w:cstheme="minorHAnsi"/>
                <w:sz w:val="22"/>
                <w:szCs w:val="22"/>
              </w:rPr>
              <w:lastRenderedPageBreak/>
              <w:t xml:space="preserve">Uwaga </w:t>
            </w:r>
            <w:r w:rsidR="00A37A5E" w:rsidRPr="00CF7AAE">
              <w:rPr>
                <w:rFonts w:cstheme="minorHAnsi"/>
                <w:sz w:val="22"/>
                <w:szCs w:val="22"/>
              </w:rPr>
              <w:t>uwzględniona</w:t>
            </w:r>
            <w:r w:rsidRPr="00CF7AAE">
              <w:rPr>
                <w:rFonts w:cstheme="minorHAnsi"/>
                <w:sz w:val="22"/>
                <w:szCs w:val="22"/>
              </w:rPr>
              <w:t>.</w:t>
            </w:r>
          </w:p>
          <w:p w:rsidR="0062126B" w:rsidRPr="00CF7AAE" w:rsidRDefault="001B2BBE" w:rsidP="0062126B">
            <w:pPr>
              <w:pStyle w:val="Nagwek"/>
              <w:spacing w:before="0" w:after="0" w:line="240" w:lineRule="auto"/>
              <w:contextualSpacing/>
              <w:jc w:val="both"/>
              <w:rPr>
                <w:rFonts w:cstheme="minorHAnsi"/>
                <w:sz w:val="22"/>
                <w:szCs w:val="22"/>
              </w:rPr>
            </w:pPr>
            <w:r w:rsidRPr="00CF7AAE">
              <w:rPr>
                <w:rFonts w:cstheme="minorHAnsi"/>
                <w:sz w:val="22"/>
                <w:szCs w:val="22"/>
              </w:rPr>
              <w:t>Propozycja zapisu uwzględniająca niniejszą uwagę zostanie</w:t>
            </w:r>
            <w:r w:rsidR="00E5064D" w:rsidRPr="00CF7AAE">
              <w:rPr>
                <w:rFonts w:cstheme="minorHAnsi"/>
                <w:sz w:val="22"/>
                <w:szCs w:val="22"/>
              </w:rPr>
              <w:t xml:space="preserve"> wypracowana</w:t>
            </w:r>
            <w:r w:rsidRPr="00CF7AAE">
              <w:rPr>
                <w:rFonts w:cstheme="minorHAnsi"/>
                <w:sz w:val="22"/>
                <w:szCs w:val="22"/>
              </w:rPr>
              <w:t xml:space="preserve"> podczas konferencji uzgodnieniowej. </w:t>
            </w:r>
          </w:p>
          <w:p w:rsidR="0062126B" w:rsidRPr="00CF7AAE" w:rsidRDefault="0062126B" w:rsidP="0062126B">
            <w:pPr>
              <w:pStyle w:val="Nagwek"/>
              <w:spacing w:before="0" w:after="0" w:line="240" w:lineRule="auto"/>
              <w:contextualSpacing/>
              <w:jc w:val="both"/>
              <w:rPr>
                <w:rFonts w:cstheme="minorHAnsi"/>
                <w:sz w:val="22"/>
                <w:szCs w:val="22"/>
              </w:rPr>
            </w:pPr>
          </w:p>
          <w:p w:rsidR="00A8632F" w:rsidRPr="00CF7AAE" w:rsidRDefault="00A90656" w:rsidP="0062126B">
            <w:pPr>
              <w:pStyle w:val="Nagwek"/>
              <w:spacing w:before="0" w:after="0" w:line="240" w:lineRule="auto"/>
              <w:contextualSpacing/>
              <w:jc w:val="both"/>
              <w:rPr>
                <w:rFonts w:cstheme="minorHAnsi"/>
                <w:sz w:val="22"/>
                <w:szCs w:val="22"/>
              </w:rPr>
            </w:pPr>
            <w:r w:rsidRPr="00CF7AAE">
              <w:rPr>
                <w:rFonts w:cstheme="minorHAnsi"/>
                <w:sz w:val="22"/>
                <w:szCs w:val="22"/>
              </w:rPr>
              <w:t>Na</w:t>
            </w:r>
            <w:r w:rsidR="00A8632F" w:rsidRPr="00CF7AAE">
              <w:rPr>
                <w:rFonts w:cstheme="minorHAnsi"/>
                <w:sz w:val="22"/>
                <w:szCs w:val="22"/>
              </w:rPr>
              <w:t xml:space="preserve"> konferencji. </w:t>
            </w:r>
          </w:p>
          <w:p w:rsidR="0062126B" w:rsidRPr="00CF7AAE" w:rsidRDefault="00A8632F" w:rsidP="00A8632F">
            <w:pPr>
              <w:pStyle w:val="Nagwek"/>
              <w:spacing w:before="0" w:after="0" w:line="240" w:lineRule="auto"/>
              <w:contextualSpacing/>
              <w:jc w:val="both"/>
              <w:rPr>
                <w:rFonts w:cstheme="minorHAnsi"/>
                <w:sz w:val="22"/>
                <w:szCs w:val="22"/>
              </w:rPr>
            </w:pPr>
            <w:r w:rsidRPr="00CF7AAE">
              <w:rPr>
                <w:rFonts w:cstheme="minorHAnsi"/>
                <w:sz w:val="22"/>
                <w:szCs w:val="22"/>
              </w:rPr>
              <w:t>Wskazanie jako obowiązkowego jedynie „uwzględniania”</w:t>
            </w:r>
            <w:r w:rsidR="00D74855" w:rsidRPr="00CF7AAE">
              <w:rPr>
                <w:rFonts w:cstheme="minorHAnsi"/>
                <w:sz w:val="22"/>
                <w:szCs w:val="22"/>
              </w:rPr>
              <w:t xml:space="preserve"> m.in. odpowiednich rekomendacji </w:t>
            </w:r>
            <w:r w:rsidRPr="00CF7AAE">
              <w:rPr>
                <w:rFonts w:cstheme="minorHAnsi"/>
                <w:sz w:val="22"/>
                <w:szCs w:val="22"/>
              </w:rPr>
              <w:t>jest celowym zabiegiem – nie jest planowane nałożenie nowego obowiązku, jedynie wskazanie koniecznych środków.</w:t>
            </w:r>
          </w:p>
        </w:tc>
      </w:tr>
    </w:tbl>
    <w:p w:rsidR="001C5E22" w:rsidRPr="00CF7AAE" w:rsidRDefault="001C5E22" w:rsidP="00E5064D">
      <w:pPr>
        <w:spacing w:before="0" w:after="0" w:line="240" w:lineRule="auto"/>
        <w:contextualSpacing/>
        <w:rPr>
          <w:rFonts w:cstheme="minorHAnsi"/>
          <w:sz w:val="22"/>
          <w:szCs w:val="22"/>
        </w:rPr>
      </w:pPr>
    </w:p>
    <w:p w:rsidR="00DA5447" w:rsidRPr="001C5E22" w:rsidRDefault="001C5E22" w:rsidP="001C5E22">
      <w:pPr>
        <w:tabs>
          <w:tab w:val="left" w:pos="5232"/>
        </w:tabs>
        <w:rPr>
          <w:rFonts w:cstheme="minorHAnsi"/>
          <w:sz w:val="22"/>
          <w:szCs w:val="22"/>
        </w:rPr>
      </w:pPr>
      <w:r>
        <w:rPr>
          <w:rFonts w:cstheme="minorHAnsi"/>
          <w:sz w:val="22"/>
          <w:szCs w:val="22"/>
        </w:rPr>
        <w:tab/>
      </w:r>
    </w:p>
    <w:sectPr w:rsidR="00DA5447" w:rsidRPr="001C5E22" w:rsidSect="00BC6DE9">
      <w:footerReference w:type="even" r:id="rId8"/>
      <w:footerReference w:type="default" r:id="rId9"/>
      <w:footnotePr>
        <w:pos w:val="beneathText"/>
      </w:footnotePr>
      <w:pgSz w:w="16837" w:h="11905" w:orient="landscape" w:code="9"/>
      <w:pgMar w:top="284" w:right="1134"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161" w:rsidRDefault="008B6161" w:rsidP="00CE5BE0">
      <w:r>
        <w:separator/>
      </w:r>
    </w:p>
  </w:endnote>
  <w:endnote w:type="continuationSeparator" w:id="0">
    <w:p w:rsidR="008B6161" w:rsidRDefault="008B6161" w:rsidP="00CE5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E1" w:rsidRDefault="00961AE1"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61AE1" w:rsidRDefault="00961AE1" w:rsidP="00FB49D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E1" w:rsidRDefault="00961AE1"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D7256">
      <w:rPr>
        <w:rStyle w:val="Numerstrony"/>
        <w:noProof/>
      </w:rPr>
      <w:t>1</w:t>
    </w:r>
    <w:r>
      <w:rPr>
        <w:rStyle w:val="Numerstrony"/>
      </w:rPr>
      <w:fldChar w:fldCharType="end"/>
    </w:r>
  </w:p>
  <w:p w:rsidR="00961AE1" w:rsidRDefault="00961AE1" w:rsidP="00FB49D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161" w:rsidRDefault="008B6161" w:rsidP="00CE5BE0">
      <w:r>
        <w:separator/>
      </w:r>
    </w:p>
  </w:footnote>
  <w:footnote w:type="continuationSeparator" w:id="0">
    <w:p w:rsidR="008B6161" w:rsidRDefault="008B6161" w:rsidP="00CE5B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8AE295C"/>
    <w:multiLevelType w:val="hybridMultilevel"/>
    <w:tmpl w:val="BDDE5D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0A5B1D"/>
    <w:multiLevelType w:val="hybridMultilevel"/>
    <w:tmpl w:val="FC4203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F0F7526"/>
    <w:multiLevelType w:val="hybridMultilevel"/>
    <w:tmpl w:val="28B038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1F4658"/>
    <w:multiLevelType w:val="hybridMultilevel"/>
    <w:tmpl w:val="1554A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707AFC"/>
    <w:multiLevelType w:val="hybridMultilevel"/>
    <w:tmpl w:val="60D8CB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0E40363"/>
    <w:multiLevelType w:val="hybridMultilevel"/>
    <w:tmpl w:val="8E9C7D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52B21A4"/>
    <w:multiLevelType w:val="hybridMultilevel"/>
    <w:tmpl w:val="D584E370"/>
    <w:lvl w:ilvl="0" w:tplc="BFFE226E">
      <w:start w:val="1"/>
      <w:numFmt w:val="lowerLetter"/>
      <w:lvlText w:val="%1)"/>
      <w:lvlJc w:val="left"/>
      <w:pPr>
        <w:ind w:left="720" w:hanging="360"/>
      </w:pPr>
      <w:rPr>
        <w:rFonts w:ascii="Arial" w:hAnsi="Arial" w:cs="Times New Roman"/>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nsid w:val="2BDC4820"/>
    <w:multiLevelType w:val="hybridMultilevel"/>
    <w:tmpl w:val="E6F27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DF8260F"/>
    <w:multiLevelType w:val="hybridMultilevel"/>
    <w:tmpl w:val="A67EB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3263AEE"/>
    <w:multiLevelType w:val="hybridMultilevel"/>
    <w:tmpl w:val="9F50383C"/>
    <w:lvl w:ilvl="0" w:tplc="5776D658">
      <w:start w:val="16"/>
      <w:numFmt w:val="decimal"/>
      <w:lvlText w:val="%1)"/>
      <w:lvlJc w:val="left"/>
      <w:pPr>
        <w:tabs>
          <w:tab w:val="num" w:pos="555"/>
        </w:tabs>
        <w:ind w:left="555" w:hanging="435"/>
      </w:pPr>
      <w:rPr>
        <w:rFonts w:cs="Times New Roman" w:hint="default"/>
      </w:rPr>
    </w:lvl>
    <w:lvl w:ilvl="1" w:tplc="04150019" w:tentative="1">
      <w:start w:val="1"/>
      <w:numFmt w:val="lowerLetter"/>
      <w:lvlText w:val="%2."/>
      <w:lvlJc w:val="left"/>
      <w:pPr>
        <w:tabs>
          <w:tab w:val="num" w:pos="1200"/>
        </w:tabs>
        <w:ind w:left="1200" w:hanging="360"/>
      </w:pPr>
      <w:rPr>
        <w:rFonts w:cs="Times New Roman"/>
      </w:rPr>
    </w:lvl>
    <w:lvl w:ilvl="2" w:tplc="0415001B" w:tentative="1">
      <w:start w:val="1"/>
      <w:numFmt w:val="lowerRoman"/>
      <w:lvlText w:val="%3."/>
      <w:lvlJc w:val="right"/>
      <w:pPr>
        <w:tabs>
          <w:tab w:val="num" w:pos="1920"/>
        </w:tabs>
        <w:ind w:left="1920" w:hanging="180"/>
      </w:pPr>
      <w:rPr>
        <w:rFonts w:cs="Times New Roman"/>
      </w:rPr>
    </w:lvl>
    <w:lvl w:ilvl="3" w:tplc="0415000F" w:tentative="1">
      <w:start w:val="1"/>
      <w:numFmt w:val="decimal"/>
      <w:lvlText w:val="%4."/>
      <w:lvlJc w:val="left"/>
      <w:pPr>
        <w:tabs>
          <w:tab w:val="num" w:pos="2640"/>
        </w:tabs>
        <w:ind w:left="2640" w:hanging="360"/>
      </w:pPr>
      <w:rPr>
        <w:rFonts w:cs="Times New Roman"/>
      </w:rPr>
    </w:lvl>
    <w:lvl w:ilvl="4" w:tplc="04150019" w:tentative="1">
      <w:start w:val="1"/>
      <w:numFmt w:val="lowerLetter"/>
      <w:lvlText w:val="%5."/>
      <w:lvlJc w:val="left"/>
      <w:pPr>
        <w:tabs>
          <w:tab w:val="num" w:pos="3360"/>
        </w:tabs>
        <w:ind w:left="3360" w:hanging="360"/>
      </w:pPr>
      <w:rPr>
        <w:rFonts w:cs="Times New Roman"/>
      </w:rPr>
    </w:lvl>
    <w:lvl w:ilvl="5" w:tplc="0415001B" w:tentative="1">
      <w:start w:val="1"/>
      <w:numFmt w:val="lowerRoman"/>
      <w:lvlText w:val="%6."/>
      <w:lvlJc w:val="right"/>
      <w:pPr>
        <w:tabs>
          <w:tab w:val="num" w:pos="4080"/>
        </w:tabs>
        <w:ind w:left="4080" w:hanging="180"/>
      </w:pPr>
      <w:rPr>
        <w:rFonts w:cs="Times New Roman"/>
      </w:rPr>
    </w:lvl>
    <w:lvl w:ilvl="6" w:tplc="0415000F" w:tentative="1">
      <w:start w:val="1"/>
      <w:numFmt w:val="decimal"/>
      <w:lvlText w:val="%7."/>
      <w:lvlJc w:val="left"/>
      <w:pPr>
        <w:tabs>
          <w:tab w:val="num" w:pos="4800"/>
        </w:tabs>
        <w:ind w:left="4800" w:hanging="360"/>
      </w:pPr>
      <w:rPr>
        <w:rFonts w:cs="Times New Roman"/>
      </w:rPr>
    </w:lvl>
    <w:lvl w:ilvl="7" w:tplc="04150019" w:tentative="1">
      <w:start w:val="1"/>
      <w:numFmt w:val="lowerLetter"/>
      <w:lvlText w:val="%8."/>
      <w:lvlJc w:val="left"/>
      <w:pPr>
        <w:tabs>
          <w:tab w:val="num" w:pos="5520"/>
        </w:tabs>
        <w:ind w:left="5520" w:hanging="360"/>
      </w:pPr>
      <w:rPr>
        <w:rFonts w:cs="Times New Roman"/>
      </w:rPr>
    </w:lvl>
    <w:lvl w:ilvl="8" w:tplc="0415001B" w:tentative="1">
      <w:start w:val="1"/>
      <w:numFmt w:val="lowerRoman"/>
      <w:lvlText w:val="%9."/>
      <w:lvlJc w:val="right"/>
      <w:pPr>
        <w:tabs>
          <w:tab w:val="num" w:pos="6240"/>
        </w:tabs>
        <w:ind w:left="6240" w:hanging="180"/>
      </w:pPr>
      <w:rPr>
        <w:rFonts w:cs="Times New Roman"/>
      </w:rPr>
    </w:lvl>
  </w:abstractNum>
  <w:abstractNum w:abstractNumId="12">
    <w:nsid w:val="46A3290F"/>
    <w:multiLevelType w:val="hybridMultilevel"/>
    <w:tmpl w:val="BCEADE2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4F08190B"/>
    <w:multiLevelType w:val="hybridMultilevel"/>
    <w:tmpl w:val="EB26C6A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508969D6"/>
    <w:multiLevelType w:val="hybridMultilevel"/>
    <w:tmpl w:val="0888C66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64001626"/>
    <w:multiLevelType w:val="hybridMultilevel"/>
    <w:tmpl w:val="C90EBB6A"/>
    <w:lvl w:ilvl="0" w:tplc="04150011">
      <w:start w:val="1"/>
      <w:numFmt w:val="decimal"/>
      <w:lvlText w:val="%1)"/>
      <w:lvlJc w:val="left"/>
      <w:pPr>
        <w:ind w:left="764" w:hanging="40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612080E"/>
    <w:multiLevelType w:val="hybridMultilevel"/>
    <w:tmpl w:val="6DB0657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695776CB"/>
    <w:multiLevelType w:val="hybridMultilevel"/>
    <w:tmpl w:val="62FCEAC6"/>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6D2916ED"/>
    <w:multiLevelType w:val="hybridMultilevel"/>
    <w:tmpl w:val="D59202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4261F75"/>
    <w:multiLevelType w:val="hybridMultilevel"/>
    <w:tmpl w:val="B7C0E48C"/>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756F7AC8"/>
    <w:multiLevelType w:val="hybridMultilevel"/>
    <w:tmpl w:val="B6DEEA3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7B997BFC"/>
    <w:multiLevelType w:val="hybridMultilevel"/>
    <w:tmpl w:val="81EEE4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ED349BE"/>
    <w:multiLevelType w:val="hybridMultilevel"/>
    <w:tmpl w:val="6174120E"/>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7FB2206E"/>
    <w:multiLevelType w:val="hybridMultilevel"/>
    <w:tmpl w:val="9F7288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20"/>
  </w:num>
  <w:num w:numId="4">
    <w:abstractNumId w:val="22"/>
  </w:num>
  <w:num w:numId="5">
    <w:abstractNumId w:val="17"/>
  </w:num>
  <w:num w:numId="6">
    <w:abstractNumId w:val="16"/>
  </w:num>
  <w:num w:numId="7">
    <w:abstractNumId w:val="13"/>
  </w:num>
  <w:num w:numId="8">
    <w:abstractNumId w:val="1"/>
  </w:num>
  <w:num w:numId="9">
    <w:abstractNumId w:val="11"/>
  </w:num>
  <w:num w:numId="10">
    <w:abstractNumId w:val="12"/>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8"/>
  </w:num>
  <w:num w:numId="15">
    <w:abstractNumId w:val="1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5"/>
  </w:num>
  <w:num w:numId="22">
    <w:abstractNumId w:val="23"/>
  </w:num>
  <w:num w:numId="23">
    <w:abstractNumId w:val="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13E"/>
    <w:rsid w:val="0000013C"/>
    <w:rsid w:val="00003298"/>
    <w:rsid w:val="0000412F"/>
    <w:rsid w:val="0001404E"/>
    <w:rsid w:val="000145F2"/>
    <w:rsid w:val="00016771"/>
    <w:rsid w:val="000310C2"/>
    <w:rsid w:val="000324FE"/>
    <w:rsid w:val="0004645F"/>
    <w:rsid w:val="00047B80"/>
    <w:rsid w:val="000533EE"/>
    <w:rsid w:val="00054F80"/>
    <w:rsid w:val="000570ED"/>
    <w:rsid w:val="00060DB2"/>
    <w:rsid w:val="00061798"/>
    <w:rsid w:val="0007045A"/>
    <w:rsid w:val="00070D2B"/>
    <w:rsid w:val="00072E3F"/>
    <w:rsid w:val="000835E5"/>
    <w:rsid w:val="0008482E"/>
    <w:rsid w:val="00084FFA"/>
    <w:rsid w:val="00087D28"/>
    <w:rsid w:val="00095D3F"/>
    <w:rsid w:val="00095F86"/>
    <w:rsid w:val="000970A7"/>
    <w:rsid w:val="000A39F1"/>
    <w:rsid w:val="000A5CE8"/>
    <w:rsid w:val="000A66AE"/>
    <w:rsid w:val="000A6ED9"/>
    <w:rsid w:val="000B0BF9"/>
    <w:rsid w:val="000B196D"/>
    <w:rsid w:val="000B2744"/>
    <w:rsid w:val="000B3A68"/>
    <w:rsid w:val="000C2B0B"/>
    <w:rsid w:val="000C72A8"/>
    <w:rsid w:val="000E3309"/>
    <w:rsid w:val="000E725C"/>
    <w:rsid w:val="000F0095"/>
    <w:rsid w:val="000F0D3C"/>
    <w:rsid w:val="000F39C2"/>
    <w:rsid w:val="000F6FF4"/>
    <w:rsid w:val="001001D1"/>
    <w:rsid w:val="00100DB4"/>
    <w:rsid w:val="0010245A"/>
    <w:rsid w:val="00106748"/>
    <w:rsid w:val="00107EB4"/>
    <w:rsid w:val="001113A3"/>
    <w:rsid w:val="00111D8C"/>
    <w:rsid w:val="001134B2"/>
    <w:rsid w:val="00117DA5"/>
    <w:rsid w:val="00124927"/>
    <w:rsid w:val="0012576D"/>
    <w:rsid w:val="00126449"/>
    <w:rsid w:val="001264CC"/>
    <w:rsid w:val="001313C0"/>
    <w:rsid w:val="00131BB1"/>
    <w:rsid w:val="00133E72"/>
    <w:rsid w:val="00135AE4"/>
    <w:rsid w:val="0013641C"/>
    <w:rsid w:val="00141828"/>
    <w:rsid w:val="001456EE"/>
    <w:rsid w:val="00145D03"/>
    <w:rsid w:val="001573ED"/>
    <w:rsid w:val="001601DE"/>
    <w:rsid w:val="00165C05"/>
    <w:rsid w:val="0017030D"/>
    <w:rsid w:val="00172C81"/>
    <w:rsid w:val="00183746"/>
    <w:rsid w:val="00196F37"/>
    <w:rsid w:val="001A0BB9"/>
    <w:rsid w:val="001B2BBE"/>
    <w:rsid w:val="001C5803"/>
    <w:rsid w:val="001C5E22"/>
    <w:rsid w:val="001C7481"/>
    <w:rsid w:val="001D35D9"/>
    <w:rsid w:val="001E012A"/>
    <w:rsid w:val="001E15C7"/>
    <w:rsid w:val="001E50BC"/>
    <w:rsid w:val="001F3696"/>
    <w:rsid w:val="001F589F"/>
    <w:rsid w:val="001F634D"/>
    <w:rsid w:val="001F7DD8"/>
    <w:rsid w:val="00200783"/>
    <w:rsid w:val="00201E04"/>
    <w:rsid w:val="0021313F"/>
    <w:rsid w:val="00214DC1"/>
    <w:rsid w:val="00215694"/>
    <w:rsid w:val="002228AE"/>
    <w:rsid w:val="002234E7"/>
    <w:rsid w:val="00224AD6"/>
    <w:rsid w:val="00226789"/>
    <w:rsid w:val="00227ED1"/>
    <w:rsid w:val="00234307"/>
    <w:rsid w:val="00242B00"/>
    <w:rsid w:val="00242DD7"/>
    <w:rsid w:val="00252256"/>
    <w:rsid w:val="00253858"/>
    <w:rsid w:val="002637E1"/>
    <w:rsid w:val="00263AF7"/>
    <w:rsid w:val="00265692"/>
    <w:rsid w:val="00265E3A"/>
    <w:rsid w:val="0026724D"/>
    <w:rsid w:val="00271417"/>
    <w:rsid w:val="002745AA"/>
    <w:rsid w:val="00284CE5"/>
    <w:rsid w:val="002850A3"/>
    <w:rsid w:val="00286BB2"/>
    <w:rsid w:val="002920DD"/>
    <w:rsid w:val="00296B19"/>
    <w:rsid w:val="002A02D4"/>
    <w:rsid w:val="002A250E"/>
    <w:rsid w:val="002A5154"/>
    <w:rsid w:val="002B1ED3"/>
    <w:rsid w:val="002B2EE6"/>
    <w:rsid w:val="002B6822"/>
    <w:rsid w:val="002C1947"/>
    <w:rsid w:val="002C4E22"/>
    <w:rsid w:val="002C7128"/>
    <w:rsid w:val="002C7978"/>
    <w:rsid w:val="002C7DC1"/>
    <w:rsid w:val="002D13C4"/>
    <w:rsid w:val="002D5D3C"/>
    <w:rsid w:val="002E3246"/>
    <w:rsid w:val="002E490F"/>
    <w:rsid w:val="002F2752"/>
    <w:rsid w:val="002F2825"/>
    <w:rsid w:val="002F3ADF"/>
    <w:rsid w:val="002F45FB"/>
    <w:rsid w:val="002F5BBB"/>
    <w:rsid w:val="003001C5"/>
    <w:rsid w:val="00300DF6"/>
    <w:rsid w:val="00303D5E"/>
    <w:rsid w:val="00312D97"/>
    <w:rsid w:val="003152F7"/>
    <w:rsid w:val="003165E8"/>
    <w:rsid w:val="003171E7"/>
    <w:rsid w:val="0032018B"/>
    <w:rsid w:val="003236D3"/>
    <w:rsid w:val="003241EF"/>
    <w:rsid w:val="00325025"/>
    <w:rsid w:val="00327C6E"/>
    <w:rsid w:val="00335903"/>
    <w:rsid w:val="00340C73"/>
    <w:rsid w:val="0034497E"/>
    <w:rsid w:val="00352F24"/>
    <w:rsid w:val="00353049"/>
    <w:rsid w:val="0035548E"/>
    <w:rsid w:val="00364925"/>
    <w:rsid w:val="00366426"/>
    <w:rsid w:val="00370579"/>
    <w:rsid w:val="003744C0"/>
    <w:rsid w:val="00374A0C"/>
    <w:rsid w:val="0038331A"/>
    <w:rsid w:val="003837BD"/>
    <w:rsid w:val="00383843"/>
    <w:rsid w:val="0038474B"/>
    <w:rsid w:val="00394D6F"/>
    <w:rsid w:val="003A14CD"/>
    <w:rsid w:val="003A378F"/>
    <w:rsid w:val="003A3C11"/>
    <w:rsid w:val="003B0992"/>
    <w:rsid w:val="003B458E"/>
    <w:rsid w:val="003C0CF7"/>
    <w:rsid w:val="003C570E"/>
    <w:rsid w:val="003D21B3"/>
    <w:rsid w:val="003D4411"/>
    <w:rsid w:val="003D741D"/>
    <w:rsid w:val="003D7A3B"/>
    <w:rsid w:val="003E29F0"/>
    <w:rsid w:val="003E49CE"/>
    <w:rsid w:val="003E7F83"/>
    <w:rsid w:val="003F03EC"/>
    <w:rsid w:val="003F2A14"/>
    <w:rsid w:val="003F5D6F"/>
    <w:rsid w:val="003F6C6B"/>
    <w:rsid w:val="003F7700"/>
    <w:rsid w:val="00402438"/>
    <w:rsid w:val="00410611"/>
    <w:rsid w:val="00423076"/>
    <w:rsid w:val="00431154"/>
    <w:rsid w:val="00437F97"/>
    <w:rsid w:val="004400DB"/>
    <w:rsid w:val="00440225"/>
    <w:rsid w:val="0044427D"/>
    <w:rsid w:val="00446F81"/>
    <w:rsid w:val="00453F64"/>
    <w:rsid w:val="00454715"/>
    <w:rsid w:val="004608BB"/>
    <w:rsid w:val="00461A1E"/>
    <w:rsid w:val="00462DED"/>
    <w:rsid w:val="0046570C"/>
    <w:rsid w:val="0046617D"/>
    <w:rsid w:val="004662C1"/>
    <w:rsid w:val="00471DC2"/>
    <w:rsid w:val="004775C7"/>
    <w:rsid w:val="00481417"/>
    <w:rsid w:val="00482B53"/>
    <w:rsid w:val="00484D26"/>
    <w:rsid w:val="00484DCD"/>
    <w:rsid w:val="004874A3"/>
    <w:rsid w:val="00487509"/>
    <w:rsid w:val="0048786F"/>
    <w:rsid w:val="004A18ED"/>
    <w:rsid w:val="004A2B69"/>
    <w:rsid w:val="004A35DB"/>
    <w:rsid w:val="004C0E92"/>
    <w:rsid w:val="004C1D92"/>
    <w:rsid w:val="004C2E28"/>
    <w:rsid w:val="004D70FE"/>
    <w:rsid w:val="004E0073"/>
    <w:rsid w:val="004E113D"/>
    <w:rsid w:val="004E2051"/>
    <w:rsid w:val="004E6484"/>
    <w:rsid w:val="004E7119"/>
    <w:rsid w:val="004F1C85"/>
    <w:rsid w:val="004F5164"/>
    <w:rsid w:val="004F560E"/>
    <w:rsid w:val="004F6E69"/>
    <w:rsid w:val="005001D9"/>
    <w:rsid w:val="00501294"/>
    <w:rsid w:val="00505184"/>
    <w:rsid w:val="00506F52"/>
    <w:rsid w:val="0050716C"/>
    <w:rsid w:val="005118B5"/>
    <w:rsid w:val="00511976"/>
    <w:rsid w:val="0051365F"/>
    <w:rsid w:val="005161AB"/>
    <w:rsid w:val="00517F2E"/>
    <w:rsid w:val="00530EA3"/>
    <w:rsid w:val="005323D2"/>
    <w:rsid w:val="00533300"/>
    <w:rsid w:val="00540777"/>
    <w:rsid w:val="00541505"/>
    <w:rsid w:val="00542143"/>
    <w:rsid w:val="00542FFD"/>
    <w:rsid w:val="00546CCD"/>
    <w:rsid w:val="00553A21"/>
    <w:rsid w:val="005544B6"/>
    <w:rsid w:val="0055472E"/>
    <w:rsid w:val="00554DBA"/>
    <w:rsid w:val="005552DB"/>
    <w:rsid w:val="00556A53"/>
    <w:rsid w:val="00561C43"/>
    <w:rsid w:val="00566A7F"/>
    <w:rsid w:val="00570B33"/>
    <w:rsid w:val="00581DDC"/>
    <w:rsid w:val="0058318A"/>
    <w:rsid w:val="00584B94"/>
    <w:rsid w:val="00587325"/>
    <w:rsid w:val="00591CA1"/>
    <w:rsid w:val="00592229"/>
    <w:rsid w:val="00592F24"/>
    <w:rsid w:val="00597854"/>
    <w:rsid w:val="005B0030"/>
    <w:rsid w:val="005B0A8C"/>
    <w:rsid w:val="005B74D8"/>
    <w:rsid w:val="005C0FB5"/>
    <w:rsid w:val="005D2FD2"/>
    <w:rsid w:val="005D6541"/>
    <w:rsid w:val="005E00FD"/>
    <w:rsid w:val="005E2DF2"/>
    <w:rsid w:val="005F0CF7"/>
    <w:rsid w:val="005F13E4"/>
    <w:rsid w:val="005F153F"/>
    <w:rsid w:val="005F19EF"/>
    <w:rsid w:val="005F1E81"/>
    <w:rsid w:val="005F2779"/>
    <w:rsid w:val="00601089"/>
    <w:rsid w:val="00601412"/>
    <w:rsid w:val="00603EDE"/>
    <w:rsid w:val="00605305"/>
    <w:rsid w:val="0061142C"/>
    <w:rsid w:val="006131B8"/>
    <w:rsid w:val="0061333F"/>
    <w:rsid w:val="00616894"/>
    <w:rsid w:val="0062126B"/>
    <w:rsid w:val="0062322C"/>
    <w:rsid w:val="006326E2"/>
    <w:rsid w:val="00633B3F"/>
    <w:rsid w:val="00634A9D"/>
    <w:rsid w:val="00642597"/>
    <w:rsid w:val="00645E1B"/>
    <w:rsid w:val="00646B83"/>
    <w:rsid w:val="00660EF0"/>
    <w:rsid w:val="006663CC"/>
    <w:rsid w:val="0068199B"/>
    <w:rsid w:val="00691644"/>
    <w:rsid w:val="0069263B"/>
    <w:rsid w:val="006A08E2"/>
    <w:rsid w:val="006A0CEC"/>
    <w:rsid w:val="006A247C"/>
    <w:rsid w:val="006A2661"/>
    <w:rsid w:val="006A2CFD"/>
    <w:rsid w:val="006A3994"/>
    <w:rsid w:val="006B2BDE"/>
    <w:rsid w:val="006B502C"/>
    <w:rsid w:val="006B6A46"/>
    <w:rsid w:val="006C23C4"/>
    <w:rsid w:val="006C3076"/>
    <w:rsid w:val="006C448E"/>
    <w:rsid w:val="006D261E"/>
    <w:rsid w:val="006D6135"/>
    <w:rsid w:val="006D63FE"/>
    <w:rsid w:val="006E16DC"/>
    <w:rsid w:val="006E3D0D"/>
    <w:rsid w:val="006F20DE"/>
    <w:rsid w:val="006F258F"/>
    <w:rsid w:val="006F5024"/>
    <w:rsid w:val="006F6913"/>
    <w:rsid w:val="00701B39"/>
    <w:rsid w:val="00704B66"/>
    <w:rsid w:val="00704D35"/>
    <w:rsid w:val="007050EF"/>
    <w:rsid w:val="0071357B"/>
    <w:rsid w:val="007142FF"/>
    <w:rsid w:val="00716631"/>
    <w:rsid w:val="00720FE3"/>
    <w:rsid w:val="00725C35"/>
    <w:rsid w:val="00730A9D"/>
    <w:rsid w:val="0073752C"/>
    <w:rsid w:val="00743431"/>
    <w:rsid w:val="00743D1C"/>
    <w:rsid w:val="00752D27"/>
    <w:rsid w:val="00752EE0"/>
    <w:rsid w:val="0075516C"/>
    <w:rsid w:val="00763E6B"/>
    <w:rsid w:val="0076565E"/>
    <w:rsid w:val="00766438"/>
    <w:rsid w:val="00766FF2"/>
    <w:rsid w:val="0077286C"/>
    <w:rsid w:val="00780488"/>
    <w:rsid w:val="00786F17"/>
    <w:rsid w:val="007913B6"/>
    <w:rsid w:val="0079311D"/>
    <w:rsid w:val="007948F3"/>
    <w:rsid w:val="007A1A5F"/>
    <w:rsid w:val="007A6B55"/>
    <w:rsid w:val="007B142B"/>
    <w:rsid w:val="007B1DFC"/>
    <w:rsid w:val="007B74BD"/>
    <w:rsid w:val="007C1425"/>
    <w:rsid w:val="007C1BB6"/>
    <w:rsid w:val="007C22DE"/>
    <w:rsid w:val="007C2501"/>
    <w:rsid w:val="007C4B7A"/>
    <w:rsid w:val="007C65C6"/>
    <w:rsid w:val="007D1039"/>
    <w:rsid w:val="007D2E1B"/>
    <w:rsid w:val="007E1371"/>
    <w:rsid w:val="007E32D0"/>
    <w:rsid w:val="007E55E7"/>
    <w:rsid w:val="007E75D1"/>
    <w:rsid w:val="007E7B98"/>
    <w:rsid w:val="007E7C25"/>
    <w:rsid w:val="007F09EA"/>
    <w:rsid w:val="007F19E8"/>
    <w:rsid w:val="00805ED3"/>
    <w:rsid w:val="00806FFB"/>
    <w:rsid w:val="00810F46"/>
    <w:rsid w:val="008110B6"/>
    <w:rsid w:val="00812EE0"/>
    <w:rsid w:val="00813787"/>
    <w:rsid w:val="00814079"/>
    <w:rsid w:val="00814842"/>
    <w:rsid w:val="00815C7D"/>
    <w:rsid w:val="0081637C"/>
    <w:rsid w:val="00825621"/>
    <w:rsid w:val="00827C03"/>
    <w:rsid w:val="00840466"/>
    <w:rsid w:val="008408C1"/>
    <w:rsid w:val="00843FBE"/>
    <w:rsid w:val="00850C01"/>
    <w:rsid w:val="0085620C"/>
    <w:rsid w:val="00856CC7"/>
    <w:rsid w:val="00856F0E"/>
    <w:rsid w:val="00860E81"/>
    <w:rsid w:val="0086109D"/>
    <w:rsid w:val="008611C5"/>
    <w:rsid w:val="00861608"/>
    <w:rsid w:val="0086167D"/>
    <w:rsid w:val="00863041"/>
    <w:rsid w:val="00865101"/>
    <w:rsid w:val="00873E7C"/>
    <w:rsid w:val="00875C5E"/>
    <w:rsid w:val="00887041"/>
    <w:rsid w:val="00887B1F"/>
    <w:rsid w:val="0089016A"/>
    <w:rsid w:val="00896694"/>
    <w:rsid w:val="00896AD1"/>
    <w:rsid w:val="008A0AEA"/>
    <w:rsid w:val="008A3DEB"/>
    <w:rsid w:val="008A7CD8"/>
    <w:rsid w:val="008B0EC4"/>
    <w:rsid w:val="008B2EDD"/>
    <w:rsid w:val="008B6161"/>
    <w:rsid w:val="008C3B27"/>
    <w:rsid w:val="008C4785"/>
    <w:rsid w:val="008D09B1"/>
    <w:rsid w:val="008D15C2"/>
    <w:rsid w:val="008D300A"/>
    <w:rsid w:val="008E1722"/>
    <w:rsid w:val="008E2CC1"/>
    <w:rsid w:val="008E5E41"/>
    <w:rsid w:val="008E6219"/>
    <w:rsid w:val="008F463C"/>
    <w:rsid w:val="008F7AC5"/>
    <w:rsid w:val="00906079"/>
    <w:rsid w:val="00912B06"/>
    <w:rsid w:val="009141D0"/>
    <w:rsid w:val="00915587"/>
    <w:rsid w:val="00916E80"/>
    <w:rsid w:val="00924944"/>
    <w:rsid w:val="0092634F"/>
    <w:rsid w:val="00927F68"/>
    <w:rsid w:val="009314E1"/>
    <w:rsid w:val="0093166D"/>
    <w:rsid w:val="009328CA"/>
    <w:rsid w:val="00942C13"/>
    <w:rsid w:val="00943FF3"/>
    <w:rsid w:val="0094412F"/>
    <w:rsid w:val="0095035C"/>
    <w:rsid w:val="00954017"/>
    <w:rsid w:val="009608B1"/>
    <w:rsid w:val="0096091E"/>
    <w:rsid w:val="00960EBB"/>
    <w:rsid w:val="009612AA"/>
    <w:rsid w:val="00961AE1"/>
    <w:rsid w:val="009629A1"/>
    <w:rsid w:val="0097303F"/>
    <w:rsid w:val="00974EF6"/>
    <w:rsid w:val="009876DD"/>
    <w:rsid w:val="009A3D41"/>
    <w:rsid w:val="009A5AD0"/>
    <w:rsid w:val="009A5E3F"/>
    <w:rsid w:val="009A6AEC"/>
    <w:rsid w:val="009A6D7F"/>
    <w:rsid w:val="009A71FC"/>
    <w:rsid w:val="009A7D7E"/>
    <w:rsid w:val="009B5DF1"/>
    <w:rsid w:val="009B74E0"/>
    <w:rsid w:val="009B791D"/>
    <w:rsid w:val="009C7B16"/>
    <w:rsid w:val="009D00D0"/>
    <w:rsid w:val="009D4BA6"/>
    <w:rsid w:val="009D5B28"/>
    <w:rsid w:val="009D6FB0"/>
    <w:rsid w:val="009D7256"/>
    <w:rsid w:val="009D76FD"/>
    <w:rsid w:val="009E4BA4"/>
    <w:rsid w:val="009E4FDA"/>
    <w:rsid w:val="009E7794"/>
    <w:rsid w:val="009F5844"/>
    <w:rsid w:val="009F732E"/>
    <w:rsid w:val="009F7DEA"/>
    <w:rsid w:val="00A05146"/>
    <w:rsid w:val="00A079DC"/>
    <w:rsid w:val="00A1213C"/>
    <w:rsid w:val="00A1540A"/>
    <w:rsid w:val="00A22EC7"/>
    <w:rsid w:val="00A25A63"/>
    <w:rsid w:val="00A27409"/>
    <w:rsid w:val="00A31C48"/>
    <w:rsid w:val="00A32DBA"/>
    <w:rsid w:val="00A360F7"/>
    <w:rsid w:val="00A37A5E"/>
    <w:rsid w:val="00A40E77"/>
    <w:rsid w:val="00A42477"/>
    <w:rsid w:val="00A426AA"/>
    <w:rsid w:val="00A42F17"/>
    <w:rsid w:val="00A44AFF"/>
    <w:rsid w:val="00A501FD"/>
    <w:rsid w:val="00A50527"/>
    <w:rsid w:val="00A64C98"/>
    <w:rsid w:val="00A658EC"/>
    <w:rsid w:val="00A6741B"/>
    <w:rsid w:val="00A67C9B"/>
    <w:rsid w:val="00A70CEA"/>
    <w:rsid w:val="00A73C06"/>
    <w:rsid w:val="00A73E47"/>
    <w:rsid w:val="00A75CE3"/>
    <w:rsid w:val="00A77683"/>
    <w:rsid w:val="00A83065"/>
    <w:rsid w:val="00A8632F"/>
    <w:rsid w:val="00A90656"/>
    <w:rsid w:val="00A9669B"/>
    <w:rsid w:val="00A9704B"/>
    <w:rsid w:val="00AA2E00"/>
    <w:rsid w:val="00AA4C07"/>
    <w:rsid w:val="00AB1010"/>
    <w:rsid w:val="00AB1A50"/>
    <w:rsid w:val="00AB1A7E"/>
    <w:rsid w:val="00AB3D78"/>
    <w:rsid w:val="00AC63FB"/>
    <w:rsid w:val="00AC7CD4"/>
    <w:rsid w:val="00AD043D"/>
    <w:rsid w:val="00AD0AC1"/>
    <w:rsid w:val="00AD296B"/>
    <w:rsid w:val="00AD426D"/>
    <w:rsid w:val="00AD765C"/>
    <w:rsid w:val="00AE2CA0"/>
    <w:rsid w:val="00AE5495"/>
    <w:rsid w:val="00AF21DA"/>
    <w:rsid w:val="00AF294A"/>
    <w:rsid w:val="00AF5235"/>
    <w:rsid w:val="00AF7AD3"/>
    <w:rsid w:val="00B00FF1"/>
    <w:rsid w:val="00B0239F"/>
    <w:rsid w:val="00B062FB"/>
    <w:rsid w:val="00B12058"/>
    <w:rsid w:val="00B1322E"/>
    <w:rsid w:val="00B142D0"/>
    <w:rsid w:val="00B239DD"/>
    <w:rsid w:val="00B26265"/>
    <w:rsid w:val="00B2724C"/>
    <w:rsid w:val="00B27E51"/>
    <w:rsid w:val="00B32269"/>
    <w:rsid w:val="00B325C5"/>
    <w:rsid w:val="00B4004B"/>
    <w:rsid w:val="00B41822"/>
    <w:rsid w:val="00B442B6"/>
    <w:rsid w:val="00B45653"/>
    <w:rsid w:val="00B514ED"/>
    <w:rsid w:val="00B51B7D"/>
    <w:rsid w:val="00B57509"/>
    <w:rsid w:val="00B600E9"/>
    <w:rsid w:val="00B60F77"/>
    <w:rsid w:val="00B61166"/>
    <w:rsid w:val="00B6694D"/>
    <w:rsid w:val="00B66E4E"/>
    <w:rsid w:val="00B70493"/>
    <w:rsid w:val="00B72069"/>
    <w:rsid w:val="00B721FE"/>
    <w:rsid w:val="00B76BEA"/>
    <w:rsid w:val="00B76E4F"/>
    <w:rsid w:val="00B77334"/>
    <w:rsid w:val="00B816F5"/>
    <w:rsid w:val="00B81F01"/>
    <w:rsid w:val="00B84AAE"/>
    <w:rsid w:val="00B8659D"/>
    <w:rsid w:val="00B93679"/>
    <w:rsid w:val="00B937A2"/>
    <w:rsid w:val="00BA0EF9"/>
    <w:rsid w:val="00BA454A"/>
    <w:rsid w:val="00BA5737"/>
    <w:rsid w:val="00BB163C"/>
    <w:rsid w:val="00BB22B7"/>
    <w:rsid w:val="00BB2557"/>
    <w:rsid w:val="00BC0B9B"/>
    <w:rsid w:val="00BC6DE9"/>
    <w:rsid w:val="00BC7330"/>
    <w:rsid w:val="00BD177B"/>
    <w:rsid w:val="00BD7061"/>
    <w:rsid w:val="00BE2042"/>
    <w:rsid w:val="00BE6004"/>
    <w:rsid w:val="00BF6493"/>
    <w:rsid w:val="00BF795F"/>
    <w:rsid w:val="00C0145D"/>
    <w:rsid w:val="00C06EB9"/>
    <w:rsid w:val="00C117BF"/>
    <w:rsid w:val="00C13791"/>
    <w:rsid w:val="00C23BD7"/>
    <w:rsid w:val="00C265F7"/>
    <w:rsid w:val="00C329DC"/>
    <w:rsid w:val="00C413A6"/>
    <w:rsid w:val="00C43EA1"/>
    <w:rsid w:val="00C47002"/>
    <w:rsid w:val="00C54177"/>
    <w:rsid w:val="00C5681D"/>
    <w:rsid w:val="00C62A79"/>
    <w:rsid w:val="00C75059"/>
    <w:rsid w:val="00C77B15"/>
    <w:rsid w:val="00C82BB3"/>
    <w:rsid w:val="00C9214D"/>
    <w:rsid w:val="00C93E49"/>
    <w:rsid w:val="00C95E9B"/>
    <w:rsid w:val="00C979EC"/>
    <w:rsid w:val="00CA430C"/>
    <w:rsid w:val="00CA6715"/>
    <w:rsid w:val="00CB4110"/>
    <w:rsid w:val="00CB4D64"/>
    <w:rsid w:val="00CB5289"/>
    <w:rsid w:val="00CC145B"/>
    <w:rsid w:val="00CC23CE"/>
    <w:rsid w:val="00CC24CE"/>
    <w:rsid w:val="00CC5104"/>
    <w:rsid w:val="00CC5710"/>
    <w:rsid w:val="00CC6BB1"/>
    <w:rsid w:val="00CD3029"/>
    <w:rsid w:val="00CE50A6"/>
    <w:rsid w:val="00CE5BE0"/>
    <w:rsid w:val="00CE69B6"/>
    <w:rsid w:val="00CF32F9"/>
    <w:rsid w:val="00CF4518"/>
    <w:rsid w:val="00CF7AAE"/>
    <w:rsid w:val="00D01380"/>
    <w:rsid w:val="00D0466E"/>
    <w:rsid w:val="00D06616"/>
    <w:rsid w:val="00D0739E"/>
    <w:rsid w:val="00D11341"/>
    <w:rsid w:val="00D13407"/>
    <w:rsid w:val="00D141D3"/>
    <w:rsid w:val="00D15774"/>
    <w:rsid w:val="00D255CC"/>
    <w:rsid w:val="00D25B78"/>
    <w:rsid w:val="00D2673C"/>
    <w:rsid w:val="00D26CE2"/>
    <w:rsid w:val="00D26F40"/>
    <w:rsid w:val="00D33C7C"/>
    <w:rsid w:val="00D34A93"/>
    <w:rsid w:val="00D369B3"/>
    <w:rsid w:val="00D37C40"/>
    <w:rsid w:val="00D43108"/>
    <w:rsid w:val="00D43EF3"/>
    <w:rsid w:val="00D470E9"/>
    <w:rsid w:val="00D52037"/>
    <w:rsid w:val="00D54604"/>
    <w:rsid w:val="00D62C0D"/>
    <w:rsid w:val="00D63051"/>
    <w:rsid w:val="00D67637"/>
    <w:rsid w:val="00D7037A"/>
    <w:rsid w:val="00D70FA9"/>
    <w:rsid w:val="00D714A9"/>
    <w:rsid w:val="00D71D9D"/>
    <w:rsid w:val="00D727AB"/>
    <w:rsid w:val="00D7418F"/>
    <w:rsid w:val="00D74855"/>
    <w:rsid w:val="00D762CE"/>
    <w:rsid w:val="00D764AA"/>
    <w:rsid w:val="00D81B7B"/>
    <w:rsid w:val="00D826B6"/>
    <w:rsid w:val="00D83BD0"/>
    <w:rsid w:val="00D8547B"/>
    <w:rsid w:val="00D9702B"/>
    <w:rsid w:val="00DA05CD"/>
    <w:rsid w:val="00DA2643"/>
    <w:rsid w:val="00DA513E"/>
    <w:rsid w:val="00DA5447"/>
    <w:rsid w:val="00DB7127"/>
    <w:rsid w:val="00DC603B"/>
    <w:rsid w:val="00DD07B4"/>
    <w:rsid w:val="00DD3D27"/>
    <w:rsid w:val="00DD40A6"/>
    <w:rsid w:val="00DD53DE"/>
    <w:rsid w:val="00DD6EB4"/>
    <w:rsid w:val="00DD7F70"/>
    <w:rsid w:val="00DE3547"/>
    <w:rsid w:val="00DE3759"/>
    <w:rsid w:val="00DE424E"/>
    <w:rsid w:val="00DE46D1"/>
    <w:rsid w:val="00DE79EE"/>
    <w:rsid w:val="00DF13FA"/>
    <w:rsid w:val="00DF6863"/>
    <w:rsid w:val="00DF705B"/>
    <w:rsid w:val="00DF7F4F"/>
    <w:rsid w:val="00E053E9"/>
    <w:rsid w:val="00E0643A"/>
    <w:rsid w:val="00E11C52"/>
    <w:rsid w:val="00E13A52"/>
    <w:rsid w:val="00E2275B"/>
    <w:rsid w:val="00E229D2"/>
    <w:rsid w:val="00E23EBF"/>
    <w:rsid w:val="00E24CAD"/>
    <w:rsid w:val="00E26785"/>
    <w:rsid w:val="00E356D3"/>
    <w:rsid w:val="00E42D05"/>
    <w:rsid w:val="00E5064D"/>
    <w:rsid w:val="00E55EB5"/>
    <w:rsid w:val="00E6236E"/>
    <w:rsid w:val="00E63577"/>
    <w:rsid w:val="00E63C89"/>
    <w:rsid w:val="00E726A4"/>
    <w:rsid w:val="00E84598"/>
    <w:rsid w:val="00E92B79"/>
    <w:rsid w:val="00E96FD2"/>
    <w:rsid w:val="00EA37FE"/>
    <w:rsid w:val="00EA3A5F"/>
    <w:rsid w:val="00EA4E45"/>
    <w:rsid w:val="00EA56E6"/>
    <w:rsid w:val="00EA5D9D"/>
    <w:rsid w:val="00EC14D5"/>
    <w:rsid w:val="00EC1A0B"/>
    <w:rsid w:val="00EC2A2A"/>
    <w:rsid w:val="00EC331C"/>
    <w:rsid w:val="00EE387D"/>
    <w:rsid w:val="00EE5BEB"/>
    <w:rsid w:val="00EE7456"/>
    <w:rsid w:val="00EE785C"/>
    <w:rsid w:val="00EF0204"/>
    <w:rsid w:val="00EF1EBB"/>
    <w:rsid w:val="00EF3F84"/>
    <w:rsid w:val="00EF65A6"/>
    <w:rsid w:val="00EF67D6"/>
    <w:rsid w:val="00F00954"/>
    <w:rsid w:val="00F0679E"/>
    <w:rsid w:val="00F152DF"/>
    <w:rsid w:val="00F15D27"/>
    <w:rsid w:val="00F2192F"/>
    <w:rsid w:val="00F23A7C"/>
    <w:rsid w:val="00F45164"/>
    <w:rsid w:val="00F47E86"/>
    <w:rsid w:val="00F540F5"/>
    <w:rsid w:val="00F55055"/>
    <w:rsid w:val="00F577E4"/>
    <w:rsid w:val="00F600F0"/>
    <w:rsid w:val="00F64788"/>
    <w:rsid w:val="00F70653"/>
    <w:rsid w:val="00F82668"/>
    <w:rsid w:val="00F847C1"/>
    <w:rsid w:val="00F85582"/>
    <w:rsid w:val="00F91E2D"/>
    <w:rsid w:val="00F926AB"/>
    <w:rsid w:val="00F94218"/>
    <w:rsid w:val="00F948BC"/>
    <w:rsid w:val="00F962B5"/>
    <w:rsid w:val="00FA0753"/>
    <w:rsid w:val="00FA2E0B"/>
    <w:rsid w:val="00FA2F43"/>
    <w:rsid w:val="00FB07F5"/>
    <w:rsid w:val="00FB49D9"/>
    <w:rsid w:val="00FB4F92"/>
    <w:rsid w:val="00FC0EDD"/>
    <w:rsid w:val="00FC463B"/>
    <w:rsid w:val="00FC6A03"/>
    <w:rsid w:val="00FD03AB"/>
    <w:rsid w:val="00FD15ED"/>
    <w:rsid w:val="00FD299D"/>
    <w:rsid w:val="00FE1E38"/>
    <w:rsid w:val="00FE79C1"/>
    <w:rsid w:val="00FF5B59"/>
    <w:rsid w:val="00FF5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iPriority="35" w:unhideWhenUsed="1" w:qFormat="1"/>
    <w:lsdException w:name="page number" w:locked="1"/>
    <w:lsdException w:name="Title" w:locked="1" w:uiPriority="10" w:qFormat="1"/>
    <w:lsdException w:name="Default Paragraph Font" w:locked="1"/>
    <w:lsdException w:name="Body Text" w:locked="1"/>
    <w:lsdException w:name="Body Text Indent" w:locked="1"/>
    <w:lsdException w:name="Subtitle" w:locked="1" w:uiPriority="11" w:qFormat="1"/>
    <w:lsdException w:name="Body Text Indent 2" w:locked="1"/>
    <w:lsdException w:name="Body Text Indent 3" w:locked="1"/>
    <w:lsdException w:name="Hyperlink" w:locked="1"/>
    <w:lsdException w:name="Strong" w:locked="1" w:uiPriority="22" w:qFormat="1"/>
    <w:lsdException w:name="Emphasis" w:locked="1"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7128"/>
  </w:style>
  <w:style w:type="paragraph" w:styleId="Nagwek1">
    <w:name w:val="heading 1"/>
    <w:basedOn w:val="Normalny"/>
    <w:next w:val="Normalny"/>
    <w:link w:val="Nagwek1Znak"/>
    <w:uiPriority w:val="9"/>
    <w:qFormat/>
    <w:locked/>
    <w:rsid w:val="002C712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locked/>
    <w:rsid w:val="002C712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locked/>
    <w:rsid w:val="002C7128"/>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semiHidden/>
    <w:unhideWhenUsed/>
    <w:qFormat/>
    <w:locked/>
    <w:rsid w:val="002C7128"/>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locked/>
    <w:rsid w:val="002C7128"/>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locked/>
    <w:rsid w:val="002C7128"/>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locked/>
    <w:rsid w:val="002C7128"/>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locked/>
    <w:rsid w:val="002C7128"/>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locked/>
    <w:rsid w:val="002C7128"/>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pacing w:after="120" w:line="240" w:lineRule="exact"/>
    </w:pPr>
    <w:rPr>
      <w:rFonts w:ascii="Arial" w:hAnsi="Arial" w:cs="Arial"/>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2C7128"/>
    <w:rPr>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pacing w:line="360" w:lineRule="auto"/>
      <w:jc w:val="both"/>
    </w:pPr>
    <w:rPr>
      <w:spacing w:val="10"/>
    </w:rPr>
  </w:style>
  <w:style w:type="paragraph" w:customStyle="1" w:styleId="Style22">
    <w:name w:val="Style22"/>
    <w:basedOn w:val="Normalny"/>
    <w:rsid w:val="00DA513E"/>
    <w:pPr>
      <w:widowControl w:val="0"/>
      <w:autoSpaceDE w:val="0"/>
      <w:autoSpaceDN w:val="0"/>
      <w:adjustRightInd w:val="0"/>
      <w:spacing w:line="271" w:lineRule="exact"/>
      <w:jc w:val="both"/>
    </w:pPr>
    <w:rPr>
      <w:rFonts w:ascii="Calibri" w:hAnsi="Calibri" w:cs="Calibri"/>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pacing w:after="80"/>
      <w:ind w:firstLine="709"/>
      <w:jc w:val="both"/>
    </w:pPr>
    <w:rPr>
      <w:rFonts w:ascii="Garamond" w:hAnsi="Garamond"/>
      <w:sz w:val="22"/>
    </w:rPr>
  </w:style>
  <w:style w:type="paragraph" w:styleId="Tekstpodstawowywcity3">
    <w:name w:val="Body Text Indent 3"/>
    <w:basedOn w:val="Normalny"/>
    <w:link w:val="Tekstpodstawowywcity3Znak"/>
    <w:rsid w:val="00DA513E"/>
    <w:pPr>
      <w:spacing w:after="120"/>
      <w:ind w:left="283"/>
    </w:pPr>
    <w:rPr>
      <w:sz w:val="16"/>
      <w:szCs w:val="16"/>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pacing w:line="360" w:lineRule="auto"/>
      <w:jc w:val="both"/>
    </w:pPr>
    <w:rPr>
      <w:szCs w:val="22"/>
      <w:lang w:eastAsia="en-US"/>
    </w:rPr>
  </w:style>
  <w:style w:type="paragraph" w:styleId="Tekstkomentarza">
    <w:name w:val="annotation text"/>
    <w:basedOn w:val="Normalny"/>
    <w:link w:val="TekstkomentarzaZnak"/>
    <w:semiHidden/>
    <w:rsid w:val="00DA513E"/>
  </w:style>
  <w:style w:type="character" w:customStyle="1" w:styleId="TekstkomentarzaZnak">
    <w:name w:val="Tekst komentarza Znak"/>
    <w:link w:val="Tekstkomentarza"/>
    <w:semiHidden/>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rsid w:val="00DA513E"/>
    <w:pPr>
      <w:ind w:left="720"/>
    </w:pPr>
    <w:rPr>
      <w:rFonts w:ascii="Calibri" w:hAnsi="Calibri"/>
      <w:sz w:val="22"/>
      <w:szCs w:val="22"/>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rPr>
  </w:style>
  <w:style w:type="character" w:customStyle="1" w:styleId="Nagwek1Znak">
    <w:name w:val="Nagłówek 1 Znak"/>
    <w:basedOn w:val="Domylnaczcionkaakapitu"/>
    <w:link w:val="Nagwek1"/>
    <w:uiPriority w:val="9"/>
    <w:rsid w:val="002C7128"/>
    <w:rPr>
      <w:caps/>
      <w:color w:val="FFFFFF" w:themeColor="background1"/>
      <w:spacing w:val="15"/>
      <w:sz w:val="22"/>
      <w:szCs w:val="22"/>
      <w:shd w:val="clear" w:color="auto" w:fill="5B9BD5" w:themeFill="accent1"/>
    </w:rPr>
  </w:style>
  <w:style w:type="paragraph" w:styleId="Akapitzlist">
    <w:name w:val="List Paragraph"/>
    <w:basedOn w:val="Normalny"/>
    <w:uiPriority w:val="34"/>
    <w:qFormat/>
    <w:rsid w:val="009141D0"/>
    <w:pPr>
      <w:ind w:left="720"/>
      <w:contextualSpacing/>
    </w:pPr>
  </w:style>
  <w:style w:type="paragraph" w:styleId="Tekstdymka">
    <w:name w:val="Balloon Text"/>
    <w:basedOn w:val="Normalny"/>
    <w:link w:val="TekstdymkaZnak"/>
    <w:rsid w:val="000324FE"/>
    <w:rPr>
      <w:rFonts w:ascii="Segoe UI" w:hAnsi="Segoe UI" w:cs="Segoe UI"/>
      <w:sz w:val="18"/>
      <w:szCs w:val="18"/>
    </w:rPr>
  </w:style>
  <w:style w:type="character" w:customStyle="1" w:styleId="TekstdymkaZnak">
    <w:name w:val="Tekst dymka Znak"/>
    <w:link w:val="Tekstdymka"/>
    <w:rsid w:val="000324FE"/>
    <w:rPr>
      <w:rFonts w:ascii="Segoe UI" w:hAnsi="Segoe UI" w:cs="Segoe UI"/>
      <w:sz w:val="18"/>
      <w:szCs w:val="18"/>
      <w:lang w:eastAsia="ar-SA"/>
    </w:rPr>
  </w:style>
  <w:style w:type="character" w:styleId="Odwoaniedokomentarza">
    <w:name w:val="annotation reference"/>
    <w:basedOn w:val="Domylnaczcionkaakapitu"/>
    <w:rsid w:val="003241EF"/>
    <w:rPr>
      <w:sz w:val="16"/>
      <w:szCs w:val="16"/>
    </w:rPr>
  </w:style>
  <w:style w:type="paragraph" w:styleId="Tematkomentarza">
    <w:name w:val="annotation subject"/>
    <w:basedOn w:val="Tekstkomentarza"/>
    <w:next w:val="Tekstkomentarza"/>
    <w:link w:val="TematkomentarzaZnak"/>
    <w:rsid w:val="003241EF"/>
    <w:pPr>
      <w:suppressAutoHyphens/>
    </w:pPr>
    <w:rPr>
      <w:b/>
      <w:bCs/>
      <w:lang w:eastAsia="ar-SA"/>
    </w:rPr>
  </w:style>
  <w:style w:type="character" w:customStyle="1" w:styleId="TematkomentarzaZnak">
    <w:name w:val="Temat komentarza Znak"/>
    <w:basedOn w:val="TekstkomentarzaZnak"/>
    <w:link w:val="Tematkomentarza"/>
    <w:rsid w:val="003241EF"/>
    <w:rPr>
      <w:rFonts w:ascii="Times New Roman" w:hAnsi="Times New Roman" w:cs="Times New Roman"/>
      <w:b/>
      <w:bCs/>
      <w:sz w:val="20"/>
      <w:szCs w:val="20"/>
      <w:lang w:val="x-none" w:eastAsia="ar-SA"/>
    </w:rPr>
  </w:style>
  <w:style w:type="character" w:customStyle="1" w:styleId="Nagwek2Znak">
    <w:name w:val="Nagłówek 2 Znak"/>
    <w:basedOn w:val="Domylnaczcionkaakapitu"/>
    <w:link w:val="Nagwek2"/>
    <w:uiPriority w:val="9"/>
    <w:semiHidden/>
    <w:rsid w:val="002C7128"/>
    <w:rPr>
      <w:caps/>
      <w:spacing w:val="15"/>
      <w:shd w:val="clear" w:color="auto" w:fill="DEEAF6" w:themeFill="accent1" w:themeFillTint="33"/>
    </w:rPr>
  </w:style>
  <w:style w:type="character" w:customStyle="1" w:styleId="Nagwek3Znak">
    <w:name w:val="Nagłówek 3 Znak"/>
    <w:basedOn w:val="Domylnaczcionkaakapitu"/>
    <w:link w:val="Nagwek3"/>
    <w:uiPriority w:val="9"/>
    <w:semiHidden/>
    <w:rsid w:val="002C7128"/>
    <w:rPr>
      <w:caps/>
      <w:color w:val="1F4D78" w:themeColor="accent1" w:themeShade="7F"/>
      <w:spacing w:val="15"/>
    </w:rPr>
  </w:style>
  <w:style w:type="character" w:customStyle="1" w:styleId="Nagwek4Znak">
    <w:name w:val="Nagłówek 4 Znak"/>
    <w:basedOn w:val="Domylnaczcionkaakapitu"/>
    <w:link w:val="Nagwek4"/>
    <w:uiPriority w:val="9"/>
    <w:semiHidden/>
    <w:rsid w:val="002C7128"/>
    <w:rPr>
      <w:caps/>
      <w:color w:val="2E74B5" w:themeColor="accent1" w:themeShade="BF"/>
      <w:spacing w:val="10"/>
    </w:rPr>
  </w:style>
  <w:style w:type="character" w:customStyle="1" w:styleId="Nagwek5Znak">
    <w:name w:val="Nagłówek 5 Znak"/>
    <w:basedOn w:val="Domylnaczcionkaakapitu"/>
    <w:link w:val="Nagwek5"/>
    <w:uiPriority w:val="9"/>
    <w:semiHidden/>
    <w:rsid w:val="002C7128"/>
    <w:rPr>
      <w:caps/>
      <w:color w:val="2E74B5" w:themeColor="accent1" w:themeShade="BF"/>
      <w:spacing w:val="10"/>
    </w:rPr>
  </w:style>
  <w:style w:type="character" w:customStyle="1" w:styleId="Nagwek6Znak">
    <w:name w:val="Nagłówek 6 Znak"/>
    <w:basedOn w:val="Domylnaczcionkaakapitu"/>
    <w:link w:val="Nagwek6"/>
    <w:uiPriority w:val="9"/>
    <w:semiHidden/>
    <w:rsid w:val="002C7128"/>
    <w:rPr>
      <w:caps/>
      <w:color w:val="2E74B5" w:themeColor="accent1" w:themeShade="BF"/>
      <w:spacing w:val="10"/>
    </w:rPr>
  </w:style>
  <w:style w:type="character" w:customStyle="1" w:styleId="Nagwek7Znak">
    <w:name w:val="Nagłówek 7 Znak"/>
    <w:basedOn w:val="Domylnaczcionkaakapitu"/>
    <w:link w:val="Nagwek7"/>
    <w:uiPriority w:val="9"/>
    <w:semiHidden/>
    <w:rsid w:val="002C7128"/>
    <w:rPr>
      <w:caps/>
      <w:color w:val="2E74B5" w:themeColor="accent1" w:themeShade="BF"/>
      <w:spacing w:val="10"/>
    </w:rPr>
  </w:style>
  <w:style w:type="character" w:customStyle="1" w:styleId="Nagwek8Znak">
    <w:name w:val="Nagłówek 8 Znak"/>
    <w:basedOn w:val="Domylnaczcionkaakapitu"/>
    <w:link w:val="Nagwek8"/>
    <w:uiPriority w:val="9"/>
    <w:semiHidden/>
    <w:rsid w:val="002C7128"/>
    <w:rPr>
      <w:caps/>
      <w:spacing w:val="10"/>
      <w:sz w:val="18"/>
      <w:szCs w:val="18"/>
    </w:rPr>
  </w:style>
  <w:style w:type="character" w:customStyle="1" w:styleId="Nagwek9Znak">
    <w:name w:val="Nagłówek 9 Znak"/>
    <w:basedOn w:val="Domylnaczcionkaakapitu"/>
    <w:link w:val="Nagwek9"/>
    <w:uiPriority w:val="9"/>
    <w:semiHidden/>
    <w:rsid w:val="002C7128"/>
    <w:rPr>
      <w:i/>
      <w:iCs/>
      <w:caps/>
      <w:spacing w:val="10"/>
      <w:sz w:val="18"/>
      <w:szCs w:val="18"/>
    </w:rPr>
  </w:style>
  <w:style w:type="paragraph" w:styleId="Legenda">
    <w:name w:val="caption"/>
    <w:basedOn w:val="Normalny"/>
    <w:next w:val="Normalny"/>
    <w:uiPriority w:val="35"/>
    <w:semiHidden/>
    <w:unhideWhenUsed/>
    <w:qFormat/>
    <w:locked/>
    <w:rsid w:val="002C7128"/>
    <w:rPr>
      <w:b/>
      <w:bCs/>
      <w:color w:val="2E74B5" w:themeColor="accent1" w:themeShade="BF"/>
      <w:sz w:val="16"/>
      <w:szCs w:val="16"/>
    </w:rPr>
  </w:style>
  <w:style w:type="paragraph" w:styleId="Tytu">
    <w:name w:val="Title"/>
    <w:basedOn w:val="Normalny"/>
    <w:next w:val="Normalny"/>
    <w:link w:val="TytuZnak"/>
    <w:uiPriority w:val="10"/>
    <w:qFormat/>
    <w:locked/>
    <w:rsid w:val="002C712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2C7128"/>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locked/>
    <w:rsid w:val="002C7128"/>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2C7128"/>
    <w:rPr>
      <w:caps/>
      <w:color w:val="595959" w:themeColor="text1" w:themeTint="A6"/>
      <w:spacing w:val="10"/>
      <w:sz w:val="21"/>
      <w:szCs w:val="21"/>
    </w:rPr>
  </w:style>
  <w:style w:type="character" w:styleId="Uwydatnienie">
    <w:name w:val="Emphasis"/>
    <w:uiPriority w:val="20"/>
    <w:qFormat/>
    <w:locked/>
    <w:rsid w:val="002C7128"/>
    <w:rPr>
      <w:caps/>
      <w:color w:val="1F4D78" w:themeColor="accent1" w:themeShade="7F"/>
      <w:spacing w:val="5"/>
    </w:rPr>
  </w:style>
  <w:style w:type="paragraph" w:styleId="Bezodstpw">
    <w:name w:val="No Spacing"/>
    <w:uiPriority w:val="1"/>
    <w:qFormat/>
    <w:rsid w:val="002C7128"/>
    <w:pPr>
      <w:spacing w:after="0" w:line="240" w:lineRule="auto"/>
    </w:pPr>
  </w:style>
  <w:style w:type="paragraph" w:styleId="Cytat">
    <w:name w:val="Quote"/>
    <w:basedOn w:val="Normalny"/>
    <w:next w:val="Normalny"/>
    <w:link w:val="CytatZnak"/>
    <w:uiPriority w:val="29"/>
    <w:qFormat/>
    <w:rsid w:val="002C7128"/>
    <w:rPr>
      <w:i/>
      <w:iCs/>
      <w:sz w:val="24"/>
      <w:szCs w:val="24"/>
    </w:rPr>
  </w:style>
  <w:style w:type="character" w:customStyle="1" w:styleId="CytatZnak">
    <w:name w:val="Cytat Znak"/>
    <w:basedOn w:val="Domylnaczcionkaakapitu"/>
    <w:link w:val="Cytat"/>
    <w:uiPriority w:val="29"/>
    <w:rsid w:val="002C7128"/>
    <w:rPr>
      <w:i/>
      <w:iCs/>
      <w:sz w:val="24"/>
      <w:szCs w:val="24"/>
    </w:rPr>
  </w:style>
  <w:style w:type="paragraph" w:styleId="Cytatintensywny">
    <w:name w:val="Intense Quote"/>
    <w:basedOn w:val="Normalny"/>
    <w:next w:val="Normalny"/>
    <w:link w:val="CytatintensywnyZnak"/>
    <w:uiPriority w:val="30"/>
    <w:qFormat/>
    <w:rsid w:val="002C7128"/>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2C7128"/>
    <w:rPr>
      <w:color w:val="5B9BD5" w:themeColor="accent1"/>
      <w:sz w:val="24"/>
      <w:szCs w:val="24"/>
    </w:rPr>
  </w:style>
  <w:style w:type="character" w:styleId="Wyrnieniedelikatne">
    <w:name w:val="Subtle Emphasis"/>
    <w:uiPriority w:val="19"/>
    <w:qFormat/>
    <w:rsid w:val="002C7128"/>
    <w:rPr>
      <w:i/>
      <w:iCs/>
      <w:color w:val="1F4D78" w:themeColor="accent1" w:themeShade="7F"/>
    </w:rPr>
  </w:style>
  <w:style w:type="character" w:styleId="Wyrnienieintensywne">
    <w:name w:val="Intense Emphasis"/>
    <w:uiPriority w:val="21"/>
    <w:qFormat/>
    <w:rsid w:val="002C7128"/>
    <w:rPr>
      <w:b/>
      <w:bCs/>
      <w:caps/>
      <w:color w:val="1F4D78" w:themeColor="accent1" w:themeShade="7F"/>
      <w:spacing w:val="10"/>
    </w:rPr>
  </w:style>
  <w:style w:type="character" w:styleId="Odwoaniedelikatne">
    <w:name w:val="Subtle Reference"/>
    <w:uiPriority w:val="31"/>
    <w:qFormat/>
    <w:rsid w:val="002C7128"/>
    <w:rPr>
      <w:b/>
      <w:bCs/>
      <w:color w:val="5B9BD5" w:themeColor="accent1"/>
    </w:rPr>
  </w:style>
  <w:style w:type="character" w:styleId="Odwoanieintensywne">
    <w:name w:val="Intense Reference"/>
    <w:uiPriority w:val="32"/>
    <w:qFormat/>
    <w:rsid w:val="002C7128"/>
    <w:rPr>
      <w:b/>
      <w:bCs/>
      <w:i/>
      <w:iCs/>
      <w:caps/>
      <w:color w:val="5B9BD5" w:themeColor="accent1"/>
    </w:rPr>
  </w:style>
  <w:style w:type="character" w:styleId="Tytuksiki">
    <w:name w:val="Book Title"/>
    <w:uiPriority w:val="33"/>
    <w:qFormat/>
    <w:rsid w:val="002C7128"/>
    <w:rPr>
      <w:b/>
      <w:bCs/>
      <w:i/>
      <w:iCs/>
      <w:spacing w:val="0"/>
    </w:rPr>
  </w:style>
  <w:style w:type="paragraph" w:styleId="Nagwekspisutreci">
    <w:name w:val="TOC Heading"/>
    <w:basedOn w:val="Nagwek1"/>
    <w:next w:val="Normalny"/>
    <w:uiPriority w:val="39"/>
    <w:semiHidden/>
    <w:unhideWhenUsed/>
    <w:qFormat/>
    <w:rsid w:val="002C7128"/>
    <w:pPr>
      <w:outlineLvl w:val="9"/>
    </w:pPr>
  </w:style>
  <w:style w:type="paragraph" w:styleId="Tekstprzypisukocowego">
    <w:name w:val="endnote text"/>
    <w:basedOn w:val="Normalny"/>
    <w:link w:val="TekstprzypisukocowegoZnak"/>
    <w:rsid w:val="00861608"/>
    <w:pPr>
      <w:spacing w:before="0" w:after="0" w:line="240" w:lineRule="auto"/>
    </w:pPr>
  </w:style>
  <w:style w:type="character" w:customStyle="1" w:styleId="TekstprzypisukocowegoZnak">
    <w:name w:val="Tekst przypisu końcowego Znak"/>
    <w:basedOn w:val="Domylnaczcionkaakapitu"/>
    <w:link w:val="Tekstprzypisukocowego"/>
    <w:rsid w:val="00861608"/>
  </w:style>
  <w:style w:type="character" w:styleId="Odwoanieprzypisukocowego">
    <w:name w:val="endnote reference"/>
    <w:basedOn w:val="Domylnaczcionkaakapitu"/>
    <w:rsid w:val="00861608"/>
    <w:rPr>
      <w:vertAlign w:val="superscript"/>
    </w:rPr>
  </w:style>
  <w:style w:type="paragraph" w:styleId="Poprawka">
    <w:name w:val="Revision"/>
    <w:hidden/>
    <w:uiPriority w:val="99"/>
    <w:semiHidden/>
    <w:rsid w:val="00BC6DE9"/>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37509">
      <w:bodyDiv w:val="1"/>
      <w:marLeft w:val="0"/>
      <w:marRight w:val="0"/>
      <w:marTop w:val="0"/>
      <w:marBottom w:val="0"/>
      <w:divBdr>
        <w:top w:val="none" w:sz="0" w:space="0" w:color="auto"/>
        <w:left w:val="none" w:sz="0" w:space="0" w:color="auto"/>
        <w:bottom w:val="none" w:sz="0" w:space="0" w:color="auto"/>
        <w:right w:val="none" w:sz="0" w:space="0" w:color="auto"/>
      </w:divBdr>
    </w:div>
    <w:div w:id="26219894">
      <w:bodyDiv w:val="1"/>
      <w:marLeft w:val="0"/>
      <w:marRight w:val="0"/>
      <w:marTop w:val="0"/>
      <w:marBottom w:val="0"/>
      <w:divBdr>
        <w:top w:val="none" w:sz="0" w:space="0" w:color="auto"/>
        <w:left w:val="none" w:sz="0" w:space="0" w:color="auto"/>
        <w:bottom w:val="none" w:sz="0" w:space="0" w:color="auto"/>
        <w:right w:val="none" w:sz="0" w:space="0" w:color="auto"/>
      </w:divBdr>
    </w:div>
    <w:div w:id="236406153">
      <w:bodyDiv w:val="1"/>
      <w:marLeft w:val="0"/>
      <w:marRight w:val="0"/>
      <w:marTop w:val="0"/>
      <w:marBottom w:val="0"/>
      <w:divBdr>
        <w:top w:val="none" w:sz="0" w:space="0" w:color="auto"/>
        <w:left w:val="none" w:sz="0" w:space="0" w:color="auto"/>
        <w:bottom w:val="none" w:sz="0" w:space="0" w:color="auto"/>
        <w:right w:val="none" w:sz="0" w:space="0" w:color="auto"/>
      </w:divBdr>
    </w:div>
    <w:div w:id="415171991">
      <w:bodyDiv w:val="1"/>
      <w:marLeft w:val="0"/>
      <w:marRight w:val="0"/>
      <w:marTop w:val="0"/>
      <w:marBottom w:val="0"/>
      <w:divBdr>
        <w:top w:val="none" w:sz="0" w:space="0" w:color="auto"/>
        <w:left w:val="none" w:sz="0" w:space="0" w:color="auto"/>
        <w:bottom w:val="none" w:sz="0" w:space="0" w:color="auto"/>
        <w:right w:val="none" w:sz="0" w:space="0" w:color="auto"/>
      </w:divBdr>
    </w:div>
    <w:div w:id="557668896">
      <w:bodyDiv w:val="1"/>
      <w:marLeft w:val="0"/>
      <w:marRight w:val="0"/>
      <w:marTop w:val="0"/>
      <w:marBottom w:val="0"/>
      <w:divBdr>
        <w:top w:val="none" w:sz="0" w:space="0" w:color="auto"/>
        <w:left w:val="none" w:sz="0" w:space="0" w:color="auto"/>
        <w:bottom w:val="none" w:sz="0" w:space="0" w:color="auto"/>
        <w:right w:val="none" w:sz="0" w:space="0" w:color="auto"/>
      </w:divBdr>
    </w:div>
    <w:div w:id="580791625">
      <w:bodyDiv w:val="1"/>
      <w:marLeft w:val="0"/>
      <w:marRight w:val="0"/>
      <w:marTop w:val="0"/>
      <w:marBottom w:val="0"/>
      <w:divBdr>
        <w:top w:val="none" w:sz="0" w:space="0" w:color="auto"/>
        <w:left w:val="none" w:sz="0" w:space="0" w:color="auto"/>
        <w:bottom w:val="none" w:sz="0" w:space="0" w:color="auto"/>
        <w:right w:val="none" w:sz="0" w:space="0" w:color="auto"/>
      </w:divBdr>
    </w:div>
    <w:div w:id="653876628">
      <w:bodyDiv w:val="1"/>
      <w:marLeft w:val="0"/>
      <w:marRight w:val="0"/>
      <w:marTop w:val="0"/>
      <w:marBottom w:val="0"/>
      <w:divBdr>
        <w:top w:val="none" w:sz="0" w:space="0" w:color="auto"/>
        <w:left w:val="none" w:sz="0" w:space="0" w:color="auto"/>
        <w:bottom w:val="none" w:sz="0" w:space="0" w:color="auto"/>
        <w:right w:val="none" w:sz="0" w:space="0" w:color="auto"/>
      </w:divBdr>
    </w:div>
    <w:div w:id="666640187">
      <w:bodyDiv w:val="1"/>
      <w:marLeft w:val="0"/>
      <w:marRight w:val="0"/>
      <w:marTop w:val="0"/>
      <w:marBottom w:val="0"/>
      <w:divBdr>
        <w:top w:val="none" w:sz="0" w:space="0" w:color="auto"/>
        <w:left w:val="none" w:sz="0" w:space="0" w:color="auto"/>
        <w:bottom w:val="none" w:sz="0" w:space="0" w:color="auto"/>
        <w:right w:val="none" w:sz="0" w:space="0" w:color="auto"/>
      </w:divBdr>
    </w:div>
    <w:div w:id="711072734">
      <w:bodyDiv w:val="1"/>
      <w:marLeft w:val="0"/>
      <w:marRight w:val="0"/>
      <w:marTop w:val="0"/>
      <w:marBottom w:val="0"/>
      <w:divBdr>
        <w:top w:val="none" w:sz="0" w:space="0" w:color="auto"/>
        <w:left w:val="none" w:sz="0" w:space="0" w:color="auto"/>
        <w:bottom w:val="none" w:sz="0" w:space="0" w:color="auto"/>
        <w:right w:val="none" w:sz="0" w:space="0" w:color="auto"/>
      </w:divBdr>
    </w:div>
    <w:div w:id="883248708">
      <w:bodyDiv w:val="1"/>
      <w:marLeft w:val="0"/>
      <w:marRight w:val="0"/>
      <w:marTop w:val="0"/>
      <w:marBottom w:val="0"/>
      <w:divBdr>
        <w:top w:val="none" w:sz="0" w:space="0" w:color="auto"/>
        <w:left w:val="none" w:sz="0" w:space="0" w:color="auto"/>
        <w:bottom w:val="none" w:sz="0" w:space="0" w:color="auto"/>
        <w:right w:val="none" w:sz="0" w:space="0" w:color="auto"/>
      </w:divBdr>
    </w:div>
    <w:div w:id="946733097">
      <w:bodyDiv w:val="1"/>
      <w:marLeft w:val="0"/>
      <w:marRight w:val="0"/>
      <w:marTop w:val="0"/>
      <w:marBottom w:val="0"/>
      <w:divBdr>
        <w:top w:val="none" w:sz="0" w:space="0" w:color="auto"/>
        <w:left w:val="none" w:sz="0" w:space="0" w:color="auto"/>
        <w:bottom w:val="none" w:sz="0" w:space="0" w:color="auto"/>
        <w:right w:val="none" w:sz="0" w:space="0" w:color="auto"/>
      </w:divBdr>
    </w:div>
    <w:div w:id="1100568265">
      <w:bodyDiv w:val="1"/>
      <w:marLeft w:val="0"/>
      <w:marRight w:val="0"/>
      <w:marTop w:val="0"/>
      <w:marBottom w:val="0"/>
      <w:divBdr>
        <w:top w:val="none" w:sz="0" w:space="0" w:color="auto"/>
        <w:left w:val="none" w:sz="0" w:space="0" w:color="auto"/>
        <w:bottom w:val="none" w:sz="0" w:space="0" w:color="auto"/>
        <w:right w:val="none" w:sz="0" w:space="0" w:color="auto"/>
      </w:divBdr>
    </w:div>
    <w:div w:id="1171094232">
      <w:bodyDiv w:val="1"/>
      <w:marLeft w:val="0"/>
      <w:marRight w:val="0"/>
      <w:marTop w:val="0"/>
      <w:marBottom w:val="0"/>
      <w:divBdr>
        <w:top w:val="none" w:sz="0" w:space="0" w:color="auto"/>
        <w:left w:val="none" w:sz="0" w:space="0" w:color="auto"/>
        <w:bottom w:val="none" w:sz="0" w:space="0" w:color="auto"/>
        <w:right w:val="none" w:sz="0" w:space="0" w:color="auto"/>
      </w:divBdr>
    </w:div>
    <w:div w:id="1172338845">
      <w:bodyDiv w:val="1"/>
      <w:marLeft w:val="0"/>
      <w:marRight w:val="0"/>
      <w:marTop w:val="0"/>
      <w:marBottom w:val="0"/>
      <w:divBdr>
        <w:top w:val="none" w:sz="0" w:space="0" w:color="auto"/>
        <w:left w:val="none" w:sz="0" w:space="0" w:color="auto"/>
        <w:bottom w:val="none" w:sz="0" w:space="0" w:color="auto"/>
        <w:right w:val="none" w:sz="0" w:space="0" w:color="auto"/>
      </w:divBdr>
    </w:div>
    <w:div w:id="1186939529">
      <w:bodyDiv w:val="1"/>
      <w:marLeft w:val="0"/>
      <w:marRight w:val="0"/>
      <w:marTop w:val="0"/>
      <w:marBottom w:val="0"/>
      <w:divBdr>
        <w:top w:val="none" w:sz="0" w:space="0" w:color="auto"/>
        <w:left w:val="none" w:sz="0" w:space="0" w:color="auto"/>
        <w:bottom w:val="none" w:sz="0" w:space="0" w:color="auto"/>
        <w:right w:val="none" w:sz="0" w:space="0" w:color="auto"/>
      </w:divBdr>
    </w:div>
    <w:div w:id="1217358446">
      <w:bodyDiv w:val="1"/>
      <w:marLeft w:val="0"/>
      <w:marRight w:val="0"/>
      <w:marTop w:val="0"/>
      <w:marBottom w:val="0"/>
      <w:divBdr>
        <w:top w:val="none" w:sz="0" w:space="0" w:color="auto"/>
        <w:left w:val="none" w:sz="0" w:space="0" w:color="auto"/>
        <w:bottom w:val="none" w:sz="0" w:space="0" w:color="auto"/>
        <w:right w:val="none" w:sz="0" w:space="0" w:color="auto"/>
      </w:divBdr>
    </w:div>
    <w:div w:id="1252005631">
      <w:bodyDiv w:val="1"/>
      <w:marLeft w:val="0"/>
      <w:marRight w:val="0"/>
      <w:marTop w:val="0"/>
      <w:marBottom w:val="0"/>
      <w:divBdr>
        <w:top w:val="none" w:sz="0" w:space="0" w:color="auto"/>
        <w:left w:val="none" w:sz="0" w:space="0" w:color="auto"/>
        <w:bottom w:val="none" w:sz="0" w:space="0" w:color="auto"/>
        <w:right w:val="none" w:sz="0" w:space="0" w:color="auto"/>
      </w:divBdr>
    </w:div>
    <w:div w:id="1278635680">
      <w:bodyDiv w:val="1"/>
      <w:marLeft w:val="0"/>
      <w:marRight w:val="0"/>
      <w:marTop w:val="0"/>
      <w:marBottom w:val="0"/>
      <w:divBdr>
        <w:top w:val="none" w:sz="0" w:space="0" w:color="auto"/>
        <w:left w:val="none" w:sz="0" w:space="0" w:color="auto"/>
        <w:bottom w:val="none" w:sz="0" w:space="0" w:color="auto"/>
        <w:right w:val="none" w:sz="0" w:space="0" w:color="auto"/>
      </w:divBdr>
    </w:div>
    <w:div w:id="1296595119">
      <w:bodyDiv w:val="1"/>
      <w:marLeft w:val="0"/>
      <w:marRight w:val="0"/>
      <w:marTop w:val="0"/>
      <w:marBottom w:val="0"/>
      <w:divBdr>
        <w:top w:val="none" w:sz="0" w:space="0" w:color="auto"/>
        <w:left w:val="none" w:sz="0" w:space="0" w:color="auto"/>
        <w:bottom w:val="none" w:sz="0" w:space="0" w:color="auto"/>
        <w:right w:val="none" w:sz="0" w:space="0" w:color="auto"/>
      </w:divBdr>
    </w:div>
    <w:div w:id="1316908896">
      <w:bodyDiv w:val="1"/>
      <w:marLeft w:val="390"/>
      <w:marRight w:val="390"/>
      <w:marTop w:val="0"/>
      <w:marBottom w:val="0"/>
      <w:divBdr>
        <w:top w:val="none" w:sz="0" w:space="0" w:color="auto"/>
        <w:left w:val="none" w:sz="0" w:space="0" w:color="auto"/>
        <w:bottom w:val="none" w:sz="0" w:space="0" w:color="auto"/>
        <w:right w:val="none" w:sz="0" w:space="0" w:color="auto"/>
      </w:divBdr>
    </w:div>
    <w:div w:id="1317566970">
      <w:bodyDiv w:val="1"/>
      <w:marLeft w:val="0"/>
      <w:marRight w:val="0"/>
      <w:marTop w:val="0"/>
      <w:marBottom w:val="0"/>
      <w:divBdr>
        <w:top w:val="none" w:sz="0" w:space="0" w:color="auto"/>
        <w:left w:val="none" w:sz="0" w:space="0" w:color="auto"/>
        <w:bottom w:val="none" w:sz="0" w:space="0" w:color="auto"/>
        <w:right w:val="none" w:sz="0" w:space="0" w:color="auto"/>
      </w:divBdr>
    </w:div>
    <w:div w:id="1326857587">
      <w:bodyDiv w:val="1"/>
      <w:marLeft w:val="0"/>
      <w:marRight w:val="0"/>
      <w:marTop w:val="0"/>
      <w:marBottom w:val="0"/>
      <w:divBdr>
        <w:top w:val="none" w:sz="0" w:space="0" w:color="auto"/>
        <w:left w:val="none" w:sz="0" w:space="0" w:color="auto"/>
        <w:bottom w:val="none" w:sz="0" w:space="0" w:color="auto"/>
        <w:right w:val="none" w:sz="0" w:space="0" w:color="auto"/>
      </w:divBdr>
    </w:div>
    <w:div w:id="1327594273">
      <w:bodyDiv w:val="1"/>
      <w:marLeft w:val="0"/>
      <w:marRight w:val="0"/>
      <w:marTop w:val="0"/>
      <w:marBottom w:val="0"/>
      <w:divBdr>
        <w:top w:val="none" w:sz="0" w:space="0" w:color="auto"/>
        <w:left w:val="none" w:sz="0" w:space="0" w:color="auto"/>
        <w:bottom w:val="none" w:sz="0" w:space="0" w:color="auto"/>
        <w:right w:val="none" w:sz="0" w:space="0" w:color="auto"/>
      </w:divBdr>
    </w:div>
    <w:div w:id="1391999084">
      <w:bodyDiv w:val="1"/>
      <w:marLeft w:val="0"/>
      <w:marRight w:val="0"/>
      <w:marTop w:val="0"/>
      <w:marBottom w:val="0"/>
      <w:divBdr>
        <w:top w:val="none" w:sz="0" w:space="0" w:color="auto"/>
        <w:left w:val="none" w:sz="0" w:space="0" w:color="auto"/>
        <w:bottom w:val="none" w:sz="0" w:space="0" w:color="auto"/>
        <w:right w:val="none" w:sz="0" w:space="0" w:color="auto"/>
      </w:divBdr>
    </w:div>
    <w:div w:id="1435173321">
      <w:bodyDiv w:val="1"/>
      <w:marLeft w:val="0"/>
      <w:marRight w:val="0"/>
      <w:marTop w:val="0"/>
      <w:marBottom w:val="0"/>
      <w:divBdr>
        <w:top w:val="none" w:sz="0" w:space="0" w:color="auto"/>
        <w:left w:val="none" w:sz="0" w:space="0" w:color="auto"/>
        <w:bottom w:val="none" w:sz="0" w:space="0" w:color="auto"/>
        <w:right w:val="none" w:sz="0" w:space="0" w:color="auto"/>
      </w:divBdr>
    </w:div>
    <w:div w:id="1567836833">
      <w:bodyDiv w:val="1"/>
      <w:marLeft w:val="0"/>
      <w:marRight w:val="0"/>
      <w:marTop w:val="0"/>
      <w:marBottom w:val="0"/>
      <w:divBdr>
        <w:top w:val="none" w:sz="0" w:space="0" w:color="auto"/>
        <w:left w:val="none" w:sz="0" w:space="0" w:color="auto"/>
        <w:bottom w:val="none" w:sz="0" w:space="0" w:color="auto"/>
        <w:right w:val="none" w:sz="0" w:space="0" w:color="auto"/>
      </w:divBdr>
    </w:div>
    <w:div w:id="1595701409">
      <w:bodyDiv w:val="1"/>
      <w:marLeft w:val="0"/>
      <w:marRight w:val="0"/>
      <w:marTop w:val="0"/>
      <w:marBottom w:val="0"/>
      <w:divBdr>
        <w:top w:val="none" w:sz="0" w:space="0" w:color="auto"/>
        <w:left w:val="none" w:sz="0" w:space="0" w:color="auto"/>
        <w:bottom w:val="none" w:sz="0" w:space="0" w:color="auto"/>
        <w:right w:val="none" w:sz="0" w:space="0" w:color="auto"/>
      </w:divBdr>
    </w:div>
    <w:div w:id="1712413612">
      <w:bodyDiv w:val="1"/>
      <w:marLeft w:val="0"/>
      <w:marRight w:val="0"/>
      <w:marTop w:val="0"/>
      <w:marBottom w:val="0"/>
      <w:divBdr>
        <w:top w:val="none" w:sz="0" w:space="0" w:color="auto"/>
        <w:left w:val="none" w:sz="0" w:space="0" w:color="auto"/>
        <w:bottom w:val="none" w:sz="0" w:space="0" w:color="auto"/>
        <w:right w:val="none" w:sz="0" w:space="0" w:color="auto"/>
      </w:divBdr>
    </w:div>
    <w:div w:id="1866090706">
      <w:bodyDiv w:val="1"/>
      <w:marLeft w:val="0"/>
      <w:marRight w:val="0"/>
      <w:marTop w:val="0"/>
      <w:marBottom w:val="0"/>
      <w:divBdr>
        <w:top w:val="none" w:sz="0" w:space="0" w:color="auto"/>
        <w:left w:val="none" w:sz="0" w:space="0" w:color="auto"/>
        <w:bottom w:val="none" w:sz="0" w:space="0" w:color="auto"/>
        <w:right w:val="none" w:sz="0" w:space="0" w:color="auto"/>
      </w:divBdr>
    </w:div>
    <w:div w:id="1929729836">
      <w:bodyDiv w:val="1"/>
      <w:marLeft w:val="0"/>
      <w:marRight w:val="0"/>
      <w:marTop w:val="0"/>
      <w:marBottom w:val="0"/>
      <w:divBdr>
        <w:top w:val="none" w:sz="0" w:space="0" w:color="auto"/>
        <w:left w:val="none" w:sz="0" w:space="0" w:color="auto"/>
        <w:bottom w:val="none" w:sz="0" w:space="0" w:color="auto"/>
        <w:right w:val="none" w:sz="0" w:space="0" w:color="auto"/>
      </w:divBdr>
    </w:div>
    <w:div w:id="1932540090">
      <w:bodyDiv w:val="1"/>
      <w:marLeft w:val="0"/>
      <w:marRight w:val="0"/>
      <w:marTop w:val="0"/>
      <w:marBottom w:val="0"/>
      <w:divBdr>
        <w:top w:val="none" w:sz="0" w:space="0" w:color="auto"/>
        <w:left w:val="none" w:sz="0" w:space="0" w:color="auto"/>
        <w:bottom w:val="none" w:sz="0" w:space="0" w:color="auto"/>
        <w:right w:val="none" w:sz="0" w:space="0" w:color="auto"/>
      </w:divBdr>
    </w:div>
    <w:div w:id="2012442033">
      <w:bodyDiv w:val="1"/>
      <w:marLeft w:val="0"/>
      <w:marRight w:val="0"/>
      <w:marTop w:val="0"/>
      <w:marBottom w:val="0"/>
      <w:divBdr>
        <w:top w:val="none" w:sz="0" w:space="0" w:color="auto"/>
        <w:left w:val="none" w:sz="0" w:space="0" w:color="auto"/>
        <w:bottom w:val="none" w:sz="0" w:space="0" w:color="auto"/>
        <w:right w:val="none" w:sz="0" w:space="0" w:color="auto"/>
      </w:divBdr>
    </w:div>
    <w:div w:id="202736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94915-970B-462C-96AA-1EA192AC5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3676</Words>
  <Characters>22062</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2020-04-06T14:05:00Z</dcterms:created>
  <dcterms:modified xsi:type="dcterms:W3CDTF">2020-04-06T14:05:00Z</dcterms:modified>
</cp:coreProperties>
</file>