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a-Siatka1"/>
        <w:tblpPr w:leftFromText="141" w:rightFromText="141" w:vertAnchor="text" w:tblpXSpec="center" w:tblpY="1"/>
        <w:tblOverlap w:val="never"/>
        <w:tblW w:w="15261" w:type="dxa"/>
        <w:tblLayout w:type="fixed"/>
        <w:tblLook w:val="04A0" w:firstRow="1" w:lastRow="0" w:firstColumn="1" w:lastColumn="0" w:noHBand="0" w:noVBand="1"/>
      </w:tblPr>
      <w:tblGrid>
        <w:gridCol w:w="763"/>
        <w:gridCol w:w="1500"/>
        <w:gridCol w:w="1560"/>
        <w:gridCol w:w="8363"/>
        <w:gridCol w:w="3075"/>
      </w:tblGrid>
      <w:tr w:rsidR="00AA3A23" w:rsidRPr="00AA3A23" w14:paraId="507C0D92" w14:textId="77777777" w:rsidTr="7B586FFD">
        <w:trPr>
          <w:trHeight w:val="592"/>
        </w:trPr>
        <w:tc>
          <w:tcPr>
            <w:tcW w:w="15261" w:type="dxa"/>
            <w:gridSpan w:val="5"/>
            <w:shd w:val="clear" w:color="auto" w:fill="1F497D"/>
            <w:vAlign w:val="center"/>
          </w:tcPr>
          <w:p w14:paraId="7363A349" w14:textId="77777777" w:rsidR="00AA3A23" w:rsidRPr="00AA3A23" w:rsidRDefault="7B586FFD" w:rsidP="7B586FFD">
            <w:pPr>
              <w:spacing w:line="259" w:lineRule="auto"/>
              <w:rPr>
                <w:rFonts w:ascii="Arial" w:eastAsia="Calibri" w:hAnsi="Arial" w:cs="Arial"/>
                <w:b/>
                <w:bCs/>
                <w:color w:val="FFFFFF" w:themeColor="background1"/>
                <w:sz w:val="20"/>
                <w:szCs w:val="20"/>
                <w:lang w:eastAsia="pl-PL"/>
              </w:rPr>
            </w:pPr>
            <w:r w:rsidRPr="7B586FFD">
              <w:rPr>
                <w:rFonts w:ascii="Arial" w:eastAsia="Calibri" w:hAnsi="Arial" w:cs="Arial"/>
                <w:b/>
                <w:bCs/>
                <w:color w:val="FFFFFF" w:themeColor="background1"/>
                <w:sz w:val="20"/>
                <w:szCs w:val="20"/>
                <w:lang w:eastAsia="pl-PL"/>
              </w:rPr>
              <w:t>Uwagi do projektu ustawy o zmianie niektórych ustaw w celu deregulacji prawa gospodarczego i administracyjnego oraz doskonalenia zasad opracowywania prawa gospodarczego (UA8) - opiniowanie</w:t>
            </w:r>
          </w:p>
        </w:tc>
      </w:tr>
      <w:tr w:rsidR="00AA3A23" w:rsidRPr="00AA3A23" w14:paraId="51B55411" w14:textId="77777777" w:rsidTr="7B586FFD">
        <w:trPr>
          <w:trHeight w:val="592"/>
        </w:trPr>
        <w:tc>
          <w:tcPr>
            <w:tcW w:w="763" w:type="dxa"/>
            <w:shd w:val="clear" w:color="auto" w:fill="1F497D"/>
            <w:vAlign w:val="center"/>
          </w:tcPr>
          <w:p w14:paraId="4221832A" w14:textId="77777777" w:rsidR="00AA3A23" w:rsidRPr="00AA3A23" w:rsidRDefault="7B586FFD" w:rsidP="7B586FFD">
            <w:pPr>
              <w:spacing w:line="259" w:lineRule="auto"/>
              <w:jc w:val="center"/>
              <w:rPr>
                <w:rFonts w:ascii="Arial" w:eastAsia="Calibri" w:hAnsi="Arial" w:cs="Arial"/>
                <w:color w:val="FFFFFF" w:themeColor="background1"/>
                <w:sz w:val="20"/>
                <w:szCs w:val="20"/>
              </w:rPr>
            </w:pPr>
            <w:r w:rsidRPr="7B586FFD">
              <w:rPr>
                <w:rFonts w:ascii="Arial" w:eastAsia="Calibri" w:hAnsi="Arial" w:cs="Arial"/>
                <w:b/>
                <w:bCs/>
                <w:color w:val="FFFFFF" w:themeColor="background1"/>
                <w:sz w:val="20"/>
                <w:szCs w:val="20"/>
              </w:rPr>
              <w:t>Lp</w:t>
            </w:r>
            <w:r w:rsidRPr="7B586FFD">
              <w:rPr>
                <w:rFonts w:ascii="Arial" w:eastAsia="Calibri" w:hAnsi="Arial" w:cs="Arial"/>
                <w:color w:val="FFFFFF" w:themeColor="background1"/>
                <w:sz w:val="20"/>
                <w:szCs w:val="20"/>
              </w:rPr>
              <w:t>.</w:t>
            </w:r>
          </w:p>
        </w:tc>
        <w:tc>
          <w:tcPr>
            <w:tcW w:w="1500" w:type="dxa"/>
            <w:shd w:val="clear" w:color="auto" w:fill="1F497D"/>
            <w:vAlign w:val="center"/>
          </w:tcPr>
          <w:p w14:paraId="1AB1B608" w14:textId="77777777" w:rsidR="00AA3A23" w:rsidRPr="00AA3A23" w:rsidRDefault="7B586FFD" w:rsidP="7B586FFD">
            <w:pPr>
              <w:spacing w:after="60" w:line="259" w:lineRule="auto"/>
              <w:jc w:val="center"/>
              <w:rPr>
                <w:rFonts w:ascii="Arial" w:eastAsia="Calibri" w:hAnsi="Arial" w:cs="Arial"/>
                <w:b/>
                <w:bCs/>
                <w:color w:val="FFFFFF" w:themeColor="background1"/>
                <w:sz w:val="20"/>
                <w:szCs w:val="20"/>
              </w:rPr>
            </w:pPr>
            <w:r w:rsidRPr="7B586FFD">
              <w:rPr>
                <w:rFonts w:ascii="Arial" w:eastAsia="Calibri" w:hAnsi="Arial" w:cs="Arial"/>
                <w:b/>
                <w:bCs/>
                <w:color w:val="FFFFFF" w:themeColor="background1"/>
                <w:sz w:val="20"/>
                <w:szCs w:val="20"/>
              </w:rPr>
              <w:t xml:space="preserve">Jednostka redakcyjna, której uwaga dotyczy/ </w:t>
            </w:r>
          </w:p>
          <w:p w14:paraId="2EA1073B" w14:textId="77777777" w:rsidR="00AA3A23" w:rsidRPr="00AA3A23" w:rsidRDefault="7B586FFD" w:rsidP="7B586FFD">
            <w:pPr>
              <w:spacing w:after="60" w:line="259" w:lineRule="auto"/>
              <w:jc w:val="center"/>
              <w:rPr>
                <w:rFonts w:ascii="Arial" w:eastAsia="Calibri" w:hAnsi="Arial" w:cs="Arial"/>
                <w:b/>
                <w:bCs/>
                <w:color w:val="FFFFFF" w:themeColor="background1"/>
                <w:sz w:val="20"/>
                <w:szCs w:val="20"/>
              </w:rPr>
            </w:pPr>
            <w:r w:rsidRPr="7B586FFD">
              <w:rPr>
                <w:rFonts w:ascii="Arial" w:eastAsia="Calibri" w:hAnsi="Arial" w:cs="Arial"/>
                <w:b/>
                <w:bCs/>
                <w:color w:val="FFFFFF" w:themeColor="background1"/>
                <w:sz w:val="20"/>
                <w:szCs w:val="20"/>
              </w:rPr>
              <w:t>pkt Uzasadnienia/</w:t>
            </w:r>
          </w:p>
          <w:p w14:paraId="729F305B" w14:textId="77777777" w:rsidR="00AA3A23" w:rsidRPr="00AA3A23" w:rsidRDefault="7B586FFD" w:rsidP="7B586FFD">
            <w:pPr>
              <w:spacing w:after="60" w:line="259" w:lineRule="auto"/>
              <w:jc w:val="center"/>
              <w:rPr>
                <w:rFonts w:ascii="Arial" w:eastAsia="Calibri" w:hAnsi="Arial" w:cs="Arial"/>
                <w:b/>
                <w:bCs/>
                <w:color w:val="FFFFFF" w:themeColor="background1"/>
                <w:sz w:val="20"/>
                <w:szCs w:val="20"/>
              </w:rPr>
            </w:pPr>
            <w:r w:rsidRPr="7B586FFD">
              <w:rPr>
                <w:rFonts w:ascii="Arial" w:eastAsia="Calibri" w:hAnsi="Arial" w:cs="Arial"/>
                <w:b/>
                <w:bCs/>
                <w:color w:val="FFFFFF" w:themeColor="background1"/>
                <w:sz w:val="20"/>
                <w:szCs w:val="20"/>
              </w:rPr>
              <w:t>pkt OSR</w:t>
            </w:r>
          </w:p>
        </w:tc>
        <w:tc>
          <w:tcPr>
            <w:tcW w:w="1560" w:type="dxa"/>
            <w:shd w:val="clear" w:color="auto" w:fill="1F497D"/>
            <w:vAlign w:val="center"/>
          </w:tcPr>
          <w:p w14:paraId="600F0FAA" w14:textId="77777777" w:rsidR="00AA3A23" w:rsidRPr="00AA3A23" w:rsidRDefault="7B586FFD" w:rsidP="7B586FFD">
            <w:pPr>
              <w:spacing w:line="259" w:lineRule="auto"/>
              <w:jc w:val="center"/>
              <w:rPr>
                <w:rFonts w:ascii="Arial" w:eastAsia="Calibri" w:hAnsi="Arial" w:cs="Arial"/>
                <w:color w:val="FFFFFF" w:themeColor="background1"/>
                <w:sz w:val="20"/>
                <w:szCs w:val="20"/>
              </w:rPr>
            </w:pPr>
            <w:r w:rsidRPr="7B586FFD">
              <w:rPr>
                <w:rFonts w:ascii="Arial" w:eastAsia="Calibri" w:hAnsi="Arial" w:cs="Arial"/>
                <w:b/>
                <w:bCs/>
                <w:color w:val="FFFFFF" w:themeColor="background1"/>
                <w:sz w:val="20"/>
                <w:szCs w:val="20"/>
              </w:rPr>
              <w:t>Podmiot zgłaszający</w:t>
            </w:r>
          </w:p>
        </w:tc>
        <w:tc>
          <w:tcPr>
            <w:tcW w:w="8363" w:type="dxa"/>
            <w:shd w:val="clear" w:color="auto" w:fill="1F497D"/>
            <w:vAlign w:val="center"/>
          </w:tcPr>
          <w:p w14:paraId="3CD8C94B" w14:textId="77777777" w:rsidR="00AA3A23" w:rsidRPr="00AA3A23" w:rsidRDefault="7B586FFD" w:rsidP="7B586FFD">
            <w:pPr>
              <w:spacing w:line="259" w:lineRule="auto"/>
              <w:jc w:val="center"/>
              <w:rPr>
                <w:rFonts w:ascii="Arial" w:eastAsia="Calibri" w:hAnsi="Arial" w:cs="Arial"/>
                <w:color w:val="FFFFFF" w:themeColor="background1"/>
                <w:sz w:val="20"/>
                <w:szCs w:val="20"/>
              </w:rPr>
            </w:pPr>
            <w:r w:rsidRPr="7B586FFD">
              <w:rPr>
                <w:rFonts w:ascii="Arial" w:eastAsia="Calibri" w:hAnsi="Arial" w:cs="Arial"/>
                <w:b/>
                <w:bCs/>
                <w:color w:val="FFFFFF" w:themeColor="background1"/>
                <w:sz w:val="20"/>
                <w:szCs w:val="20"/>
              </w:rPr>
              <w:t>Uwaga/Propozycja zmian zapisu</w:t>
            </w:r>
          </w:p>
        </w:tc>
        <w:tc>
          <w:tcPr>
            <w:tcW w:w="3075" w:type="dxa"/>
            <w:shd w:val="clear" w:color="auto" w:fill="1F497D"/>
            <w:vAlign w:val="center"/>
          </w:tcPr>
          <w:p w14:paraId="63AF2899" w14:textId="77777777" w:rsidR="00AA3A23" w:rsidRPr="00AA3A23" w:rsidRDefault="7B586FFD" w:rsidP="7B586FFD">
            <w:pPr>
              <w:spacing w:line="259" w:lineRule="auto"/>
              <w:jc w:val="center"/>
              <w:rPr>
                <w:rFonts w:ascii="Arial" w:eastAsia="Calibri" w:hAnsi="Arial" w:cs="Arial"/>
                <w:b/>
                <w:bCs/>
                <w:color w:val="FFFFFF" w:themeColor="background1"/>
                <w:sz w:val="20"/>
                <w:szCs w:val="20"/>
              </w:rPr>
            </w:pPr>
            <w:r w:rsidRPr="7B586FFD">
              <w:rPr>
                <w:rFonts w:ascii="Arial" w:eastAsia="Calibri" w:hAnsi="Arial" w:cs="Arial"/>
                <w:b/>
                <w:bCs/>
                <w:color w:val="FFFFFF" w:themeColor="background1"/>
                <w:sz w:val="20"/>
                <w:szCs w:val="20"/>
              </w:rPr>
              <w:t>Stanowisko MRiT</w:t>
            </w:r>
          </w:p>
        </w:tc>
      </w:tr>
      <w:tr w:rsidR="00AA3A23" w:rsidRPr="00AA3A23" w14:paraId="70622D8C" w14:textId="77777777" w:rsidTr="7B586FFD">
        <w:tc>
          <w:tcPr>
            <w:tcW w:w="763" w:type="dxa"/>
          </w:tcPr>
          <w:p w14:paraId="3466EBE4" w14:textId="77777777" w:rsidR="00AA3A23" w:rsidRPr="00AA3A23" w:rsidRDefault="00AA3A23" w:rsidP="00AA3A23">
            <w:pPr>
              <w:numPr>
                <w:ilvl w:val="0"/>
                <w:numId w:val="1"/>
              </w:numPr>
              <w:spacing w:before="120"/>
              <w:ind w:left="171" w:right="-534" w:hanging="52"/>
              <w:contextualSpacing/>
              <w:rPr>
                <w:rFonts w:ascii="Arial" w:eastAsia="Calibri" w:hAnsi="Arial" w:cs="Arial"/>
                <w:bCs/>
                <w:sz w:val="20"/>
                <w:szCs w:val="20"/>
              </w:rPr>
            </w:pPr>
          </w:p>
        </w:tc>
        <w:tc>
          <w:tcPr>
            <w:tcW w:w="1500" w:type="dxa"/>
            <w:tcBorders>
              <w:top w:val="single" w:sz="4" w:space="0" w:color="auto"/>
              <w:left w:val="single" w:sz="4" w:space="0" w:color="auto"/>
              <w:bottom w:val="single" w:sz="4" w:space="0" w:color="auto"/>
              <w:right w:val="single" w:sz="4" w:space="0" w:color="auto"/>
            </w:tcBorders>
          </w:tcPr>
          <w:p w14:paraId="6B7449E4" w14:textId="77777777" w:rsidR="00AA3A23" w:rsidRPr="00AA3A23" w:rsidRDefault="7B586FFD" w:rsidP="7B586FFD">
            <w:pPr>
              <w:autoSpaceDE w:val="0"/>
              <w:autoSpaceDN w:val="0"/>
              <w:adjustRightInd w:val="0"/>
              <w:spacing w:line="259" w:lineRule="auto"/>
              <w:rPr>
                <w:rFonts w:ascii="Arial" w:eastAsia="Aptos" w:hAnsi="Arial" w:cs="Arial"/>
                <w:sz w:val="20"/>
                <w:szCs w:val="20"/>
              </w:rPr>
            </w:pPr>
            <w:r w:rsidRPr="7B586FFD">
              <w:rPr>
                <w:rFonts w:ascii="Lato" w:eastAsia="Aptos" w:hAnsi="Lato" w:cs="Times New Roman"/>
                <w:sz w:val="20"/>
                <w:szCs w:val="20"/>
              </w:rPr>
              <w:t>Uwaga ogólna</w:t>
            </w:r>
          </w:p>
        </w:tc>
        <w:tc>
          <w:tcPr>
            <w:tcW w:w="1560" w:type="dxa"/>
            <w:tcBorders>
              <w:top w:val="single" w:sz="4" w:space="0" w:color="auto"/>
              <w:left w:val="single" w:sz="4" w:space="0" w:color="auto"/>
              <w:bottom w:val="single" w:sz="4" w:space="0" w:color="auto"/>
              <w:right w:val="single" w:sz="4" w:space="0" w:color="auto"/>
            </w:tcBorders>
          </w:tcPr>
          <w:p w14:paraId="67439547" w14:textId="77777777" w:rsidR="00AA3A23" w:rsidRPr="00AA3A23" w:rsidRDefault="7B586FFD" w:rsidP="7B586FFD">
            <w:pPr>
              <w:autoSpaceDE w:val="0"/>
              <w:autoSpaceDN w:val="0"/>
              <w:adjustRightInd w:val="0"/>
              <w:spacing w:line="259" w:lineRule="auto"/>
              <w:rPr>
                <w:rFonts w:ascii="Arial" w:eastAsia="Aptos" w:hAnsi="Arial" w:cs="Arial"/>
                <w:sz w:val="20"/>
                <w:szCs w:val="20"/>
              </w:rPr>
            </w:pPr>
            <w:r w:rsidRPr="7B586FFD">
              <w:rPr>
                <w:rFonts w:ascii="Lato" w:eastAsia="Aptos" w:hAnsi="Lato" w:cs="Times New Roman"/>
                <w:sz w:val="20"/>
                <w:szCs w:val="20"/>
              </w:rPr>
              <w:t>Prezes Prokuratorii Generalnej RP</w:t>
            </w:r>
          </w:p>
        </w:tc>
        <w:tc>
          <w:tcPr>
            <w:tcW w:w="8363" w:type="dxa"/>
            <w:tcBorders>
              <w:top w:val="single" w:sz="4" w:space="0" w:color="auto"/>
              <w:left w:val="single" w:sz="4" w:space="0" w:color="auto"/>
              <w:bottom w:val="single" w:sz="4" w:space="0" w:color="auto"/>
              <w:right w:val="single" w:sz="4" w:space="0" w:color="auto"/>
            </w:tcBorders>
            <w:vAlign w:val="center"/>
          </w:tcPr>
          <w:p w14:paraId="26C2C2E6" w14:textId="77777777" w:rsidR="00AA3A23" w:rsidRPr="00AA3A23" w:rsidRDefault="7B586FFD" w:rsidP="7B586FFD">
            <w:pPr>
              <w:spacing w:line="259" w:lineRule="auto"/>
              <w:jc w:val="both"/>
              <w:rPr>
                <w:rFonts w:ascii="Lato" w:eastAsia="Aptos" w:hAnsi="Lato" w:cs="Times New Roman"/>
                <w:sz w:val="20"/>
                <w:szCs w:val="20"/>
              </w:rPr>
            </w:pPr>
            <w:r w:rsidRPr="7B586FFD">
              <w:rPr>
                <w:rFonts w:ascii="Lato" w:eastAsia="Aptos" w:hAnsi="Lato" w:cs="Times New Roman"/>
                <w:sz w:val="20"/>
                <w:szCs w:val="20"/>
              </w:rPr>
              <w:t>Uprzejmie dziękuję za uwzględnienie części uwag Prokuratorii Generalnej zgłoszonych w ramach opiniowania projektu.</w:t>
            </w:r>
          </w:p>
          <w:p w14:paraId="18BBBFEF" w14:textId="77777777" w:rsidR="00AA3A23" w:rsidRPr="00AA3A23" w:rsidRDefault="7B586FFD" w:rsidP="7B586FFD">
            <w:pPr>
              <w:spacing w:line="259" w:lineRule="auto"/>
              <w:jc w:val="both"/>
              <w:rPr>
                <w:rFonts w:ascii="Lato" w:eastAsia="Aptos" w:hAnsi="Lato" w:cs="Times New Roman"/>
                <w:sz w:val="20"/>
                <w:szCs w:val="20"/>
              </w:rPr>
            </w:pPr>
            <w:r w:rsidRPr="7B586FFD">
              <w:rPr>
                <w:rFonts w:ascii="Lato" w:eastAsia="Aptos" w:hAnsi="Lato" w:cs="Times New Roman"/>
                <w:sz w:val="20"/>
                <w:szCs w:val="20"/>
              </w:rPr>
              <w:t>W związku z nieuwzględnieniem niektórych propozycji uznanych w zestawieniu uwag za uzasadnione, a także w związku ze zmianami wprowadzonymi w nowym tekście projektu, Prokuratoria przedstawia uwagi w załączonym zestawieniu. Dotyczą one przede wszystkim zmian w Kodeksie postępowania administracyjnego oraz w Kodeksie postępowania cywilnego i były już przedstawiane na etapie opiniowania projektu (pisma z 6 maja 2024 r. i 17 maja 2024 r.). Nowe uwagi dotyczą zmian wprowadzonych w nowym tekście projektu.</w:t>
            </w:r>
          </w:p>
          <w:p w14:paraId="75BEE726" w14:textId="77777777" w:rsidR="00AA3A23" w:rsidRPr="00AA3A23" w:rsidRDefault="7B586FFD" w:rsidP="7B586FFD">
            <w:pPr>
              <w:autoSpaceDE w:val="0"/>
              <w:autoSpaceDN w:val="0"/>
              <w:adjustRightInd w:val="0"/>
              <w:spacing w:line="259" w:lineRule="auto"/>
              <w:jc w:val="both"/>
              <w:rPr>
                <w:rFonts w:ascii="Arial" w:eastAsia="Aptos" w:hAnsi="Arial" w:cs="Arial"/>
                <w:sz w:val="20"/>
                <w:szCs w:val="20"/>
              </w:rPr>
            </w:pPr>
            <w:r w:rsidRPr="7B586FFD">
              <w:rPr>
                <w:rFonts w:ascii="Lato" w:eastAsia="Aptos" w:hAnsi="Lato" w:cs="Times New Roman"/>
                <w:sz w:val="20"/>
                <w:szCs w:val="20"/>
              </w:rPr>
              <w:t>Jednocześnie, w odniesieniu do propozycji rozważenia ograniczenia skutku nieważności decyzji wydanej z naruszeniem przepisów o właściwości tylko do wypadków, w których decyzja wydawana jest przez organ niewłaściwy rzeczowo, Prokuratoria przyjmuje deklarację, aby ta propozycja była uwzględniona podczas prac nad nową ustawą deregulacyjną.</w:t>
            </w:r>
          </w:p>
        </w:tc>
        <w:tc>
          <w:tcPr>
            <w:tcW w:w="3075" w:type="dxa"/>
          </w:tcPr>
          <w:p w14:paraId="37B686E7" w14:textId="5D150C0C" w:rsidR="00AA3A23" w:rsidRPr="00AA3A23" w:rsidRDefault="7B586FFD" w:rsidP="7B586FFD">
            <w:pPr>
              <w:spacing w:line="259" w:lineRule="auto"/>
              <w:jc w:val="both"/>
              <w:rPr>
                <w:rFonts w:ascii="Arial" w:eastAsia="Calibri" w:hAnsi="Arial" w:cs="Arial"/>
                <w:b/>
                <w:bCs/>
                <w:sz w:val="20"/>
                <w:szCs w:val="20"/>
              </w:rPr>
            </w:pPr>
            <w:r w:rsidRPr="7B586FFD">
              <w:rPr>
                <w:rFonts w:ascii="Arial" w:eastAsia="Calibri" w:hAnsi="Arial" w:cs="Arial"/>
                <w:b/>
                <w:bCs/>
                <w:sz w:val="20"/>
                <w:szCs w:val="20"/>
              </w:rPr>
              <w:t>Uwaga informacyjna.</w:t>
            </w:r>
          </w:p>
        </w:tc>
      </w:tr>
      <w:tr w:rsidR="00AA3A23" w:rsidRPr="00AA3A23" w14:paraId="48532C9E" w14:textId="77777777" w:rsidTr="7B586FFD">
        <w:tc>
          <w:tcPr>
            <w:tcW w:w="763" w:type="dxa"/>
          </w:tcPr>
          <w:p w14:paraId="017A47B4" w14:textId="77777777" w:rsidR="00AA3A23" w:rsidRPr="00AA3A23" w:rsidRDefault="00AA3A23" w:rsidP="00AA3A23">
            <w:pPr>
              <w:numPr>
                <w:ilvl w:val="0"/>
                <w:numId w:val="1"/>
              </w:numPr>
              <w:spacing w:before="120"/>
              <w:ind w:left="171" w:right="-534" w:hanging="52"/>
              <w:contextualSpacing/>
              <w:rPr>
                <w:rFonts w:ascii="Arial" w:eastAsia="Calibri" w:hAnsi="Arial" w:cs="Arial"/>
                <w:bCs/>
                <w:sz w:val="20"/>
                <w:szCs w:val="20"/>
              </w:rPr>
            </w:pPr>
          </w:p>
        </w:tc>
        <w:tc>
          <w:tcPr>
            <w:tcW w:w="1500" w:type="dxa"/>
            <w:tcBorders>
              <w:top w:val="single" w:sz="4" w:space="0" w:color="auto"/>
              <w:left w:val="single" w:sz="4" w:space="0" w:color="auto"/>
              <w:bottom w:val="single" w:sz="4" w:space="0" w:color="auto"/>
              <w:right w:val="single" w:sz="4" w:space="0" w:color="auto"/>
            </w:tcBorders>
          </w:tcPr>
          <w:p w14:paraId="4B1D70F9" w14:textId="77777777" w:rsidR="00AA3A23" w:rsidRPr="00AA3A23" w:rsidRDefault="7B586FFD" w:rsidP="7B586FFD">
            <w:pPr>
              <w:spacing w:line="259" w:lineRule="auto"/>
              <w:jc w:val="center"/>
              <w:rPr>
                <w:rFonts w:ascii="Lato" w:eastAsia="Aptos" w:hAnsi="Lato" w:cs="Times New Roman"/>
                <w:sz w:val="20"/>
                <w:szCs w:val="20"/>
              </w:rPr>
            </w:pPr>
            <w:r w:rsidRPr="7B586FFD">
              <w:rPr>
                <w:rFonts w:ascii="Lato" w:eastAsia="Aptos" w:hAnsi="Lato" w:cs="Times New Roman"/>
                <w:sz w:val="20"/>
                <w:szCs w:val="20"/>
              </w:rPr>
              <w:t>Art. 2</w:t>
            </w:r>
          </w:p>
          <w:p w14:paraId="4383DD38" w14:textId="77777777" w:rsidR="00AA3A23" w:rsidRPr="00AA3A23" w:rsidRDefault="7B586FFD" w:rsidP="7B586FFD">
            <w:pPr>
              <w:autoSpaceDE w:val="0"/>
              <w:autoSpaceDN w:val="0"/>
              <w:adjustRightInd w:val="0"/>
              <w:spacing w:line="259" w:lineRule="auto"/>
              <w:rPr>
                <w:rFonts w:ascii="Arial" w:eastAsia="Aptos" w:hAnsi="Arial" w:cs="Arial"/>
                <w:sz w:val="20"/>
                <w:szCs w:val="20"/>
              </w:rPr>
            </w:pPr>
            <w:r w:rsidRPr="7B586FFD">
              <w:rPr>
                <w:rFonts w:ascii="Lato" w:eastAsia="Aptos" w:hAnsi="Lato" w:cs="Times New Roman"/>
                <w:sz w:val="20"/>
                <w:szCs w:val="20"/>
              </w:rPr>
              <w:t>(zmiany w ustawie – Kodeks postępowania administracyjnego)</w:t>
            </w:r>
          </w:p>
        </w:tc>
        <w:tc>
          <w:tcPr>
            <w:tcW w:w="1560" w:type="dxa"/>
            <w:tcBorders>
              <w:top w:val="single" w:sz="4" w:space="0" w:color="auto"/>
              <w:left w:val="single" w:sz="4" w:space="0" w:color="auto"/>
              <w:bottom w:val="single" w:sz="4" w:space="0" w:color="auto"/>
              <w:right w:val="single" w:sz="4" w:space="0" w:color="auto"/>
            </w:tcBorders>
          </w:tcPr>
          <w:p w14:paraId="34CA8DB4" w14:textId="77777777" w:rsidR="00AA3A23" w:rsidRPr="00AA3A23" w:rsidRDefault="7B586FFD" w:rsidP="7B586FFD">
            <w:pPr>
              <w:autoSpaceDE w:val="0"/>
              <w:autoSpaceDN w:val="0"/>
              <w:adjustRightInd w:val="0"/>
              <w:spacing w:line="259" w:lineRule="auto"/>
              <w:rPr>
                <w:rFonts w:ascii="Arial" w:eastAsia="Aptos" w:hAnsi="Arial" w:cs="Arial"/>
                <w:sz w:val="20"/>
                <w:szCs w:val="20"/>
              </w:rPr>
            </w:pPr>
            <w:r w:rsidRPr="7B586FFD">
              <w:rPr>
                <w:rFonts w:ascii="Lato" w:eastAsia="Aptos" w:hAnsi="Lato" w:cs="Times New Roman"/>
                <w:sz w:val="20"/>
                <w:szCs w:val="20"/>
              </w:rPr>
              <w:t>Prezes Prokuratorii Generalnej RP</w:t>
            </w:r>
          </w:p>
        </w:tc>
        <w:tc>
          <w:tcPr>
            <w:tcW w:w="8363" w:type="dxa"/>
            <w:tcBorders>
              <w:top w:val="single" w:sz="4" w:space="0" w:color="auto"/>
              <w:left w:val="single" w:sz="4" w:space="0" w:color="auto"/>
              <w:bottom w:val="single" w:sz="4" w:space="0" w:color="auto"/>
              <w:right w:val="single" w:sz="4" w:space="0" w:color="auto"/>
            </w:tcBorders>
          </w:tcPr>
          <w:p w14:paraId="59AAFC7E" w14:textId="77777777" w:rsidR="00AA3A23" w:rsidRPr="00AA3A23" w:rsidRDefault="7B586FFD" w:rsidP="7B586FFD">
            <w:pPr>
              <w:spacing w:line="259" w:lineRule="auto"/>
              <w:jc w:val="both"/>
              <w:rPr>
                <w:rFonts w:ascii="Lato" w:eastAsia="Aptos" w:hAnsi="Lato" w:cs="Times New Roman"/>
                <w:sz w:val="20"/>
                <w:szCs w:val="20"/>
              </w:rPr>
            </w:pPr>
            <w:r w:rsidRPr="7B586FFD">
              <w:rPr>
                <w:rFonts w:ascii="Lato" w:eastAsia="Aptos" w:hAnsi="Lato" w:cs="Times New Roman"/>
                <w:b/>
                <w:bCs/>
                <w:sz w:val="20"/>
                <w:szCs w:val="20"/>
              </w:rPr>
              <w:t>Uwaga podtrzymana:</w:t>
            </w:r>
            <w:r w:rsidRPr="7B586FFD">
              <w:rPr>
                <w:rFonts w:ascii="Lato" w:eastAsia="Aptos" w:hAnsi="Lato" w:cs="Times New Roman"/>
                <w:sz w:val="20"/>
                <w:szCs w:val="20"/>
              </w:rPr>
              <w:t xml:space="preserve"> Rekomenduje się rozważenie wprowadzenia w postępowaniu administracyjnym zasady utrwalenia (ciągłości) właściwości organu, zgodnie z którą organ właściwy do rozpoznania sprawy pozostaje właściwy aż do jej zakończenia w danej instancji.</w:t>
            </w:r>
          </w:p>
          <w:p w14:paraId="0FA56044" w14:textId="77777777" w:rsidR="00AA3A23" w:rsidRPr="00AA3A23" w:rsidRDefault="7B586FFD" w:rsidP="7B586FFD">
            <w:pPr>
              <w:spacing w:line="259" w:lineRule="auto"/>
              <w:jc w:val="both"/>
              <w:rPr>
                <w:rFonts w:ascii="Lato" w:eastAsia="Aptos" w:hAnsi="Lato" w:cs="Times New Roman"/>
                <w:sz w:val="20"/>
                <w:szCs w:val="20"/>
              </w:rPr>
            </w:pPr>
            <w:r w:rsidRPr="7B586FFD">
              <w:rPr>
                <w:rFonts w:ascii="Lato" w:eastAsia="Aptos" w:hAnsi="Lato" w:cs="Times New Roman"/>
                <w:sz w:val="20"/>
                <w:szCs w:val="20"/>
              </w:rPr>
              <w:t>Taka propozycja została przedstawiona i obszernie uzasadniona przy piśmie z 6 maja 2024 r. i na wcześniejszym etapie prac zadeklarowano jej uwzględnienie przez dodanie w art. 21 k.p.a. § 3 w brzmieniu:</w:t>
            </w:r>
          </w:p>
          <w:p w14:paraId="566AD928" w14:textId="77777777" w:rsidR="00AA3A23" w:rsidRPr="00AA3A23" w:rsidRDefault="7B586FFD" w:rsidP="7B586FFD">
            <w:pPr>
              <w:jc w:val="both"/>
              <w:rPr>
                <w:rFonts w:ascii="Arial" w:eastAsia="Aptos" w:hAnsi="Arial" w:cs="Arial"/>
                <w:sz w:val="20"/>
                <w:szCs w:val="20"/>
              </w:rPr>
            </w:pPr>
            <w:r w:rsidRPr="7B586FFD">
              <w:rPr>
                <w:rFonts w:ascii="Lato" w:eastAsia="Aptos" w:hAnsi="Lato" w:cs="Times New Roman"/>
                <w:sz w:val="20"/>
                <w:szCs w:val="20"/>
              </w:rPr>
              <w:t>„§ 3. Organ właściwy miejscowo w dniu wszczęcia postępowania pozostaje właściwy w sprawie do zakończenia postępowania ostateczną decyzją lub postanowieniem, chociażby podstawy właściwości zmieniły się w toku sprawy.”.</w:t>
            </w:r>
          </w:p>
        </w:tc>
        <w:tc>
          <w:tcPr>
            <w:tcW w:w="3075" w:type="dxa"/>
          </w:tcPr>
          <w:p w14:paraId="5C19C62C" w14:textId="640B46F3" w:rsidR="00AA3A23" w:rsidRPr="00AA3A23" w:rsidRDefault="7B586FFD" w:rsidP="7B586FFD">
            <w:pPr>
              <w:spacing w:line="259" w:lineRule="auto"/>
              <w:jc w:val="both"/>
              <w:rPr>
                <w:rFonts w:ascii="Lato" w:eastAsia="Aptos" w:hAnsi="Lato" w:cs="Times New Roman"/>
                <w:sz w:val="20"/>
                <w:szCs w:val="20"/>
              </w:rPr>
            </w:pPr>
            <w:r w:rsidRPr="7B586FFD">
              <w:rPr>
                <w:rFonts w:ascii="Lato" w:eastAsia="Aptos" w:hAnsi="Lato" w:cs="Times New Roman"/>
                <w:b/>
                <w:bCs/>
                <w:sz w:val="20"/>
                <w:szCs w:val="20"/>
              </w:rPr>
              <w:t>Wyjaśnienie.</w:t>
            </w:r>
            <w:r w:rsidRPr="7B586FFD">
              <w:rPr>
                <w:rFonts w:ascii="Lato" w:eastAsia="Aptos" w:hAnsi="Lato" w:cs="Times New Roman"/>
                <w:sz w:val="20"/>
                <w:szCs w:val="20"/>
              </w:rPr>
              <w:t xml:space="preserve"> </w:t>
            </w:r>
          </w:p>
          <w:p w14:paraId="63D45C60" w14:textId="77777777" w:rsidR="00AA3A23" w:rsidRPr="00AA3A23" w:rsidRDefault="00AA3A23" w:rsidP="00AA3A23">
            <w:pPr>
              <w:spacing w:line="259" w:lineRule="auto"/>
              <w:jc w:val="both"/>
              <w:rPr>
                <w:rFonts w:ascii="Lato" w:eastAsia="Aptos" w:hAnsi="Lato" w:cs="Times New Roman"/>
                <w:sz w:val="20"/>
                <w:szCs w:val="20"/>
              </w:rPr>
            </w:pPr>
          </w:p>
          <w:p w14:paraId="64E8B945" w14:textId="77777777" w:rsidR="00AA3A23" w:rsidRPr="00AA3A23" w:rsidRDefault="7B586FFD" w:rsidP="7B586FFD">
            <w:pPr>
              <w:spacing w:line="259" w:lineRule="auto"/>
              <w:jc w:val="both"/>
              <w:rPr>
                <w:rFonts w:ascii="Lato" w:eastAsia="Aptos" w:hAnsi="Lato" w:cs="Times New Roman"/>
                <w:sz w:val="20"/>
                <w:szCs w:val="20"/>
              </w:rPr>
            </w:pPr>
            <w:r w:rsidRPr="7B586FFD">
              <w:rPr>
                <w:rFonts w:ascii="Lato" w:eastAsia="Aptos" w:hAnsi="Lato" w:cs="Times New Roman"/>
                <w:sz w:val="20"/>
                <w:szCs w:val="20"/>
              </w:rPr>
              <w:t>W tym zakresie należy wskazać, że analogiczny przepis zaproponowany został w projekcie ustawy o zmianie ustawy   Kodeks postępowania administracyjnego (UD439) a wnioskodawcą był Minister Sprawiedliwości.</w:t>
            </w:r>
          </w:p>
          <w:p w14:paraId="4F188992" w14:textId="77777777" w:rsidR="00AA3A23" w:rsidRPr="00AA3A23" w:rsidRDefault="7B586FFD" w:rsidP="7B586FFD">
            <w:pPr>
              <w:spacing w:line="259" w:lineRule="auto"/>
              <w:jc w:val="both"/>
              <w:rPr>
                <w:rFonts w:ascii="Lato" w:eastAsia="Aptos" w:hAnsi="Lato" w:cs="Times New Roman"/>
                <w:sz w:val="20"/>
                <w:szCs w:val="20"/>
              </w:rPr>
            </w:pPr>
            <w:r w:rsidRPr="7B586FFD">
              <w:rPr>
                <w:rFonts w:ascii="Lato" w:eastAsia="Aptos" w:hAnsi="Lato" w:cs="Times New Roman"/>
                <w:sz w:val="20"/>
                <w:szCs w:val="20"/>
              </w:rPr>
              <w:lastRenderedPageBreak/>
              <w:t>W art. 1 pkt 1 tego projektu ustawy zaproponowano następujący przepis:</w:t>
            </w:r>
          </w:p>
          <w:p w14:paraId="7B628964" w14:textId="77777777" w:rsidR="00AA3A23" w:rsidRPr="00AA3A23" w:rsidRDefault="7B586FFD" w:rsidP="7B586FFD">
            <w:pPr>
              <w:spacing w:line="259" w:lineRule="auto"/>
              <w:jc w:val="both"/>
              <w:rPr>
                <w:rFonts w:ascii="Lato" w:eastAsia="Aptos" w:hAnsi="Lato" w:cs="Times New Roman"/>
                <w:sz w:val="20"/>
                <w:szCs w:val="20"/>
              </w:rPr>
            </w:pPr>
            <w:r w:rsidRPr="7B586FFD">
              <w:rPr>
                <w:rFonts w:ascii="Lato" w:eastAsia="Aptos" w:hAnsi="Lato" w:cs="Times New Roman"/>
                <w:sz w:val="20"/>
                <w:szCs w:val="20"/>
              </w:rPr>
              <w:t>„Organ właściwy miejscowo w dniu wszczęcia postępowania pozostaje właściwy w sprawie do zakończenia postępowania ostateczną decyzją lub postanowieniem, chociażby podstawy właściwości zmieniły się w toku sprawy.”</w:t>
            </w:r>
          </w:p>
          <w:p w14:paraId="0E3DBBFD" w14:textId="77777777" w:rsidR="00AA3A23" w:rsidRPr="00AA3A23" w:rsidRDefault="7B586FFD" w:rsidP="7B586FFD">
            <w:pPr>
              <w:spacing w:line="259" w:lineRule="auto"/>
              <w:jc w:val="both"/>
              <w:rPr>
                <w:rFonts w:ascii="Lato" w:eastAsia="Aptos" w:hAnsi="Lato" w:cs="Times New Roman"/>
                <w:sz w:val="20"/>
                <w:szCs w:val="20"/>
              </w:rPr>
            </w:pPr>
            <w:r w:rsidRPr="7B586FFD">
              <w:rPr>
                <w:rFonts w:ascii="Lato" w:eastAsia="Aptos" w:hAnsi="Lato" w:cs="Times New Roman"/>
                <w:sz w:val="20"/>
                <w:szCs w:val="20"/>
              </w:rPr>
              <w:t>W związku z tym jest to analogiczny przepis, który zaproponowany został w przedmiotowej uwadze Prokuratorii Generalnej.</w:t>
            </w:r>
          </w:p>
          <w:p w14:paraId="716199B8" w14:textId="77777777" w:rsidR="00AA3A23" w:rsidRPr="00AA3A23" w:rsidRDefault="7B586FFD" w:rsidP="7B586FFD">
            <w:pPr>
              <w:spacing w:line="259" w:lineRule="auto"/>
              <w:jc w:val="both"/>
              <w:rPr>
                <w:rFonts w:ascii="Arial" w:eastAsia="Calibri" w:hAnsi="Arial" w:cs="Arial"/>
                <w:sz w:val="20"/>
                <w:szCs w:val="20"/>
              </w:rPr>
            </w:pPr>
            <w:r w:rsidRPr="7B586FFD">
              <w:rPr>
                <w:rFonts w:ascii="Lato" w:eastAsia="Aptos" w:hAnsi="Lato" w:cs="Times New Roman"/>
                <w:sz w:val="20"/>
                <w:szCs w:val="20"/>
              </w:rPr>
              <w:t>Jednocześnie do przepisu tego w trakcie uzgodnień międzyresortowych projektu ustawy UD439 zgłoszone zostały liczne wątpliwości (MI, MKiŚ, MSWiA). Jednocześnie projekt ustawy UD439 w ww. zakresie nie jest dalej procedowany. W związku z tym nie jest właściwe procedowanie tego przepisu w niniejszym projekcie ustawy.</w:t>
            </w:r>
          </w:p>
        </w:tc>
      </w:tr>
      <w:tr w:rsidR="00AA3A23" w:rsidRPr="00AA3A23" w14:paraId="46DA5EB3" w14:textId="77777777" w:rsidTr="7B586FFD">
        <w:tc>
          <w:tcPr>
            <w:tcW w:w="763" w:type="dxa"/>
          </w:tcPr>
          <w:p w14:paraId="39E37E25" w14:textId="77777777" w:rsidR="00AA3A23" w:rsidRPr="00AA3A23" w:rsidRDefault="00AA3A23" w:rsidP="00AA3A23">
            <w:pPr>
              <w:numPr>
                <w:ilvl w:val="0"/>
                <w:numId w:val="1"/>
              </w:numPr>
              <w:spacing w:before="120"/>
              <w:ind w:left="171" w:right="-534" w:hanging="52"/>
              <w:contextualSpacing/>
              <w:rPr>
                <w:rFonts w:ascii="Arial" w:eastAsia="Calibri" w:hAnsi="Arial" w:cs="Arial"/>
                <w:bCs/>
                <w:sz w:val="20"/>
                <w:szCs w:val="20"/>
              </w:rPr>
            </w:pPr>
          </w:p>
        </w:tc>
        <w:tc>
          <w:tcPr>
            <w:tcW w:w="1500" w:type="dxa"/>
            <w:tcBorders>
              <w:top w:val="single" w:sz="4" w:space="0" w:color="auto"/>
              <w:left w:val="single" w:sz="4" w:space="0" w:color="auto"/>
              <w:bottom w:val="single" w:sz="4" w:space="0" w:color="auto"/>
              <w:right w:val="single" w:sz="4" w:space="0" w:color="auto"/>
            </w:tcBorders>
          </w:tcPr>
          <w:p w14:paraId="676B15A0" w14:textId="77777777" w:rsidR="00AA3A23" w:rsidRPr="00AA3A23" w:rsidRDefault="7B586FFD" w:rsidP="7B586FFD">
            <w:pPr>
              <w:spacing w:line="259" w:lineRule="auto"/>
              <w:rPr>
                <w:rFonts w:ascii="Lato" w:eastAsia="Aptos" w:hAnsi="Lato" w:cs="Times New Roman"/>
                <w:sz w:val="20"/>
                <w:szCs w:val="20"/>
              </w:rPr>
            </w:pPr>
            <w:r w:rsidRPr="7B586FFD">
              <w:rPr>
                <w:rFonts w:ascii="Lato" w:eastAsia="Aptos" w:hAnsi="Lato" w:cs="Times New Roman"/>
                <w:sz w:val="20"/>
                <w:szCs w:val="20"/>
              </w:rPr>
              <w:t>Art. 2</w:t>
            </w:r>
          </w:p>
          <w:p w14:paraId="12298035" w14:textId="7FD7B672" w:rsidR="00AA3A23" w:rsidRPr="00AA3A23" w:rsidRDefault="7B586FFD" w:rsidP="7B586FFD">
            <w:pPr>
              <w:autoSpaceDE w:val="0"/>
              <w:autoSpaceDN w:val="0"/>
              <w:adjustRightInd w:val="0"/>
              <w:spacing w:line="259" w:lineRule="auto"/>
              <w:rPr>
                <w:rFonts w:ascii="Arial" w:eastAsia="Aptos" w:hAnsi="Arial" w:cs="Arial"/>
                <w:sz w:val="20"/>
                <w:szCs w:val="20"/>
              </w:rPr>
            </w:pPr>
            <w:r w:rsidRPr="7B586FFD">
              <w:rPr>
                <w:rFonts w:ascii="Lato" w:eastAsia="Aptos" w:hAnsi="Lato" w:cs="Times New Roman"/>
                <w:sz w:val="20"/>
                <w:szCs w:val="20"/>
              </w:rPr>
              <w:t xml:space="preserve">(zmiany w ustawie – Kodeks postępowania </w:t>
            </w:r>
            <w:r w:rsidRPr="7B586FFD">
              <w:rPr>
                <w:rFonts w:ascii="Lato" w:eastAsia="Aptos" w:hAnsi="Lato" w:cs="Times New Roman"/>
                <w:sz w:val="20"/>
                <w:szCs w:val="20"/>
              </w:rPr>
              <w:lastRenderedPageBreak/>
              <w:t>administracyjnego)</w:t>
            </w:r>
          </w:p>
        </w:tc>
        <w:tc>
          <w:tcPr>
            <w:tcW w:w="1560" w:type="dxa"/>
            <w:tcBorders>
              <w:top w:val="single" w:sz="4" w:space="0" w:color="auto"/>
              <w:left w:val="single" w:sz="4" w:space="0" w:color="auto"/>
              <w:bottom w:val="single" w:sz="4" w:space="0" w:color="auto"/>
              <w:right w:val="single" w:sz="4" w:space="0" w:color="auto"/>
            </w:tcBorders>
          </w:tcPr>
          <w:p w14:paraId="5D282601" w14:textId="77777777" w:rsidR="00AA3A23" w:rsidRPr="00AA3A23" w:rsidRDefault="7B586FFD" w:rsidP="7B586FFD">
            <w:pPr>
              <w:autoSpaceDE w:val="0"/>
              <w:autoSpaceDN w:val="0"/>
              <w:adjustRightInd w:val="0"/>
              <w:spacing w:line="259" w:lineRule="auto"/>
              <w:rPr>
                <w:rFonts w:ascii="Arial" w:eastAsia="Aptos" w:hAnsi="Arial" w:cs="Arial"/>
                <w:sz w:val="20"/>
                <w:szCs w:val="20"/>
              </w:rPr>
            </w:pPr>
            <w:r w:rsidRPr="7B586FFD">
              <w:rPr>
                <w:rFonts w:ascii="Lato" w:eastAsia="Aptos" w:hAnsi="Lato" w:cs="Times New Roman"/>
                <w:sz w:val="20"/>
                <w:szCs w:val="20"/>
              </w:rPr>
              <w:lastRenderedPageBreak/>
              <w:t>Prezes Prokuratorii Generalnej RP</w:t>
            </w:r>
          </w:p>
        </w:tc>
        <w:tc>
          <w:tcPr>
            <w:tcW w:w="8363" w:type="dxa"/>
            <w:tcBorders>
              <w:top w:val="single" w:sz="4" w:space="0" w:color="auto"/>
              <w:left w:val="single" w:sz="4" w:space="0" w:color="auto"/>
              <w:bottom w:val="single" w:sz="4" w:space="0" w:color="auto"/>
              <w:right w:val="single" w:sz="4" w:space="0" w:color="auto"/>
            </w:tcBorders>
          </w:tcPr>
          <w:p w14:paraId="6846C968" w14:textId="77777777" w:rsidR="00AA3A23" w:rsidRPr="00AA3A23" w:rsidRDefault="7B586FFD" w:rsidP="7B586FFD">
            <w:pPr>
              <w:spacing w:line="259" w:lineRule="auto"/>
              <w:jc w:val="both"/>
              <w:rPr>
                <w:rFonts w:ascii="Arial" w:eastAsia="Aptos" w:hAnsi="Arial" w:cs="Arial"/>
                <w:sz w:val="20"/>
                <w:szCs w:val="20"/>
              </w:rPr>
            </w:pPr>
            <w:r w:rsidRPr="7B586FFD">
              <w:rPr>
                <w:rFonts w:ascii="Lato" w:eastAsia="Aptos" w:hAnsi="Lato" w:cs="Times New Roman"/>
                <w:b/>
                <w:bCs/>
                <w:sz w:val="20"/>
                <w:szCs w:val="20"/>
              </w:rPr>
              <w:t>Uwaga podtrzymana:</w:t>
            </w:r>
            <w:r w:rsidRPr="7B586FFD">
              <w:rPr>
                <w:rFonts w:ascii="Lato" w:eastAsia="Aptos" w:hAnsi="Lato" w:cs="Times New Roman"/>
                <w:sz w:val="20"/>
                <w:szCs w:val="20"/>
              </w:rPr>
              <w:t xml:space="preserve"> Proponuje się rezygnację z ograniczenia czasu odroczenia rozpatrzenia sprawy po skierowaniu stron do mediacji. Obecnie rozpatrzenie sprawy może być odroczone na 2 miesiące z możliwością przedłużenia tego okresu tylko o miesiąc na zgodny wniosek uczestników mediacji lub z innych ważnych powodów, co daje maksymalnie 3 miesiące na mediację (art. 96e § 1 i 2 k.p.a.). Bardziej racjonalne byłoby nielimitowanie tego czasu i umożliwienie uzgodnienia czasu trwania mediacji ze stronami. Dzięki temu każdorazowo </w:t>
            </w:r>
            <w:r w:rsidRPr="7B586FFD">
              <w:rPr>
                <w:rFonts w:ascii="Lato" w:eastAsia="Aptos" w:hAnsi="Lato" w:cs="Times New Roman"/>
                <w:sz w:val="20"/>
                <w:szCs w:val="20"/>
              </w:rPr>
              <w:lastRenderedPageBreak/>
              <w:t>będzie możliwe uwzględnienie specyfiki konkretnej sprawy i szanse na jej pozytywne zakończenie w drodze mediacji nie będą zmniejszane presją czasu wynikającą ze sztywnego ograniczenia przepisami ustawy.</w:t>
            </w:r>
          </w:p>
        </w:tc>
        <w:tc>
          <w:tcPr>
            <w:tcW w:w="3075" w:type="dxa"/>
          </w:tcPr>
          <w:p w14:paraId="23723853" w14:textId="56643467" w:rsidR="00AA3A23" w:rsidRDefault="7B586FFD" w:rsidP="7B586FFD">
            <w:pPr>
              <w:spacing w:line="259" w:lineRule="auto"/>
              <w:jc w:val="both"/>
              <w:rPr>
                <w:rFonts w:ascii="Arial" w:eastAsia="Calibri" w:hAnsi="Arial" w:cs="Arial"/>
                <w:b/>
                <w:bCs/>
                <w:sz w:val="20"/>
                <w:szCs w:val="20"/>
              </w:rPr>
            </w:pPr>
            <w:r w:rsidRPr="7B586FFD">
              <w:rPr>
                <w:rFonts w:ascii="Arial" w:eastAsia="Calibri" w:hAnsi="Arial" w:cs="Arial"/>
                <w:b/>
                <w:bCs/>
                <w:sz w:val="20"/>
                <w:szCs w:val="20"/>
              </w:rPr>
              <w:lastRenderedPageBreak/>
              <w:t xml:space="preserve">Wyjaśnienie. </w:t>
            </w:r>
          </w:p>
          <w:p w14:paraId="2283B2DD" w14:textId="77777777" w:rsidR="00A00D96" w:rsidRDefault="00A00D96" w:rsidP="00AA3A23">
            <w:pPr>
              <w:spacing w:line="259" w:lineRule="auto"/>
              <w:jc w:val="both"/>
              <w:rPr>
                <w:rFonts w:ascii="Arial" w:eastAsia="Calibri" w:hAnsi="Arial" w:cs="Arial"/>
                <w:b/>
                <w:bCs/>
                <w:sz w:val="20"/>
                <w:szCs w:val="20"/>
              </w:rPr>
            </w:pPr>
          </w:p>
          <w:p w14:paraId="7EA97AD6" w14:textId="17500162" w:rsidR="00A00D96" w:rsidRPr="00A00D96" w:rsidRDefault="7B586FFD" w:rsidP="7B586FFD">
            <w:pPr>
              <w:spacing w:line="259" w:lineRule="auto"/>
              <w:jc w:val="both"/>
              <w:rPr>
                <w:rFonts w:ascii="Arial" w:eastAsia="Calibri" w:hAnsi="Arial" w:cs="Arial"/>
                <w:sz w:val="20"/>
                <w:szCs w:val="20"/>
              </w:rPr>
            </w:pPr>
            <w:r w:rsidRPr="7B586FFD">
              <w:rPr>
                <w:rFonts w:ascii="Arial" w:eastAsia="Calibri" w:hAnsi="Arial" w:cs="Arial"/>
                <w:sz w:val="20"/>
                <w:szCs w:val="20"/>
              </w:rPr>
              <w:t xml:space="preserve">Propozycja została zgłoszona na etapie uzgodnień międzyresortowych, opiniowania i konsultacji publicznych. Proponujemy </w:t>
            </w:r>
            <w:r w:rsidRPr="7B586FFD">
              <w:rPr>
                <w:rFonts w:ascii="Arial" w:eastAsia="Calibri" w:hAnsi="Arial" w:cs="Arial"/>
                <w:sz w:val="20"/>
                <w:szCs w:val="20"/>
              </w:rPr>
              <w:lastRenderedPageBreak/>
              <w:t xml:space="preserve">poddać ją analizie w ramach prac nad kolejnym pakietem zmian. </w:t>
            </w:r>
          </w:p>
        </w:tc>
      </w:tr>
      <w:tr w:rsidR="00A00D96" w:rsidRPr="00AA3A23" w14:paraId="3E7D85CC" w14:textId="77777777" w:rsidTr="7B586FFD">
        <w:tc>
          <w:tcPr>
            <w:tcW w:w="763" w:type="dxa"/>
          </w:tcPr>
          <w:p w14:paraId="426FD5B7" w14:textId="77777777" w:rsidR="00A00D96" w:rsidRPr="00AA3A23" w:rsidRDefault="00A00D96" w:rsidP="00A00D96">
            <w:pPr>
              <w:numPr>
                <w:ilvl w:val="0"/>
                <w:numId w:val="1"/>
              </w:numPr>
              <w:spacing w:before="120"/>
              <w:ind w:left="171" w:right="-534" w:hanging="52"/>
              <w:contextualSpacing/>
              <w:rPr>
                <w:rFonts w:ascii="Arial" w:eastAsia="Calibri" w:hAnsi="Arial" w:cs="Arial"/>
                <w:bCs/>
                <w:sz w:val="20"/>
                <w:szCs w:val="20"/>
              </w:rPr>
            </w:pPr>
          </w:p>
        </w:tc>
        <w:tc>
          <w:tcPr>
            <w:tcW w:w="1500" w:type="dxa"/>
            <w:tcBorders>
              <w:top w:val="single" w:sz="4" w:space="0" w:color="auto"/>
              <w:left w:val="single" w:sz="4" w:space="0" w:color="auto"/>
              <w:bottom w:val="single" w:sz="4" w:space="0" w:color="auto"/>
              <w:right w:val="single" w:sz="4" w:space="0" w:color="auto"/>
            </w:tcBorders>
          </w:tcPr>
          <w:p w14:paraId="57669B68" w14:textId="77777777" w:rsidR="00A00D96" w:rsidRPr="00AA3A23" w:rsidRDefault="7B586FFD" w:rsidP="7B586FFD">
            <w:pPr>
              <w:spacing w:line="259" w:lineRule="auto"/>
              <w:rPr>
                <w:rFonts w:ascii="Lato" w:eastAsia="Aptos" w:hAnsi="Lato" w:cs="Times New Roman"/>
                <w:sz w:val="20"/>
                <w:szCs w:val="20"/>
              </w:rPr>
            </w:pPr>
            <w:r w:rsidRPr="7B586FFD">
              <w:rPr>
                <w:rFonts w:ascii="Lato" w:eastAsia="Aptos" w:hAnsi="Lato" w:cs="Times New Roman"/>
                <w:sz w:val="20"/>
                <w:szCs w:val="20"/>
              </w:rPr>
              <w:t>Art. 2</w:t>
            </w:r>
          </w:p>
          <w:p w14:paraId="1664BB07" w14:textId="20F4FE32" w:rsidR="00A00D96" w:rsidRPr="00AA3A23" w:rsidRDefault="7B586FFD" w:rsidP="7B586FFD">
            <w:pPr>
              <w:autoSpaceDE w:val="0"/>
              <w:autoSpaceDN w:val="0"/>
              <w:adjustRightInd w:val="0"/>
              <w:spacing w:line="259" w:lineRule="auto"/>
              <w:rPr>
                <w:rFonts w:ascii="Arial" w:eastAsia="Aptos" w:hAnsi="Arial" w:cs="Arial"/>
                <w:sz w:val="20"/>
                <w:szCs w:val="20"/>
              </w:rPr>
            </w:pPr>
            <w:r w:rsidRPr="7B586FFD">
              <w:rPr>
                <w:rFonts w:ascii="Lato" w:eastAsia="Aptos" w:hAnsi="Lato" w:cs="Times New Roman"/>
                <w:sz w:val="20"/>
                <w:szCs w:val="20"/>
              </w:rPr>
              <w:t>(zmiany w ustawie – Kodeks postępowania administracyjnego)</w:t>
            </w:r>
          </w:p>
        </w:tc>
        <w:tc>
          <w:tcPr>
            <w:tcW w:w="1560" w:type="dxa"/>
            <w:tcBorders>
              <w:top w:val="single" w:sz="4" w:space="0" w:color="auto"/>
              <w:left w:val="single" w:sz="4" w:space="0" w:color="auto"/>
              <w:bottom w:val="single" w:sz="4" w:space="0" w:color="auto"/>
              <w:right w:val="single" w:sz="4" w:space="0" w:color="auto"/>
            </w:tcBorders>
          </w:tcPr>
          <w:p w14:paraId="3167B1A4" w14:textId="77777777" w:rsidR="00A00D96" w:rsidRPr="00AA3A23" w:rsidRDefault="7B586FFD" w:rsidP="7B586FFD">
            <w:pPr>
              <w:autoSpaceDE w:val="0"/>
              <w:autoSpaceDN w:val="0"/>
              <w:adjustRightInd w:val="0"/>
              <w:spacing w:line="259" w:lineRule="auto"/>
              <w:rPr>
                <w:rFonts w:ascii="Arial" w:eastAsia="Aptos" w:hAnsi="Arial" w:cs="Arial"/>
                <w:sz w:val="20"/>
                <w:szCs w:val="20"/>
              </w:rPr>
            </w:pPr>
            <w:r w:rsidRPr="7B586FFD">
              <w:rPr>
                <w:rFonts w:ascii="Lato" w:eastAsia="Aptos" w:hAnsi="Lato" w:cs="Times New Roman"/>
                <w:sz w:val="20"/>
                <w:szCs w:val="20"/>
              </w:rPr>
              <w:t>Prezes Prokuratorii Generalnej RP</w:t>
            </w:r>
          </w:p>
        </w:tc>
        <w:tc>
          <w:tcPr>
            <w:tcW w:w="8363" w:type="dxa"/>
            <w:tcBorders>
              <w:top w:val="single" w:sz="4" w:space="0" w:color="auto"/>
              <w:left w:val="single" w:sz="4" w:space="0" w:color="auto"/>
              <w:bottom w:val="single" w:sz="4" w:space="0" w:color="auto"/>
              <w:right w:val="single" w:sz="4" w:space="0" w:color="auto"/>
            </w:tcBorders>
          </w:tcPr>
          <w:p w14:paraId="7216BFF6" w14:textId="77777777" w:rsidR="00A00D96" w:rsidRPr="00AA3A23" w:rsidRDefault="7B586FFD" w:rsidP="7B586FFD">
            <w:pPr>
              <w:autoSpaceDE w:val="0"/>
              <w:autoSpaceDN w:val="0"/>
              <w:adjustRightInd w:val="0"/>
              <w:spacing w:line="259" w:lineRule="auto"/>
              <w:jc w:val="both"/>
              <w:rPr>
                <w:rFonts w:ascii="Arial" w:eastAsia="Aptos" w:hAnsi="Arial" w:cs="Arial"/>
                <w:sz w:val="20"/>
                <w:szCs w:val="20"/>
              </w:rPr>
            </w:pPr>
            <w:r w:rsidRPr="7B586FFD">
              <w:rPr>
                <w:rFonts w:ascii="Lato" w:eastAsia="Aptos" w:hAnsi="Lato" w:cs="Times New Roman"/>
                <w:b/>
                <w:bCs/>
                <w:sz w:val="20"/>
                <w:szCs w:val="20"/>
              </w:rPr>
              <w:t>Uwaga podtrzymana:</w:t>
            </w:r>
            <w:r w:rsidRPr="7B586FFD">
              <w:rPr>
                <w:rFonts w:ascii="Lato" w:eastAsia="Aptos" w:hAnsi="Lato" w:cs="Times New Roman"/>
                <w:sz w:val="20"/>
                <w:szCs w:val="20"/>
              </w:rPr>
              <w:t xml:space="preserve"> Proponuje się rezygnację ze szczególnego rozwiązania dotyczącego mediatorów, zgodnie z którym – w przypadku gdy uczestnikiem mediacji jest organ prowadzący postępowanie – mediatorem może być tylko osoba wpisana na listę stałych mediatorów lub do wykazu instytucji i osób uprawnionych do prowadzenia postępowania mediacyjnego, prowadzonych przez prezesa sądu okręgowego, lub mediator wpisany na listę prowadzoną przez organizację pozarządową lub uczelnię, o której informację przekazano prezesowi sądu okręgowego (art. 96f § 2 k.p.a.). Warto rozważyć ujednolicenie rozwiązań w tym zakresie w procedurze administracyjnej, sądowoadministracyjnej i cywilnej. Zgodnie z art. 183</w:t>
            </w:r>
            <w:r w:rsidRPr="7B586FFD">
              <w:rPr>
                <w:rFonts w:ascii="Lato" w:eastAsia="Aptos" w:hAnsi="Lato" w:cs="Times New Roman"/>
                <w:sz w:val="20"/>
                <w:szCs w:val="20"/>
                <w:vertAlign w:val="superscript"/>
              </w:rPr>
              <w:t>2 </w:t>
            </w:r>
            <w:r w:rsidRPr="7B586FFD">
              <w:rPr>
                <w:rFonts w:ascii="Lato" w:eastAsia="Aptos" w:hAnsi="Lato" w:cs="Times New Roman"/>
                <w:sz w:val="20"/>
                <w:szCs w:val="20"/>
              </w:rPr>
              <w:t>§ 1 k.p.c. mediatorem może być osoba fizyczna mająca pełną zdolność do czynności prawnych, korzystająca w pełni z praw publicznych. Zgodnie z art. 116 § 3 p.p.s.a. mediatorem może być osoba fizyczna, która posiada pełną zdolność do czynności prawnych i korzysta z pełni praw publicznych, w szczególności mediator wpisany na listę stałych mediatorów lub do wykazu instytucji i osób uprawnionych do prowadzenia postępowania mediacyjnego, prowadzonych przez prezesa sądu okręgowego. Skoro zarówno w procedurze sądowoadministracyjnej, jak i cywilnej nie ma szczególnych wymagań wobec osoby mediatora w określonych przypadkach, to warto analogiczne podejście zastosować w procedurze administracyjnej także w tych mediacjach, w których uczestniczy organ.</w:t>
            </w:r>
          </w:p>
        </w:tc>
        <w:tc>
          <w:tcPr>
            <w:tcW w:w="3075" w:type="dxa"/>
          </w:tcPr>
          <w:p w14:paraId="43D4492D" w14:textId="5FBCF48A" w:rsidR="00A00D96" w:rsidRDefault="7B586FFD" w:rsidP="7B586FFD">
            <w:pPr>
              <w:spacing w:line="259" w:lineRule="auto"/>
              <w:jc w:val="both"/>
              <w:rPr>
                <w:rFonts w:ascii="Arial" w:eastAsia="Calibri" w:hAnsi="Arial" w:cs="Arial"/>
                <w:b/>
                <w:bCs/>
                <w:sz w:val="20"/>
                <w:szCs w:val="20"/>
              </w:rPr>
            </w:pPr>
            <w:r w:rsidRPr="7B586FFD">
              <w:rPr>
                <w:rFonts w:ascii="Arial" w:eastAsia="Calibri" w:hAnsi="Arial" w:cs="Arial"/>
                <w:b/>
                <w:bCs/>
                <w:sz w:val="20"/>
                <w:szCs w:val="20"/>
              </w:rPr>
              <w:t xml:space="preserve">Wyjaśnienie. </w:t>
            </w:r>
          </w:p>
          <w:p w14:paraId="42081A7D" w14:textId="77777777" w:rsidR="00A00D96" w:rsidRDefault="00A00D96" w:rsidP="00A00D96">
            <w:pPr>
              <w:spacing w:line="259" w:lineRule="auto"/>
              <w:jc w:val="both"/>
              <w:rPr>
                <w:rFonts w:ascii="Arial" w:eastAsia="Calibri" w:hAnsi="Arial" w:cs="Arial"/>
                <w:b/>
                <w:bCs/>
                <w:sz w:val="20"/>
                <w:szCs w:val="20"/>
              </w:rPr>
            </w:pPr>
          </w:p>
          <w:p w14:paraId="6DCF22F8" w14:textId="62694294" w:rsidR="00A00D96" w:rsidRPr="00AA3A23" w:rsidRDefault="7B586FFD" w:rsidP="7B586FFD">
            <w:pPr>
              <w:spacing w:line="259" w:lineRule="auto"/>
              <w:jc w:val="both"/>
              <w:rPr>
                <w:rFonts w:ascii="Arial" w:eastAsia="Calibri" w:hAnsi="Arial" w:cs="Arial"/>
                <w:sz w:val="20"/>
                <w:szCs w:val="20"/>
              </w:rPr>
            </w:pPr>
            <w:r w:rsidRPr="7B586FFD">
              <w:rPr>
                <w:rFonts w:ascii="Arial" w:eastAsia="Calibri" w:hAnsi="Arial" w:cs="Arial"/>
                <w:sz w:val="20"/>
                <w:szCs w:val="20"/>
              </w:rPr>
              <w:t xml:space="preserve">Propozycja została zgłoszona na etapie uzgodnień międzyresortowych, opiniowania i konsultacji publicznych. Proponujemy poddać ją analizie w ramach prac nad kolejnym pakietem zmian. </w:t>
            </w:r>
          </w:p>
        </w:tc>
      </w:tr>
      <w:tr w:rsidR="00A00D96" w:rsidRPr="00AA3A23" w14:paraId="2513F152" w14:textId="77777777" w:rsidTr="7B586FFD">
        <w:tc>
          <w:tcPr>
            <w:tcW w:w="763" w:type="dxa"/>
          </w:tcPr>
          <w:p w14:paraId="0F43A5AA" w14:textId="77777777" w:rsidR="00A00D96" w:rsidRPr="00AA3A23" w:rsidRDefault="00A00D96" w:rsidP="00A00D96">
            <w:pPr>
              <w:numPr>
                <w:ilvl w:val="0"/>
                <w:numId w:val="1"/>
              </w:numPr>
              <w:spacing w:before="120"/>
              <w:ind w:left="171" w:right="-534" w:hanging="52"/>
              <w:contextualSpacing/>
              <w:rPr>
                <w:rFonts w:ascii="Arial" w:eastAsia="Calibri" w:hAnsi="Arial" w:cs="Arial"/>
                <w:bCs/>
                <w:sz w:val="20"/>
                <w:szCs w:val="20"/>
              </w:rPr>
            </w:pPr>
          </w:p>
        </w:tc>
        <w:tc>
          <w:tcPr>
            <w:tcW w:w="1500" w:type="dxa"/>
            <w:tcBorders>
              <w:top w:val="single" w:sz="4" w:space="0" w:color="auto"/>
              <w:left w:val="single" w:sz="4" w:space="0" w:color="auto"/>
              <w:bottom w:val="single" w:sz="4" w:space="0" w:color="auto"/>
              <w:right w:val="single" w:sz="4" w:space="0" w:color="auto"/>
            </w:tcBorders>
          </w:tcPr>
          <w:p w14:paraId="1191C0E0" w14:textId="77777777" w:rsidR="00A00D96" w:rsidRPr="00AA3A23" w:rsidRDefault="7B586FFD" w:rsidP="7B586FFD">
            <w:pPr>
              <w:spacing w:after="120" w:line="276" w:lineRule="auto"/>
              <w:jc w:val="center"/>
              <w:rPr>
                <w:rFonts w:ascii="Lato" w:eastAsia="Aptos" w:hAnsi="Lato" w:cs="Times New Roman"/>
                <w:sz w:val="20"/>
                <w:szCs w:val="20"/>
              </w:rPr>
            </w:pPr>
            <w:r w:rsidRPr="7B586FFD">
              <w:rPr>
                <w:rFonts w:ascii="Lato" w:eastAsia="Aptos" w:hAnsi="Lato" w:cs="Times New Roman"/>
                <w:sz w:val="20"/>
                <w:szCs w:val="20"/>
              </w:rPr>
              <w:t>Art. 2 pkt 2</w:t>
            </w:r>
          </w:p>
          <w:p w14:paraId="1FA0FAF6" w14:textId="77777777" w:rsidR="00A00D96" w:rsidRPr="00AA3A23" w:rsidRDefault="7B586FFD" w:rsidP="7B586FFD">
            <w:pPr>
              <w:spacing w:after="120" w:line="276" w:lineRule="auto"/>
              <w:jc w:val="center"/>
              <w:rPr>
                <w:rFonts w:ascii="Lato" w:eastAsia="Aptos" w:hAnsi="Lato" w:cs="Times New Roman"/>
                <w:sz w:val="20"/>
                <w:szCs w:val="20"/>
              </w:rPr>
            </w:pPr>
            <w:r w:rsidRPr="7B586FFD">
              <w:rPr>
                <w:rFonts w:ascii="Lato" w:eastAsia="Aptos" w:hAnsi="Lato" w:cs="Times New Roman"/>
                <w:sz w:val="20"/>
                <w:szCs w:val="20"/>
              </w:rPr>
              <w:t>(zmiana ustawy – Kodeks postępowania administracyjnego - art. 96a)</w:t>
            </w:r>
          </w:p>
          <w:p w14:paraId="7DC881EF" w14:textId="77777777" w:rsidR="00A00D96" w:rsidRPr="00AA3A23" w:rsidRDefault="00A00D96" w:rsidP="00A00D96">
            <w:pPr>
              <w:spacing w:after="120" w:line="276" w:lineRule="auto"/>
              <w:jc w:val="center"/>
              <w:rPr>
                <w:rFonts w:ascii="Lato" w:eastAsia="Aptos" w:hAnsi="Lato" w:cs="Times New Roman"/>
                <w:sz w:val="20"/>
                <w:szCs w:val="20"/>
              </w:rPr>
            </w:pPr>
          </w:p>
          <w:p w14:paraId="102DB479" w14:textId="77777777" w:rsidR="00A00D96" w:rsidRPr="00AA3A23" w:rsidRDefault="00A00D96" w:rsidP="00A00D96">
            <w:pPr>
              <w:spacing w:after="120" w:line="276" w:lineRule="auto"/>
              <w:jc w:val="center"/>
              <w:rPr>
                <w:rFonts w:ascii="Lato" w:eastAsia="Aptos" w:hAnsi="Lato" w:cs="Times New Roman"/>
                <w:sz w:val="20"/>
                <w:szCs w:val="20"/>
              </w:rPr>
            </w:pPr>
          </w:p>
          <w:p w14:paraId="313725E1" w14:textId="77777777" w:rsidR="00A00D96" w:rsidRPr="00AA3A23" w:rsidRDefault="00A00D96" w:rsidP="00A00D96">
            <w:pPr>
              <w:spacing w:line="259" w:lineRule="auto"/>
              <w:rPr>
                <w:rFonts w:ascii="Lato" w:eastAsia="Aptos" w:hAnsi="Lato" w:cs="Times New Roman"/>
                <w:sz w:val="20"/>
                <w:szCs w:val="20"/>
              </w:rPr>
            </w:pPr>
          </w:p>
        </w:tc>
        <w:tc>
          <w:tcPr>
            <w:tcW w:w="1560" w:type="dxa"/>
            <w:tcBorders>
              <w:top w:val="single" w:sz="4" w:space="0" w:color="auto"/>
              <w:left w:val="single" w:sz="4" w:space="0" w:color="auto"/>
              <w:bottom w:val="single" w:sz="4" w:space="0" w:color="auto"/>
              <w:right w:val="single" w:sz="4" w:space="0" w:color="auto"/>
            </w:tcBorders>
          </w:tcPr>
          <w:p w14:paraId="2BB4E847" w14:textId="4471492B" w:rsidR="00A00D96" w:rsidRPr="00AA3A23" w:rsidRDefault="7B586FFD" w:rsidP="7B586FFD">
            <w:pPr>
              <w:autoSpaceDE w:val="0"/>
              <w:autoSpaceDN w:val="0"/>
              <w:adjustRightInd w:val="0"/>
              <w:spacing w:line="259" w:lineRule="auto"/>
              <w:rPr>
                <w:rFonts w:ascii="Lato" w:eastAsia="Aptos" w:hAnsi="Lato" w:cs="Times New Roman"/>
                <w:sz w:val="20"/>
                <w:szCs w:val="20"/>
              </w:rPr>
            </w:pPr>
            <w:r w:rsidRPr="7B586FFD">
              <w:rPr>
                <w:rFonts w:ascii="Lato" w:eastAsia="Aptos" w:hAnsi="Lato" w:cs="Times New Roman"/>
                <w:sz w:val="20"/>
                <w:szCs w:val="20"/>
              </w:rPr>
              <w:t>Prezes UOKiK</w:t>
            </w:r>
          </w:p>
        </w:tc>
        <w:tc>
          <w:tcPr>
            <w:tcW w:w="8363" w:type="dxa"/>
            <w:tcBorders>
              <w:top w:val="single" w:sz="4" w:space="0" w:color="auto"/>
              <w:left w:val="single" w:sz="4" w:space="0" w:color="auto"/>
              <w:bottom w:val="single" w:sz="4" w:space="0" w:color="auto"/>
              <w:right w:val="single" w:sz="4" w:space="0" w:color="auto"/>
            </w:tcBorders>
          </w:tcPr>
          <w:p w14:paraId="4910CDD6" w14:textId="77777777" w:rsidR="00A00D96" w:rsidRPr="00AA3A23" w:rsidRDefault="7B586FFD" w:rsidP="7B586FFD">
            <w:pPr>
              <w:spacing w:after="120" w:line="276" w:lineRule="auto"/>
              <w:jc w:val="both"/>
              <w:rPr>
                <w:rFonts w:ascii="Lato" w:eastAsia="Aptos" w:hAnsi="Lato" w:cs="Times New Roman"/>
                <w:sz w:val="20"/>
                <w:szCs w:val="20"/>
              </w:rPr>
            </w:pPr>
            <w:r w:rsidRPr="7B586FFD">
              <w:rPr>
                <w:rFonts w:ascii="Lato" w:eastAsia="Aptos" w:hAnsi="Lato" w:cs="Times New Roman"/>
                <w:sz w:val="20"/>
                <w:szCs w:val="20"/>
              </w:rPr>
              <w:t>Prezes UOKiK podtrzymuje zgłoszoną uprzednio uwagę i wnosi o zmianę brzmienia projektowanego § 1a w art. 96a kpa poprzez uzupełnienie go o wyróżniony fragment:</w:t>
            </w:r>
          </w:p>
          <w:p w14:paraId="24B57511" w14:textId="77777777" w:rsidR="00A00D96" w:rsidRPr="00AA3A23" w:rsidRDefault="7B586FFD" w:rsidP="7B586FFD">
            <w:pPr>
              <w:spacing w:after="120" w:line="276" w:lineRule="auto"/>
              <w:jc w:val="both"/>
              <w:rPr>
                <w:rFonts w:ascii="Lato" w:eastAsia="Aptos" w:hAnsi="Lato" w:cs="Times New Roman"/>
                <w:sz w:val="20"/>
                <w:szCs w:val="20"/>
              </w:rPr>
            </w:pPr>
            <w:r w:rsidRPr="7B586FFD">
              <w:rPr>
                <w:rFonts w:ascii="Lato" w:eastAsia="Aptos" w:hAnsi="Lato" w:cs="Times New Roman"/>
                <w:sz w:val="20"/>
                <w:szCs w:val="20"/>
              </w:rPr>
              <w:t xml:space="preserve">„§ 1a. Sprawą, której charakter pozwala na przeprowadzenie mediacji, jest w szczególności sprawa rozstrzygana w ramach uznania administracyjnego, </w:t>
            </w:r>
            <w:r w:rsidRPr="7B586FFD">
              <w:rPr>
                <w:rFonts w:ascii="Lato" w:eastAsia="Aptos" w:hAnsi="Lato" w:cs="Times New Roman"/>
                <w:b/>
                <w:bCs/>
                <w:sz w:val="20"/>
                <w:szCs w:val="20"/>
              </w:rPr>
              <w:t>z wyłączeniem sprawy, której przedmiotem jest nałożenie administracyjnej kary pieniężnej,</w:t>
            </w:r>
            <w:r w:rsidRPr="7B586FFD">
              <w:rPr>
                <w:rFonts w:ascii="Lato" w:eastAsia="Aptos" w:hAnsi="Lato" w:cs="Times New Roman"/>
                <w:sz w:val="20"/>
                <w:szCs w:val="20"/>
              </w:rPr>
              <w:t xml:space="preserve"> lub dotycząca: (…).”;</w:t>
            </w:r>
          </w:p>
          <w:p w14:paraId="6058DD59" w14:textId="77777777" w:rsidR="00A00D96" w:rsidRPr="00AA3A23" w:rsidRDefault="7B586FFD" w:rsidP="7B586FFD">
            <w:pPr>
              <w:spacing w:after="120" w:line="276" w:lineRule="auto"/>
              <w:jc w:val="both"/>
              <w:rPr>
                <w:rFonts w:ascii="Lato" w:eastAsia="Aptos" w:hAnsi="Lato" w:cs="Times New Roman"/>
                <w:sz w:val="20"/>
                <w:szCs w:val="20"/>
              </w:rPr>
            </w:pPr>
            <w:r w:rsidRPr="7B586FFD">
              <w:rPr>
                <w:rFonts w:ascii="Lato" w:eastAsia="Aptos" w:hAnsi="Lato" w:cs="Times New Roman"/>
                <w:sz w:val="20"/>
                <w:szCs w:val="20"/>
              </w:rPr>
              <w:t xml:space="preserve">W ramach uznania administracyjnego rozstrzygane są sprawy nakładania administracyjnych kar pieniężnych na podmioty nadmiernie opóźniające się ze spełnieniem świadczeń pieniężnych w transakcjach handlowych, gdyż właściwe przepisy ustawy z dnia 8 marca 2013 r. o przeciwdziałaniu nadmiernym opóźnieniom w transakcjach handlowych pozostawiają Prezesowi UOKiK dyskrecjonalność co do tego, czy w danym przypadku kara zostanie nałożona pomimo stwierdzenia nadmiernego opóźnienia. Art. 13v ust. 1 ww. ustawy stanowi bowiem, że „W przypadku stwierdzenia nadmiernego opóźniania się ze spełnianiem świadczeń pieniężnych przez stronę postępowania, Prezes UOKiK może nałożyć na nią, w drodze decyzji, </w:t>
            </w:r>
            <w:r w:rsidRPr="7B586FFD">
              <w:rPr>
                <w:rFonts w:ascii="Lato" w:eastAsia="Aptos" w:hAnsi="Lato" w:cs="Times New Roman"/>
                <w:sz w:val="20"/>
                <w:szCs w:val="20"/>
              </w:rPr>
              <w:lastRenderedPageBreak/>
              <w:t>administracyjną karę pieniężną.”. Także sama wysokość kary uzależniona jest od decyzji Prezesa UOKiK, który określa jej wymiar, w oparciu o przewidziane w ustawie przesłanki miarkowania kary.</w:t>
            </w:r>
          </w:p>
          <w:p w14:paraId="4C3086CF" w14:textId="77777777" w:rsidR="00A00D96" w:rsidRPr="00AA3A23" w:rsidRDefault="7B586FFD" w:rsidP="7B586FFD">
            <w:pPr>
              <w:spacing w:after="120" w:line="276" w:lineRule="auto"/>
              <w:jc w:val="both"/>
              <w:rPr>
                <w:rFonts w:ascii="Lato" w:eastAsia="Aptos" w:hAnsi="Lato" w:cs="Times New Roman"/>
                <w:sz w:val="20"/>
                <w:szCs w:val="20"/>
              </w:rPr>
            </w:pPr>
            <w:r w:rsidRPr="7B586FFD">
              <w:rPr>
                <w:rFonts w:ascii="Lato" w:eastAsia="Aptos" w:hAnsi="Lato" w:cs="Times New Roman"/>
                <w:sz w:val="20"/>
                <w:szCs w:val="20"/>
              </w:rPr>
              <w:t xml:space="preserve">W tym kontekście należy zauważyć, że prowadzenie mediacji w postępowaniu w sprawie nadmiernego opóźniania się ze spełnianiem świadczeń pieniężnych nie znajduje uzasadnienia i skomplikowałoby jedynie prowadzenie postępowania. </w:t>
            </w:r>
          </w:p>
          <w:p w14:paraId="563FC6D4" w14:textId="7CB0871E" w:rsidR="00A00D96" w:rsidRPr="00AA3A23" w:rsidRDefault="7B586FFD" w:rsidP="7B586FFD">
            <w:pPr>
              <w:autoSpaceDE w:val="0"/>
              <w:autoSpaceDN w:val="0"/>
              <w:adjustRightInd w:val="0"/>
              <w:spacing w:line="259" w:lineRule="auto"/>
              <w:jc w:val="both"/>
              <w:rPr>
                <w:rFonts w:ascii="Lato" w:eastAsia="Aptos" w:hAnsi="Lato" w:cs="Times New Roman"/>
                <w:b/>
                <w:bCs/>
                <w:sz w:val="20"/>
                <w:szCs w:val="20"/>
              </w:rPr>
            </w:pPr>
            <w:r w:rsidRPr="7B586FFD">
              <w:rPr>
                <w:rFonts w:ascii="Lato" w:eastAsia="Aptos" w:hAnsi="Lato" w:cs="Times New Roman"/>
                <w:sz w:val="20"/>
                <w:szCs w:val="20"/>
              </w:rPr>
              <w:t>Jednocześnie podniesiona uwaga ma szersze odniesienie, ponieważ wydaje się, że generalnie sprawy, w których organ nakłada administracyjne kary pieniężne, nie są sprawami, których charakter pozwala na przeprowadzenie mediacji. Wobec tego postuluje się proponowaną zmianę brzmienia projektowanego § 1a w art. 96a kpa zamiast alternatywnej propozycji wyłączenia przepisów kpa dotyczących mediacji w ramach przedmiotowego postępowania w ustawie z dnia 8 marca 2013 r. o przeciwdziałaniu nadmiernym opóźnieniom w transakcjach handlowych.</w:t>
            </w:r>
          </w:p>
        </w:tc>
        <w:tc>
          <w:tcPr>
            <w:tcW w:w="3075" w:type="dxa"/>
          </w:tcPr>
          <w:p w14:paraId="0470535A" w14:textId="0CC51F2A" w:rsidR="00A00D96" w:rsidRDefault="7B586FFD" w:rsidP="7B586FFD">
            <w:pPr>
              <w:spacing w:line="259" w:lineRule="auto"/>
              <w:jc w:val="both"/>
              <w:rPr>
                <w:rFonts w:ascii="Arial" w:eastAsia="Calibri" w:hAnsi="Arial" w:cs="Arial"/>
                <w:b/>
                <w:bCs/>
                <w:sz w:val="20"/>
                <w:szCs w:val="20"/>
              </w:rPr>
            </w:pPr>
            <w:r w:rsidRPr="7B586FFD">
              <w:rPr>
                <w:rFonts w:ascii="Arial" w:eastAsia="Calibri" w:hAnsi="Arial" w:cs="Arial"/>
                <w:b/>
                <w:bCs/>
                <w:sz w:val="20"/>
                <w:szCs w:val="20"/>
              </w:rPr>
              <w:lastRenderedPageBreak/>
              <w:t xml:space="preserve">Uwaga nie została uwzględniona. </w:t>
            </w:r>
          </w:p>
          <w:p w14:paraId="2338F7C4" w14:textId="77777777" w:rsidR="008E59F0" w:rsidRDefault="008E59F0" w:rsidP="00A00D96">
            <w:pPr>
              <w:spacing w:line="259" w:lineRule="auto"/>
              <w:jc w:val="both"/>
              <w:rPr>
                <w:rFonts w:ascii="Arial" w:eastAsia="Calibri" w:hAnsi="Arial" w:cs="Arial"/>
                <w:b/>
                <w:bCs/>
                <w:sz w:val="20"/>
                <w:szCs w:val="20"/>
              </w:rPr>
            </w:pPr>
          </w:p>
          <w:p w14:paraId="56CEAF2D" w14:textId="49AA9E55" w:rsidR="00F003E8" w:rsidRDefault="7B586FFD" w:rsidP="7B586FFD">
            <w:pPr>
              <w:spacing w:line="259" w:lineRule="auto"/>
              <w:jc w:val="both"/>
              <w:rPr>
                <w:rFonts w:ascii="Arial" w:eastAsia="Calibri" w:hAnsi="Arial" w:cs="Arial"/>
                <w:sz w:val="20"/>
                <w:szCs w:val="20"/>
              </w:rPr>
            </w:pPr>
            <w:r w:rsidRPr="7B586FFD">
              <w:rPr>
                <w:rFonts w:ascii="Arial" w:eastAsia="Calibri" w:hAnsi="Arial" w:cs="Arial"/>
                <w:sz w:val="20"/>
                <w:szCs w:val="20"/>
              </w:rPr>
              <w:t>MRiT podtrzymuje swoje uzasadnienie wyrażone na poprzednim etapie opiniowania projektu i podczas konferencji uzgodnieniowej.</w:t>
            </w:r>
          </w:p>
          <w:p w14:paraId="6FDB0A6F" w14:textId="77777777" w:rsidR="00F003E8" w:rsidRDefault="00F003E8" w:rsidP="00F003E8">
            <w:pPr>
              <w:spacing w:line="259" w:lineRule="auto"/>
              <w:jc w:val="both"/>
              <w:rPr>
                <w:rFonts w:ascii="Arial" w:eastAsia="Calibri" w:hAnsi="Arial" w:cs="Arial"/>
                <w:sz w:val="20"/>
                <w:szCs w:val="20"/>
              </w:rPr>
            </w:pPr>
          </w:p>
          <w:p w14:paraId="59F4A4B9" w14:textId="03C66957" w:rsidR="00F003E8" w:rsidRDefault="7B586FFD" w:rsidP="7B586FFD">
            <w:pPr>
              <w:spacing w:line="276" w:lineRule="auto"/>
              <w:jc w:val="both"/>
              <w:rPr>
                <w:rFonts w:ascii="Arial" w:eastAsia="Calibri" w:hAnsi="Arial" w:cs="Arial"/>
                <w:sz w:val="20"/>
                <w:szCs w:val="20"/>
              </w:rPr>
            </w:pPr>
            <w:r w:rsidRPr="7B586FFD">
              <w:rPr>
                <w:rFonts w:ascii="Arial" w:eastAsia="Calibri" w:hAnsi="Arial" w:cs="Arial"/>
                <w:sz w:val="20"/>
                <w:szCs w:val="20"/>
              </w:rPr>
              <w:t xml:space="preserve">Mediacja administracyjna, zgodnie z art. 96 par. 3 KPA, polega na wyjaśnieniu i rozważeniu okoliczności faktycznych i prawnych sprawy oraz dokonanie ustaleń </w:t>
            </w:r>
            <w:r w:rsidRPr="7B586FFD">
              <w:rPr>
                <w:rFonts w:ascii="Arial" w:eastAsia="Calibri" w:hAnsi="Arial" w:cs="Arial"/>
                <w:sz w:val="20"/>
                <w:szCs w:val="20"/>
              </w:rPr>
              <w:lastRenderedPageBreak/>
              <w:t>dotyczących jej załatwienia w granicach obowiązującego prawa. Także w sprawach z zakresu administracyjnych kar pieniężnych organ wyjaśnia stan faktyczny i prawny oraz dokonuje rozstrzygnięcia w granicach prawa. Okoliczność polegająca na przyznaniu Prezesowi UOKiK możliwości nałożenia kary pieniężnej w przypadku nadmiernego opóźnienia w płatnościach nie zmienia ww. celów postępowania administracyjnego oraz określonych w KPA celów mediacji administracyjnej. Co więcej w sprawach o nałożenie kary pieniężnej co do zasady organy muszą uwzględniać wiele okoliczności ocennych, wpływających m.in. na wymiar kary a mediacja może przyczynić się do szybszego, szczegółowego wyjaśniania stanu faktycznego i prawnego.</w:t>
            </w:r>
          </w:p>
          <w:p w14:paraId="70C32E89" w14:textId="3BDA804E" w:rsidR="00D00E34" w:rsidRPr="00D00E34" w:rsidRDefault="7B586FFD" w:rsidP="7B586FFD">
            <w:pPr>
              <w:pStyle w:val="ZUSTzmustartykuempunktem"/>
              <w:spacing w:line="276" w:lineRule="auto"/>
              <w:ind w:left="0" w:firstLine="0"/>
              <w:rPr>
                <w:rFonts w:ascii="Arial" w:eastAsia="Calibri" w:hAnsi="Arial"/>
                <w:sz w:val="20"/>
                <w:lang w:eastAsia="en-US"/>
              </w:rPr>
            </w:pPr>
            <w:r w:rsidRPr="7B586FFD">
              <w:rPr>
                <w:rFonts w:ascii="Arial" w:eastAsia="Calibri" w:hAnsi="Arial"/>
                <w:sz w:val="20"/>
                <w:lang w:eastAsia="en-US"/>
              </w:rPr>
              <w:t xml:space="preserve">Ponadto, w wyniku dyskusji podczas konferencji uzgodnieniowej, MRiT zaproponował w drugiej wersji projektu uzupełnienie regulacji dotyczących mediacji administracyjnej o następujące </w:t>
            </w:r>
            <w:r w:rsidRPr="7B586FFD">
              <w:rPr>
                <w:rFonts w:ascii="Arial" w:eastAsia="Calibri" w:hAnsi="Arial"/>
                <w:sz w:val="20"/>
                <w:lang w:eastAsia="en-US"/>
              </w:rPr>
              <w:lastRenderedPageBreak/>
              <w:t>przepisy: art. 96a § 1b KPA: „Organ administracji publicznej sporządza i dołącza do akt ocenę, w drodze adnotacji, czy:</w:t>
            </w:r>
          </w:p>
          <w:p w14:paraId="0ADD1E95" w14:textId="77777777" w:rsidR="00D00E34" w:rsidRPr="00D00E34" w:rsidRDefault="00D00E34" w:rsidP="7B586FFD">
            <w:pPr>
              <w:pStyle w:val="ZPKTzmpktartykuempunktem"/>
              <w:spacing w:line="276" w:lineRule="auto"/>
              <w:ind w:left="510"/>
              <w:rPr>
                <w:rFonts w:ascii="Arial" w:eastAsia="Calibri" w:hAnsi="Arial"/>
                <w:sz w:val="20"/>
                <w:lang w:eastAsia="en-US"/>
              </w:rPr>
            </w:pPr>
            <w:r w:rsidRPr="7B586FFD">
              <w:rPr>
                <w:rFonts w:ascii="Arial" w:eastAsia="Calibri" w:hAnsi="Arial"/>
                <w:sz w:val="20"/>
                <w:lang w:eastAsia="en-US"/>
              </w:rPr>
              <w:t>1)</w:t>
            </w:r>
            <w:r w:rsidRPr="00D00E34">
              <w:rPr>
                <w:rFonts w:ascii="Arial" w:eastAsia="Calibri" w:hAnsi="Arial"/>
                <w:bCs w:val="0"/>
                <w:sz w:val="20"/>
                <w:lang w:eastAsia="en-US"/>
              </w:rPr>
              <w:tab/>
            </w:r>
            <w:r w:rsidRPr="7B586FFD">
              <w:rPr>
                <w:rFonts w:ascii="Arial" w:eastAsia="Calibri" w:hAnsi="Arial"/>
                <w:sz w:val="20"/>
                <w:lang w:eastAsia="en-US"/>
              </w:rPr>
              <w:t>charakter sprawy pozwala na przeprowadzenie mediacji oraz</w:t>
            </w:r>
          </w:p>
          <w:p w14:paraId="34796927" w14:textId="4C543C89" w:rsidR="00D00E34" w:rsidRPr="00D00E34" w:rsidRDefault="00D00E34" w:rsidP="7B586FFD">
            <w:pPr>
              <w:pStyle w:val="ZLITUSTzmustliter"/>
              <w:spacing w:line="276" w:lineRule="auto"/>
              <w:ind w:left="0" w:firstLine="0"/>
              <w:rPr>
                <w:rFonts w:ascii="Arial" w:eastAsia="Calibri" w:hAnsi="Arial"/>
                <w:sz w:val="20"/>
                <w:lang w:eastAsia="en-US"/>
              </w:rPr>
            </w:pPr>
            <w:r w:rsidRPr="7B586FFD">
              <w:rPr>
                <w:rFonts w:ascii="Arial" w:eastAsia="Calibri" w:hAnsi="Arial"/>
                <w:sz w:val="20"/>
                <w:lang w:eastAsia="en-US"/>
              </w:rPr>
              <w:t>2)</w:t>
            </w:r>
            <w:r w:rsidRPr="00D00E34">
              <w:rPr>
                <w:rFonts w:ascii="Arial" w:eastAsia="Calibri" w:hAnsi="Arial"/>
                <w:bCs w:val="0"/>
                <w:sz w:val="20"/>
                <w:lang w:eastAsia="en-US"/>
              </w:rPr>
              <w:tab/>
            </w:r>
            <w:r w:rsidRPr="7B586FFD">
              <w:rPr>
                <w:rFonts w:ascii="Arial" w:eastAsia="Calibri" w:hAnsi="Arial"/>
                <w:sz w:val="20"/>
                <w:lang w:eastAsia="en-US"/>
              </w:rPr>
              <w:t>zachodzą okoliczności odstąpienia od zawiadomienia o możliwości przeprowadzenia mediacji, jeśli charakter sprawy pozwala na przeprowadzenie mediacji.” oraz art. 96b § 5 KPA: „Organ administracji publicznej odstępuje od zawiadomienia, o którym mowa w art. 96b § 1, jeżeli z okoliczności faktycznych i prawnych wynika, że:</w:t>
            </w:r>
          </w:p>
          <w:p w14:paraId="30C3D9EE" w14:textId="77777777" w:rsidR="00D00E34" w:rsidRPr="00D00E34" w:rsidRDefault="00D00E34" w:rsidP="7B586FFD">
            <w:pPr>
              <w:pStyle w:val="ZLITPKTzmpktliter"/>
              <w:spacing w:line="276" w:lineRule="auto"/>
              <w:ind w:left="0" w:firstLine="0"/>
              <w:rPr>
                <w:rFonts w:ascii="Arial" w:eastAsia="Calibri" w:hAnsi="Arial"/>
                <w:sz w:val="20"/>
                <w:lang w:eastAsia="en-US"/>
              </w:rPr>
            </w:pPr>
            <w:r w:rsidRPr="7B586FFD">
              <w:rPr>
                <w:rFonts w:ascii="Arial" w:eastAsia="Calibri" w:hAnsi="Arial"/>
                <w:sz w:val="20"/>
                <w:lang w:eastAsia="en-US"/>
              </w:rPr>
              <w:t>1)</w:t>
            </w:r>
            <w:r w:rsidRPr="00D00E34">
              <w:rPr>
                <w:rFonts w:ascii="Arial" w:eastAsia="Calibri" w:hAnsi="Arial"/>
                <w:bCs w:val="0"/>
                <w:sz w:val="20"/>
                <w:lang w:eastAsia="en-US"/>
              </w:rPr>
              <w:tab/>
            </w:r>
            <w:r w:rsidRPr="7B586FFD">
              <w:rPr>
                <w:rFonts w:ascii="Arial" w:eastAsia="Calibri" w:hAnsi="Arial"/>
                <w:sz w:val="20"/>
                <w:lang w:eastAsia="en-US"/>
              </w:rPr>
              <w:t xml:space="preserve">sprawa powinna być załatwiona niezwłocznie, w tym jeżeli wymaga tego ważny interes publiczny, lub </w:t>
            </w:r>
          </w:p>
          <w:p w14:paraId="315A359D" w14:textId="56A328E3" w:rsidR="00F003E8" w:rsidRPr="00D00E34" w:rsidRDefault="00D00E34" w:rsidP="7B586FFD">
            <w:pPr>
              <w:pStyle w:val="ZLITPKTzmpktliter"/>
              <w:spacing w:line="276" w:lineRule="auto"/>
              <w:ind w:left="0" w:firstLine="0"/>
              <w:rPr>
                <w:rFonts w:ascii="Arial" w:eastAsia="Calibri" w:hAnsi="Arial"/>
                <w:sz w:val="20"/>
                <w:lang w:eastAsia="en-US"/>
              </w:rPr>
            </w:pPr>
            <w:r w:rsidRPr="7B586FFD">
              <w:rPr>
                <w:rFonts w:ascii="Arial" w:eastAsia="Calibri" w:hAnsi="Arial"/>
                <w:sz w:val="20"/>
                <w:lang w:eastAsia="en-US"/>
              </w:rPr>
              <w:t>2)</w:t>
            </w:r>
            <w:r w:rsidRPr="00D00E34">
              <w:rPr>
                <w:rFonts w:ascii="Arial" w:eastAsia="Calibri" w:hAnsi="Arial"/>
                <w:bCs w:val="0"/>
                <w:sz w:val="20"/>
                <w:lang w:eastAsia="en-US"/>
              </w:rPr>
              <w:tab/>
            </w:r>
            <w:r w:rsidRPr="7B586FFD">
              <w:rPr>
                <w:rFonts w:ascii="Arial" w:eastAsia="Calibri" w:hAnsi="Arial"/>
                <w:sz w:val="20"/>
                <w:lang w:eastAsia="en-US"/>
              </w:rPr>
              <w:t>jeżeli przeprowadzenie mediacji zmierzałoby jedynie do przedłużenia postępowania.”.</w:t>
            </w:r>
          </w:p>
          <w:p w14:paraId="18654587" w14:textId="77777777" w:rsidR="00D00E34" w:rsidRDefault="00D00E34" w:rsidP="00F003E8">
            <w:pPr>
              <w:spacing w:line="259" w:lineRule="auto"/>
              <w:jc w:val="both"/>
              <w:rPr>
                <w:rFonts w:ascii="Arial" w:eastAsia="Calibri" w:hAnsi="Arial" w:cs="Arial"/>
                <w:sz w:val="20"/>
                <w:szCs w:val="20"/>
              </w:rPr>
            </w:pPr>
          </w:p>
          <w:p w14:paraId="2D31E487" w14:textId="218A980D" w:rsidR="00A00D96" w:rsidRPr="00D00E34" w:rsidRDefault="7B586FFD" w:rsidP="7B586FFD">
            <w:pPr>
              <w:spacing w:line="259" w:lineRule="auto"/>
              <w:jc w:val="both"/>
              <w:rPr>
                <w:rFonts w:ascii="Arial" w:eastAsia="Calibri" w:hAnsi="Arial" w:cs="Arial"/>
                <w:sz w:val="20"/>
                <w:szCs w:val="20"/>
              </w:rPr>
            </w:pPr>
            <w:r w:rsidRPr="7B586FFD">
              <w:rPr>
                <w:rFonts w:ascii="Arial" w:eastAsia="Calibri" w:hAnsi="Arial" w:cs="Arial"/>
                <w:sz w:val="20"/>
                <w:szCs w:val="20"/>
              </w:rPr>
              <w:t>Prezes UOKiK w ramach prowadzonych przez siebie postępowań będzie mógł odstąpić od zawiadomienia o możliwości mediacji, gdy zajdą ww. przesłanki.</w:t>
            </w:r>
          </w:p>
          <w:p w14:paraId="67BBA774" w14:textId="77777777" w:rsidR="00A00D96" w:rsidRPr="00A00D96" w:rsidRDefault="00A00D96" w:rsidP="00A00D96">
            <w:pPr>
              <w:spacing w:line="259" w:lineRule="auto"/>
              <w:jc w:val="both"/>
              <w:rPr>
                <w:rFonts w:ascii="Arial" w:eastAsia="Calibri" w:hAnsi="Arial" w:cs="Arial"/>
                <w:b/>
                <w:bCs/>
                <w:sz w:val="20"/>
                <w:szCs w:val="20"/>
              </w:rPr>
            </w:pPr>
          </w:p>
        </w:tc>
      </w:tr>
      <w:tr w:rsidR="00A00D96" w:rsidRPr="00AA3A23" w14:paraId="6DA24CDD" w14:textId="77777777" w:rsidTr="7B586FFD">
        <w:tc>
          <w:tcPr>
            <w:tcW w:w="763" w:type="dxa"/>
          </w:tcPr>
          <w:p w14:paraId="7082A6C4" w14:textId="77777777" w:rsidR="00A00D96" w:rsidRPr="00AA3A23" w:rsidRDefault="00A00D96" w:rsidP="00A00D96">
            <w:pPr>
              <w:numPr>
                <w:ilvl w:val="0"/>
                <w:numId w:val="1"/>
              </w:numPr>
              <w:spacing w:before="120"/>
              <w:ind w:left="171" w:right="-534" w:hanging="52"/>
              <w:contextualSpacing/>
              <w:rPr>
                <w:rFonts w:ascii="Arial" w:eastAsia="Calibri" w:hAnsi="Arial" w:cs="Arial"/>
                <w:bCs/>
                <w:sz w:val="20"/>
                <w:szCs w:val="20"/>
              </w:rPr>
            </w:pPr>
          </w:p>
        </w:tc>
        <w:tc>
          <w:tcPr>
            <w:tcW w:w="1500" w:type="dxa"/>
            <w:tcBorders>
              <w:top w:val="single" w:sz="4" w:space="0" w:color="auto"/>
              <w:left w:val="single" w:sz="4" w:space="0" w:color="auto"/>
              <w:bottom w:val="single" w:sz="4" w:space="0" w:color="auto"/>
              <w:right w:val="single" w:sz="4" w:space="0" w:color="auto"/>
            </w:tcBorders>
          </w:tcPr>
          <w:p w14:paraId="5F44AE3A" w14:textId="77777777" w:rsidR="00A00D96" w:rsidRPr="00AA3A23" w:rsidRDefault="7B586FFD" w:rsidP="7B586FFD">
            <w:pPr>
              <w:spacing w:line="259" w:lineRule="auto"/>
              <w:jc w:val="center"/>
              <w:rPr>
                <w:rFonts w:ascii="Lato" w:eastAsia="Aptos" w:hAnsi="Lato" w:cs="Times New Roman"/>
                <w:sz w:val="20"/>
                <w:szCs w:val="20"/>
              </w:rPr>
            </w:pPr>
            <w:r w:rsidRPr="7B586FFD">
              <w:rPr>
                <w:rFonts w:ascii="Lato" w:eastAsia="Aptos" w:hAnsi="Lato" w:cs="Times New Roman"/>
                <w:sz w:val="20"/>
                <w:szCs w:val="20"/>
              </w:rPr>
              <w:t>Art. 4 pkt 1</w:t>
            </w:r>
          </w:p>
          <w:p w14:paraId="68DCDF2E" w14:textId="77777777" w:rsidR="00A00D96" w:rsidRPr="00AA3A23" w:rsidRDefault="7B586FFD" w:rsidP="7B586FFD">
            <w:pPr>
              <w:autoSpaceDE w:val="0"/>
              <w:autoSpaceDN w:val="0"/>
              <w:adjustRightInd w:val="0"/>
              <w:spacing w:line="259" w:lineRule="auto"/>
              <w:rPr>
                <w:rFonts w:ascii="Arial" w:eastAsia="Aptos" w:hAnsi="Arial" w:cs="Arial"/>
                <w:sz w:val="20"/>
                <w:szCs w:val="20"/>
              </w:rPr>
            </w:pPr>
            <w:r w:rsidRPr="7B586FFD">
              <w:rPr>
                <w:rFonts w:ascii="Lato" w:eastAsia="Aptos" w:hAnsi="Lato" w:cs="Times New Roman"/>
                <w:sz w:val="20"/>
                <w:szCs w:val="20"/>
              </w:rPr>
              <w:t>(zmiany w ustawie – Kodeks postępowania cywilnego)</w:t>
            </w:r>
          </w:p>
        </w:tc>
        <w:tc>
          <w:tcPr>
            <w:tcW w:w="1560" w:type="dxa"/>
            <w:tcBorders>
              <w:top w:val="single" w:sz="4" w:space="0" w:color="auto"/>
              <w:left w:val="single" w:sz="4" w:space="0" w:color="auto"/>
              <w:bottom w:val="single" w:sz="4" w:space="0" w:color="auto"/>
              <w:right w:val="single" w:sz="4" w:space="0" w:color="auto"/>
            </w:tcBorders>
          </w:tcPr>
          <w:p w14:paraId="7C6AC811" w14:textId="77777777" w:rsidR="00A00D96" w:rsidRPr="00AA3A23" w:rsidRDefault="7B586FFD" w:rsidP="7B586FFD">
            <w:pPr>
              <w:autoSpaceDE w:val="0"/>
              <w:autoSpaceDN w:val="0"/>
              <w:adjustRightInd w:val="0"/>
              <w:spacing w:line="259" w:lineRule="auto"/>
              <w:rPr>
                <w:rFonts w:ascii="Arial" w:eastAsia="Aptos" w:hAnsi="Arial" w:cs="Arial"/>
                <w:sz w:val="20"/>
                <w:szCs w:val="20"/>
              </w:rPr>
            </w:pPr>
            <w:r w:rsidRPr="7B586FFD">
              <w:rPr>
                <w:rFonts w:ascii="Lato" w:eastAsia="Aptos" w:hAnsi="Lato" w:cs="Times New Roman"/>
                <w:sz w:val="20"/>
                <w:szCs w:val="20"/>
              </w:rPr>
              <w:t>Prezes Prokuratorii Generalnej RP</w:t>
            </w:r>
          </w:p>
        </w:tc>
        <w:tc>
          <w:tcPr>
            <w:tcW w:w="8363" w:type="dxa"/>
            <w:tcBorders>
              <w:top w:val="single" w:sz="4" w:space="0" w:color="auto"/>
              <w:left w:val="single" w:sz="4" w:space="0" w:color="auto"/>
              <w:bottom w:val="single" w:sz="4" w:space="0" w:color="auto"/>
              <w:right w:val="single" w:sz="4" w:space="0" w:color="auto"/>
            </w:tcBorders>
            <w:vAlign w:val="center"/>
          </w:tcPr>
          <w:p w14:paraId="278A24A5" w14:textId="77777777" w:rsidR="00A00D96" w:rsidRPr="00AA3A23" w:rsidRDefault="7B586FFD" w:rsidP="7B586FFD">
            <w:pPr>
              <w:spacing w:line="259" w:lineRule="auto"/>
              <w:jc w:val="both"/>
              <w:rPr>
                <w:rFonts w:ascii="Arial" w:eastAsia="Aptos" w:hAnsi="Arial" w:cs="Arial"/>
                <w:sz w:val="20"/>
                <w:szCs w:val="20"/>
              </w:rPr>
            </w:pPr>
            <w:r w:rsidRPr="7B586FFD">
              <w:rPr>
                <w:rFonts w:ascii="Lato" w:eastAsia="Aptos" w:hAnsi="Lato" w:cs="Times New Roman"/>
                <w:sz w:val="20"/>
                <w:szCs w:val="20"/>
              </w:rPr>
              <w:t>Proponuje się rezygnację ze zmiany w art. 128 k.p.c. Elementy pozwu są określone w art. 126 i art. 187 k.p.c., natomiast art. 128 k.p.c. dotyczy odpisów pisma procesowego i odpisów załączników, więc nie powinny być w nim zamieszczane regulacje dotyczące elementów pozwu. Odpis zaświadczenia o prawdziwości i treści weksla w postaci elektronicznej wydawanego na podstawie art. 104h Prawa wekslowego (np. kserokopia) powinien być dołączany do pisma procesowego na zasadach ogólnych wynikających z obecnej treści art. 128 k.p.c. Proponowana w projekcie zmiana tego przepisu może budzić wątpliwości, czy do odpisu pozwu można załączyć odpis zaświadczenia, czy należy posługiwać się wyłącznie jego oryginałem (wówczas niezbędne będzie pozyskanie zaświadczenia w niezbędnej liczbie egzemplarzy).</w:t>
            </w:r>
          </w:p>
        </w:tc>
        <w:tc>
          <w:tcPr>
            <w:tcW w:w="3075" w:type="dxa"/>
          </w:tcPr>
          <w:p w14:paraId="33B41B84" w14:textId="77777777" w:rsidR="00A00D96" w:rsidRPr="00AA3A23" w:rsidRDefault="7B586FFD" w:rsidP="7B586FFD">
            <w:pPr>
              <w:spacing w:after="160" w:line="259" w:lineRule="auto"/>
              <w:rPr>
                <w:rFonts w:ascii="Lato" w:eastAsia="Lato" w:hAnsi="Lato" w:cs="Lato"/>
                <w:sz w:val="20"/>
                <w:szCs w:val="20"/>
              </w:rPr>
            </w:pPr>
            <w:r w:rsidRPr="7B586FFD">
              <w:rPr>
                <w:rFonts w:ascii="Lato" w:eastAsia="Lato" w:hAnsi="Lato" w:cs="Lato"/>
                <w:b/>
                <w:bCs/>
                <w:sz w:val="20"/>
                <w:szCs w:val="20"/>
              </w:rPr>
              <w:t>Wyjaśnienie.</w:t>
            </w:r>
            <w:r w:rsidRPr="7B586FFD">
              <w:rPr>
                <w:rFonts w:ascii="Lato" w:eastAsia="Lato" w:hAnsi="Lato" w:cs="Lato"/>
                <w:sz w:val="20"/>
                <w:szCs w:val="20"/>
              </w:rPr>
              <w:t xml:space="preserve"> </w:t>
            </w:r>
          </w:p>
          <w:p w14:paraId="1F907597" w14:textId="77777777" w:rsidR="00A00D96" w:rsidRPr="00AA3A23" w:rsidRDefault="7B586FFD" w:rsidP="7B586FFD">
            <w:pPr>
              <w:spacing w:after="160" w:line="259" w:lineRule="auto"/>
              <w:rPr>
                <w:rFonts w:ascii="Lato" w:eastAsia="Lato" w:hAnsi="Lato" w:cs="Lato"/>
                <w:sz w:val="20"/>
                <w:szCs w:val="20"/>
              </w:rPr>
            </w:pPr>
            <w:r w:rsidRPr="7B586FFD">
              <w:rPr>
                <w:rFonts w:ascii="Lato" w:eastAsia="Lato" w:hAnsi="Lato" w:cs="Lato"/>
                <w:sz w:val="20"/>
                <w:szCs w:val="20"/>
              </w:rPr>
              <w:t>Przedmiotowe rozwiązania zostaną poddane dodatkowym analizom i procedowane w ramach odrębnego procesu legislacyjnego</w:t>
            </w:r>
          </w:p>
          <w:p w14:paraId="79AC9A24" w14:textId="77777777" w:rsidR="00A00D96" w:rsidRPr="00AA3A23" w:rsidRDefault="00A00D96" w:rsidP="00A00D96">
            <w:pPr>
              <w:spacing w:line="259" w:lineRule="auto"/>
              <w:jc w:val="both"/>
              <w:rPr>
                <w:rFonts w:ascii="Arial" w:eastAsia="Calibri" w:hAnsi="Arial" w:cs="Arial"/>
                <w:sz w:val="20"/>
                <w:szCs w:val="20"/>
              </w:rPr>
            </w:pPr>
          </w:p>
        </w:tc>
      </w:tr>
      <w:tr w:rsidR="00A00D96" w:rsidRPr="00AA3A23" w14:paraId="2AAC8D50" w14:textId="77777777" w:rsidTr="7B586FFD">
        <w:tc>
          <w:tcPr>
            <w:tcW w:w="763" w:type="dxa"/>
          </w:tcPr>
          <w:p w14:paraId="066BA8CF" w14:textId="77777777" w:rsidR="00A00D96" w:rsidRPr="00AA3A23" w:rsidRDefault="00A00D96" w:rsidP="00A00D96">
            <w:pPr>
              <w:numPr>
                <w:ilvl w:val="0"/>
                <w:numId w:val="1"/>
              </w:numPr>
              <w:spacing w:before="120"/>
              <w:ind w:left="171" w:right="-534" w:hanging="52"/>
              <w:contextualSpacing/>
              <w:rPr>
                <w:rFonts w:ascii="Arial" w:eastAsia="Calibri" w:hAnsi="Arial" w:cs="Arial"/>
                <w:bCs/>
                <w:sz w:val="20"/>
                <w:szCs w:val="20"/>
              </w:rPr>
            </w:pPr>
          </w:p>
        </w:tc>
        <w:tc>
          <w:tcPr>
            <w:tcW w:w="1500" w:type="dxa"/>
            <w:tcBorders>
              <w:top w:val="single" w:sz="4" w:space="0" w:color="auto"/>
              <w:left w:val="single" w:sz="4" w:space="0" w:color="auto"/>
              <w:bottom w:val="single" w:sz="4" w:space="0" w:color="auto"/>
              <w:right w:val="single" w:sz="4" w:space="0" w:color="auto"/>
            </w:tcBorders>
          </w:tcPr>
          <w:p w14:paraId="6B37BDAD" w14:textId="77777777" w:rsidR="00A00D96" w:rsidRPr="00AA3A23" w:rsidRDefault="7B586FFD" w:rsidP="7B586FFD">
            <w:pPr>
              <w:spacing w:line="259" w:lineRule="auto"/>
              <w:jc w:val="center"/>
              <w:rPr>
                <w:rFonts w:ascii="Lato" w:eastAsia="Aptos" w:hAnsi="Lato" w:cs="Times New Roman"/>
                <w:sz w:val="20"/>
                <w:szCs w:val="20"/>
              </w:rPr>
            </w:pPr>
            <w:r w:rsidRPr="7B586FFD">
              <w:rPr>
                <w:rFonts w:ascii="Lato" w:eastAsia="Aptos" w:hAnsi="Lato" w:cs="Times New Roman"/>
                <w:sz w:val="20"/>
                <w:szCs w:val="20"/>
              </w:rPr>
              <w:t>Art. 4 pkt 2</w:t>
            </w:r>
          </w:p>
          <w:p w14:paraId="547483B1" w14:textId="77777777" w:rsidR="00A00D96" w:rsidRPr="00AA3A23" w:rsidRDefault="7B586FFD" w:rsidP="7B586FFD">
            <w:pPr>
              <w:autoSpaceDE w:val="0"/>
              <w:autoSpaceDN w:val="0"/>
              <w:adjustRightInd w:val="0"/>
              <w:spacing w:line="259" w:lineRule="auto"/>
              <w:rPr>
                <w:rFonts w:ascii="Arial" w:eastAsia="Calibri" w:hAnsi="Arial" w:cs="Arial"/>
                <w:sz w:val="20"/>
                <w:szCs w:val="20"/>
              </w:rPr>
            </w:pPr>
            <w:r w:rsidRPr="7B586FFD">
              <w:rPr>
                <w:rFonts w:ascii="Lato" w:eastAsia="Aptos" w:hAnsi="Lato" w:cs="Times New Roman"/>
                <w:sz w:val="20"/>
                <w:szCs w:val="20"/>
              </w:rPr>
              <w:t>(zmiany w ustawie – Kodeks postępowania cywilnego)</w:t>
            </w:r>
          </w:p>
        </w:tc>
        <w:tc>
          <w:tcPr>
            <w:tcW w:w="1560" w:type="dxa"/>
            <w:tcBorders>
              <w:top w:val="single" w:sz="4" w:space="0" w:color="auto"/>
              <w:left w:val="single" w:sz="4" w:space="0" w:color="auto"/>
              <w:bottom w:val="single" w:sz="4" w:space="0" w:color="auto"/>
              <w:right w:val="single" w:sz="4" w:space="0" w:color="auto"/>
            </w:tcBorders>
          </w:tcPr>
          <w:p w14:paraId="14ED023B" w14:textId="77777777" w:rsidR="00A00D96" w:rsidRPr="00AA3A23" w:rsidRDefault="7B586FFD" w:rsidP="7B586FFD">
            <w:pPr>
              <w:autoSpaceDE w:val="0"/>
              <w:autoSpaceDN w:val="0"/>
              <w:adjustRightInd w:val="0"/>
              <w:spacing w:line="259" w:lineRule="auto"/>
              <w:rPr>
                <w:rFonts w:ascii="Arial" w:eastAsia="Aptos" w:hAnsi="Arial" w:cs="Arial"/>
                <w:sz w:val="20"/>
                <w:szCs w:val="20"/>
              </w:rPr>
            </w:pPr>
            <w:r w:rsidRPr="7B586FFD">
              <w:rPr>
                <w:rFonts w:ascii="Lato" w:eastAsia="Aptos" w:hAnsi="Lato" w:cs="Times New Roman"/>
                <w:sz w:val="20"/>
                <w:szCs w:val="20"/>
              </w:rPr>
              <w:t>Prezes Prokuratorii Generalnej RP</w:t>
            </w:r>
          </w:p>
        </w:tc>
        <w:tc>
          <w:tcPr>
            <w:tcW w:w="8363" w:type="dxa"/>
            <w:tcBorders>
              <w:top w:val="single" w:sz="4" w:space="0" w:color="auto"/>
              <w:left w:val="single" w:sz="4" w:space="0" w:color="auto"/>
              <w:bottom w:val="single" w:sz="4" w:space="0" w:color="auto"/>
              <w:right w:val="single" w:sz="4" w:space="0" w:color="auto"/>
            </w:tcBorders>
            <w:vAlign w:val="center"/>
          </w:tcPr>
          <w:p w14:paraId="637B5E9C" w14:textId="77777777" w:rsidR="00A00D96" w:rsidRPr="00AA3A23" w:rsidRDefault="7B586FFD" w:rsidP="7B586FFD">
            <w:pPr>
              <w:spacing w:line="259" w:lineRule="auto"/>
              <w:jc w:val="both"/>
              <w:rPr>
                <w:rFonts w:ascii="Arial" w:eastAsia="Aptos" w:hAnsi="Arial" w:cs="Arial"/>
                <w:sz w:val="20"/>
                <w:szCs w:val="20"/>
              </w:rPr>
            </w:pPr>
            <w:r w:rsidRPr="7B586FFD">
              <w:rPr>
                <w:rFonts w:ascii="Lato" w:eastAsia="Aptos" w:hAnsi="Lato" w:cs="Times New Roman"/>
                <w:sz w:val="20"/>
                <w:szCs w:val="20"/>
              </w:rPr>
              <w:t>Zmiana proponowana w art. 129 § 2 k.p.c., z której wynika, że w przypadku weksla w postaci elektronicznej odpowiednikiem oryginału ma być zaświadczenie o prawdziwości i treści weksla wydawane na podstawie art. 104h Prawa wekslowego, budzi wątpliwość, czy strona będzie mogła złożyć odpis zaświadczenia, jeżeli jego zgodność z oryginałem zostanie poświadczona przez notariusza albo przez występującego w sprawie profesjonalnego pełnomocnika strony. Dlatego bardziej właściwe wydaje się, aby zdanie drugie (uzupełnione o wyraz „oryginał”: „W przypadku weksla w postaci elektronicznej zamiast oryginału dokumentu strona składa oryginał zaświadczenia, o którym mowa art. 104h ustawy z dnia 28 kwietnia 1936 r. – Prawo wekslowe.”) dodać w art. 129 § 1 k.p.c. Wówczas nie powinno budzić wątpliwości, że zasada dotycząca odpisów dokumentów potwierdzonych za zgodność z oryginałem (art. 129 § 2 k.p.c.) będzie stosowana do wszystkich oryginałów dokumentów, w tym oryginału zaświadczenia.</w:t>
            </w:r>
          </w:p>
        </w:tc>
        <w:tc>
          <w:tcPr>
            <w:tcW w:w="3075" w:type="dxa"/>
          </w:tcPr>
          <w:p w14:paraId="4CA8FCA8" w14:textId="4D4DED29" w:rsidR="00A00D96" w:rsidRPr="00AA3A23" w:rsidRDefault="7B586FFD" w:rsidP="7B586FFD">
            <w:pPr>
              <w:spacing w:after="160" w:line="259" w:lineRule="auto"/>
              <w:rPr>
                <w:rFonts w:ascii="Lato" w:eastAsia="Lato" w:hAnsi="Lato" w:cs="Lato"/>
                <w:sz w:val="20"/>
                <w:szCs w:val="20"/>
              </w:rPr>
            </w:pPr>
            <w:r w:rsidRPr="7B586FFD">
              <w:rPr>
                <w:rFonts w:ascii="Lato" w:eastAsia="Lato" w:hAnsi="Lato" w:cs="Lato"/>
                <w:b/>
                <w:bCs/>
                <w:sz w:val="20"/>
                <w:szCs w:val="20"/>
              </w:rPr>
              <w:t>Wyjaśnienie.</w:t>
            </w:r>
            <w:r w:rsidRPr="7B586FFD">
              <w:rPr>
                <w:rFonts w:ascii="Lato" w:eastAsia="Lato" w:hAnsi="Lato" w:cs="Lato"/>
                <w:sz w:val="20"/>
                <w:szCs w:val="20"/>
              </w:rPr>
              <w:t xml:space="preserve"> </w:t>
            </w:r>
          </w:p>
          <w:p w14:paraId="2F66E76C" w14:textId="6AA3C168" w:rsidR="00A00D96" w:rsidRPr="00AA3A23" w:rsidRDefault="7B586FFD" w:rsidP="7B586FFD">
            <w:pPr>
              <w:spacing w:after="160" w:line="259" w:lineRule="auto"/>
              <w:rPr>
                <w:rFonts w:ascii="Lato" w:eastAsia="Lato" w:hAnsi="Lato" w:cs="Lato"/>
                <w:sz w:val="20"/>
                <w:szCs w:val="20"/>
              </w:rPr>
            </w:pPr>
            <w:r w:rsidRPr="7B586FFD">
              <w:rPr>
                <w:rFonts w:ascii="Lato" w:eastAsia="Lato" w:hAnsi="Lato" w:cs="Lato"/>
                <w:sz w:val="20"/>
                <w:szCs w:val="20"/>
              </w:rPr>
              <w:t>Przedmiotowe rozwiązania zostaną poddane dodatkowym analizom i procedowane w ramach odrębnego procesu legislacyjnego</w:t>
            </w:r>
          </w:p>
          <w:p w14:paraId="0EE963F6" w14:textId="5B41C0CF" w:rsidR="00A00D96" w:rsidRPr="00AA3A23" w:rsidRDefault="00A00D96" w:rsidP="00A00D96">
            <w:pPr>
              <w:spacing w:line="259" w:lineRule="auto"/>
              <w:jc w:val="both"/>
              <w:rPr>
                <w:rFonts w:ascii="Arial" w:eastAsia="Calibri" w:hAnsi="Arial" w:cs="Arial"/>
                <w:sz w:val="20"/>
                <w:szCs w:val="20"/>
              </w:rPr>
            </w:pPr>
          </w:p>
        </w:tc>
      </w:tr>
      <w:tr w:rsidR="00A00D96" w:rsidRPr="00AA3A23" w14:paraId="0246880E" w14:textId="77777777" w:rsidTr="7B586FFD">
        <w:trPr>
          <w:trHeight w:val="841"/>
        </w:trPr>
        <w:tc>
          <w:tcPr>
            <w:tcW w:w="763" w:type="dxa"/>
          </w:tcPr>
          <w:p w14:paraId="38B611B3" w14:textId="77777777" w:rsidR="00A00D96" w:rsidRPr="00AA3A23" w:rsidRDefault="00A00D96" w:rsidP="00A00D96">
            <w:pPr>
              <w:numPr>
                <w:ilvl w:val="0"/>
                <w:numId w:val="1"/>
              </w:numPr>
              <w:spacing w:before="120"/>
              <w:ind w:left="171" w:right="-534" w:hanging="52"/>
              <w:contextualSpacing/>
              <w:rPr>
                <w:rFonts w:ascii="Arial" w:eastAsia="Calibri" w:hAnsi="Arial" w:cs="Arial"/>
                <w:bCs/>
                <w:sz w:val="20"/>
                <w:szCs w:val="20"/>
              </w:rPr>
            </w:pPr>
          </w:p>
        </w:tc>
        <w:tc>
          <w:tcPr>
            <w:tcW w:w="1500" w:type="dxa"/>
            <w:tcBorders>
              <w:top w:val="single" w:sz="4" w:space="0" w:color="auto"/>
              <w:left w:val="single" w:sz="4" w:space="0" w:color="auto"/>
              <w:bottom w:val="single" w:sz="4" w:space="0" w:color="auto"/>
              <w:right w:val="single" w:sz="4" w:space="0" w:color="auto"/>
            </w:tcBorders>
          </w:tcPr>
          <w:p w14:paraId="3BD1DF7D" w14:textId="77777777" w:rsidR="00A00D96" w:rsidRPr="00AA3A23" w:rsidRDefault="7B586FFD" w:rsidP="7B586FFD">
            <w:pPr>
              <w:spacing w:line="259" w:lineRule="auto"/>
              <w:jc w:val="center"/>
              <w:rPr>
                <w:rFonts w:ascii="Lato" w:eastAsia="Aptos" w:hAnsi="Lato" w:cs="Times New Roman"/>
                <w:sz w:val="20"/>
                <w:szCs w:val="20"/>
              </w:rPr>
            </w:pPr>
            <w:r w:rsidRPr="7B586FFD">
              <w:rPr>
                <w:rFonts w:ascii="Lato" w:eastAsia="Aptos" w:hAnsi="Lato" w:cs="Times New Roman"/>
                <w:sz w:val="20"/>
                <w:szCs w:val="20"/>
              </w:rPr>
              <w:t>Art. 4 pkt 3</w:t>
            </w:r>
          </w:p>
          <w:p w14:paraId="7D77819E" w14:textId="77777777" w:rsidR="00A00D96" w:rsidRPr="00AA3A23" w:rsidRDefault="7B586FFD" w:rsidP="7B586FFD">
            <w:pPr>
              <w:autoSpaceDE w:val="0"/>
              <w:autoSpaceDN w:val="0"/>
              <w:adjustRightInd w:val="0"/>
              <w:spacing w:line="259" w:lineRule="auto"/>
              <w:rPr>
                <w:rFonts w:ascii="Arial" w:eastAsia="Aptos" w:hAnsi="Arial" w:cs="Arial"/>
                <w:sz w:val="20"/>
                <w:szCs w:val="20"/>
              </w:rPr>
            </w:pPr>
            <w:r w:rsidRPr="7B586FFD">
              <w:rPr>
                <w:rFonts w:ascii="Lato" w:eastAsia="Aptos" w:hAnsi="Lato" w:cs="Times New Roman"/>
                <w:sz w:val="20"/>
                <w:szCs w:val="20"/>
              </w:rPr>
              <w:t>(zmiany w ustawie – Kodeks postępowania cywilnego)</w:t>
            </w:r>
          </w:p>
        </w:tc>
        <w:tc>
          <w:tcPr>
            <w:tcW w:w="1560" w:type="dxa"/>
            <w:tcBorders>
              <w:top w:val="single" w:sz="4" w:space="0" w:color="auto"/>
              <w:left w:val="single" w:sz="4" w:space="0" w:color="auto"/>
              <w:bottom w:val="single" w:sz="4" w:space="0" w:color="auto"/>
              <w:right w:val="single" w:sz="4" w:space="0" w:color="auto"/>
            </w:tcBorders>
          </w:tcPr>
          <w:p w14:paraId="6CB487FA" w14:textId="77777777" w:rsidR="00A00D96" w:rsidRPr="00AA3A23" w:rsidRDefault="7B586FFD" w:rsidP="7B586FFD">
            <w:pPr>
              <w:autoSpaceDE w:val="0"/>
              <w:autoSpaceDN w:val="0"/>
              <w:adjustRightInd w:val="0"/>
              <w:spacing w:line="259" w:lineRule="auto"/>
              <w:rPr>
                <w:rFonts w:ascii="Arial" w:eastAsia="Aptos" w:hAnsi="Arial" w:cs="Arial"/>
                <w:sz w:val="20"/>
                <w:szCs w:val="20"/>
              </w:rPr>
            </w:pPr>
            <w:r w:rsidRPr="7B586FFD">
              <w:rPr>
                <w:rFonts w:ascii="Lato" w:eastAsia="Aptos" w:hAnsi="Lato" w:cs="Times New Roman"/>
                <w:sz w:val="20"/>
                <w:szCs w:val="20"/>
              </w:rPr>
              <w:t>Prezes Prokuratorii Generalnej RP</w:t>
            </w:r>
          </w:p>
        </w:tc>
        <w:tc>
          <w:tcPr>
            <w:tcW w:w="8363" w:type="dxa"/>
            <w:tcBorders>
              <w:top w:val="single" w:sz="4" w:space="0" w:color="auto"/>
              <w:left w:val="single" w:sz="4" w:space="0" w:color="auto"/>
              <w:bottom w:val="single" w:sz="4" w:space="0" w:color="auto"/>
              <w:right w:val="single" w:sz="4" w:space="0" w:color="auto"/>
            </w:tcBorders>
            <w:vAlign w:val="center"/>
          </w:tcPr>
          <w:p w14:paraId="64D16C24" w14:textId="77777777" w:rsidR="00A00D96" w:rsidRPr="00AA3A23" w:rsidRDefault="7B586FFD" w:rsidP="7B586FFD">
            <w:pPr>
              <w:spacing w:line="259" w:lineRule="auto"/>
              <w:jc w:val="both"/>
              <w:rPr>
                <w:rFonts w:ascii="Lato" w:eastAsia="Aptos" w:hAnsi="Lato" w:cs="Times New Roman"/>
                <w:sz w:val="20"/>
                <w:szCs w:val="20"/>
              </w:rPr>
            </w:pPr>
            <w:r w:rsidRPr="7B586FFD">
              <w:rPr>
                <w:rFonts w:ascii="Lato" w:eastAsia="Aptos" w:hAnsi="Lato" w:cs="Times New Roman"/>
                <w:b/>
                <w:bCs/>
                <w:sz w:val="20"/>
                <w:szCs w:val="20"/>
              </w:rPr>
              <w:t>Uwaga podtrzymana:</w:t>
            </w:r>
            <w:r w:rsidRPr="7B586FFD">
              <w:rPr>
                <w:rFonts w:ascii="Lato" w:eastAsia="Aptos" w:hAnsi="Lato" w:cs="Times New Roman"/>
                <w:sz w:val="20"/>
                <w:szCs w:val="20"/>
              </w:rPr>
              <w:t xml:space="preserve"> Zamiast dodawania w art. 187 nowego § 1</w:t>
            </w:r>
            <w:r w:rsidRPr="7B586FFD">
              <w:rPr>
                <w:rFonts w:ascii="Lato" w:eastAsia="Aptos" w:hAnsi="Lato" w:cs="Times New Roman"/>
                <w:sz w:val="20"/>
                <w:szCs w:val="20"/>
                <w:vertAlign w:val="superscript"/>
              </w:rPr>
              <w:t>1</w:t>
            </w:r>
            <w:r w:rsidRPr="7B586FFD">
              <w:rPr>
                <w:rFonts w:ascii="Lato" w:eastAsia="Aptos" w:hAnsi="Lato" w:cs="Times New Roman"/>
                <w:sz w:val="20"/>
                <w:szCs w:val="20"/>
              </w:rPr>
              <w:t xml:space="preserve"> proponuje się nadanie nowego brzmienia § 1 pkt 3:</w:t>
            </w:r>
          </w:p>
          <w:p w14:paraId="512E97B0" w14:textId="77777777" w:rsidR="00A00D96" w:rsidRPr="00AA3A23" w:rsidRDefault="7B586FFD" w:rsidP="7B586FFD">
            <w:pPr>
              <w:spacing w:line="259" w:lineRule="auto"/>
              <w:ind w:left="314"/>
              <w:jc w:val="both"/>
              <w:rPr>
                <w:rFonts w:ascii="Lato" w:eastAsia="Aptos" w:hAnsi="Lato" w:cs="Times New Roman"/>
                <w:sz w:val="20"/>
                <w:szCs w:val="20"/>
              </w:rPr>
            </w:pPr>
            <w:r w:rsidRPr="7B586FFD">
              <w:rPr>
                <w:rFonts w:ascii="Lato" w:eastAsia="Aptos" w:hAnsi="Lato" w:cs="Times New Roman"/>
                <w:sz w:val="20"/>
                <w:szCs w:val="20"/>
              </w:rPr>
              <w:t>„3) informację, czy strony podjęły próbę mediacji lub innego pozasądowego sposobu rozwiązania sporu, w tym postępowania w sprawie pozasądowego rozwiązywania sporów konsumenckich, o którym mowa w art. 3 ustawy z dnia 23 września 2016 r. o pozasądowym rozwiązywaniu sporów konsumenckich (Dz. U. poz. 1823), lub mediacji lub innego polubownego rozwiązania sporu, o których mowa w art. 591 ustawy z dnia 11 września 2019 r. – Prawo zamówień publicznych (Dz. U. z 2023 r. poz. 1605 i 1720 oraz z 2024 r. poz. …), a także kiedy i w jaki sposób, a w przypadku gdy takich prób nie podjęto, wyjaśnienie przyczyn ich niepodjęcia.”.</w:t>
            </w:r>
          </w:p>
          <w:p w14:paraId="037E2963" w14:textId="77777777" w:rsidR="00A00D96" w:rsidRPr="00AA3A23" w:rsidRDefault="7B586FFD" w:rsidP="7B586FFD">
            <w:pPr>
              <w:spacing w:line="259" w:lineRule="auto"/>
              <w:jc w:val="both"/>
              <w:textAlignment w:val="baseline"/>
              <w:rPr>
                <w:rFonts w:ascii="Arial" w:eastAsia="Times New Roman" w:hAnsi="Arial" w:cs="Arial"/>
                <w:sz w:val="20"/>
                <w:szCs w:val="20"/>
                <w:lang w:eastAsia="pl-PL"/>
              </w:rPr>
            </w:pPr>
            <w:r w:rsidRPr="7B586FFD">
              <w:rPr>
                <w:rFonts w:ascii="Lato" w:eastAsia="Aptos" w:hAnsi="Lato" w:cs="Times New Roman"/>
                <w:sz w:val="20"/>
                <w:szCs w:val="20"/>
              </w:rPr>
              <w:lastRenderedPageBreak/>
              <w:t>Uczytelni to przepis o obligatoryjnych elementach pozwu, a także pozwoli na uniknięcie wątpliwości, brak jakich informacji jest przesłanką zastosowania rozwiązania proponowanego w art. 183</w:t>
            </w:r>
            <w:r w:rsidRPr="7B586FFD">
              <w:rPr>
                <w:rFonts w:ascii="Lato" w:eastAsia="Aptos" w:hAnsi="Lato" w:cs="Times New Roman"/>
                <w:sz w:val="20"/>
                <w:szCs w:val="20"/>
                <w:vertAlign w:val="superscript"/>
              </w:rPr>
              <w:t>8</w:t>
            </w:r>
            <w:r w:rsidRPr="7B586FFD">
              <w:rPr>
                <w:rFonts w:ascii="Lato" w:eastAsia="Aptos" w:hAnsi="Lato" w:cs="Times New Roman"/>
                <w:sz w:val="20"/>
                <w:szCs w:val="20"/>
              </w:rPr>
              <w:t xml:space="preserve"> § 3, który </w:t>
            </w:r>
            <w:r w:rsidRPr="7B586FFD">
              <w:rPr>
                <w:rFonts w:ascii="Lato" w:eastAsia="Aptos" w:hAnsi="Lato" w:cs="Times New Roman"/>
                <w:i/>
                <w:iCs/>
                <w:sz w:val="20"/>
                <w:szCs w:val="20"/>
              </w:rPr>
              <w:t>in fine</w:t>
            </w:r>
            <w:r w:rsidRPr="7B586FFD">
              <w:rPr>
                <w:rFonts w:ascii="Lato" w:eastAsia="Aptos" w:hAnsi="Lato" w:cs="Times New Roman"/>
                <w:sz w:val="20"/>
                <w:szCs w:val="20"/>
              </w:rPr>
              <w:t xml:space="preserve"> odsyła do art. 187 § 1 pkt 3 (art. 4 pkt 4 projektu).</w:t>
            </w:r>
          </w:p>
        </w:tc>
        <w:tc>
          <w:tcPr>
            <w:tcW w:w="3075" w:type="dxa"/>
          </w:tcPr>
          <w:p w14:paraId="6A5A43F8" w14:textId="1D7F7DAC" w:rsidR="00A00D96" w:rsidRDefault="7B586FFD" w:rsidP="7B586FFD">
            <w:pPr>
              <w:spacing w:line="259" w:lineRule="auto"/>
              <w:jc w:val="both"/>
              <w:rPr>
                <w:rFonts w:ascii="Arial" w:eastAsia="Calibri" w:hAnsi="Arial" w:cs="Arial"/>
                <w:b/>
                <w:bCs/>
                <w:sz w:val="20"/>
                <w:szCs w:val="20"/>
              </w:rPr>
            </w:pPr>
            <w:r w:rsidRPr="7B586FFD">
              <w:rPr>
                <w:rFonts w:ascii="Arial" w:eastAsia="Calibri" w:hAnsi="Arial" w:cs="Arial"/>
                <w:b/>
                <w:bCs/>
                <w:sz w:val="20"/>
                <w:szCs w:val="20"/>
              </w:rPr>
              <w:lastRenderedPageBreak/>
              <w:t xml:space="preserve">Wyjaśnienie. </w:t>
            </w:r>
          </w:p>
          <w:p w14:paraId="0C371C93" w14:textId="77777777" w:rsidR="00D00E34" w:rsidRDefault="00D00E34" w:rsidP="00A00D96">
            <w:pPr>
              <w:spacing w:line="259" w:lineRule="auto"/>
              <w:jc w:val="both"/>
              <w:rPr>
                <w:rFonts w:ascii="Arial" w:eastAsia="Calibri" w:hAnsi="Arial" w:cs="Arial"/>
                <w:b/>
                <w:bCs/>
                <w:sz w:val="20"/>
                <w:szCs w:val="20"/>
              </w:rPr>
            </w:pPr>
          </w:p>
          <w:p w14:paraId="748AD7EB" w14:textId="7723A560" w:rsidR="00D00E34" w:rsidRDefault="7B586FFD" w:rsidP="7B586FFD">
            <w:pPr>
              <w:pStyle w:val="ZPKTzmpktartykuempunktem"/>
              <w:spacing w:line="276" w:lineRule="auto"/>
              <w:ind w:left="0" w:firstLine="0"/>
              <w:rPr>
                <w:rFonts w:ascii="Lato" w:eastAsia="Calibri" w:hAnsi="Lato"/>
                <w:sz w:val="20"/>
              </w:rPr>
            </w:pPr>
            <w:r w:rsidRPr="7B586FFD">
              <w:rPr>
                <w:rFonts w:ascii="Arial" w:eastAsia="Calibri" w:hAnsi="Arial"/>
                <w:sz w:val="20"/>
              </w:rPr>
              <w:t xml:space="preserve">Uwaga legislacyjna. </w:t>
            </w:r>
            <w:r w:rsidRPr="7B586FFD">
              <w:rPr>
                <w:rFonts w:ascii="Lato" w:eastAsia="Calibri" w:hAnsi="Lato"/>
                <w:sz w:val="20"/>
              </w:rPr>
              <w:t xml:space="preserve"> Projekt będzie analizowany pod kątem legislacyjnym podczas komisji prawniczej, co może wpłynąć na zmianę umiejscowienia przepisu.</w:t>
            </w:r>
          </w:p>
          <w:p w14:paraId="1A066467" w14:textId="77777777" w:rsidR="00D00E34" w:rsidRPr="00D00E34" w:rsidRDefault="00D00E34" w:rsidP="00A00D96">
            <w:pPr>
              <w:spacing w:line="259" w:lineRule="auto"/>
              <w:jc w:val="both"/>
              <w:rPr>
                <w:rFonts w:ascii="Arial" w:eastAsia="Calibri" w:hAnsi="Arial" w:cs="Arial"/>
                <w:sz w:val="20"/>
                <w:szCs w:val="20"/>
              </w:rPr>
            </w:pPr>
          </w:p>
        </w:tc>
      </w:tr>
      <w:tr w:rsidR="00A00D96" w:rsidRPr="00AA3A23" w14:paraId="1335B2DC" w14:textId="77777777" w:rsidTr="7B586FFD">
        <w:tc>
          <w:tcPr>
            <w:tcW w:w="763" w:type="dxa"/>
          </w:tcPr>
          <w:p w14:paraId="66DE433F" w14:textId="77777777" w:rsidR="00A00D96" w:rsidRPr="00AA3A23" w:rsidRDefault="00A00D96" w:rsidP="00A00D96">
            <w:pPr>
              <w:numPr>
                <w:ilvl w:val="0"/>
                <w:numId w:val="1"/>
              </w:numPr>
              <w:spacing w:before="120"/>
              <w:ind w:left="171" w:right="-534" w:hanging="52"/>
              <w:contextualSpacing/>
              <w:rPr>
                <w:rFonts w:ascii="Arial" w:eastAsia="Calibri" w:hAnsi="Arial" w:cs="Arial"/>
                <w:bCs/>
                <w:sz w:val="20"/>
                <w:szCs w:val="20"/>
              </w:rPr>
            </w:pPr>
          </w:p>
        </w:tc>
        <w:tc>
          <w:tcPr>
            <w:tcW w:w="1500" w:type="dxa"/>
            <w:tcBorders>
              <w:top w:val="single" w:sz="4" w:space="0" w:color="auto"/>
              <w:left w:val="single" w:sz="4" w:space="0" w:color="auto"/>
              <w:bottom w:val="single" w:sz="4" w:space="0" w:color="auto"/>
              <w:right w:val="single" w:sz="4" w:space="0" w:color="auto"/>
            </w:tcBorders>
          </w:tcPr>
          <w:p w14:paraId="77C6B0A3" w14:textId="77777777" w:rsidR="00A00D96" w:rsidRPr="00AA3A23" w:rsidRDefault="7B586FFD" w:rsidP="7B586FFD">
            <w:pPr>
              <w:spacing w:line="259" w:lineRule="auto"/>
              <w:jc w:val="center"/>
              <w:rPr>
                <w:rFonts w:ascii="Lato" w:eastAsia="Aptos" w:hAnsi="Lato" w:cs="Times New Roman"/>
                <w:sz w:val="20"/>
                <w:szCs w:val="20"/>
              </w:rPr>
            </w:pPr>
            <w:r w:rsidRPr="7B586FFD">
              <w:rPr>
                <w:rFonts w:ascii="Lato" w:eastAsia="Aptos" w:hAnsi="Lato" w:cs="Times New Roman"/>
                <w:sz w:val="20"/>
                <w:szCs w:val="20"/>
              </w:rPr>
              <w:t>Art. 4 pkt 8</w:t>
            </w:r>
          </w:p>
          <w:p w14:paraId="1C734B83" w14:textId="77777777" w:rsidR="00A00D96" w:rsidRPr="00AA3A23" w:rsidRDefault="7B586FFD" w:rsidP="7B586FFD">
            <w:pPr>
              <w:autoSpaceDE w:val="0"/>
              <w:autoSpaceDN w:val="0"/>
              <w:adjustRightInd w:val="0"/>
              <w:spacing w:line="259" w:lineRule="auto"/>
              <w:rPr>
                <w:rFonts w:ascii="Arial" w:eastAsia="Aptos" w:hAnsi="Arial" w:cs="Arial"/>
                <w:sz w:val="20"/>
                <w:szCs w:val="20"/>
              </w:rPr>
            </w:pPr>
            <w:r w:rsidRPr="7B586FFD">
              <w:rPr>
                <w:rFonts w:ascii="Lato" w:eastAsia="Aptos" w:hAnsi="Lato" w:cs="Times New Roman"/>
                <w:sz w:val="20"/>
                <w:szCs w:val="20"/>
              </w:rPr>
              <w:t>(zmiany w ustawie – Kodeks postępowania cywilnego)</w:t>
            </w:r>
          </w:p>
        </w:tc>
        <w:tc>
          <w:tcPr>
            <w:tcW w:w="1560" w:type="dxa"/>
            <w:tcBorders>
              <w:top w:val="single" w:sz="4" w:space="0" w:color="auto"/>
              <w:left w:val="single" w:sz="4" w:space="0" w:color="auto"/>
              <w:bottom w:val="single" w:sz="4" w:space="0" w:color="auto"/>
              <w:right w:val="single" w:sz="4" w:space="0" w:color="auto"/>
            </w:tcBorders>
          </w:tcPr>
          <w:p w14:paraId="0E24A275" w14:textId="77777777" w:rsidR="00A00D96" w:rsidRPr="00AA3A23" w:rsidRDefault="7B586FFD" w:rsidP="7B586FFD">
            <w:pPr>
              <w:autoSpaceDE w:val="0"/>
              <w:autoSpaceDN w:val="0"/>
              <w:adjustRightInd w:val="0"/>
              <w:spacing w:line="259" w:lineRule="auto"/>
              <w:rPr>
                <w:rFonts w:ascii="Arial" w:eastAsia="Aptos" w:hAnsi="Arial" w:cs="Arial"/>
                <w:sz w:val="20"/>
                <w:szCs w:val="20"/>
              </w:rPr>
            </w:pPr>
            <w:r w:rsidRPr="7B586FFD">
              <w:rPr>
                <w:rFonts w:ascii="Lato" w:eastAsia="Aptos" w:hAnsi="Lato" w:cs="Times New Roman"/>
                <w:sz w:val="20"/>
                <w:szCs w:val="20"/>
              </w:rPr>
              <w:t>Prezes Prokuratorii Generalnej RP</w:t>
            </w:r>
          </w:p>
        </w:tc>
        <w:tc>
          <w:tcPr>
            <w:tcW w:w="8363" w:type="dxa"/>
            <w:tcBorders>
              <w:top w:val="single" w:sz="4" w:space="0" w:color="auto"/>
              <w:left w:val="single" w:sz="4" w:space="0" w:color="auto"/>
              <w:bottom w:val="single" w:sz="4" w:space="0" w:color="auto"/>
              <w:right w:val="single" w:sz="4" w:space="0" w:color="auto"/>
            </w:tcBorders>
            <w:vAlign w:val="center"/>
          </w:tcPr>
          <w:p w14:paraId="2E790905" w14:textId="77777777" w:rsidR="00A00D96" w:rsidRPr="00AA3A23" w:rsidRDefault="7B586FFD" w:rsidP="7B586FFD">
            <w:pPr>
              <w:spacing w:line="259" w:lineRule="auto"/>
              <w:jc w:val="both"/>
              <w:rPr>
                <w:rFonts w:ascii="Lato" w:eastAsia="Aptos" w:hAnsi="Lato" w:cs="Times New Roman"/>
                <w:sz w:val="20"/>
                <w:szCs w:val="20"/>
              </w:rPr>
            </w:pPr>
            <w:r w:rsidRPr="7B586FFD">
              <w:rPr>
                <w:rFonts w:ascii="Lato" w:eastAsia="Aptos" w:hAnsi="Lato" w:cs="Times New Roman"/>
                <w:sz w:val="20"/>
                <w:szCs w:val="20"/>
              </w:rPr>
              <w:t>Proponuje się rezygnację z dodawania § 4</w:t>
            </w:r>
            <w:r w:rsidRPr="7B586FFD">
              <w:rPr>
                <w:rFonts w:ascii="Lato" w:eastAsia="Aptos" w:hAnsi="Lato" w:cs="Times New Roman"/>
                <w:sz w:val="20"/>
                <w:szCs w:val="20"/>
                <w:vertAlign w:val="superscript"/>
              </w:rPr>
              <w:t>1</w:t>
            </w:r>
            <w:r w:rsidRPr="7B586FFD">
              <w:rPr>
                <w:rFonts w:ascii="Lato" w:eastAsia="Aptos" w:hAnsi="Lato" w:cs="Times New Roman"/>
                <w:sz w:val="20"/>
                <w:szCs w:val="20"/>
              </w:rPr>
              <w:t xml:space="preserve"> w art. 485 i nadanie nowego brzmienia § 4:</w:t>
            </w:r>
          </w:p>
          <w:p w14:paraId="745BC63A" w14:textId="77777777" w:rsidR="00A00D96" w:rsidRPr="00AA3A23" w:rsidRDefault="7B586FFD" w:rsidP="7B586FFD">
            <w:pPr>
              <w:spacing w:line="259" w:lineRule="auto"/>
              <w:ind w:left="317" w:firstLine="317"/>
              <w:jc w:val="both"/>
              <w:rPr>
                <w:rFonts w:ascii="Lato" w:eastAsia="Aptos" w:hAnsi="Lato" w:cs="Times New Roman"/>
                <w:sz w:val="20"/>
                <w:szCs w:val="20"/>
              </w:rPr>
            </w:pPr>
            <w:r w:rsidRPr="7B586FFD">
              <w:rPr>
                <w:rFonts w:ascii="Lato" w:eastAsia="Aptos" w:hAnsi="Lato" w:cs="Times New Roman"/>
                <w:sz w:val="20"/>
                <w:szCs w:val="20"/>
              </w:rPr>
              <w:t>„§ 4. Jeżeli nie dołączono oryginału weksla, a w przypadku weksla w postaci elektronicznej – oryginału zaświadczenia, o którym mowa w art. 104h ustawy z dnia 28 kwietnia 1936 r. – Prawo wekslowe, oryginału czeku lub w treści pozwu nie zamieszczono oświadczenia, o którym mowa w § 2 zdanie czwarte, przewodniczący wzywa powoda do ich złożenia pod rygorem zwrotu pozwu na podstawie art. 130.”.</w:t>
            </w:r>
          </w:p>
          <w:p w14:paraId="7FD08EDC" w14:textId="77777777" w:rsidR="00A00D96" w:rsidRPr="00AA3A23" w:rsidRDefault="7B586FFD" w:rsidP="7B586FFD">
            <w:pPr>
              <w:spacing w:line="259" w:lineRule="auto"/>
              <w:jc w:val="both"/>
              <w:rPr>
                <w:rFonts w:ascii="Arial" w:eastAsia="Aptos" w:hAnsi="Arial" w:cs="Arial"/>
                <w:sz w:val="20"/>
                <w:szCs w:val="20"/>
              </w:rPr>
            </w:pPr>
            <w:r w:rsidRPr="7B586FFD">
              <w:rPr>
                <w:rFonts w:ascii="Lato" w:eastAsia="Aptos" w:hAnsi="Lato" w:cs="Times New Roman"/>
                <w:sz w:val="20"/>
                <w:szCs w:val="20"/>
              </w:rPr>
              <w:t>Takie rozwiązanie pozwoli zachować spójność regulacji co do skutków braku oryginału weksla w postaci papierowej i braku oryginału zaświadczenia, o którym mowa w art. 104h Prawa wekslowego, które ma potwierdzać prawdziwość i treść weksla w postaci elektronicznej, a więc ma to być odpowiednik oryginału weksla w postaci papierowej. W obydwu przypadkach skutkiem niezłożenia tych dokumentów powinno być wezwanie do ich złożenia pod rygorem zwrotu pozwu.</w:t>
            </w:r>
          </w:p>
        </w:tc>
        <w:tc>
          <w:tcPr>
            <w:tcW w:w="3075" w:type="dxa"/>
          </w:tcPr>
          <w:p w14:paraId="35A1D992" w14:textId="38C02343" w:rsidR="00A00D96" w:rsidRPr="00AA3A23" w:rsidRDefault="7B586FFD" w:rsidP="7B586FFD">
            <w:pPr>
              <w:spacing w:line="259" w:lineRule="auto"/>
              <w:jc w:val="both"/>
              <w:rPr>
                <w:rFonts w:ascii="Lato" w:eastAsia="Lato" w:hAnsi="Lato" w:cs="Lato"/>
                <w:b/>
                <w:bCs/>
                <w:sz w:val="20"/>
                <w:szCs w:val="20"/>
              </w:rPr>
            </w:pPr>
            <w:r w:rsidRPr="7B586FFD">
              <w:rPr>
                <w:rFonts w:ascii="Lato" w:eastAsia="Lato" w:hAnsi="Lato" w:cs="Lato"/>
                <w:b/>
                <w:bCs/>
                <w:sz w:val="20"/>
                <w:szCs w:val="20"/>
              </w:rPr>
              <w:t xml:space="preserve">Wyjaśnienie. </w:t>
            </w:r>
          </w:p>
          <w:p w14:paraId="7F058E6C" w14:textId="54F0CE0F" w:rsidR="00A00D96" w:rsidRPr="00AA3A23" w:rsidRDefault="7B586FFD" w:rsidP="7B586FFD">
            <w:pPr>
              <w:spacing w:line="259" w:lineRule="auto"/>
              <w:jc w:val="both"/>
              <w:rPr>
                <w:rFonts w:ascii="Lato" w:eastAsia="Lato" w:hAnsi="Lato" w:cs="Lato"/>
                <w:sz w:val="20"/>
                <w:szCs w:val="20"/>
              </w:rPr>
            </w:pPr>
            <w:r w:rsidRPr="7B586FFD">
              <w:rPr>
                <w:rFonts w:ascii="Lato" w:eastAsia="Lato" w:hAnsi="Lato" w:cs="Lato"/>
                <w:sz w:val="20"/>
                <w:szCs w:val="20"/>
              </w:rPr>
              <w:t>Przedmiotowe rozwiązania zostaną poddane dodatkowym analizom i procedowane w ramach odrębnego procesu legislacyjnego</w:t>
            </w:r>
          </w:p>
        </w:tc>
      </w:tr>
      <w:tr w:rsidR="00A00D96" w:rsidRPr="00AA3A23" w14:paraId="7C7C7F91" w14:textId="77777777" w:rsidTr="7B586FFD">
        <w:trPr>
          <w:trHeight w:val="1148"/>
        </w:trPr>
        <w:tc>
          <w:tcPr>
            <w:tcW w:w="763" w:type="dxa"/>
          </w:tcPr>
          <w:p w14:paraId="0E1B4B83" w14:textId="77777777" w:rsidR="00A00D96" w:rsidRPr="00AA3A23" w:rsidRDefault="00A00D96" w:rsidP="00A00D96">
            <w:pPr>
              <w:numPr>
                <w:ilvl w:val="0"/>
                <w:numId w:val="1"/>
              </w:numPr>
              <w:spacing w:before="120"/>
              <w:ind w:left="171" w:right="-534" w:hanging="52"/>
              <w:contextualSpacing/>
              <w:rPr>
                <w:rFonts w:ascii="Arial" w:eastAsia="Calibri" w:hAnsi="Arial" w:cs="Arial"/>
                <w:bCs/>
                <w:sz w:val="20"/>
                <w:szCs w:val="20"/>
              </w:rPr>
            </w:pPr>
          </w:p>
        </w:tc>
        <w:tc>
          <w:tcPr>
            <w:tcW w:w="1500" w:type="dxa"/>
          </w:tcPr>
          <w:p w14:paraId="482C8CCC" w14:textId="77777777" w:rsidR="00A00D96" w:rsidRPr="00AA3A23" w:rsidRDefault="7B586FFD" w:rsidP="7B586FFD">
            <w:pPr>
              <w:spacing w:line="259" w:lineRule="auto"/>
              <w:jc w:val="center"/>
              <w:rPr>
                <w:rFonts w:ascii="Lato" w:eastAsia="Aptos" w:hAnsi="Lato" w:cs="Times New Roman"/>
                <w:sz w:val="20"/>
                <w:szCs w:val="20"/>
              </w:rPr>
            </w:pPr>
            <w:r w:rsidRPr="7B586FFD">
              <w:rPr>
                <w:rFonts w:ascii="Lato" w:eastAsia="Aptos" w:hAnsi="Lato" w:cs="Times New Roman"/>
                <w:sz w:val="20"/>
                <w:szCs w:val="20"/>
              </w:rPr>
              <w:t>Art. 26</w:t>
            </w:r>
          </w:p>
          <w:p w14:paraId="70224E64" w14:textId="77777777" w:rsidR="00A00D96" w:rsidRPr="00AA3A23" w:rsidRDefault="7B586FFD" w:rsidP="7B586FFD">
            <w:pPr>
              <w:autoSpaceDE w:val="0"/>
              <w:autoSpaceDN w:val="0"/>
              <w:adjustRightInd w:val="0"/>
              <w:spacing w:line="259" w:lineRule="auto"/>
              <w:rPr>
                <w:rFonts w:ascii="Arial" w:eastAsia="Aptos" w:hAnsi="Arial" w:cs="Arial"/>
                <w:sz w:val="20"/>
                <w:szCs w:val="20"/>
              </w:rPr>
            </w:pPr>
            <w:r w:rsidRPr="7B586FFD">
              <w:rPr>
                <w:rFonts w:ascii="Lato" w:eastAsia="Aptos" w:hAnsi="Lato" w:cs="Times New Roman"/>
                <w:sz w:val="20"/>
                <w:szCs w:val="20"/>
              </w:rPr>
              <w:t>(zmiany ustawy o odpowiedzialności majątkowej funkcjonariuszy publicznych za rażące naruszenie)</w:t>
            </w:r>
          </w:p>
        </w:tc>
        <w:tc>
          <w:tcPr>
            <w:tcW w:w="1560" w:type="dxa"/>
          </w:tcPr>
          <w:p w14:paraId="6F263BD3" w14:textId="77777777" w:rsidR="00A00D96" w:rsidRPr="00AA3A23" w:rsidRDefault="7B586FFD" w:rsidP="7B586FFD">
            <w:pPr>
              <w:autoSpaceDE w:val="0"/>
              <w:autoSpaceDN w:val="0"/>
              <w:adjustRightInd w:val="0"/>
              <w:spacing w:line="259" w:lineRule="auto"/>
              <w:rPr>
                <w:rFonts w:ascii="Arial" w:eastAsia="Aptos" w:hAnsi="Arial" w:cs="Arial"/>
                <w:sz w:val="20"/>
                <w:szCs w:val="20"/>
              </w:rPr>
            </w:pPr>
            <w:r w:rsidRPr="7B586FFD">
              <w:rPr>
                <w:rFonts w:ascii="Lato" w:eastAsia="Aptos" w:hAnsi="Lato" w:cs="Times New Roman"/>
                <w:sz w:val="20"/>
                <w:szCs w:val="20"/>
              </w:rPr>
              <w:t>Prezes Prokuratorii Generalnej RP</w:t>
            </w:r>
          </w:p>
        </w:tc>
        <w:tc>
          <w:tcPr>
            <w:tcW w:w="8363" w:type="dxa"/>
          </w:tcPr>
          <w:p w14:paraId="28D20444" w14:textId="77777777" w:rsidR="00A00D96" w:rsidRPr="00AA3A23" w:rsidRDefault="7B586FFD" w:rsidP="7B586FFD">
            <w:pPr>
              <w:spacing w:line="259" w:lineRule="auto"/>
              <w:jc w:val="both"/>
              <w:rPr>
                <w:rFonts w:ascii="Arial" w:eastAsia="Aptos" w:hAnsi="Arial" w:cs="Arial"/>
                <w:sz w:val="20"/>
                <w:szCs w:val="20"/>
              </w:rPr>
            </w:pPr>
            <w:r w:rsidRPr="7B586FFD">
              <w:rPr>
                <w:rFonts w:ascii="Lato" w:eastAsia="Aptos" w:hAnsi="Lato" w:cs="Times New Roman"/>
                <w:sz w:val="20"/>
                <w:szCs w:val="20"/>
              </w:rPr>
              <w:t>Brzmienie zmiany zaproponowanej w art. 6 pkt 6 ustawy o odpowiedzialności majątkowej funkcjonariuszy publicznych za rażące naruszenie prawa wymaga weryfikacji, ponieważ art. 37 § 8 i art. 139a § 2 k.p.a., do których ten przepis ma odsyłać, nie odnoszą się do stwierdzania rażącego naruszenia prawa. Projektowany przepis powinien odsyłać do art. 37 § 6 pkt 1 k.p.a., zgodnie z którym organ rozpatrujący ponaglenie wydaje postanowienie, w którym wskazuje, czy organ rozpatrujący sprawę dopuścił się bezczynności lub przewlekłego prowadzenia postępowania, stwierdzając jednocześnie, czy miało ono miejsce z rażącym naruszeniem prawa, natomiast odesłanie w zakresie art. 139a k.p.a. będzie możliwe po uzupełnieniu tego przepisu (dodawanego w art. 2 pkt 10 projektu) o treść dającą podstawę do stwierdzania rażącego naruszenia prawa.</w:t>
            </w:r>
          </w:p>
        </w:tc>
        <w:tc>
          <w:tcPr>
            <w:tcW w:w="3075" w:type="dxa"/>
          </w:tcPr>
          <w:p w14:paraId="1BFA6CDD" w14:textId="77777777" w:rsidR="00A00D96" w:rsidRPr="00AA3A23" w:rsidRDefault="7B586FFD" w:rsidP="7B586FFD">
            <w:pPr>
              <w:spacing w:line="259" w:lineRule="auto"/>
              <w:jc w:val="both"/>
              <w:rPr>
                <w:rFonts w:ascii="Lato" w:eastAsia="Aptos" w:hAnsi="Lato" w:cs="Times New Roman"/>
                <w:sz w:val="20"/>
                <w:szCs w:val="20"/>
              </w:rPr>
            </w:pPr>
            <w:r w:rsidRPr="7B586FFD">
              <w:rPr>
                <w:rFonts w:ascii="Lato" w:eastAsia="Aptos" w:hAnsi="Lato" w:cs="Times New Roman"/>
                <w:b/>
                <w:bCs/>
                <w:sz w:val="20"/>
                <w:szCs w:val="20"/>
              </w:rPr>
              <w:t>Uwaga uwzględniona</w:t>
            </w:r>
            <w:r w:rsidRPr="7B586FFD">
              <w:rPr>
                <w:rFonts w:ascii="Lato" w:eastAsia="Aptos" w:hAnsi="Lato" w:cs="Times New Roman"/>
                <w:sz w:val="20"/>
                <w:szCs w:val="20"/>
              </w:rPr>
              <w:t>.</w:t>
            </w:r>
          </w:p>
          <w:p w14:paraId="36ABEBA9" w14:textId="787A96BA" w:rsidR="00A00D96" w:rsidRPr="00AA3A23" w:rsidRDefault="00A00D96" w:rsidP="7B586FFD">
            <w:pPr>
              <w:spacing w:line="259" w:lineRule="auto"/>
              <w:jc w:val="both"/>
              <w:rPr>
                <w:rFonts w:ascii="Lato" w:eastAsia="Aptos" w:hAnsi="Lato" w:cs="Times New Roman"/>
                <w:sz w:val="20"/>
                <w:szCs w:val="20"/>
              </w:rPr>
            </w:pPr>
          </w:p>
        </w:tc>
      </w:tr>
      <w:tr w:rsidR="00A00D96" w:rsidRPr="00AA3A23" w14:paraId="5E1CF19F" w14:textId="77777777" w:rsidTr="7B586FFD">
        <w:tc>
          <w:tcPr>
            <w:tcW w:w="763" w:type="dxa"/>
          </w:tcPr>
          <w:p w14:paraId="29A63F4D" w14:textId="77777777" w:rsidR="00A00D96" w:rsidRPr="00AA3A23" w:rsidRDefault="00A00D96" w:rsidP="00A00D96">
            <w:pPr>
              <w:numPr>
                <w:ilvl w:val="0"/>
                <w:numId w:val="1"/>
              </w:numPr>
              <w:spacing w:before="120"/>
              <w:ind w:left="171" w:right="-534" w:hanging="52"/>
              <w:contextualSpacing/>
              <w:rPr>
                <w:rFonts w:ascii="Arial" w:eastAsia="Calibri" w:hAnsi="Arial" w:cs="Arial"/>
                <w:bCs/>
                <w:sz w:val="20"/>
                <w:szCs w:val="20"/>
              </w:rPr>
            </w:pPr>
          </w:p>
        </w:tc>
        <w:tc>
          <w:tcPr>
            <w:tcW w:w="1500" w:type="dxa"/>
          </w:tcPr>
          <w:p w14:paraId="69D73C65" w14:textId="77777777" w:rsidR="00A00D96" w:rsidRPr="00AA3A23" w:rsidRDefault="7B586FFD" w:rsidP="7B586FFD">
            <w:pPr>
              <w:spacing w:after="120" w:line="259" w:lineRule="auto"/>
              <w:jc w:val="center"/>
              <w:rPr>
                <w:rFonts w:ascii="Lato" w:eastAsia="Aptos" w:hAnsi="Lato" w:cs="Times New Roman"/>
                <w:sz w:val="20"/>
                <w:szCs w:val="20"/>
              </w:rPr>
            </w:pPr>
            <w:bookmarkStart w:id="0" w:name="_Hlk164867209"/>
            <w:r w:rsidRPr="7B586FFD">
              <w:rPr>
                <w:rFonts w:ascii="Lato" w:eastAsia="Aptos" w:hAnsi="Lato" w:cs="Times New Roman"/>
                <w:sz w:val="20"/>
                <w:szCs w:val="20"/>
              </w:rPr>
              <w:t>Art. 27</w:t>
            </w:r>
          </w:p>
          <w:p w14:paraId="0134DD37" w14:textId="77777777" w:rsidR="00A00D96" w:rsidRPr="00AA3A23" w:rsidRDefault="7B586FFD" w:rsidP="7B586FFD">
            <w:pPr>
              <w:spacing w:after="120" w:line="259" w:lineRule="auto"/>
              <w:jc w:val="center"/>
              <w:rPr>
                <w:rFonts w:ascii="Lato" w:eastAsia="Aptos" w:hAnsi="Lato" w:cs="Times New Roman"/>
                <w:sz w:val="20"/>
                <w:szCs w:val="20"/>
              </w:rPr>
            </w:pPr>
            <w:r w:rsidRPr="7B586FFD">
              <w:rPr>
                <w:rFonts w:ascii="Lato" w:eastAsia="Aptos" w:hAnsi="Lato" w:cs="Times New Roman"/>
                <w:sz w:val="20"/>
                <w:szCs w:val="20"/>
              </w:rPr>
              <w:t xml:space="preserve">(zmiana w art. 13v ust. 2b pkt 2 ustawy z dnia 8 marca 2013 r. o przeciwdziałaniu nadmiernym </w:t>
            </w:r>
            <w:r w:rsidRPr="7B586FFD">
              <w:rPr>
                <w:rFonts w:ascii="Lato" w:eastAsia="Aptos" w:hAnsi="Lato" w:cs="Times New Roman"/>
                <w:sz w:val="20"/>
                <w:szCs w:val="20"/>
              </w:rPr>
              <w:lastRenderedPageBreak/>
              <w:t>opóźnieniom w transakcjach handlowych)</w:t>
            </w:r>
          </w:p>
          <w:bookmarkEnd w:id="0"/>
          <w:p w14:paraId="64173762" w14:textId="77777777" w:rsidR="00A00D96" w:rsidRPr="00AA3A23" w:rsidRDefault="00A00D96" w:rsidP="00A00D96">
            <w:pPr>
              <w:autoSpaceDE w:val="0"/>
              <w:autoSpaceDN w:val="0"/>
              <w:adjustRightInd w:val="0"/>
              <w:spacing w:line="259" w:lineRule="auto"/>
              <w:rPr>
                <w:rFonts w:ascii="Arial" w:eastAsia="Aptos" w:hAnsi="Arial" w:cs="Arial"/>
                <w:sz w:val="20"/>
                <w:szCs w:val="20"/>
              </w:rPr>
            </w:pPr>
          </w:p>
        </w:tc>
        <w:tc>
          <w:tcPr>
            <w:tcW w:w="1560" w:type="dxa"/>
          </w:tcPr>
          <w:p w14:paraId="69B4917A" w14:textId="77777777" w:rsidR="00A00D96" w:rsidRPr="00AA3A23" w:rsidRDefault="7B586FFD" w:rsidP="7B586FFD">
            <w:pPr>
              <w:spacing w:after="120" w:line="276" w:lineRule="auto"/>
              <w:jc w:val="center"/>
              <w:rPr>
                <w:rFonts w:ascii="Lato" w:eastAsia="Aptos" w:hAnsi="Lato" w:cs="Times New Roman"/>
                <w:sz w:val="20"/>
                <w:szCs w:val="20"/>
              </w:rPr>
            </w:pPr>
            <w:r w:rsidRPr="7B586FFD">
              <w:rPr>
                <w:rFonts w:ascii="Lato" w:eastAsia="Aptos" w:hAnsi="Lato" w:cs="Times New Roman"/>
                <w:sz w:val="20"/>
                <w:szCs w:val="20"/>
              </w:rPr>
              <w:lastRenderedPageBreak/>
              <w:t>Prezes UOKiK</w:t>
            </w:r>
          </w:p>
          <w:p w14:paraId="4F3DE9AF" w14:textId="77777777" w:rsidR="00A00D96" w:rsidRPr="00AA3A23" w:rsidRDefault="00A00D96" w:rsidP="00A00D96">
            <w:pPr>
              <w:autoSpaceDE w:val="0"/>
              <w:autoSpaceDN w:val="0"/>
              <w:adjustRightInd w:val="0"/>
              <w:spacing w:line="259" w:lineRule="auto"/>
              <w:rPr>
                <w:rFonts w:ascii="Arial" w:eastAsia="Aptos" w:hAnsi="Arial" w:cs="Arial"/>
                <w:sz w:val="20"/>
                <w:szCs w:val="20"/>
              </w:rPr>
            </w:pPr>
          </w:p>
        </w:tc>
        <w:tc>
          <w:tcPr>
            <w:tcW w:w="8363" w:type="dxa"/>
          </w:tcPr>
          <w:p w14:paraId="153ABBCA" w14:textId="77777777" w:rsidR="00A00D96" w:rsidRPr="00AA3A23" w:rsidRDefault="7B586FFD" w:rsidP="7B586FFD">
            <w:pPr>
              <w:spacing w:after="120" w:line="276" w:lineRule="auto"/>
              <w:jc w:val="both"/>
              <w:rPr>
                <w:rFonts w:ascii="Lato" w:eastAsia="Aptos" w:hAnsi="Lato" w:cs="Times New Roman"/>
                <w:sz w:val="20"/>
                <w:szCs w:val="20"/>
              </w:rPr>
            </w:pPr>
            <w:bookmarkStart w:id="1" w:name="_Hlk164867230"/>
            <w:r w:rsidRPr="7B586FFD">
              <w:rPr>
                <w:rFonts w:ascii="Lato" w:eastAsia="Aptos" w:hAnsi="Lato" w:cs="Times New Roman"/>
                <w:sz w:val="20"/>
                <w:szCs w:val="20"/>
              </w:rPr>
              <w:t xml:space="preserve">Prezes UOKiK podtrzymuje zgłoszoną uprzednio uwagę i wnosi o rezygnację z przedmiotowej zmiany. </w:t>
            </w:r>
          </w:p>
          <w:p w14:paraId="0942E65D" w14:textId="77777777" w:rsidR="00A00D96" w:rsidRPr="00AA3A23" w:rsidRDefault="7B586FFD" w:rsidP="7B586FFD">
            <w:pPr>
              <w:spacing w:after="120" w:line="276" w:lineRule="auto"/>
              <w:jc w:val="both"/>
              <w:rPr>
                <w:rFonts w:ascii="Lato" w:eastAsia="Aptos" w:hAnsi="Lato" w:cs="Times New Roman"/>
                <w:sz w:val="20"/>
                <w:szCs w:val="20"/>
              </w:rPr>
            </w:pPr>
            <w:r w:rsidRPr="7B586FFD">
              <w:rPr>
                <w:rFonts w:ascii="Lato" w:eastAsia="Aptos" w:hAnsi="Lato" w:cs="Times New Roman"/>
                <w:sz w:val="20"/>
                <w:szCs w:val="20"/>
              </w:rPr>
              <w:t xml:space="preserve">W pierwszej kolejności należy zauważyć, że Prezes UOKiK z uwagi na otwarty katalog okoliczności podnoszonych przez stronę już w obecnym stanie prawnym ma możliwość weryfikacji czy strona dopuszczająca się nadmiernego opóźnienia sama nie padała ofiarą tzw. zatoru wstecznego i na skutek tego nie była w stanie terminowo realizować swoich zobowiązań. </w:t>
            </w:r>
          </w:p>
          <w:p w14:paraId="668C372E" w14:textId="77777777" w:rsidR="00A00D96" w:rsidRPr="00AA3A23" w:rsidRDefault="7B586FFD" w:rsidP="7B586FFD">
            <w:pPr>
              <w:spacing w:after="120" w:line="276" w:lineRule="auto"/>
              <w:jc w:val="both"/>
              <w:rPr>
                <w:rFonts w:ascii="Lato" w:eastAsia="Aptos" w:hAnsi="Lato" w:cs="Times New Roman"/>
                <w:sz w:val="20"/>
                <w:szCs w:val="20"/>
              </w:rPr>
            </w:pPr>
            <w:r w:rsidRPr="7B586FFD">
              <w:rPr>
                <w:rFonts w:ascii="Lato" w:eastAsia="Aptos" w:hAnsi="Lato" w:cs="Times New Roman"/>
                <w:sz w:val="20"/>
                <w:szCs w:val="20"/>
              </w:rPr>
              <w:lastRenderedPageBreak/>
              <w:t xml:space="preserve">W tym kontekście Prezes UOKiK stanowczo podtrzymuje stanowisko, które było podstawą ostatniej nowelizacji ustawy z dnia 8 marca 2013 r. o przeciwdziałaniu nadmiernym opóźnieniom w transakcjach handlowych w zakresie zmiany modelu karania (wprowadzonej ustawą z dnia 4 listopada 2022 r. o zmianie ustawy o przeciwdziałaniu nadmiernym opóźnieniom w transakcjach handlowych oraz ustawy o finansach publicznych). Zgodnie z tym stanowiskiem, </w:t>
            </w:r>
            <w:r w:rsidRPr="7B586FFD">
              <w:rPr>
                <w:rFonts w:ascii="Lato" w:eastAsia="Aptos" w:hAnsi="Lato" w:cs="Times New Roman"/>
                <w:b/>
                <w:bCs/>
                <w:sz w:val="20"/>
                <w:szCs w:val="20"/>
              </w:rPr>
              <w:t xml:space="preserve"> </w:t>
            </w:r>
            <w:r w:rsidRPr="7B586FFD">
              <w:rPr>
                <w:rFonts w:ascii="Lato" w:eastAsia="Aptos" w:hAnsi="Lato" w:cs="Times New Roman"/>
                <w:sz w:val="20"/>
                <w:szCs w:val="20"/>
              </w:rPr>
              <w:t xml:space="preserve">w stosunku do przedsiębiorców znajdujących się w bardzo dobrej sytuacji ekonomicznej, dysponujących wolnymi środkami pieniężnymi znacznie przewyższającymi sumę świadczeń pieniężnych niespełnionych oraz spełnionych po terminie w okresie objętym postępowaniem, czy też korzystających ze swojej pozycji rynkowej i ustalających znacząco różne terminy zapłaty dotyczące sprzedaży i zakupów, okoliczność, że podmiot jest ofiarą zatorów powinna zostać uwzględniona jako przesłanka łagodząca ale nie powinna każdorazowo stanowić samoistnej podstawy do odstąpienia od nałożenia kary. Zaproponowana zmiana zmierza w istocie w kierunku przywrócenia stanu sprzed 8 grudnia 2022 r. </w:t>
            </w:r>
          </w:p>
          <w:p w14:paraId="2C2DBECC" w14:textId="77777777" w:rsidR="00A00D96" w:rsidRPr="00AA3A23" w:rsidRDefault="7B586FFD" w:rsidP="7B586FFD">
            <w:pPr>
              <w:spacing w:after="120" w:line="276" w:lineRule="auto"/>
              <w:jc w:val="both"/>
              <w:rPr>
                <w:rFonts w:ascii="Lato" w:eastAsia="Aptos" w:hAnsi="Lato" w:cs="Times New Roman"/>
                <w:sz w:val="20"/>
                <w:szCs w:val="20"/>
              </w:rPr>
            </w:pPr>
            <w:r w:rsidRPr="7B586FFD">
              <w:rPr>
                <w:rFonts w:ascii="Lato" w:eastAsia="Aptos" w:hAnsi="Lato" w:cs="Times New Roman"/>
                <w:sz w:val="20"/>
                <w:szCs w:val="20"/>
              </w:rPr>
              <w:t xml:space="preserve">Wyżej wskazane okoliczności spowodują, że dokonanie precyzyjnych ustaleń pozwalających na wydanie decyzji wymierzającej karę w oparciu o znowelizowany model karania w sposób szybki i prawidłowy nie będzie możliwe. Tym samym osłabi to skuteczność walki z zatorami płatniczymi, które wciąż są zjawiskiem powszechnym i dotkliwym dla polskiej gospodarki. Proponowane zmiany są w istocie korzystne dla podmiotów generujących zatory płatnicze, krzywdzące zaś dla MŚP dotkniętych ich skutkami ekonomicznymi. </w:t>
            </w:r>
            <w:bookmarkEnd w:id="1"/>
          </w:p>
          <w:p w14:paraId="71FD5ED7" w14:textId="77777777" w:rsidR="00A00D96" w:rsidRPr="00AA3A23" w:rsidRDefault="7B586FFD" w:rsidP="7B586FFD">
            <w:pPr>
              <w:autoSpaceDE w:val="0"/>
              <w:autoSpaceDN w:val="0"/>
              <w:adjustRightInd w:val="0"/>
              <w:spacing w:line="259" w:lineRule="auto"/>
              <w:jc w:val="both"/>
              <w:rPr>
                <w:rFonts w:ascii="Arial" w:eastAsia="Aptos" w:hAnsi="Arial" w:cs="Arial"/>
                <w:sz w:val="20"/>
                <w:szCs w:val="20"/>
              </w:rPr>
            </w:pPr>
            <w:r w:rsidRPr="7B586FFD">
              <w:rPr>
                <w:rFonts w:ascii="Lato" w:eastAsia="Aptos" w:hAnsi="Lato" w:cs="Times New Roman"/>
                <w:sz w:val="20"/>
                <w:szCs w:val="20"/>
              </w:rPr>
              <w:t xml:space="preserve">Należy również podkreślić, że projektowana regulacja nie jest poparta oceną praktycznych doświadczeń w prowadzeniu postępowania antyzatorowego po zmianach wprowadzonych ustawą z dnia 4 listopada 2022 r. o zmianie ustawy o przeciwdziałaniu nadmiernym opóźnieniom w transakcjach handlowych oraz ustawy o finansach publicznych. </w:t>
            </w:r>
          </w:p>
        </w:tc>
        <w:tc>
          <w:tcPr>
            <w:tcW w:w="3075" w:type="dxa"/>
          </w:tcPr>
          <w:p w14:paraId="5B152986" w14:textId="295FE49A" w:rsidR="00A00D96" w:rsidRPr="00AA3A23" w:rsidRDefault="7B586FFD" w:rsidP="7B586FFD">
            <w:pPr>
              <w:spacing w:line="259" w:lineRule="auto"/>
              <w:jc w:val="both"/>
              <w:rPr>
                <w:rFonts w:ascii="Arial" w:eastAsia="Calibri" w:hAnsi="Arial" w:cs="Arial"/>
                <w:b/>
                <w:bCs/>
                <w:sz w:val="20"/>
                <w:szCs w:val="20"/>
              </w:rPr>
            </w:pPr>
            <w:r w:rsidRPr="7B586FFD">
              <w:rPr>
                <w:rFonts w:ascii="Arial" w:eastAsia="Calibri" w:hAnsi="Arial" w:cs="Arial"/>
                <w:b/>
                <w:bCs/>
                <w:sz w:val="20"/>
                <w:szCs w:val="20"/>
              </w:rPr>
              <w:lastRenderedPageBreak/>
              <w:t>Uwaga nie została uwzględniona.</w:t>
            </w:r>
          </w:p>
          <w:p w14:paraId="0D95A774" w14:textId="1A073690" w:rsidR="00A00D96" w:rsidRPr="00AA3A23" w:rsidRDefault="00A00D96" w:rsidP="00A00D96">
            <w:pPr>
              <w:spacing w:line="259" w:lineRule="auto"/>
              <w:jc w:val="both"/>
              <w:rPr>
                <w:rFonts w:ascii="Arial" w:eastAsia="Calibri" w:hAnsi="Arial" w:cs="Arial"/>
                <w:sz w:val="20"/>
                <w:szCs w:val="20"/>
              </w:rPr>
            </w:pPr>
          </w:p>
          <w:p w14:paraId="642ABA2D" w14:textId="419DCCB7" w:rsidR="00A00D96" w:rsidRPr="00AA3A23" w:rsidRDefault="7B586FFD" w:rsidP="7B586FFD">
            <w:pPr>
              <w:spacing w:line="259" w:lineRule="auto"/>
              <w:jc w:val="both"/>
              <w:rPr>
                <w:rFonts w:ascii="Arial" w:eastAsia="Calibri" w:hAnsi="Arial" w:cs="Arial"/>
                <w:sz w:val="20"/>
                <w:szCs w:val="20"/>
              </w:rPr>
            </w:pPr>
            <w:r w:rsidRPr="7B586FFD">
              <w:rPr>
                <w:rFonts w:ascii="Arial" w:eastAsia="Calibri" w:hAnsi="Arial" w:cs="Arial"/>
                <w:sz w:val="20"/>
                <w:szCs w:val="20"/>
              </w:rPr>
              <w:t>MRiT podtrzymuje swoje uzasadnienie wyrażone na poprzednim etapie opiniowania projektu.</w:t>
            </w:r>
          </w:p>
          <w:p w14:paraId="1117ACF5" w14:textId="08EB7D2C" w:rsidR="00A00D96" w:rsidRPr="00AA3A23" w:rsidRDefault="7B586FFD" w:rsidP="7B586FFD">
            <w:pPr>
              <w:spacing w:line="259" w:lineRule="auto"/>
              <w:jc w:val="both"/>
              <w:rPr>
                <w:rFonts w:ascii="Arial" w:eastAsia="Calibri" w:hAnsi="Arial" w:cs="Arial"/>
                <w:sz w:val="20"/>
                <w:szCs w:val="20"/>
              </w:rPr>
            </w:pPr>
            <w:r w:rsidRPr="7B586FFD">
              <w:rPr>
                <w:rFonts w:ascii="Arial" w:eastAsia="Calibri" w:hAnsi="Arial" w:cs="Arial"/>
                <w:sz w:val="20"/>
                <w:szCs w:val="20"/>
              </w:rPr>
              <w:t xml:space="preserve">W naszej opinii doprecyzowanie przepisów poprzez wskazanie w nich wprost, że w ramach </w:t>
            </w:r>
            <w:r w:rsidRPr="7B586FFD">
              <w:rPr>
                <w:rFonts w:ascii="Arial" w:eastAsia="Calibri" w:hAnsi="Arial" w:cs="Arial"/>
                <w:sz w:val="20"/>
                <w:szCs w:val="20"/>
              </w:rPr>
              <w:lastRenderedPageBreak/>
              <w:t>okoliczności naruszenia wykazanych przez stronę będzie również brany pod uwagę związek pomiędzy opóźnieniem ze spełnieniem świadczeń pieniężnych a nie otrzymaniem świadczeń w terminie przez stronę postępowania, zwiększy pewność przedsiębiorców, że ich sytuacja zostanie uwzględniona w postępowaniu.</w:t>
            </w:r>
          </w:p>
          <w:p w14:paraId="202C49EE" w14:textId="15FA7CE9" w:rsidR="00A00D96" w:rsidRPr="00AA3A23" w:rsidRDefault="7B586FFD" w:rsidP="7B586FFD">
            <w:pPr>
              <w:spacing w:line="259" w:lineRule="auto"/>
              <w:jc w:val="both"/>
              <w:rPr>
                <w:rFonts w:ascii="Arial" w:eastAsia="Calibri" w:hAnsi="Arial" w:cs="Arial"/>
                <w:sz w:val="20"/>
                <w:szCs w:val="20"/>
              </w:rPr>
            </w:pPr>
            <w:r w:rsidRPr="7B586FFD">
              <w:rPr>
                <w:rFonts w:ascii="Arial" w:eastAsia="Calibri" w:hAnsi="Arial" w:cs="Arial"/>
                <w:sz w:val="20"/>
                <w:szCs w:val="20"/>
              </w:rPr>
              <w:t>Jednocześnie zmiana nie powinna negatywnie wpłynąć na szybkość postępowania ponieważ to strona będzie wykazywała istnienie takiego związku.</w:t>
            </w:r>
          </w:p>
        </w:tc>
      </w:tr>
      <w:tr w:rsidR="00A00D96" w:rsidRPr="00AA3A23" w14:paraId="07AD3A50" w14:textId="77777777" w:rsidTr="7B586FFD">
        <w:tc>
          <w:tcPr>
            <w:tcW w:w="763" w:type="dxa"/>
          </w:tcPr>
          <w:p w14:paraId="176E4984" w14:textId="77777777" w:rsidR="00A00D96" w:rsidRPr="00AA3A23" w:rsidRDefault="00A00D96" w:rsidP="00A00D96">
            <w:pPr>
              <w:numPr>
                <w:ilvl w:val="0"/>
                <w:numId w:val="1"/>
              </w:numPr>
              <w:spacing w:before="120"/>
              <w:ind w:left="171" w:right="-534" w:hanging="52"/>
              <w:contextualSpacing/>
              <w:rPr>
                <w:rFonts w:ascii="Arial" w:eastAsia="Calibri" w:hAnsi="Arial" w:cs="Arial"/>
                <w:bCs/>
                <w:sz w:val="20"/>
                <w:szCs w:val="20"/>
              </w:rPr>
            </w:pPr>
          </w:p>
        </w:tc>
        <w:tc>
          <w:tcPr>
            <w:tcW w:w="1500" w:type="dxa"/>
          </w:tcPr>
          <w:p w14:paraId="7D06FDE1" w14:textId="77777777" w:rsidR="00A00D96" w:rsidRPr="00AA3A23" w:rsidRDefault="7B586FFD" w:rsidP="7B586FFD">
            <w:pPr>
              <w:spacing w:after="120" w:line="259" w:lineRule="auto"/>
              <w:jc w:val="center"/>
              <w:rPr>
                <w:rFonts w:ascii="Lato" w:eastAsia="Aptos" w:hAnsi="Lato" w:cs="Times New Roman"/>
                <w:sz w:val="20"/>
                <w:szCs w:val="20"/>
              </w:rPr>
            </w:pPr>
            <w:r w:rsidRPr="7B586FFD">
              <w:rPr>
                <w:rFonts w:ascii="Lato" w:eastAsia="Aptos" w:hAnsi="Lato" w:cs="Times New Roman"/>
                <w:sz w:val="20"/>
                <w:szCs w:val="20"/>
              </w:rPr>
              <w:t>Art. 27 w zw. z art. 2 pkt 5 projektu</w:t>
            </w:r>
          </w:p>
          <w:p w14:paraId="10469208" w14:textId="77777777" w:rsidR="00A00D96" w:rsidRPr="00AA3A23" w:rsidRDefault="7B586FFD" w:rsidP="7B586FFD">
            <w:pPr>
              <w:spacing w:after="120" w:line="259" w:lineRule="auto"/>
              <w:jc w:val="center"/>
              <w:rPr>
                <w:rFonts w:ascii="Lato" w:eastAsia="Aptos" w:hAnsi="Lato" w:cs="Times New Roman"/>
                <w:sz w:val="20"/>
                <w:szCs w:val="20"/>
              </w:rPr>
            </w:pPr>
            <w:r w:rsidRPr="7B586FFD">
              <w:rPr>
                <w:rFonts w:ascii="Lato" w:eastAsia="Aptos" w:hAnsi="Lato" w:cs="Times New Roman"/>
                <w:sz w:val="20"/>
                <w:szCs w:val="20"/>
              </w:rPr>
              <w:t xml:space="preserve">(dodatkowa propozycja zmiany art. 13va w ustawie z </w:t>
            </w:r>
            <w:r w:rsidRPr="7B586FFD">
              <w:rPr>
                <w:rFonts w:ascii="Lato" w:eastAsia="Aptos" w:hAnsi="Lato" w:cs="Times New Roman"/>
                <w:sz w:val="20"/>
                <w:szCs w:val="20"/>
              </w:rPr>
              <w:lastRenderedPageBreak/>
              <w:t>dnia 8 marca 2013 r. o przeciwdziałaniu nadmiernym opóźnieniom w transakcjach handlowych)</w:t>
            </w:r>
          </w:p>
          <w:p w14:paraId="7E5D08F4" w14:textId="77777777" w:rsidR="00A00D96" w:rsidRPr="00AA3A23" w:rsidRDefault="00A00D96" w:rsidP="00A00D96">
            <w:pPr>
              <w:autoSpaceDE w:val="0"/>
              <w:autoSpaceDN w:val="0"/>
              <w:adjustRightInd w:val="0"/>
              <w:spacing w:line="259" w:lineRule="auto"/>
              <w:rPr>
                <w:rFonts w:ascii="Arial" w:eastAsia="Aptos" w:hAnsi="Arial" w:cs="Arial"/>
                <w:sz w:val="20"/>
                <w:szCs w:val="20"/>
              </w:rPr>
            </w:pPr>
          </w:p>
        </w:tc>
        <w:tc>
          <w:tcPr>
            <w:tcW w:w="1560" w:type="dxa"/>
          </w:tcPr>
          <w:p w14:paraId="522D86DB" w14:textId="77777777" w:rsidR="00A00D96" w:rsidRPr="00AA3A23" w:rsidRDefault="7B586FFD" w:rsidP="7B586FFD">
            <w:pPr>
              <w:spacing w:after="120" w:line="276" w:lineRule="auto"/>
              <w:jc w:val="center"/>
              <w:rPr>
                <w:rFonts w:ascii="Lato" w:eastAsia="Aptos" w:hAnsi="Lato" w:cs="Times New Roman"/>
                <w:sz w:val="20"/>
                <w:szCs w:val="20"/>
              </w:rPr>
            </w:pPr>
            <w:r w:rsidRPr="7B586FFD">
              <w:rPr>
                <w:rFonts w:ascii="Lato" w:eastAsia="Aptos" w:hAnsi="Lato" w:cs="Times New Roman"/>
                <w:sz w:val="20"/>
                <w:szCs w:val="20"/>
              </w:rPr>
              <w:lastRenderedPageBreak/>
              <w:t>Prezes UOKiK</w:t>
            </w:r>
          </w:p>
          <w:p w14:paraId="379B501B" w14:textId="77777777" w:rsidR="00A00D96" w:rsidRPr="00AA3A23" w:rsidRDefault="00A00D96" w:rsidP="00A00D96">
            <w:pPr>
              <w:autoSpaceDE w:val="0"/>
              <w:autoSpaceDN w:val="0"/>
              <w:adjustRightInd w:val="0"/>
              <w:spacing w:line="259" w:lineRule="auto"/>
              <w:rPr>
                <w:rFonts w:ascii="Arial" w:eastAsia="Aptos" w:hAnsi="Arial" w:cs="Arial"/>
                <w:sz w:val="20"/>
                <w:szCs w:val="20"/>
              </w:rPr>
            </w:pPr>
          </w:p>
        </w:tc>
        <w:tc>
          <w:tcPr>
            <w:tcW w:w="8363" w:type="dxa"/>
          </w:tcPr>
          <w:p w14:paraId="5C5CFFC3" w14:textId="77777777" w:rsidR="00A00D96" w:rsidRPr="00AA3A23" w:rsidRDefault="7B586FFD" w:rsidP="7B586FFD">
            <w:pPr>
              <w:autoSpaceDE w:val="0"/>
              <w:autoSpaceDN w:val="0"/>
              <w:adjustRightInd w:val="0"/>
              <w:spacing w:after="120" w:line="276" w:lineRule="auto"/>
              <w:jc w:val="both"/>
              <w:rPr>
                <w:rFonts w:ascii="Lato" w:eastAsia="Aptos" w:hAnsi="Lato" w:cs="Times New Roman"/>
                <w:sz w:val="20"/>
                <w:szCs w:val="20"/>
              </w:rPr>
            </w:pPr>
            <w:r w:rsidRPr="7B586FFD">
              <w:rPr>
                <w:rFonts w:ascii="Lato" w:eastAsia="Aptos" w:hAnsi="Lato" w:cs="Times New Roman"/>
                <w:sz w:val="20"/>
                <w:szCs w:val="20"/>
              </w:rPr>
              <w:t>Prezes UOKiK podtrzymuje zgłoszoną uprzednio uwagę.</w:t>
            </w:r>
          </w:p>
          <w:p w14:paraId="76CCC184" w14:textId="77777777" w:rsidR="00A00D96" w:rsidRPr="00AA3A23" w:rsidRDefault="7B586FFD" w:rsidP="7B586FFD">
            <w:pPr>
              <w:autoSpaceDE w:val="0"/>
              <w:autoSpaceDN w:val="0"/>
              <w:adjustRightInd w:val="0"/>
              <w:spacing w:after="120" w:line="276" w:lineRule="auto"/>
              <w:jc w:val="both"/>
              <w:rPr>
                <w:rFonts w:ascii="Lato" w:eastAsia="Aptos" w:hAnsi="Lato" w:cs="Times New Roman"/>
                <w:sz w:val="20"/>
                <w:szCs w:val="20"/>
              </w:rPr>
            </w:pPr>
            <w:r w:rsidRPr="7B586FFD">
              <w:rPr>
                <w:rFonts w:ascii="Lato" w:eastAsia="Aptos" w:hAnsi="Lato" w:cs="Times New Roman"/>
                <w:sz w:val="20"/>
                <w:szCs w:val="20"/>
              </w:rPr>
              <w:t>W związku z art. 2 pkt 5 projektu proponuje się dodać zmianę art. 13va ustawy z dnia 8 marca 2013 r. o przeciwdziałaniu nadmiernym opóźnieniom w transakcjach handlowych:</w:t>
            </w:r>
          </w:p>
          <w:p w14:paraId="2828D173" w14:textId="77777777" w:rsidR="00A00D96" w:rsidRPr="00AA3A23" w:rsidRDefault="7B586FFD" w:rsidP="7B586FFD">
            <w:pPr>
              <w:autoSpaceDE w:val="0"/>
              <w:autoSpaceDN w:val="0"/>
              <w:adjustRightInd w:val="0"/>
              <w:spacing w:after="120" w:line="276" w:lineRule="auto"/>
              <w:jc w:val="both"/>
              <w:rPr>
                <w:rFonts w:ascii="Lato" w:eastAsia="Aptos" w:hAnsi="Lato" w:cs="Times New Roman"/>
                <w:sz w:val="20"/>
                <w:szCs w:val="20"/>
              </w:rPr>
            </w:pPr>
            <w:r w:rsidRPr="7B586FFD">
              <w:rPr>
                <w:rFonts w:ascii="Lato" w:eastAsia="Aptos" w:hAnsi="Lato" w:cs="Times New Roman"/>
                <w:sz w:val="20"/>
                <w:szCs w:val="20"/>
              </w:rPr>
              <w:t>„W art. 13va dotychczasową treść oznacza się jako ust. 1 i dodaje się ust. 2 w brzmieniu:</w:t>
            </w:r>
          </w:p>
          <w:p w14:paraId="40F80337" w14:textId="77777777" w:rsidR="00A00D96" w:rsidRPr="00AA3A23" w:rsidRDefault="00A00D96" w:rsidP="7B586FFD">
            <w:pPr>
              <w:autoSpaceDE w:val="0"/>
              <w:autoSpaceDN w:val="0"/>
              <w:adjustRightInd w:val="0"/>
              <w:spacing w:after="120" w:line="276" w:lineRule="auto"/>
              <w:jc w:val="both"/>
              <w:rPr>
                <w:rFonts w:ascii="Lato" w:eastAsia="Aptos" w:hAnsi="Lato" w:cs="Times New Roman"/>
                <w:sz w:val="20"/>
                <w:szCs w:val="20"/>
              </w:rPr>
            </w:pPr>
            <w:r w:rsidRPr="00AA3A23">
              <w:rPr>
                <w:rFonts w:ascii="Lato" w:eastAsia="Aptos" w:hAnsi="Lato" w:cs="Times New Roman"/>
                <w:sz w:val="20"/>
                <w:szCs w:val="20"/>
              </w:rPr>
              <w:lastRenderedPageBreak/>
              <w:t>„2. Do doręczenia załącznika, o którym mowa w ust. 1, wymogu uzyskania zgody strony, o którym mowa w art. 109 § 3</w:t>
            </w:r>
            <w:r w:rsidRPr="00AA3A23">
              <w:rPr>
                <w:rFonts w:ascii="Lato" w:eastAsia="Aptos" w:hAnsi="Lato" w:cs="Times New Roman"/>
                <w:color w:val="333333"/>
                <w:sz w:val="20"/>
                <w:szCs w:val="20"/>
                <w:shd w:val="clear" w:color="auto" w:fill="FFFFFF"/>
              </w:rPr>
              <w:t xml:space="preserve"> u</w:t>
            </w:r>
            <w:r w:rsidRPr="00AA3A23">
              <w:rPr>
                <w:rFonts w:ascii="Lato" w:eastAsia="Aptos" w:hAnsi="Lato" w:cs="Times New Roman"/>
                <w:sz w:val="20"/>
                <w:szCs w:val="20"/>
              </w:rPr>
              <w:t>stawy z dnia 14 czerwca 1960 r. – Kodeks postępowania administracyjnego, nie stosuje się.”.</w:t>
            </w:r>
          </w:p>
          <w:p w14:paraId="05A0380A" w14:textId="77777777" w:rsidR="00A00D96" w:rsidRPr="00AA3A23" w:rsidRDefault="00A00D96" w:rsidP="7B586FFD">
            <w:pPr>
              <w:autoSpaceDE w:val="0"/>
              <w:autoSpaceDN w:val="0"/>
              <w:adjustRightInd w:val="0"/>
              <w:spacing w:line="259" w:lineRule="auto"/>
              <w:jc w:val="both"/>
              <w:rPr>
                <w:rFonts w:ascii="Arial" w:eastAsia="Aptos" w:hAnsi="Arial" w:cs="Arial"/>
                <w:sz w:val="20"/>
                <w:szCs w:val="20"/>
              </w:rPr>
            </w:pPr>
            <w:r w:rsidRPr="00AA3A23">
              <w:rPr>
                <w:rFonts w:ascii="Lato" w:eastAsia="Aptos" w:hAnsi="Lato" w:cs="Times New Roman"/>
                <w:sz w:val="20"/>
                <w:szCs w:val="20"/>
              </w:rPr>
              <w:t xml:space="preserve">Propozycja ta powodowana jest zmianą przewidzianą w projekcie w zakresie art. 109 § 3 kpa. </w:t>
            </w:r>
            <w:r w:rsidRPr="035DF224">
              <w:rPr>
                <w:rFonts w:ascii="Lato" w:eastAsia="Aptos" w:hAnsi="Lato" w:cs="Times New Roman"/>
                <w:sz w:val="20"/>
                <w:szCs w:val="20"/>
              </w:rPr>
              <w:t xml:space="preserve">Zgodnie z art. 13q ustawy z dnia 8 marca 2013 r. o przeciwdziałaniu nadmiernym opóźnieniom w transakcjach handlowych </w:t>
            </w:r>
            <w:r w:rsidRPr="00AA3A23">
              <w:rPr>
                <w:rFonts w:ascii="Lato" w:eastAsia="Aptos" w:hAnsi="Lato" w:cs="Times New Roman"/>
                <w:sz w:val="20"/>
                <w:szCs w:val="20"/>
              </w:rPr>
              <w:t xml:space="preserve">w sprawach nieuregulowanych w ustawie do postępowania stosuje się przepisy kpa. Przepis ten będzie zatem podstawą do zastosowania projektowanego art. 109 § 3 kpa do decyzji wydawanych w postaci papierowej w sprawach, o których mowa w art. 13u i art. 13v ust. 1, 7 i 11 </w:t>
            </w:r>
            <w:r w:rsidRPr="035DF224">
              <w:rPr>
                <w:rFonts w:ascii="Lato" w:eastAsia="Aptos" w:hAnsi="Lato" w:cs="Times New Roman"/>
                <w:sz w:val="20"/>
                <w:szCs w:val="20"/>
              </w:rPr>
              <w:t>ustawy z dnia 8 marca 2013 r. o przeciwdziałaniu nadmiernym opóźnieniom w transakcjach handlowych</w:t>
            </w:r>
            <w:r w:rsidRPr="00AA3A23">
              <w:rPr>
                <w:rFonts w:ascii="Lato" w:eastAsia="Aptos" w:hAnsi="Lato" w:cs="Times New Roman"/>
                <w:sz w:val="20"/>
                <w:szCs w:val="20"/>
              </w:rPr>
              <w:t>, ale wyłącznie w sytuacji, gdy strona wyrazi na piśmie albo ustnie do protokołu zgodę na doręczenie załącznika do decyzji na innym trwałym nośniku informacji. Jednakże wymóg zgody strony nie znajduje uzasadnienia w postępowaniu w sprawie nadmiernego opóźniania się ze spełnianiem świadczeń pieniężnych, ponieważ decyzje w tych sprawach wydaje się jedynie wobec profesjonalnych uczestników obrotu</w:t>
            </w:r>
            <w:r w:rsidRPr="00AA3A23">
              <w:rPr>
                <w:rFonts w:ascii="Lato" w:eastAsia="Aptos" w:hAnsi="Lato" w:cs="Times New Roman"/>
                <w:sz w:val="20"/>
                <w:szCs w:val="20"/>
                <w:shd w:val="clear" w:color="auto" w:fill="FFFFFF"/>
              </w:rPr>
              <w:t xml:space="preserve">, którzy zobowiązani są do przekazywania Prezesowi UOKiK danych (informacji), ksiąg podatkowych oraz dowodów księgowych za pomocą środków komunikacji elektronicznej lub na informatycznych nośnikach danych w postaci elektronicznej. A przy tym załączniki do ww. decyzji są bardzo obszerne.  </w:t>
            </w:r>
          </w:p>
        </w:tc>
        <w:tc>
          <w:tcPr>
            <w:tcW w:w="3075" w:type="dxa"/>
          </w:tcPr>
          <w:p w14:paraId="3DA357BB" w14:textId="13476F04" w:rsidR="00A00D96" w:rsidRPr="00AA3A23" w:rsidRDefault="7B586FFD" w:rsidP="7B586FFD">
            <w:pPr>
              <w:spacing w:line="259" w:lineRule="auto"/>
              <w:jc w:val="both"/>
              <w:rPr>
                <w:rFonts w:ascii="Arial" w:eastAsia="Calibri" w:hAnsi="Arial" w:cs="Arial"/>
                <w:b/>
                <w:bCs/>
                <w:sz w:val="20"/>
                <w:szCs w:val="20"/>
              </w:rPr>
            </w:pPr>
            <w:r w:rsidRPr="7B586FFD">
              <w:rPr>
                <w:rFonts w:ascii="Arial" w:eastAsia="Calibri" w:hAnsi="Arial" w:cs="Arial"/>
                <w:b/>
                <w:bCs/>
                <w:sz w:val="20"/>
                <w:szCs w:val="20"/>
              </w:rPr>
              <w:lastRenderedPageBreak/>
              <w:t>Uwaga nie została uwzględniona.</w:t>
            </w:r>
          </w:p>
          <w:p w14:paraId="6E92900D" w14:textId="41BAE284" w:rsidR="00A00D96" w:rsidRPr="00AA3A23" w:rsidRDefault="7B586FFD" w:rsidP="7B586FFD">
            <w:pPr>
              <w:spacing w:line="259" w:lineRule="auto"/>
              <w:jc w:val="both"/>
              <w:rPr>
                <w:rFonts w:ascii="Arial" w:eastAsia="Calibri" w:hAnsi="Arial" w:cs="Arial"/>
                <w:sz w:val="20"/>
                <w:szCs w:val="20"/>
              </w:rPr>
            </w:pPr>
            <w:r w:rsidRPr="7B586FFD">
              <w:rPr>
                <w:rFonts w:ascii="Arial" w:eastAsia="Calibri" w:hAnsi="Arial" w:cs="Arial"/>
                <w:sz w:val="20"/>
                <w:szCs w:val="20"/>
              </w:rPr>
              <w:t xml:space="preserve">MRiT podtrzymuje swoją poprzednią odpowiedź, że w naszej opinii zgoda strony jest konieczna, aby zapewnić, że dokumenty zostaną doręczone w formacie czy programie, w </w:t>
            </w:r>
            <w:r w:rsidRPr="7B586FFD">
              <w:rPr>
                <w:rFonts w:ascii="Arial" w:eastAsia="Calibri" w:hAnsi="Arial" w:cs="Arial"/>
                <w:sz w:val="20"/>
                <w:szCs w:val="20"/>
              </w:rPr>
              <w:lastRenderedPageBreak/>
              <w:t>którym będą mogły być odczytane przez stronę.</w:t>
            </w:r>
          </w:p>
        </w:tc>
      </w:tr>
      <w:tr w:rsidR="00A00D96" w:rsidRPr="00AA3A23" w14:paraId="62459844" w14:textId="77777777" w:rsidTr="7B586FFD">
        <w:tc>
          <w:tcPr>
            <w:tcW w:w="763" w:type="dxa"/>
          </w:tcPr>
          <w:p w14:paraId="1BA2BEA5" w14:textId="77777777" w:rsidR="00A00D96" w:rsidRPr="00AA3A23" w:rsidRDefault="00A00D96" w:rsidP="00A00D96">
            <w:pPr>
              <w:numPr>
                <w:ilvl w:val="0"/>
                <w:numId w:val="1"/>
              </w:numPr>
              <w:spacing w:before="120"/>
              <w:ind w:left="171" w:right="-534" w:hanging="52"/>
              <w:contextualSpacing/>
              <w:rPr>
                <w:rFonts w:ascii="Arial" w:eastAsia="Calibri" w:hAnsi="Arial" w:cs="Arial"/>
                <w:bCs/>
                <w:sz w:val="20"/>
                <w:szCs w:val="20"/>
              </w:rPr>
            </w:pPr>
          </w:p>
        </w:tc>
        <w:tc>
          <w:tcPr>
            <w:tcW w:w="1500" w:type="dxa"/>
          </w:tcPr>
          <w:p w14:paraId="4D788087" w14:textId="77777777" w:rsidR="00A00D96" w:rsidRPr="00AA3A23" w:rsidRDefault="7B586FFD" w:rsidP="7B586FFD">
            <w:pPr>
              <w:spacing w:after="120" w:line="259" w:lineRule="auto"/>
              <w:jc w:val="center"/>
              <w:rPr>
                <w:rFonts w:ascii="Lato" w:eastAsia="Calibri" w:hAnsi="Lato" w:cs="Times New Roman"/>
                <w:sz w:val="20"/>
                <w:szCs w:val="20"/>
                <w:lang w:eastAsia="pl-PL"/>
              </w:rPr>
            </w:pPr>
            <w:r w:rsidRPr="7B586FFD">
              <w:rPr>
                <w:rFonts w:ascii="Lato" w:eastAsia="Aptos" w:hAnsi="Lato" w:cs="Times New Roman"/>
                <w:sz w:val="20"/>
                <w:szCs w:val="20"/>
              </w:rPr>
              <w:t>Art. 28</w:t>
            </w:r>
          </w:p>
          <w:p w14:paraId="22E7AAEA" w14:textId="77777777" w:rsidR="00A00D96" w:rsidRPr="00AA3A23" w:rsidRDefault="7B586FFD" w:rsidP="7B586FFD">
            <w:pPr>
              <w:autoSpaceDE w:val="0"/>
              <w:autoSpaceDN w:val="0"/>
              <w:adjustRightInd w:val="0"/>
              <w:spacing w:line="259" w:lineRule="auto"/>
              <w:rPr>
                <w:rFonts w:ascii="Arial" w:eastAsia="Aptos" w:hAnsi="Arial" w:cs="Arial"/>
                <w:sz w:val="20"/>
                <w:szCs w:val="20"/>
              </w:rPr>
            </w:pPr>
            <w:r w:rsidRPr="7B586FFD">
              <w:rPr>
                <w:rFonts w:ascii="Lato" w:eastAsia="Calibri" w:hAnsi="Lato" w:cs="Times New Roman"/>
                <w:sz w:val="20"/>
                <w:szCs w:val="20"/>
                <w:lang w:eastAsia="pl-PL"/>
              </w:rPr>
              <w:t>(</w:t>
            </w:r>
            <w:r w:rsidRPr="7B586FFD">
              <w:rPr>
                <w:rFonts w:ascii="Lato" w:eastAsia="Aptos" w:hAnsi="Lato" w:cs="Times New Roman"/>
                <w:sz w:val="20"/>
                <w:szCs w:val="20"/>
              </w:rPr>
              <w:t>zmiana w art. 43c ustawy z dnia 30 maja 2014 r. o prawach konsumenta)</w:t>
            </w:r>
          </w:p>
        </w:tc>
        <w:tc>
          <w:tcPr>
            <w:tcW w:w="1560" w:type="dxa"/>
          </w:tcPr>
          <w:p w14:paraId="2C948DC1" w14:textId="77777777" w:rsidR="00A00D96" w:rsidRPr="00AA3A23" w:rsidRDefault="7B586FFD" w:rsidP="7B586FFD">
            <w:pPr>
              <w:spacing w:after="120" w:line="276" w:lineRule="auto"/>
              <w:jc w:val="center"/>
              <w:rPr>
                <w:rFonts w:ascii="Lato" w:eastAsia="Aptos" w:hAnsi="Lato" w:cs="Times New Roman"/>
                <w:sz w:val="20"/>
                <w:szCs w:val="20"/>
              </w:rPr>
            </w:pPr>
            <w:r w:rsidRPr="7B586FFD">
              <w:rPr>
                <w:rFonts w:ascii="Lato" w:eastAsia="Aptos" w:hAnsi="Lato" w:cs="Times New Roman"/>
                <w:sz w:val="20"/>
                <w:szCs w:val="20"/>
              </w:rPr>
              <w:t>Prezes UOKiK</w:t>
            </w:r>
          </w:p>
          <w:p w14:paraId="5A0EE82C" w14:textId="77777777" w:rsidR="00A00D96" w:rsidRPr="00AA3A23" w:rsidRDefault="00A00D96" w:rsidP="00A00D96">
            <w:pPr>
              <w:autoSpaceDE w:val="0"/>
              <w:autoSpaceDN w:val="0"/>
              <w:adjustRightInd w:val="0"/>
              <w:spacing w:line="259" w:lineRule="auto"/>
              <w:rPr>
                <w:rFonts w:ascii="Arial" w:eastAsia="Aptos" w:hAnsi="Arial" w:cs="Arial"/>
                <w:sz w:val="20"/>
                <w:szCs w:val="20"/>
              </w:rPr>
            </w:pPr>
          </w:p>
        </w:tc>
        <w:tc>
          <w:tcPr>
            <w:tcW w:w="8363" w:type="dxa"/>
          </w:tcPr>
          <w:p w14:paraId="08EDCFA2" w14:textId="77777777" w:rsidR="00A00D96" w:rsidRPr="00AA3A23" w:rsidRDefault="7B586FFD" w:rsidP="7B586FFD">
            <w:pPr>
              <w:spacing w:after="120" w:line="276" w:lineRule="auto"/>
              <w:jc w:val="both"/>
              <w:rPr>
                <w:rFonts w:ascii="Lato" w:eastAsia="Calibri" w:hAnsi="Lato" w:cs="Times New Roman"/>
                <w:sz w:val="20"/>
                <w:szCs w:val="20"/>
                <w:lang w:eastAsia="pl-PL"/>
              </w:rPr>
            </w:pPr>
            <w:r w:rsidRPr="7B586FFD">
              <w:rPr>
                <w:rFonts w:ascii="Lato" w:eastAsia="Calibri" w:hAnsi="Lato" w:cs="Times New Roman"/>
                <w:sz w:val="20"/>
                <w:szCs w:val="20"/>
                <w:lang w:eastAsia="pl-PL"/>
              </w:rPr>
              <w:t xml:space="preserve">Prezes UOKiK podtrzymuje zgłoszoną uprzednio uwagę i wnosi o rezygnację z przedmiotowej zmiany. </w:t>
            </w:r>
          </w:p>
          <w:p w14:paraId="26431FB1" w14:textId="77777777" w:rsidR="00A00D96" w:rsidRPr="00AA3A23" w:rsidRDefault="7B586FFD" w:rsidP="7B586FFD">
            <w:pPr>
              <w:spacing w:after="120" w:line="276" w:lineRule="auto"/>
              <w:jc w:val="both"/>
              <w:rPr>
                <w:rFonts w:ascii="Lato" w:eastAsia="Calibri" w:hAnsi="Lato" w:cs="Times New Roman"/>
                <w:sz w:val="20"/>
                <w:szCs w:val="20"/>
                <w:lang w:eastAsia="pl-PL"/>
              </w:rPr>
            </w:pPr>
            <w:r w:rsidRPr="7B586FFD">
              <w:rPr>
                <w:rFonts w:ascii="Lato" w:eastAsia="Calibri" w:hAnsi="Lato" w:cs="Times New Roman"/>
                <w:sz w:val="20"/>
                <w:szCs w:val="20"/>
                <w:lang w:eastAsia="pl-PL"/>
              </w:rPr>
              <w:t xml:space="preserve">Projekt w art. 28 przewiduje wprowadzenie zmian w ustawie z dnia 30 maja 2014 r. o prawach konsumenta (dalej „UPK”). Zgodnie z projektem w art. 43c dodaje się ust. 4 w brzmieniu: „4. </w:t>
            </w:r>
            <w:r w:rsidRPr="7B586FFD">
              <w:rPr>
                <w:rFonts w:ascii="Lato" w:eastAsia="Calibri" w:hAnsi="Lato" w:cs="Times New Roman"/>
                <w:i/>
                <w:iCs/>
                <w:sz w:val="20"/>
                <w:szCs w:val="20"/>
                <w:lang w:eastAsia="pl-PL"/>
              </w:rPr>
              <w:t>Żądanie, o którym mowa w art. 43d ust. 1, lub oświadczenia, o których mowa w art. 43e ust. 1 pkt 4 lub 5, konsument może złożyć nie później niż rok od ujawnienia braku zgodności towaru z umową</w:t>
            </w:r>
            <w:r w:rsidRPr="7B586FFD">
              <w:rPr>
                <w:rFonts w:ascii="Lato" w:eastAsia="Calibri" w:hAnsi="Lato" w:cs="Times New Roman"/>
                <w:sz w:val="20"/>
                <w:szCs w:val="20"/>
                <w:lang w:eastAsia="pl-PL"/>
              </w:rPr>
              <w:t xml:space="preserve">.”. Jak wynika z uzasadnienia, obecna regulacja zawarta w UPK nie przewiduje terminu, w jakim konsument ma zgłosić przedsiębiorcy stwierdzoną niezgodność towaru z umową, co może być uznane za </w:t>
            </w:r>
            <w:r w:rsidRPr="7B586FFD">
              <w:rPr>
                <w:rFonts w:ascii="Lato" w:eastAsia="Calibri" w:hAnsi="Lato" w:cs="Times New Roman"/>
                <w:i/>
                <w:iCs/>
                <w:sz w:val="20"/>
                <w:szCs w:val="20"/>
                <w:lang w:eastAsia="pl-PL"/>
              </w:rPr>
              <w:t>„niesprawiedliwe względem przedsiębiorcy i godzące w praktyczne aspekty pewności oraz trwałości obowiązków wynikających z umowy łączącej obie strony”.</w:t>
            </w:r>
            <w:r w:rsidRPr="7B586FFD">
              <w:rPr>
                <w:rFonts w:ascii="Lato" w:eastAsia="Calibri" w:hAnsi="Lato" w:cs="Times New Roman"/>
                <w:sz w:val="20"/>
                <w:szCs w:val="20"/>
                <w:lang w:eastAsia="pl-PL"/>
              </w:rPr>
              <w:t xml:space="preserve"> Dlatego też projektodawca proponuje, aby konsument miał 1 rok na zgłoszenie przysługujących mu uprawnień, określonych w art. 43d ust. 1 oraz w art. 43e ust. 1 pkt 4 i 5 (tj. żądania naprawy bądź wymiany towaru i złożenia oświadczenia o obniżeniu ceny albo o odstąpieniu od umowy, w przypadku gdy brak zgodności towaru z umową jest na tyle istotny, że uzasadnia obniżenie </w:t>
            </w:r>
            <w:r w:rsidRPr="7B586FFD">
              <w:rPr>
                <w:rFonts w:ascii="Lato" w:eastAsia="Calibri" w:hAnsi="Lato" w:cs="Times New Roman"/>
                <w:sz w:val="20"/>
                <w:szCs w:val="20"/>
                <w:lang w:eastAsia="pl-PL"/>
              </w:rPr>
              <w:lastRenderedPageBreak/>
              <w:t xml:space="preserve">ceny albo odstąpienie od umowy bez uprzedniego skorzystania z żądania naprawy bądź wymiany towaru, lub gdy z oświadczenia przedsiębiorcy lub okoliczności wyraźnie wynika, że nie doprowadzi on towaru do zgodności z umową w rozsądnym czasie lub bez nadmiernych niedogodności dla konsumenta). Projektodawca wskazuje jednocześnie, iż zaproponowany </w:t>
            </w:r>
            <w:r w:rsidRPr="7B586FFD">
              <w:rPr>
                <w:rFonts w:ascii="Lato" w:eastAsia="Calibri" w:hAnsi="Lato" w:cs="Times New Roman"/>
                <w:i/>
                <w:iCs/>
                <w:sz w:val="20"/>
                <w:szCs w:val="20"/>
                <w:lang w:eastAsia="pl-PL"/>
              </w:rPr>
              <w:t>„termin został ustalony analogicznie do zasad przewidzianych w art. 88 § 2 KC i gwarantuje konsumentowi odpowiednią ilość czasu, by mógł on podjąć odpowiednie kroki w zakresie ochrony przynależnych mu praw”.</w:t>
            </w:r>
          </w:p>
          <w:p w14:paraId="782398B9" w14:textId="77777777" w:rsidR="00A00D96" w:rsidRPr="00AA3A23" w:rsidRDefault="7B586FFD" w:rsidP="7B586FFD">
            <w:pPr>
              <w:spacing w:after="120" w:line="276" w:lineRule="auto"/>
              <w:jc w:val="both"/>
              <w:rPr>
                <w:rFonts w:ascii="Lato" w:eastAsia="Calibri" w:hAnsi="Lato" w:cs="Times New Roman"/>
                <w:sz w:val="20"/>
                <w:szCs w:val="20"/>
                <w:lang w:eastAsia="pl-PL"/>
              </w:rPr>
            </w:pPr>
            <w:r w:rsidRPr="7B586FFD">
              <w:rPr>
                <w:rFonts w:ascii="Lato" w:eastAsia="Calibri" w:hAnsi="Lato" w:cs="Times New Roman"/>
                <w:sz w:val="20"/>
                <w:szCs w:val="20"/>
                <w:lang w:eastAsia="pl-PL"/>
              </w:rPr>
              <w:t>W ocenie Prezesa UOKiK wprowadzenie przedmiotowego ograniczenia czasowego dla konsumentów, obniżającego poziom ich ochrony, jest niezasadne.</w:t>
            </w:r>
          </w:p>
          <w:p w14:paraId="08A6DFBB" w14:textId="77777777" w:rsidR="00A00D96" w:rsidRPr="00AA3A23" w:rsidRDefault="00A00D96" w:rsidP="7B586FFD">
            <w:pPr>
              <w:autoSpaceDE w:val="0"/>
              <w:autoSpaceDN w:val="0"/>
              <w:adjustRightInd w:val="0"/>
              <w:spacing w:after="120" w:line="276" w:lineRule="auto"/>
              <w:jc w:val="both"/>
              <w:rPr>
                <w:rFonts w:ascii="Lato" w:eastAsia="Aptos" w:hAnsi="Lato" w:cs="Times New Roman"/>
                <w:color w:val="000000" w:themeColor="text1"/>
                <w:sz w:val="20"/>
                <w:szCs w:val="20"/>
              </w:rPr>
            </w:pPr>
            <w:r w:rsidRPr="00AA3A23">
              <w:rPr>
                <w:rFonts w:ascii="Lato" w:eastAsia="Calibri" w:hAnsi="Lato" w:cs="Times New Roman"/>
                <w:sz w:val="20"/>
                <w:szCs w:val="20"/>
                <w:lang w:eastAsia="pl-PL"/>
              </w:rPr>
              <w:t>Regulacje dotyczące odpowiedzialności przedsiębiorcy z tytułu niezgodności towaru z umową w obrocie konsumenckim (B2C) zostały wprowadzone do UPK w wyniku implementacji dyrektywy 2019/771. Dyrektywa 2019/771 w art. 12 przewiduje opcję regulacyjną umożliwiającą państwom członkowskim utrzymanie lub wprowadzenie przepisów stanowiących, że w celu skorzystania z praw przysługujących konsumentowi, konsument musi poinformować sprzedawcę o braku zgodności z umową w terminie co najmniej 2 miesięcy od dnia, w którym konsument stwierdził taki brak zgodności z umową. Ustawodawca, implementując przepisy dyrektywy 2019/771 do polskiego systemu prawnego, świadomie nie skorzystał z tej opcji i nie wprowadził takiego ograniczenia celem zapewnienia polskim konsumentom wyższego poziomu ochrony (por. motyw 46 dyrektywy 2019/771</w:t>
            </w:r>
            <w:r w:rsidRPr="00AA3A23">
              <w:rPr>
                <w:rFonts w:ascii="Lato" w:eastAsia="Calibri" w:hAnsi="Lato" w:cs="Times New Roman"/>
                <w:sz w:val="20"/>
                <w:szCs w:val="20"/>
                <w:vertAlign w:val="superscript"/>
                <w:lang w:eastAsia="pl-PL"/>
              </w:rPr>
              <w:footnoteReference w:id="2"/>
            </w:r>
            <w:r w:rsidRPr="00AA3A23">
              <w:rPr>
                <w:rFonts w:ascii="Lato" w:eastAsia="Calibri" w:hAnsi="Lato" w:cs="Times New Roman"/>
                <w:sz w:val="20"/>
                <w:szCs w:val="20"/>
                <w:lang w:eastAsia="pl-PL"/>
              </w:rPr>
              <w:t xml:space="preserve">). Przyjęcie proponowanego w art. 28 projektu rozwiązania doprowadzi do obniżenia poziomu tej ochrony. Ułatwienie prowadzenia działalności gospodarczej nie może odbywać się kosztem uprawnień konsumentów, którzy są słabszą stroną umowy. Należy podkreślić, iż system ochrony konsumentów wprowadzony przez prawo konsumenckie UE opiera się na przedmiotowym założeniu. </w:t>
            </w:r>
            <w:r w:rsidRPr="00AA3A23">
              <w:rPr>
                <w:rFonts w:ascii="Lato" w:eastAsia="Aptos" w:hAnsi="Lato" w:cs="Times New Roman"/>
                <w:color w:val="000000"/>
                <w:sz w:val="20"/>
                <w:szCs w:val="20"/>
              </w:rPr>
              <w:t xml:space="preserve">System ten obejmuje szereg dyrektyw konsumenckich, w tym. min. dyrektywę 2019/771, dyrektywę 2011/83, dyrektywę 2005/29 czy dyrektywę 1993/13. </w:t>
            </w:r>
            <w:r w:rsidRPr="00AA3A23">
              <w:rPr>
                <w:rFonts w:ascii="Lato" w:eastAsia="Calibri" w:hAnsi="Lato" w:cs="Times New Roman"/>
                <w:sz w:val="20"/>
                <w:szCs w:val="20"/>
                <w:lang w:eastAsia="pl-PL"/>
              </w:rPr>
              <w:t>Podejście takie zostało utrwalone w orzecznictwie TSUE (por. wyroki: ws. połączonych od C-</w:t>
            </w:r>
            <w:r w:rsidRPr="00AA3A23">
              <w:rPr>
                <w:rFonts w:ascii="Lato" w:eastAsia="Calibri" w:hAnsi="Lato" w:cs="Times New Roman"/>
                <w:sz w:val="20"/>
                <w:szCs w:val="20"/>
                <w:lang w:eastAsia="pl-PL"/>
              </w:rPr>
              <w:lastRenderedPageBreak/>
              <w:t xml:space="preserve">240/98 do C-244/98; ws. </w:t>
            </w:r>
            <w:r w:rsidRPr="00AA3A23">
              <w:rPr>
                <w:rFonts w:ascii="Lato" w:eastAsia="Calibri" w:hAnsi="Lato" w:cs="Times New Roman"/>
                <w:sz w:val="20"/>
                <w:szCs w:val="20"/>
                <w:lang w:val="en-US" w:eastAsia="pl-PL"/>
              </w:rPr>
              <w:t xml:space="preserve">C-168/05; ws. C-137/08, ws. C-472/11, ws. C-598/15, ws. C-147/16, ws. C-110/14,  ws. </w:t>
            </w:r>
            <w:r w:rsidRPr="00AA3A23">
              <w:rPr>
                <w:rFonts w:ascii="Lato" w:eastAsia="Aptos" w:hAnsi="Lato" w:cs="Times New Roman"/>
                <w:color w:val="000000"/>
                <w:sz w:val="20"/>
                <w:szCs w:val="20"/>
                <w:lang w:val="en-US"/>
              </w:rPr>
              <w:t>C59/12, ws</w:t>
            </w:r>
            <w:r w:rsidRPr="00AA3A23">
              <w:rPr>
                <w:rFonts w:ascii="Lato" w:eastAsia="Aptos" w:hAnsi="Lato" w:cs="Times New Roman"/>
                <w:color w:val="000000"/>
                <w:sz w:val="20"/>
                <w:szCs w:val="20"/>
                <w:lang w:val="en-US"/>
              </w:rPr>
              <w:noBreakHyphen/>
              <w:t xml:space="preserve">. </w:t>
            </w:r>
            <w:r w:rsidRPr="00AA3A23">
              <w:rPr>
                <w:rFonts w:ascii="Lato" w:eastAsia="Aptos" w:hAnsi="Lato" w:cs="Times New Roman"/>
                <w:color w:val="000000"/>
                <w:sz w:val="20"/>
                <w:szCs w:val="20"/>
              </w:rPr>
              <w:t xml:space="preserve">C-105/17). </w:t>
            </w:r>
          </w:p>
          <w:p w14:paraId="04E1B96B" w14:textId="77777777" w:rsidR="00A00D96" w:rsidRPr="00AA3A23" w:rsidRDefault="7B586FFD" w:rsidP="7B586FFD">
            <w:pPr>
              <w:spacing w:after="120" w:line="276" w:lineRule="auto"/>
              <w:jc w:val="both"/>
              <w:rPr>
                <w:rFonts w:ascii="Lato" w:eastAsia="Calibri" w:hAnsi="Lato" w:cs="Times New Roman"/>
                <w:sz w:val="20"/>
                <w:szCs w:val="20"/>
                <w:lang w:eastAsia="pl-PL"/>
              </w:rPr>
            </w:pPr>
            <w:r w:rsidRPr="7B586FFD">
              <w:rPr>
                <w:rFonts w:ascii="Lato" w:eastAsia="Calibri" w:hAnsi="Lato" w:cs="Times New Roman"/>
                <w:sz w:val="20"/>
                <w:szCs w:val="20"/>
                <w:lang w:eastAsia="pl-PL"/>
              </w:rPr>
              <w:t xml:space="preserve">Jednocześnie należy wskazać, iż przepisy zawarte w KC dotyczące rękojmi w obrocie konsumenckim (B2C), w zakresie w jakim dotyczą wad nieruchomości, nie przewidują ograniczenia, jakie zostało zaproponowane w art. 28 projektu. Ustawodawca przewidział takie ograniczenie jedynie w obrocie profesjonalnym (B2B) w art. 563 KC. Przyjęcie proponowanej zmiany w art. 28 projektu wprowadziłoby zatem odmienne traktowanie konsumentów w zależności od tego, czy korzystaliby z przepisów dotyczących niezgodności towaru z umową zawartych w UPK, czy też z przepisów dotyczących rękojmi z tytułu wady nieruchomości zawartych w KC. </w:t>
            </w:r>
          </w:p>
          <w:p w14:paraId="6292DEFD" w14:textId="77777777" w:rsidR="00A00D96" w:rsidRPr="00AA3A23" w:rsidRDefault="00A00D96" w:rsidP="7B586FFD">
            <w:pPr>
              <w:spacing w:after="120" w:line="276" w:lineRule="auto"/>
              <w:jc w:val="both"/>
              <w:rPr>
                <w:rFonts w:ascii="Lato" w:eastAsia="Calibri" w:hAnsi="Lato" w:cs="Times New Roman"/>
                <w:sz w:val="20"/>
                <w:szCs w:val="20"/>
                <w:lang w:eastAsia="pl-PL"/>
              </w:rPr>
            </w:pPr>
            <w:r w:rsidRPr="00AA3A23">
              <w:rPr>
                <w:rFonts w:ascii="Lato" w:eastAsia="Calibri" w:hAnsi="Lato" w:cs="Times New Roman"/>
                <w:sz w:val="20"/>
                <w:szCs w:val="20"/>
                <w:lang w:eastAsia="pl-PL"/>
              </w:rPr>
              <w:t>Niewprowadzenie obowiązku notyfikacji braku zgodności z umową w określonym terminie zostało pozytywnie przyjęte w doktrynie jako zapewnienie odpowiedniej i należytej ochrony konsumentów w ramach transakcji sprzedaży towarów niezgodnych z umową</w:t>
            </w:r>
            <w:r w:rsidRPr="00AA3A23">
              <w:rPr>
                <w:rFonts w:ascii="Lato" w:eastAsia="Calibri" w:hAnsi="Lato" w:cs="Times New Roman"/>
                <w:sz w:val="20"/>
                <w:szCs w:val="20"/>
                <w:vertAlign w:val="superscript"/>
                <w:lang w:eastAsia="pl-PL"/>
              </w:rPr>
              <w:footnoteReference w:id="3"/>
            </w:r>
            <w:r w:rsidRPr="00AA3A23">
              <w:rPr>
                <w:rFonts w:ascii="Lato" w:eastAsia="Calibri" w:hAnsi="Lato" w:cs="Times New Roman"/>
                <w:sz w:val="20"/>
                <w:szCs w:val="20"/>
                <w:lang w:eastAsia="pl-PL"/>
              </w:rPr>
              <w:t>.</w:t>
            </w:r>
          </w:p>
          <w:p w14:paraId="378174B1" w14:textId="77777777" w:rsidR="00A00D96" w:rsidRPr="00AA3A23" w:rsidRDefault="00A00D96" w:rsidP="7B586FFD">
            <w:pPr>
              <w:spacing w:after="120" w:line="276" w:lineRule="auto"/>
              <w:jc w:val="both"/>
              <w:rPr>
                <w:rFonts w:ascii="Lato" w:eastAsia="Calibri" w:hAnsi="Lato" w:cs="Times New Roman"/>
                <w:sz w:val="20"/>
                <w:szCs w:val="20"/>
                <w:lang w:eastAsia="pl-PL"/>
              </w:rPr>
            </w:pPr>
            <w:r w:rsidRPr="00AA3A23">
              <w:rPr>
                <w:rFonts w:ascii="Lato" w:eastAsia="Calibri" w:hAnsi="Lato" w:cs="Times New Roman"/>
                <w:sz w:val="20"/>
                <w:szCs w:val="20"/>
                <w:lang w:eastAsia="pl-PL"/>
              </w:rPr>
              <w:t xml:space="preserve">Jednocześnie wprowadzenie proponowanego rozwiązania dotyczącego terminu na złożenie żądania naprawy lub wymiany towaru oraz oświadczenia o obniżeniu ceny i odstąpienia od  umowy odnosi się </w:t>
            </w:r>
            <w:r w:rsidRPr="7B586FFD">
              <w:rPr>
                <w:rFonts w:ascii="Lato" w:eastAsia="Calibri" w:hAnsi="Lato" w:cs="Times New Roman"/>
                <w:i/>
                <w:iCs/>
                <w:sz w:val="20"/>
                <w:szCs w:val="20"/>
                <w:lang w:eastAsia="pl-PL"/>
              </w:rPr>
              <w:t xml:space="preserve">de facto </w:t>
            </w:r>
            <w:r w:rsidRPr="00AA3A23">
              <w:rPr>
                <w:rFonts w:ascii="Lato" w:eastAsia="Calibri" w:hAnsi="Lato" w:cs="Times New Roman"/>
                <w:sz w:val="20"/>
                <w:szCs w:val="20"/>
                <w:lang w:eastAsia="pl-PL"/>
              </w:rPr>
              <w:t>do przedawnienia</w:t>
            </w:r>
            <w:r w:rsidRPr="7B586FFD">
              <w:rPr>
                <w:rFonts w:ascii="Lato" w:eastAsia="Calibri" w:hAnsi="Lato" w:cs="Times New Roman"/>
                <w:i/>
                <w:iCs/>
                <w:sz w:val="20"/>
                <w:szCs w:val="20"/>
                <w:lang w:eastAsia="pl-PL"/>
              </w:rPr>
              <w:t xml:space="preserve"> </w:t>
            </w:r>
            <w:r w:rsidRPr="00AA3A23">
              <w:rPr>
                <w:rFonts w:ascii="Lato" w:eastAsia="Calibri" w:hAnsi="Lato" w:cs="Times New Roman"/>
                <w:sz w:val="20"/>
                <w:szCs w:val="20"/>
                <w:lang w:eastAsia="pl-PL"/>
              </w:rPr>
              <w:t>roszczeń i utraty uprawnień konsumenckich, które już są uregulowane w przepisach i nie jest konieczne podejmowanie inicjatyw legislacyjnych w tym zakresie. Jak wynika z uzasadnienia projektu ustawy implementującej dyrektywę 2019/771</w:t>
            </w:r>
            <w:r w:rsidRPr="00AA3A23">
              <w:rPr>
                <w:rFonts w:ascii="Lato" w:eastAsia="Calibri" w:hAnsi="Lato" w:cs="Times New Roman"/>
                <w:sz w:val="20"/>
                <w:szCs w:val="20"/>
                <w:vertAlign w:val="superscript"/>
                <w:lang w:eastAsia="pl-PL"/>
              </w:rPr>
              <w:footnoteReference w:id="4"/>
            </w:r>
            <w:r w:rsidRPr="00AA3A23">
              <w:rPr>
                <w:rFonts w:ascii="Lato" w:eastAsia="Calibri" w:hAnsi="Lato" w:cs="Times New Roman"/>
                <w:sz w:val="20"/>
                <w:szCs w:val="20"/>
                <w:lang w:eastAsia="pl-PL"/>
              </w:rPr>
              <w:t xml:space="preserve">, tj. ustawy z dnia 4 listopada 2022 r. o zmianie ustawy o prawach konsumenta, ustawy – Kodeks cywilny oraz ustawy – Prawo prywatne międzynarodowe (Dz. U. poz. 2337), termin przedawnienia roszczeń konsumenckich jest określany na zasadach ogólnych (art. 118 i n. KC), które są znacznie korzystniejsze dla nabywcy, niż zawarte w KC przepisy szczególne dotyczące przedawnienia roszczeń z rękojmi (art. 568 § 2 KC). Posłużenie się ogólnymi terminami przedawnienia takich roszczeń pozwala zagwarantować odpowiedni poziom ochrony konsumenta, przyczyniając się do ograniczania wprowadzania na polski rynek towarów wadliwych, jak i do zmotywowania sprzedawców towarów do sprawnej realizacji zgłoszeń dotyczących wadliwości towaru. Równocześnie zastosowane rozwiązanie pozwala, co do zasady, zapobiec sytuacjom, w których przedłużające się próby rozstrzygnięcia żądań </w:t>
            </w:r>
            <w:r w:rsidRPr="00AA3A23">
              <w:rPr>
                <w:rFonts w:ascii="Lato" w:eastAsia="Calibri" w:hAnsi="Lato" w:cs="Times New Roman"/>
                <w:sz w:val="20"/>
                <w:szCs w:val="20"/>
                <w:lang w:eastAsia="pl-PL"/>
              </w:rPr>
              <w:lastRenderedPageBreak/>
              <w:t xml:space="preserve">konsumentów wynikających z braku zgodności towaru z umową, doprowadziłyby do upływu terminu do skutecznego dochodzenia roszczeń w postępowaniu sądowym. W wyniku nowelizacji, termin przedawnienia wszystkich roszczeń konsumenta jest obecnie jednolity, a jednocześnie w wyniku jego wydłużenia możliwe pozostaje wpłynięcie na producentów i wprowadzenie przez nich odpowiednich procedur, gwarantujących naprawy i wymiany towarów także w okresie dłuższym, aniżeli następujący bezpośrednio po dostarczeniu towaru, co przyczynia się do budowania zrównoważonej gospodarki. </w:t>
            </w:r>
          </w:p>
          <w:p w14:paraId="7C666989" w14:textId="77777777" w:rsidR="00A00D96" w:rsidRPr="00AA3A23" w:rsidRDefault="7B586FFD" w:rsidP="7B586FFD">
            <w:pPr>
              <w:spacing w:after="120" w:line="276" w:lineRule="auto"/>
              <w:jc w:val="both"/>
              <w:rPr>
                <w:rFonts w:ascii="Lato" w:eastAsia="Calibri" w:hAnsi="Lato" w:cs="Times New Roman"/>
                <w:sz w:val="20"/>
                <w:szCs w:val="20"/>
                <w:lang w:eastAsia="pl-PL"/>
              </w:rPr>
            </w:pPr>
            <w:r w:rsidRPr="7B586FFD">
              <w:rPr>
                <w:rFonts w:ascii="Lato" w:eastAsia="Calibri" w:hAnsi="Lato" w:cs="Times New Roman"/>
                <w:sz w:val="20"/>
                <w:szCs w:val="20"/>
                <w:lang w:eastAsia="pl-PL"/>
              </w:rPr>
              <w:t xml:space="preserve">Natomiast okoliczności pozwalające konsumentowi na złożenie oświadczenia o odstąpieniu od umowy albo obniżeniu ceny zostały ściśle określone w art. 43e UPK. Przepis ten wynika z transpozycji art.  13 ust. 4 dyrektywy 2019/771, która w tym zakresie ma charakter maksymalny. </w:t>
            </w:r>
          </w:p>
          <w:p w14:paraId="7FEBB8A8" w14:textId="77777777" w:rsidR="00A00D96" w:rsidRPr="00AA3A23" w:rsidRDefault="7B586FFD" w:rsidP="7B586FFD">
            <w:pPr>
              <w:autoSpaceDE w:val="0"/>
              <w:autoSpaceDN w:val="0"/>
              <w:adjustRightInd w:val="0"/>
              <w:spacing w:line="259" w:lineRule="auto"/>
              <w:jc w:val="both"/>
              <w:rPr>
                <w:rFonts w:ascii="Arial" w:eastAsia="Aptos" w:hAnsi="Arial" w:cs="Arial"/>
                <w:sz w:val="20"/>
                <w:szCs w:val="20"/>
              </w:rPr>
            </w:pPr>
            <w:r w:rsidRPr="7B586FFD">
              <w:rPr>
                <w:rFonts w:ascii="Lato" w:eastAsia="Calibri" w:hAnsi="Lato" w:cs="Times New Roman"/>
                <w:sz w:val="20"/>
                <w:szCs w:val="20"/>
                <w:lang w:eastAsia="pl-PL"/>
              </w:rPr>
              <w:t>Wprowadzenie dodatkowej regulacji dotyczącej terminu złożenia oświadczenia o odstąpieniu od umowy  albo obniżeniu ceny może zostać potraktowane jako niedopuszczalne obostrzenie możliwości korzystania z praw konsumenckich.</w:t>
            </w:r>
          </w:p>
        </w:tc>
        <w:tc>
          <w:tcPr>
            <w:tcW w:w="3075" w:type="dxa"/>
          </w:tcPr>
          <w:p w14:paraId="1F64DE77" w14:textId="6AE0CD65" w:rsidR="00A00D96" w:rsidRPr="00AA3A23" w:rsidRDefault="7B586FFD" w:rsidP="7B586FFD">
            <w:pPr>
              <w:spacing w:line="259" w:lineRule="auto"/>
              <w:jc w:val="both"/>
              <w:rPr>
                <w:rFonts w:ascii="Arial" w:eastAsia="Calibri" w:hAnsi="Arial" w:cs="Arial"/>
                <w:sz w:val="20"/>
                <w:szCs w:val="20"/>
              </w:rPr>
            </w:pPr>
            <w:r w:rsidRPr="7B586FFD">
              <w:rPr>
                <w:rFonts w:ascii="Arial" w:eastAsia="Calibri" w:hAnsi="Arial" w:cs="Arial"/>
                <w:b/>
                <w:bCs/>
                <w:sz w:val="20"/>
                <w:szCs w:val="20"/>
              </w:rPr>
              <w:lastRenderedPageBreak/>
              <w:t>Uwaga nie została uwzględniona.</w:t>
            </w:r>
          </w:p>
          <w:p w14:paraId="002D95DB" w14:textId="65DF3025" w:rsidR="00A00D96" w:rsidRPr="00AA3A23" w:rsidRDefault="00A00D96" w:rsidP="00A00D96">
            <w:pPr>
              <w:spacing w:line="259" w:lineRule="auto"/>
              <w:jc w:val="both"/>
              <w:rPr>
                <w:rFonts w:ascii="Arial" w:eastAsia="Calibri" w:hAnsi="Arial" w:cs="Arial"/>
                <w:b/>
                <w:bCs/>
                <w:sz w:val="20"/>
                <w:szCs w:val="20"/>
              </w:rPr>
            </w:pPr>
          </w:p>
          <w:p w14:paraId="11180A08" w14:textId="0880D9A6" w:rsidR="00A00D96" w:rsidRPr="00AA3A23" w:rsidRDefault="7B586FFD" w:rsidP="7B586FFD">
            <w:pPr>
              <w:spacing w:line="259" w:lineRule="auto"/>
              <w:jc w:val="both"/>
              <w:rPr>
                <w:rFonts w:ascii="Arial" w:eastAsia="Calibri" w:hAnsi="Arial" w:cs="Arial"/>
                <w:sz w:val="20"/>
                <w:szCs w:val="20"/>
              </w:rPr>
            </w:pPr>
            <w:r w:rsidRPr="7B586FFD">
              <w:rPr>
                <w:rFonts w:ascii="Arial" w:eastAsia="Calibri" w:hAnsi="Arial" w:cs="Arial"/>
                <w:sz w:val="20"/>
                <w:szCs w:val="20"/>
              </w:rPr>
              <w:t>MRiT podtrzymuje swoją ocenę o zasadności przedmiotowej zmiany. Warto zauważyć, że prawo unijne dopuszcza omawiane rozwiązanie, w tym także w formule idącej dalej niż zaproponowana przez tut. resort.</w:t>
            </w:r>
          </w:p>
        </w:tc>
      </w:tr>
      <w:tr w:rsidR="00A00D96" w:rsidRPr="00AA3A23" w14:paraId="0F940C42" w14:textId="77777777" w:rsidTr="7B586FFD">
        <w:tc>
          <w:tcPr>
            <w:tcW w:w="763" w:type="dxa"/>
          </w:tcPr>
          <w:p w14:paraId="22EF4DDC" w14:textId="77777777" w:rsidR="00A00D96" w:rsidRPr="00AA3A23" w:rsidRDefault="00A00D96" w:rsidP="00A00D96">
            <w:pPr>
              <w:numPr>
                <w:ilvl w:val="0"/>
                <w:numId w:val="1"/>
              </w:numPr>
              <w:spacing w:before="120"/>
              <w:ind w:left="171" w:right="-534" w:hanging="52"/>
              <w:contextualSpacing/>
              <w:rPr>
                <w:rFonts w:ascii="Arial" w:eastAsia="Calibri" w:hAnsi="Arial" w:cs="Arial"/>
                <w:bCs/>
                <w:sz w:val="20"/>
                <w:szCs w:val="20"/>
              </w:rPr>
            </w:pPr>
          </w:p>
        </w:tc>
        <w:tc>
          <w:tcPr>
            <w:tcW w:w="1500" w:type="dxa"/>
            <w:tcBorders>
              <w:top w:val="single" w:sz="4" w:space="0" w:color="auto"/>
              <w:left w:val="single" w:sz="4" w:space="0" w:color="auto"/>
              <w:bottom w:val="single" w:sz="4" w:space="0" w:color="auto"/>
              <w:right w:val="single" w:sz="4" w:space="0" w:color="auto"/>
            </w:tcBorders>
          </w:tcPr>
          <w:p w14:paraId="518AACA4" w14:textId="77777777" w:rsidR="00A00D96" w:rsidRPr="00AA3A23" w:rsidRDefault="7B586FFD" w:rsidP="7B586FFD">
            <w:pPr>
              <w:spacing w:after="120" w:line="276" w:lineRule="auto"/>
              <w:jc w:val="center"/>
              <w:rPr>
                <w:rFonts w:ascii="Lato" w:eastAsia="Aptos" w:hAnsi="Lato" w:cs="Times New Roman"/>
                <w:sz w:val="20"/>
                <w:szCs w:val="20"/>
              </w:rPr>
            </w:pPr>
            <w:r w:rsidRPr="7B586FFD">
              <w:rPr>
                <w:rFonts w:ascii="Lato" w:eastAsia="Aptos" w:hAnsi="Lato" w:cs="Times New Roman"/>
                <w:sz w:val="20"/>
                <w:szCs w:val="20"/>
              </w:rPr>
              <w:t>Art. 32 pkt 6</w:t>
            </w:r>
          </w:p>
          <w:p w14:paraId="500DE080" w14:textId="77777777" w:rsidR="00A00D96" w:rsidRPr="00AA3A23" w:rsidRDefault="7B586FFD" w:rsidP="7B586FFD">
            <w:pPr>
              <w:spacing w:after="120" w:line="276" w:lineRule="auto"/>
              <w:jc w:val="center"/>
              <w:rPr>
                <w:rFonts w:ascii="Lato" w:eastAsia="Aptos" w:hAnsi="Lato" w:cs="Times New Roman"/>
                <w:sz w:val="20"/>
                <w:szCs w:val="20"/>
              </w:rPr>
            </w:pPr>
            <w:r w:rsidRPr="7B586FFD">
              <w:rPr>
                <w:rFonts w:ascii="Lato" w:eastAsia="Aptos" w:hAnsi="Lato" w:cs="Times New Roman"/>
                <w:sz w:val="20"/>
                <w:szCs w:val="20"/>
              </w:rPr>
              <w:t>(zmiana w art. 55 ust. 1 pkt 1 ustawy z dnia 6 marca 2018 r. – Prawo przedsiębiorców)</w:t>
            </w:r>
          </w:p>
          <w:p w14:paraId="3F6A6EEF" w14:textId="77777777" w:rsidR="00A00D96" w:rsidRPr="00AA3A23" w:rsidRDefault="00A00D96" w:rsidP="00A00D96">
            <w:pPr>
              <w:autoSpaceDE w:val="0"/>
              <w:autoSpaceDN w:val="0"/>
              <w:adjustRightInd w:val="0"/>
              <w:spacing w:line="259" w:lineRule="auto"/>
              <w:rPr>
                <w:rFonts w:ascii="Arial" w:eastAsia="Aptos" w:hAnsi="Arial" w:cs="Arial"/>
                <w:sz w:val="20"/>
                <w:szCs w:val="20"/>
              </w:rPr>
            </w:pPr>
          </w:p>
        </w:tc>
        <w:tc>
          <w:tcPr>
            <w:tcW w:w="1560" w:type="dxa"/>
            <w:tcBorders>
              <w:top w:val="single" w:sz="4" w:space="0" w:color="auto"/>
              <w:left w:val="single" w:sz="4" w:space="0" w:color="auto"/>
              <w:bottom w:val="single" w:sz="4" w:space="0" w:color="auto"/>
              <w:right w:val="single" w:sz="4" w:space="0" w:color="auto"/>
            </w:tcBorders>
          </w:tcPr>
          <w:p w14:paraId="712E97E5" w14:textId="77777777" w:rsidR="00A00D96" w:rsidRPr="00AA3A23" w:rsidRDefault="7B586FFD" w:rsidP="7B586FFD">
            <w:pPr>
              <w:autoSpaceDE w:val="0"/>
              <w:autoSpaceDN w:val="0"/>
              <w:adjustRightInd w:val="0"/>
              <w:spacing w:line="259" w:lineRule="auto"/>
              <w:rPr>
                <w:rFonts w:ascii="Arial" w:eastAsia="Aptos" w:hAnsi="Arial" w:cs="Arial"/>
                <w:sz w:val="20"/>
                <w:szCs w:val="20"/>
              </w:rPr>
            </w:pPr>
            <w:r w:rsidRPr="7B586FFD">
              <w:rPr>
                <w:rFonts w:ascii="Lato" w:eastAsia="Aptos" w:hAnsi="Lato" w:cs="Times New Roman"/>
                <w:sz w:val="20"/>
                <w:szCs w:val="20"/>
              </w:rPr>
              <w:t>Prezes UOKiK</w:t>
            </w:r>
          </w:p>
        </w:tc>
        <w:tc>
          <w:tcPr>
            <w:tcW w:w="8363" w:type="dxa"/>
            <w:tcBorders>
              <w:top w:val="single" w:sz="4" w:space="0" w:color="auto"/>
              <w:left w:val="single" w:sz="4" w:space="0" w:color="auto"/>
              <w:bottom w:val="single" w:sz="4" w:space="0" w:color="auto"/>
              <w:right w:val="single" w:sz="4" w:space="0" w:color="auto"/>
            </w:tcBorders>
          </w:tcPr>
          <w:p w14:paraId="23861A90" w14:textId="77777777" w:rsidR="00A00D96" w:rsidRPr="00AA3A23" w:rsidRDefault="7B586FFD" w:rsidP="7B586FFD">
            <w:pPr>
              <w:spacing w:after="120" w:line="259" w:lineRule="auto"/>
              <w:jc w:val="both"/>
              <w:rPr>
                <w:rFonts w:ascii="Lato" w:eastAsia="Aptos" w:hAnsi="Lato" w:cs="Times New Roman"/>
                <w:sz w:val="20"/>
                <w:szCs w:val="20"/>
              </w:rPr>
            </w:pPr>
            <w:r w:rsidRPr="7B586FFD">
              <w:rPr>
                <w:rFonts w:ascii="Lato" w:eastAsia="Aptos" w:hAnsi="Lato" w:cs="Times New Roman"/>
                <w:sz w:val="20"/>
                <w:szCs w:val="20"/>
              </w:rPr>
              <w:t>Prezes UOKiK podtrzymuje negatywne stanowisko dotyczące skrócenia czasu kontroli u mikroprzedsiębiorców w jednym roku kalendarzowym z 12 do 6 dni roboczych.</w:t>
            </w:r>
          </w:p>
          <w:p w14:paraId="6AB5CF37" w14:textId="77777777" w:rsidR="00A00D96" w:rsidRPr="00AA3A23" w:rsidRDefault="7B586FFD" w:rsidP="7B586FFD">
            <w:pPr>
              <w:spacing w:after="120" w:line="276" w:lineRule="auto"/>
              <w:jc w:val="both"/>
              <w:rPr>
                <w:rFonts w:ascii="Lato" w:eastAsia="Aptos" w:hAnsi="Lato" w:cs="Times New Roman"/>
                <w:sz w:val="20"/>
                <w:szCs w:val="20"/>
              </w:rPr>
            </w:pPr>
            <w:r w:rsidRPr="7B586FFD">
              <w:rPr>
                <w:rFonts w:ascii="Lato" w:eastAsia="Aptos" w:hAnsi="Lato" w:cs="Times New Roman"/>
                <w:sz w:val="20"/>
                <w:szCs w:val="20"/>
              </w:rPr>
              <w:t>W ocenie Prezesa UOKiK, skrócenie limitu czasu kontroli u mikroprzedsiębiorców do 6 dni jest nieuzasadnione, a konsekwencją takiej zmiany może być brak możliwości realizacji zadań przez Inspekcję Handlową wobec tej kategorii przedsiębiorców, których działalność również powinna być efektywnie kontrolowana, m.in. w celu zapewnienia odpowiedniego poziomu ochrony konsumentów.</w:t>
            </w:r>
          </w:p>
          <w:p w14:paraId="5BDB6711" w14:textId="77777777" w:rsidR="00A00D96" w:rsidRPr="00AA3A23" w:rsidRDefault="7B586FFD" w:rsidP="7B586FFD">
            <w:pPr>
              <w:spacing w:after="120" w:line="276" w:lineRule="auto"/>
              <w:jc w:val="both"/>
              <w:rPr>
                <w:rFonts w:ascii="Lato" w:eastAsia="Aptos" w:hAnsi="Lato" w:cs="Times New Roman"/>
                <w:sz w:val="20"/>
                <w:szCs w:val="20"/>
              </w:rPr>
            </w:pPr>
            <w:r w:rsidRPr="7B586FFD">
              <w:rPr>
                <w:rFonts w:ascii="Lato" w:eastAsia="Aptos" w:hAnsi="Lato" w:cs="Times New Roman"/>
                <w:sz w:val="20"/>
                <w:szCs w:val="20"/>
              </w:rPr>
              <w:t>Uzasadnienie do projektu nie wyjaśnia, czym podyktowana jest tak daleko idąca zmiana i ogranicza się do przytoczenia orzecznictwa sądów i nieprawidłowego (wg projektodawcy) interpretowania dotychczasowych przepisów przez organy kontroli. W ocenie Prezesa UOKiK, aby wyeliminować błędną praktykę organów wystarczające jest określenie w ustawie – Prawo przedsiębiorców, że 12 dni roboczych to łączny czas kontroli niezależnie od miejsca prowadzenia działań kontrolnych.</w:t>
            </w:r>
          </w:p>
          <w:p w14:paraId="0B0DDB35" w14:textId="77777777" w:rsidR="00A00D96" w:rsidRPr="00AA3A23" w:rsidRDefault="7B586FFD" w:rsidP="7B586FFD">
            <w:pPr>
              <w:spacing w:after="120" w:line="276" w:lineRule="auto"/>
              <w:jc w:val="both"/>
              <w:rPr>
                <w:rFonts w:ascii="Lato" w:eastAsia="Aptos" w:hAnsi="Lato" w:cs="Times New Roman"/>
                <w:sz w:val="20"/>
                <w:szCs w:val="20"/>
              </w:rPr>
            </w:pPr>
            <w:r w:rsidRPr="7B586FFD">
              <w:rPr>
                <w:rFonts w:ascii="Lato" w:eastAsia="Aptos" w:hAnsi="Lato" w:cs="Times New Roman"/>
                <w:sz w:val="20"/>
                <w:szCs w:val="20"/>
              </w:rPr>
              <w:t xml:space="preserve">Dodatkowo, w odniesieniu do zadań realizowanych przez Inspekcję Handlową, należy podnieść, że np. w przypadku przeprowadzenia w danym roku kalendarzowym kontroli planowej niemożliwe (z powodu wyczerpania limitu czasu kontroli) może okazać się </w:t>
            </w:r>
            <w:r w:rsidRPr="7B586FFD">
              <w:rPr>
                <w:rFonts w:ascii="Lato" w:eastAsia="Aptos" w:hAnsi="Lato" w:cs="Times New Roman"/>
                <w:sz w:val="20"/>
                <w:szCs w:val="20"/>
              </w:rPr>
              <w:lastRenderedPageBreak/>
              <w:t>przeprowadzenie kontroli na skutek skarg, z których nie będzie wynikało bezpośrednie zagrożenie dla życia, zdrowia i środowiska ani możliwość popełnienia przestępstwa lub wykroczenia. Jeżeli Inspekcja Handlowa poweźmie podejrzenie popełnienia deliktu administracyjnego, nie będzie mogła w takim przypadku podjąć działań w celu zweryfikowania takiej skargi. Zaproponowane rozwiązanie jest także niekorzystne dla przedsiębiorców, gdyż w przypadku kontroli prowadzonych bez zawiadomienia organ będzie zmuszony do wyznaczenia im bardzo krótkiego terminu na zgromadzenie i przygotowanie dokumentów niezbędnych dla celów kontroli.</w:t>
            </w:r>
          </w:p>
          <w:p w14:paraId="2D9F468A" w14:textId="77777777" w:rsidR="00A00D96" w:rsidRPr="00AA3A23" w:rsidRDefault="7B586FFD" w:rsidP="7B586FFD">
            <w:pPr>
              <w:autoSpaceDE w:val="0"/>
              <w:autoSpaceDN w:val="0"/>
              <w:adjustRightInd w:val="0"/>
              <w:spacing w:line="259" w:lineRule="auto"/>
              <w:jc w:val="both"/>
              <w:rPr>
                <w:rFonts w:ascii="Arial" w:eastAsia="Aptos" w:hAnsi="Arial" w:cs="Arial"/>
                <w:sz w:val="20"/>
                <w:szCs w:val="20"/>
              </w:rPr>
            </w:pPr>
            <w:r w:rsidRPr="7B586FFD">
              <w:rPr>
                <w:rFonts w:ascii="Lato" w:eastAsia="Aptos" w:hAnsi="Lato" w:cs="Times New Roman"/>
                <w:sz w:val="20"/>
                <w:szCs w:val="20"/>
              </w:rPr>
              <w:t>Przy tym, mając na uwadze podnoszoną przez projektodawcę potrzebę zmniejszenia obciążeń regulacyjnych mikroprzedsiębiorców, Prezes UOKiK proponuje skrócenie łącznego czasu kontroli u mikroprzedsiębiorców do 10 dni roboczych, co zapewni jednocześnie efektywność prowadzonych kontroli.</w:t>
            </w:r>
          </w:p>
        </w:tc>
        <w:tc>
          <w:tcPr>
            <w:tcW w:w="3075" w:type="dxa"/>
          </w:tcPr>
          <w:p w14:paraId="3C603672" w14:textId="5F762744" w:rsidR="00A00D96" w:rsidRPr="00AA3A23" w:rsidRDefault="7B586FFD" w:rsidP="7B586FFD">
            <w:pPr>
              <w:spacing w:line="259" w:lineRule="auto"/>
              <w:jc w:val="both"/>
              <w:rPr>
                <w:rFonts w:ascii="Arial" w:eastAsia="Calibri" w:hAnsi="Arial" w:cs="Arial"/>
                <w:b/>
                <w:bCs/>
                <w:sz w:val="20"/>
                <w:szCs w:val="20"/>
              </w:rPr>
            </w:pPr>
            <w:r w:rsidRPr="7B586FFD">
              <w:rPr>
                <w:rFonts w:ascii="Arial" w:eastAsia="Calibri" w:hAnsi="Arial" w:cs="Arial"/>
                <w:b/>
                <w:bCs/>
                <w:sz w:val="20"/>
                <w:szCs w:val="20"/>
              </w:rPr>
              <w:lastRenderedPageBreak/>
              <w:t>Uwaga nie została uwzględniona.</w:t>
            </w:r>
          </w:p>
          <w:p w14:paraId="43F42101" w14:textId="55EC7A76" w:rsidR="00A00D96" w:rsidRPr="00AA3A23" w:rsidRDefault="7B586FFD" w:rsidP="7B586FFD">
            <w:pPr>
              <w:spacing w:line="259" w:lineRule="auto"/>
              <w:jc w:val="both"/>
              <w:rPr>
                <w:rFonts w:ascii="Arial" w:eastAsia="Calibri" w:hAnsi="Arial" w:cs="Arial"/>
                <w:sz w:val="20"/>
                <w:szCs w:val="20"/>
              </w:rPr>
            </w:pPr>
            <w:r w:rsidRPr="7B586FFD">
              <w:rPr>
                <w:rFonts w:ascii="Arial" w:eastAsia="Calibri" w:hAnsi="Arial" w:cs="Arial"/>
                <w:sz w:val="20"/>
                <w:szCs w:val="20"/>
              </w:rPr>
              <w:t xml:space="preserve">Propozycja dot. uregulowania w ustawie reguł liczenia czasu trwania kontroli nie poprawi sytuacji mikroprzedsiębiorców, MRiT stoi bowiem na stanowisku, że już na gruncie obecnych przepisów czas trwania kontroli liczy się tak, jak to wskazał Prezes UOKiK w treści uwagi. Realnym natomiast sposobem poprawy sytuacji mikroprzedsiębiorców jest skrócenie czasu trwania kontroli z 12 dni do 6 dni. Proponowane w treści uwagi skrócenie o 2 dni byłoby ledwo zauważalne przez mikroprzedsiębiorców i nie poprawiłoby wydatnie ich </w:t>
            </w:r>
            <w:r w:rsidRPr="7B586FFD">
              <w:rPr>
                <w:rFonts w:ascii="Arial" w:eastAsia="Calibri" w:hAnsi="Arial" w:cs="Arial"/>
                <w:sz w:val="20"/>
                <w:szCs w:val="20"/>
              </w:rPr>
              <w:lastRenderedPageBreak/>
              <w:t>sytuacji. Zdaniem MRiT krótsze kontrole u mikroprzedsiębiorców mogą niektórym z nich pomóc rozwinąć swoją działalność i urosnąć co najmniej do rozmiaru małego przedsiębiorcy.</w:t>
            </w:r>
          </w:p>
          <w:p w14:paraId="5261DE25" w14:textId="3B43B9BB" w:rsidR="00A00D96" w:rsidRPr="00AA3A23" w:rsidRDefault="7B586FFD" w:rsidP="7B586FFD">
            <w:pPr>
              <w:spacing w:line="259" w:lineRule="auto"/>
              <w:jc w:val="both"/>
              <w:rPr>
                <w:rFonts w:ascii="Arial" w:eastAsia="Calibri" w:hAnsi="Arial" w:cs="Arial"/>
                <w:sz w:val="20"/>
                <w:szCs w:val="20"/>
              </w:rPr>
            </w:pPr>
            <w:r w:rsidRPr="7B586FFD">
              <w:rPr>
                <w:rFonts w:ascii="Arial" w:eastAsia="Calibri" w:hAnsi="Arial" w:cs="Arial"/>
                <w:sz w:val="20"/>
                <w:szCs w:val="20"/>
              </w:rPr>
              <w:t>Ponownie należy wskazać, że resort realizuje obietnicę ogłoszoną przez Szefa Rządu.</w:t>
            </w:r>
          </w:p>
        </w:tc>
      </w:tr>
      <w:tr w:rsidR="00A00D96" w:rsidRPr="00AA3A23" w14:paraId="3E9EFE29" w14:textId="77777777" w:rsidTr="7B586FFD">
        <w:tc>
          <w:tcPr>
            <w:tcW w:w="763" w:type="dxa"/>
          </w:tcPr>
          <w:p w14:paraId="3DA6F926" w14:textId="77777777" w:rsidR="00A00D96" w:rsidRPr="00AA3A23" w:rsidRDefault="00A00D96" w:rsidP="00A00D96">
            <w:pPr>
              <w:numPr>
                <w:ilvl w:val="0"/>
                <w:numId w:val="1"/>
              </w:numPr>
              <w:spacing w:before="120"/>
              <w:ind w:left="171" w:right="-534" w:hanging="52"/>
              <w:contextualSpacing/>
              <w:rPr>
                <w:rFonts w:ascii="Arial" w:eastAsia="Calibri" w:hAnsi="Arial" w:cs="Arial"/>
                <w:bCs/>
                <w:sz w:val="20"/>
                <w:szCs w:val="20"/>
              </w:rPr>
            </w:pPr>
          </w:p>
        </w:tc>
        <w:tc>
          <w:tcPr>
            <w:tcW w:w="1500" w:type="dxa"/>
            <w:tcBorders>
              <w:top w:val="single" w:sz="4" w:space="0" w:color="auto"/>
              <w:left w:val="single" w:sz="4" w:space="0" w:color="auto"/>
              <w:bottom w:val="single" w:sz="4" w:space="0" w:color="auto"/>
              <w:right w:val="single" w:sz="4" w:space="0" w:color="auto"/>
            </w:tcBorders>
          </w:tcPr>
          <w:p w14:paraId="49B0F0FC" w14:textId="77777777" w:rsidR="00A00D96" w:rsidRPr="00AA3A23" w:rsidRDefault="7B586FFD" w:rsidP="7B586FFD">
            <w:pPr>
              <w:spacing w:line="259" w:lineRule="auto"/>
              <w:jc w:val="center"/>
              <w:rPr>
                <w:rFonts w:ascii="Lato" w:eastAsia="Aptos" w:hAnsi="Lato" w:cs="Times New Roman"/>
                <w:sz w:val="20"/>
                <w:szCs w:val="20"/>
              </w:rPr>
            </w:pPr>
            <w:r w:rsidRPr="7B586FFD">
              <w:rPr>
                <w:rFonts w:ascii="Lato" w:eastAsia="Aptos" w:hAnsi="Lato" w:cs="Times New Roman"/>
                <w:sz w:val="20"/>
                <w:szCs w:val="20"/>
              </w:rPr>
              <w:t>Art. 32 pkt 7</w:t>
            </w:r>
          </w:p>
          <w:p w14:paraId="2419C6A5" w14:textId="77777777" w:rsidR="00A00D96" w:rsidRPr="00AA3A23" w:rsidRDefault="7B586FFD" w:rsidP="7B586FFD">
            <w:pPr>
              <w:spacing w:line="259" w:lineRule="auto"/>
              <w:rPr>
                <w:rFonts w:ascii="Arial" w:eastAsia="Aptos" w:hAnsi="Arial" w:cs="Arial"/>
                <w:sz w:val="20"/>
                <w:szCs w:val="20"/>
              </w:rPr>
            </w:pPr>
            <w:r w:rsidRPr="7B586FFD">
              <w:rPr>
                <w:rFonts w:ascii="Lato" w:eastAsia="Aptos" w:hAnsi="Lato" w:cs="Times New Roman"/>
                <w:sz w:val="20"/>
                <w:szCs w:val="20"/>
              </w:rPr>
              <w:t>(art. 55a ust. 2 ustawy z dnia 6 marca 2018 r. – Prawo przedsiębiorców)</w:t>
            </w:r>
          </w:p>
        </w:tc>
        <w:tc>
          <w:tcPr>
            <w:tcW w:w="1560" w:type="dxa"/>
            <w:tcBorders>
              <w:top w:val="single" w:sz="4" w:space="0" w:color="auto"/>
              <w:left w:val="single" w:sz="4" w:space="0" w:color="auto"/>
              <w:bottom w:val="single" w:sz="4" w:space="0" w:color="auto"/>
              <w:right w:val="single" w:sz="4" w:space="0" w:color="auto"/>
            </w:tcBorders>
          </w:tcPr>
          <w:p w14:paraId="0BE66C48" w14:textId="77777777" w:rsidR="00A00D96" w:rsidRPr="00AA3A23" w:rsidRDefault="7B586FFD" w:rsidP="7B586FFD">
            <w:pPr>
              <w:spacing w:after="120" w:line="276" w:lineRule="auto"/>
              <w:jc w:val="center"/>
              <w:rPr>
                <w:rFonts w:ascii="Lato" w:eastAsia="Aptos" w:hAnsi="Lato" w:cs="Times New Roman"/>
                <w:sz w:val="20"/>
                <w:szCs w:val="20"/>
              </w:rPr>
            </w:pPr>
            <w:r w:rsidRPr="7B586FFD">
              <w:rPr>
                <w:rFonts w:ascii="Lato" w:eastAsia="Aptos" w:hAnsi="Lato" w:cs="Times New Roman"/>
                <w:sz w:val="20"/>
                <w:szCs w:val="20"/>
              </w:rPr>
              <w:t>Prezes UOKiK</w:t>
            </w:r>
          </w:p>
          <w:p w14:paraId="21D4AC72" w14:textId="77777777" w:rsidR="00A00D96" w:rsidRPr="00AA3A23" w:rsidRDefault="00A00D96" w:rsidP="00A00D96">
            <w:pPr>
              <w:autoSpaceDE w:val="0"/>
              <w:autoSpaceDN w:val="0"/>
              <w:adjustRightInd w:val="0"/>
              <w:spacing w:line="259" w:lineRule="auto"/>
              <w:rPr>
                <w:rFonts w:ascii="Arial" w:eastAsia="Aptos" w:hAnsi="Arial" w:cs="Arial"/>
                <w:sz w:val="20"/>
                <w:szCs w:val="20"/>
              </w:rPr>
            </w:pPr>
          </w:p>
        </w:tc>
        <w:tc>
          <w:tcPr>
            <w:tcW w:w="8363" w:type="dxa"/>
            <w:tcBorders>
              <w:top w:val="single" w:sz="4" w:space="0" w:color="auto"/>
              <w:left w:val="single" w:sz="4" w:space="0" w:color="auto"/>
              <w:bottom w:val="single" w:sz="4" w:space="0" w:color="auto"/>
              <w:right w:val="single" w:sz="4" w:space="0" w:color="auto"/>
            </w:tcBorders>
          </w:tcPr>
          <w:p w14:paraId="76E86448" w14:textId="77777777" w:rsidR="00A00D96" w:rsidRPr="00AA3A23" w:rsidRDefault="7B586FFD" w:rsidP="7B586FFD">
            <w:pPr>
              <w:spacing w:after="120" w:line="259" w:lineRule="auto"/>
              <w:jc w:val="both"/>
              <w:rPr>
                <w:rFonts w:ascii="Lato" w:eastAsia="Aptos" w:hAnsi="Lato" w:cs="Times New Roman"/>
                <w:sz w:val="20"/>
                <w:szCs w:val="20"/>
              </w:rPr>
            </w:pPr>
            <w:r w:rsidRPr="7B586FFD">
              <w:rPr>
                <w:rFonts w:ascii="Lato" w:eastAsia="Aptos" w:hAnsi="Lato" w:cs="Times New Roman"/>
                <w:sz w:val="20"/>
                <w:szCs w:val="20"/>
              </w:rPr>
              <w:t>Prezes UOKiK wnosi o zmianę brzmienia projektowanego art. 55a ust. 2.</w:t>
            </w:r>
          </w:p>
          <w:p w14:paraId="4C5C1A50" w14:textId="77777777" w:rsidR="00A00D96" w:rsidRPr="00AA3A23" w:rsidRDefault="7B586FFD" w:rsidP="7B586FFD">
            <w:pPr>
              <w:spacing w:after="120" w:line="259" w:lineRule="auto"/>
              <w:jc w:val="both"/>
              <w:rPr>
                <w:rFonts w:ascii="Lato" w:eastAsia="Aptos" w:hAnsi="Lato" w:cs="Times New Roman"/>
                <w:b/>
                <w:bCs/>
                <w:sz w:val="20"/>
                <w:szCs w:val="20"/>
              </w:rPr>
            </w:pPr>
            <w:r w:rsidRPr="7B586FFD">
              <w:rPr>
                <w:rFonts w:ascii="Lato" w:eastAsia="Aptos" w:hAnsi="Lato" w:cs="Times New Roman"/>
                <w:sz w:val="20"/>
                <w:szCs w:val="20"/>
              </w:rPr>
              <w:t xml:space="preserve">Propozycja zmiany zapisu: W art. 55a ust. 2 po słowach „częstotliwość przeprowadzania kontroli” dodać słowa </w:t>
            </w:r>
            <w:r w:rsidRPr="7B586FFD">
              <w:rPr>
                <w:rFonts w:ascii="Lato" w:eastAsia="Aptos" w:hAnsi="Lato" w:cs="Times New Roman"/>
                <w:b/>
                <w:bCs/>
                <w:sz w:val="20"/>
                <w:szCs w:val="20"/>
              </w:rPr>
              <w:t>„lub zasady wyznaczania przedsiębiorców do kontroli.”</w:t>
            </w:r>
          </w:p>
          <w:p w14:paraId="046A4828" w14:textId="77777777" w:rsidR="00A00D96" w:rsidRPr="00AA3A23" w:rsidRDefault="7B586FFD" w:rsidP="7B586FFD">
            <w:pPr>
              <w:spacing w:after="120" w:line="276" w:lineRule="auto"/>
              <w:jc w:val="both"/>
              <w:rPr>
                <w:rFonts w:ascii="Lato" w:eastAsia="Aptos" w:hAnsi="Lato" w:cs="Times New Roman"/>
                <w:sz w:val="20"/>
                <w:szCs w:val="20"/>
              </w:rPr>
            </w:pPr>
            <w:r w:rsidRPr="7B586FFD">
              <w:rPr>
                <w:rFonts w:ascii="Lato" w:eastAsia="Aptos" w:hAnsi="Lato" w:cs="Times New Roman"/>
                <w:sz w:val="20"/>
                <w:szCs w:val="20"/>
              </w:rPr>
              <w:t>Konieczne jest doprecyzowanie projektowanego art. 55a ust. 2 poprzez wskazanie jako podstawy wyłączenia stosowania projektowanego art. 55a ust. 1 również zasad wyznaczania przedsiębiorców do kontroli. Doprecyzowanie ma na celu zapewnienie sprawnego i skutecznego funkcjonowania  Systemu Monitorowania i Kontrolowania Jakości Paliw, dalej zwanego: „Systemem”.</w:t>
            </w:r>
          </w:p>
          <w:p w14:paraId="7C5ED8E1" w14:textId="77777777" w:rsidR="00A00D96" w:rsidRPr="00AA3A23" w:rsidRDefault="7B586FFD" w:rsidP="7B586FFD">
            <w:pPr>
              <w:spacing w:line="259" w:lineRule="auto"/>
              <w:jc w:val="both"/>
              <w:rPr>
                <w:rFonts w:ascii="Arial" w:eastAsia="Aptos" w:hAnsi="Arial" w:cs="Arial"/>
                <w:sz w:val="20"/>
                <w:szCs w:val="20"/>
              </w:rPr>
            </w:pPr>
            <w:r w:rsidRPr="7B586FFD">
              <w:rPr>
                <w:rFonts w:ascii="Lato" w:eastAsia="Aptos" w:hAnsi="Lato" w:cs="Times New Roman"/>
                <w:sz w:val="20"/>
                <w:szCs w:val="20"/>
              </w:rPr>
              <w:t xml:space="preserve">Ustawa z dnia 25 sierpnia 2006 r. o systemie monitorowania i kontrolowania jakości paliw (dalej „ustawa o systemie”) i wydane na jej podstawie akty wykonawcze określają 3 sposoby i zasady wyznaczania przedsiębiorców do kontroli. W pierwszej kolejności wyznaczanie podmiotów do kontroli w ramach planowego działania Systemu polegającego na monitorowaniu jakości paliw następuje w drodze losowania. Minimalna liczba podmiotów/punktów losowanych w poszczególnych województwach zależy od liczby punktów wprowadzających do obrotu dane paliwo lub paliwo stałe w stosunku do liczby takich podmiotów/punktów na terenie całego kraju. W tym celu Zarządzający Systemem prowadzi bazę takich podmiotów/punktów, która jest aktualizowana w toku prowadzonych działań przez Inspekcję Handlową. Drugi sposób dotyczy kontroli jakości wodoru, gdzie częstotliwość kontroli przedsiębiorców wytwarzających, magazynujących, wprowadzających do obrotu, gromadzących w stacjach zakładowych, a także prowadzących hurtownie określa wprost </w:t>
            </w:r>
            <w:r w:rsidRPr="7B586FFD">
              <w:rPr>
                <w:rFonts w:ascii="Lato" w:eastAsia="Aptos" w:hAnsi="Lato" w:cs="Times New Roman"/>
                <w:sz w:val="20"/>
                <w:szCs w:val="20"/>
              </w:rPr>
              <w:lastRenderedPageBreak/>
              <w:t>przepis art. 13a ust. 1 ustawy o systemie i kontrola tych podmiotów jest przeprowadzana raz na kwartał roku kalendarzowego. Trzecim sposobem jest możliwość wyznaczenia do kontroli dodatkowych stacji paliw, zakładowych stacji paliw, hurtowni paliw lub przedsiębiorców wprowadzających do obrotu paliwa stałe lub wodór, również w przypadku uzyskania przez Zarządzającego Systemem informacji o niewłaściwej jakości paliw lub paliw stałych lub wodoru. Ponadto w zakresie monitorowania jakości paliw ciekłych ustawa o systemie wdraża regulacje dyrektywy 98/70/WE Parlamentu Europejskiego i Rady z dnia 13 października 1998 r. odnoszącej się do jakości benzyny i olejów napędowych oraz zmieniającej dyrektywę Rady 93/12/EWG (Dz. Urz. UE L 350 z 28.12.1998 r., str. 58) oraz normy EN 14 274 Paliwa do pojazdów samochodowych – Ocena jakości benzyn i olejów napędowych – System monitoringu jakości paliw (FQMS).</w:t>
            </w:r>
          </w:p>
        </w:tc>
        <w:tc>
          <w:tcPr>
            <w:tcW w:w="3075" w:type="dxa"/>
          </w:tcPr>
          <w:p w14:paraId="69CF815F" w14:textId="5D0C27F5" w:rsidR="00A00D96" w:rsidRPr="00AA3A23" w:rsidRDefault="7B586FFD" w:rsidP="7B586FFD">
            <w:pPr>
              <w:spacing w:line="259" w:lineRule="auto"/>
              <w:jc w:val="both"/>
              <w:rPr>
                <w:rFonts w:ascii="Arial" w:eastAsia="Calibri" w:hAnsi="Arial" w:cs="Arial"/>
                <w:b/>
                <w:bCs/>
                <w:sz w:val="20"/>
                <w:szCs w:val="20"/>
              </w:rPr>
            </w:pPr>
            <w:r w:rsidRPr="7B586FFD">
              <w:rPr>
                <w:rFonts w:ascii="Arial" w:eastAsia="Calibri" w:hAnsi="Arial" w:cs="Arial"/>
                <w:b/>
                <w:bCs/>
                <w:sz w:val="20"/>
                <w:szCs w:val="20"/>
              </w:rPr>
              <w:lastRenderedPageBreak/>
              <w:t>Uwaga nie została uwzględniona.</w:t>
            </w:r>
          </w:p>
          <w:p w14:paraId="5DB33256" w14:textId="7C7B4BF2" w:rsidR="00A00D96" w:rsidRPr="00AA3A23" w:rsidRDefault="7B586FFD" w:rsidP="7B586FFD">
            <w:pPr>
              <w:spacing w:line="259" w:lineRule="auto"/>
              <w:jc w:val="both"/>
              <w:rPr>
                <w:rFonts w:ascii="Arial" w:eastAsia="Calibri" w:hAnsi="Arial" w:cs="Arial"/>
                <w:sz w:val="20"/>
                <w:szCs w:val="20"/>
              </w:rPr>
            </w:pPr>
            <w:r w:rsidRPr="7B586FFD">
              <w:rPr>
                <w:rFonts w:ascii="Arial" w:eastAsia="Calibri" w:hAnsi="Arial" w:cs="Arial"/>
                <w:sz w:val="20"/>
                <w:szCs w:val="20"/>
              </w:rPr>
              <w:t xml:space="preserve">W ocenie MRiT pierwsze dwa omówione sposoby dotyczą przepisów o kontroli, które określają inaczej częstotliwość przeprowadzania kontroli, a więc będą wyłączone. Jak wynika z uwagi, przepisy te określają wprost wymóg przeprowadzenia kontroli na przykład raz na kwartał albo przeprowadzenia kontroli minimalnej liczby wylosowanych punktów w pewnym okresie czasu (ta reguła również określa częstotliwość przeprowadzenia kontroli, tylko w nieco inny sposób). Natomiast trzeci sposób dotyczy możliwości wyznaczenia do kontroli dodatkowych stacji, w </w:t>
            </w:r>
            <w:r w:rsidRPr="7B586FFD">
              <w:rPr>
                <w:rFonts w:ascii="Arial" w:eastAsia="Calibri" w:hAnsi="Arial" w:cs="Arial"/>
                <w:sz w:val="20"/>
                <w:szCs w:val="20"/>
              </w:rPr>
              <w:lastRenderedPageBreak/>
              <w:t>przypadku uzyskania informacji o niewłaściwej jakości paliw lub wodoru – jest to kontrola doraźna, której nie obejmują ograniczenia z art. 55a.</w:t>
            </w:r>
          </w:p>
        </w:tc>
      </w:tr>
      <w:tr w:rsidR="00A00D96" w:rsidRPr="00AA3A23" w14:paraId="01A4384C" w14:textId="77777777" w:rsidTr="7B586FFD">
        <w:tc>
          <w:tcPr>
            <w:tcW w:w="763" w:type="dxa"/>
          </w:tcPr>
          <w:p w14:paraId="74893A77" w14:textId="77777777" w:rsidR="00A00D96" w:rsidRPr="00AA3A23" w:rsidRDefault="00A00D96" w:rsidP="00A00D96">
            <w:pPr>
              <w:numPr>
                <w:ilvl w:val="0"/>
                <w:numId w:val="1"/>
              </w:numPr>
              <w:spacing w:before="120"/>
              <w:ind w:left="171" w:right="-534" w:hanging="52"/>
              <w:contextualSpacing/>
              <w:rPr>
                <w:rFonts w:ascii="Arial" w:eastAsia="Calibri" w:hAnsi="Arial" w:cs="Arial"/>
                <w:bCs/>
                <w:sz w:val="20"/>
                <w:szCs w:val="20"/>
              </w:rPr>
            </w:pPr>
          </w:p>
        </w:tc>
        <w:tc>
          <w:tcPr>
            <w:tcW w:w="1500" w:type="dxa"/>
            <w:tcBorders>
              <w:top w:val="single" w:sz="4" w:space="0" w:color="auto"/>
              <w:left w:val="single" w:sz="4" w:space="0" w:color="auto"/>
              <w:bottom w:val="single" w:sz="4" w:space="0" w:color="auto"/>
              <w:right w:val="single" w:sz="4" w:space="0" w:color="auto"/>
            </w:tcBorders>
          </w:tcPr>
          <w:p w14:paraId="4F94E3B0" w14:textId="77777777" w:rsidR="00A00D96" w:rsidRPr="00AA3A23" w:rsidRDefault="7B586FFD" w:rsidP="7B586FFD">
            <w:pPr>
              <w:spacing w:line="259" w:lineRule="auto"/>
              <w:jc w:val="center"/>
              <w:rPr>
                <w:rFonts w:ascii="Lato" w:eastAsia="Aptos" w:hAnsi="Lato" w:cs="Times New Roman"/>
                <w:sz w:val="20"/>
                <w:szCs w:val="20"/>
              </w:rPr>
            </w:pPr>
            <w:r w:rsidRPr="7B586FFD">
              <w:rPr>
                <w:rFonts w:ascii="Lato" w:eastAsia="Aptos" w:hAnsi="Lato" w:cs="Times New Roman"/>
                <w:sz w:val="20"/>
                <w:szCs w:val="20"/>
              </w:rPr>
              <w:t>Art. 32 pkt 7</w:t>
            </w:r>
          </w:p>
          <w:p w14:paraId="1DEFA58A" w14:textId="77777777" w:rsidR="00A00D96" w:rsidRPr="00AA3A23" w:rsidRDefault="7B586FFD" w:rsidP="7B586FFD">
            <w:pPr>
              <w:spacing w:line="259" w:lineRule="auto"/>
              <w:rPr>
                <w:rFonts w:ascii="Arial" w:eastAsia="Aptos" w:hAnsi="Arial" w:cs="Arial"/>
                <w:sz w:val="20"/>
                <w:szCs w:val="20"/>
              </w:rPr>
            </w:pPr>
            <w:r w:rsidRPr="7B586FFD">
              <w:rPr>
                <w:rFonts w:ascii="Lato" w:eastAsia="Aptos" w:hAnsi="Lato" w:cs="Times New Roman"/>
                <w:sz w:val="20"/>
                <w:szCs w:val="20"/>
              </w:rPr>
              <w:t>(art. 55a ust. 4 ustawy z dnia 6 marca 2018 r. – Prawo przedsiębiorców)</w:t>
            </w:r>
          </w:p>
        </w:tc>
        <w:tc>
          <w:tcPr>
            <w:tcW w:w="1560" w:type="dxa"/>
            <w:tcBorders>
              <w:top w:val="single" w:sz="4" w:space="0" w:color="auto"/>
              <w:left w:val="single" w:sz="4" w:space="0" w:color="auto"/>
              <w:bottom w:val="single" w:sz="4" w:space="0" w:color="auto"/>
              <w:right w:val="single" w:sz="4" w:space="0" w:color="auto"/>
            </w:tcBorders>
          </w:tcPr>
          <w:p w14:paraId="0DAE675E" w14:textId="77777777" w:rsidR="00A00D96" w:rsidRPr="00AA3A23" w:rsidRDefault="7B586FFD" w:rsidP="7B586FFD">
            <w:pPr>
              <w:spacing w:line="259" w:lineRule="auto"/>
              <w:jc w:val="center"/>
              <w:rPr>
                <w:rFonts w:ascii="Lato" w:eastAsia="Aptos" w:hAnsi="Lato" w:cs="Times New Roman"/>
                <w:sz w:val="20"/>
                <w:szCs w:val="20"/>
              </w:rPr>
            </w:pPr>
            <w:r w:rsidRPr="7B586FFD">
              <w:rPr>
                <w:rFonts w:ascii="Lato" w:eastAsia="Aptos" w:hAnsi="Lato" w:cs="Times New Roman"/>
                <w:sz w:val="20"/>
                <w:szCs w:val="20"/>
              </w:rPr>
              <w:t>Prezes UOKiK</w:t>
            </w:r>
          </w:p>
          <w:p w14:paraId="76C03884" w14:textId="77777777" w:rsidR="00A00D96" w:rsidRPr="00AA3A23" w:rsidRDefault="00A00D96" w:rsidP="00A00D96">
            <w:pPr>
              <w:autoSpaceDE w:val="0"/>
              <w:autoSpaceDN w:val="0"/>
              <w:adjustRightInd w:val="0"/>
              <w:spacing w:line="259" w:lineRule="auto"/>
              <w:rPr>
                <w:rFonts w:ascii="Arial" w:eastAsia="Aptos" w:hAnsi="Arial" w:cs="Arial"/>
                <w:sz w:val="20"/>
                <w:szCs w:val="20"/>
              </w:rPr>
            </w:pPr>
          </w:p>
        </w:tc>
        <w:tc>
          <w:tcPr>
            <w:tcW w:w="8363" w:type="dxa"/>
            <w:tcBorders>
              <w:top w:val="single" w:sz="4" w:space="0" w:color="auto"/>
              <w:left w:val="single" w:sz="4" w:space="0" w:color="auto"/>
              <w:bottom w:val="single" w:sz="4" w:space="0" w:color="auto"/>
              <w:right w:val="single" w:sz="4" w:space="0" w:color="auto"/>
            </w:tcBorders>
          </w:tcPr>
          <w:p w14:paraId="47452912" w14:textId="77777777" w:rsidR="00A00D96" w:rsidRPr="00AA3A23" w:rsidRDefault="7B586FFD" w:rsidP="7B586FFD">
            <w:pPr>
              <w:spacing w:line="259" w:lineRule="auto"/>
              <w:jc w:val="both"/>
              <w:rPr>
                <w:rFonts w:ascii="Lato" w:eastAsia="Aptos" w:hAnsi="Lato" w:cs="Times New Roman"/>
                <w:sz w:val="20"/>
                <w:szCs w:val="20"/>
              </w:rPr>
            </w:pPr>
            <w:r w:rsidRPr="7B586FFD">
              <w:rPr>
                <w:rFonts w:ascii="Lato" w:eastAsia="Aptos" w:hAnsi="Lato" w:cs="Times New Roman"/>
                <w:sz w:val="20"/>
                <w:szCs w:val="20"/>
              </w:rPr>
              <w:t>Prezes UOKiK wnosi o rezygnację z art. 55a ust. 4.</w:t>
            </w:r>
          </w:p>
          <w:p w14:paraId="434580F7" w14:textId="77777777" w:rsidR="00A00D96" w:rsidRPr="00AA3A23" w:rsidRDefault="7B586FFD" w:rsidP="7B586FFD">
            <w:pPr>
              <w:spacing w:line="259" w:lineRule="auto"/>
              <w:jc w:val="both"/>
              <w:rPr>
                <w:rFonts w:ascii="Arial" w:eastAsia="Aptos" w:hAnsi="Arial" w:cs="Arial"/>
                <w:sz w:val="20"/>
                <w:szCs w:val="20"/>
              </w:rPr>
            </w:pPr>
            <w:r w:rsidRPr="7B586FFD">
              <w:rPr>
                <w:rFonts w:ascii="Lato" w:eastAsia="Aptos" w:hAnsi="Lato" w:cs="Times New Roman"/>
                <w:sz w:val="20"/>
                <w:szCs w:val="20"/>
              </w:rPr>
              <w:t>W przypadku gdy mikroprzedsiębiorca lub mały przedsiębiorca wykonuje działalność w więcej niż jednym zakładzie lub innej wyodrębnionej części przedsiębiorstwa niemożliwa będzie kontrola więcej niż jednego miejsca. Jeżeli nieprawidłowości wynikają z naruszenia np. ustawy z dnia 9 maja 2014 r. o informowaniu o cenach, mogą one występować we wszystkich placówkach danego przedsiębiorcy na terenie różnych województw. Ponadto projektowany art. 55a ust. 4 spowoduje, że w odniesieniu do mikro i małych przedsiębiorców „martwy” stanie się przepis art. 6 ust. 2 ustawy o informowaniu o cenach.</w:t>
            </w:r>
          </w:p>
        </w:tc>
        <w:tc>
          <w:tcPr>
            <w:tcW w:w="3075" w:type="dxa"/>
          </w:tcPr>
          <w:p w14:paraId="479A093A" w14:textId="4C16116F" w:rsidR="00A00D96" w:rsidRPr="00AA3A23" w:rsidRDefault="7B586FFD" w:rsidP="7B586FFD">
            <w:pPr>
              <w:spacing w:line="259" w:lineRule="auto"/>
              <w:jc w:val="both"/>
              <w:rPr>
                <w:rFonts w:ascii="Arial" w:eastAsia="Calibri" w:hAnsi="Arial" w:cs="Arial"/>
                <w:b/>
                <w:bCs/>
                <w:sz w:val="20"/>
                <w:szCs w:val="20"/>
              </w:rPr>
            </w:pPr>
            <w:r w:rsidRPr="7B586FFD">
              <w:rPr>
                <w:rFonts w:ascii="Arial" w:eastAsia="Calibri" w:hAnsi="Arial" w:cs="Arial"/>
                <w:b/>
                <w:bCs/>
                <w:sz w:val="20"/>
                <w:szCs w:val="20"/>
              </w:rPr>
              <w:t>Uwaga nie została uwzględniona.</w:t>
            </w:r>
          </w:p>
          <w:p w14:paraId="5C714D02" w14:textId="309C3C5A" w:rsidR="00A00D96" w:rsidRPr="00AA3A23" w:rsidRDefault="7B586FFD" w:rsidP="7B586FFD">
            <w:pPr>
              <w:spacing w:line="259" w:lineRule="auto"/>
              <w:jc w:val="both"/>
              <w:rPr>
                <w:rFonts w:ascii="Arial" w:eastAsia="Calibri" w:hAnsi="Arial" w:cs="Arial"/>
                <w:sz w:val="20"/>
                <w:szCs w:val="20"/>
              </w:rPr>
            </w:pPr>
            <w:r w:rsidRPr="7B586FFD">
              <w:rPr>
                <w:rFonts w:ascii="Arial" w:eastAsia="Calibri" w:hAnsi="Arial" w:cs="Arial"/>
                <w:sz w:val="20"/>
                <w:szCs w:val="20"/>
              </w:rPr>
              <w:t>W przypadku, gdy istnieje podejrzenie nieprawidłowości, które wynikają z naruszenia ustawy o informowaniu o cenach, nadal będzie mogła zostać przeprowadzona kontrola doraźna. Kontrolę planową u mikroprzedsiębiorcy lub małego przedsiębiorcy można też zaplanować w kilku placówkach na raz, w ramach jednej kontroli planowej. Ze względu na definicję mikroprzedsiębiorcy niewielu z nich będzie miało w praktyce wiele placówek handlowych na terenie różnych województw.</w:t>
            </w:r>
          </w:p>
        </w:tc>
      </w:tr>
      <w:tr w:rsidR="00A00D96" w:rsidRPr="00AA3A23" w14:paraId="53905681" w14:textId="77777777" w:rsidTr="7B586FFD">
        <w:tc>
          <w:tcPr>
            <w:tcW w:w="763" w:type="dxa"/>
          </w:tcPr>
          <w:p w14:paraId="141064AC" w14:textId="77777777" w:rsidR="00A00D96" w:rsidRPr="00AA3A23" w:rsidRDefault="00A00D96" w:rsidP="00A00D96">
            <w:pPr>
              <w:numPr>
                <w:ilvl w:val="0"/>
                <w:numId w:val="1"/>
              </w:numPr>
              <w:spacing w:before="120"/>
              <w:ind w:left="171" w:right="-534" w:hanging="52"/>
              <w:contextualSpacing/>
              <w:rPr>
                <w:rFonts w:ascii="Arial" w:eastAsia="Calibri" w:hAnsi="Arial" w:cs="Arial"/>
                <w:bCs/>
                <w:sz w:val="20"/>
                <w:szCs w:val="20"/>
              </w:rPr>
            </w:pPr>
          </w:p>
        </w:tc>
        <w:tc>
          <w:tcPr>
            <w:tcW w:w="1500" w:type="dxa"/>
          </w:tcPr>
          <w:p w14:paraId="53F2E2A4" w14:textId="77777777" w:rsidR="00A00D96" w:rsidRPr="00AA3A23" w:rsidRDefault="7B586FFD" w:rsidP="7B586FFD">
            <w:pPr>
              <w:autoSpaceDE w:val="0"/>
              <w:autoSpaceDN w:val="0"/>
              <w:adjustRightInd w:val="0"/>
              <w:spacing w:line="259" w:lineRule="auto"/>
              <w:rPr>
                <w:rFonts w:ascii="Arial" w:eastAsia="Aptos" w:hAnsi="Arial" w:cs="Arial"/>
                <w:sz w:val="20"/>
                <w:szCs w:val="20"/>
              </w:rPr>
            </w:pPr>
            <w:r w:rsidRPr="7B586FFD">
              <w:rPr>
                <w:rFonts w:ascii="Lato" w:eastAsia="Aptos" w:hAnsi="Lato" w:cs="Times New Roman"/>
                <w:sz w:val="20"/>
                <w:szCs w:val="20"/>
              </w:rPr>
              <w:t xml:space="preserve">Dodatkowa propozycja – zmiana w ustawie z dnia 16 lutego </w:t>
            </w:r>
            <w:r w:rsidRPr="7B586FFD">
              <w:rPr>
                <w:rFonts w:ascii="Lato" w:eastAsia="Aptos" w:hAnsi="Lato" w:cs="Times New Roman"/>
                <w:sz w:val="20"/>
                <w:szCs w:val="20"/>
              </w:rPr>
              <w:lastRenderedPageBreak/>
              <w:t>2007 r.  o ochronie konkurencji i konsumentów</w:t>
            </w:r>
          </w:p>
        </w:tc>
        <w:tc>
          <w:tcPr>
            <w:tcW w:w="1560" w:type="dxa"/>
          </w:tcPr>
          <w:p w14:paraId="27ED8FD9" w14:textId="77777777" w:rsidR="00A00D96" w:rsidRPr="00AA3A23" w:rsidRDefault="7B586FFD" w:rsidP="7B586FFD">
            <w:pPr>
              <w:spacing w:line="276" w:lineRule="auto"/>
              <w:jc w:val="center"/>
              <w:rPr>
                <w:rFonts w:ascii="Lato" w:eastAsia="Aptos" w:hAnsi="Lato" w:cs="Times New Roman"/>
                <w:sz w:val="20"/>
                <w:szCs w:val="20"/>
              </w:rPr>
            </w:pPr>
            <w:r w:rsidRPr="7B586FFD">
              <w:rPr>
                <w:rFonts w:ascii="Lato" w:eastAsia="Aptos" w:hAnsi="Lato" w:cs="Times New Roman"/>
                <w:sz w:val="20"/>
                <w:szCs w:val="20"/>
              </w:rPr>
              <w:lastRenderedPageBreak/>
              <w:t>Prezes UOKiK</w:t>
            </w:r>
          </w:p>
          <w:p w14:paraId="5FB446F4" w14:textId="77777777" w:rsidR="00A00D96" w:rsidRPr="00AA3A23" w:rsidRDefault="00A00D96" w:rsidP="00A00D96">
            <w:pPr>
              <w:autoSpaceDE w:val="0"/>
              <w:autoSpaceDN w:val="0"/>
              <w:adjustRightInd w:val="0"/>
              <w:spacing w:line="259" w:lineRule="auto"/>
              <w:rPr>
                <w:rFonts w:ascii="Arial" w:eastAsia="Aptos" w:hAnsi="Arial" w:cs="Arial"/>
                <w:sz w:val="20"/>
                <w:szCs w:val="20"/>
              </w:rPr>
            </w:pPr>
          </w:p>
        </w:tc>
        <w:tc>
          <w:tcPr>
            <w:tcW w:w="8363" w:type="dxa"/>
          </w:tcPr>
          <w:p w14:paraId="2212F7A7" w14:textId="77777777" w:rsidR="00A00D96" w:rsidRPr="00AA3A23" w:rsidRDefault="7B586FFD" w:rsidP="7B586FFD">
            <w:pPr>
              <w:spacing w:line="276" w:lineRule="auto"/>
              <w:jc w:val="both"/>
              <w:rPr>
                <w:rFonts w:ascii="Lato" w:eastAsia="Aptos" w:hAnsi="Lato" w:cs="Times New Roman"/>
                <w:sz w:val="20"/>
                <w:szCs w:val="20"/>
              </w:rPr>
            </w:pPr>
            <w:r w:rsidRPr="7B586FFD">
              <w:rPr>
                <w:rFonts w:ascii="Lato" w:eastAsia="Aptos" w:hAnsi="Lato" w:cs="Times New Roman"/>
                <w:sz w:val="20"/>
                <w:szCs w:val="20"/>
              </w:rPr>
              <w:t>Dodatkowa propozycja zmiany wpisująca się w charakter projektu i korespondująca z jego celami:</w:t>
            </w:r>
          </w:p>
          <w:p w14:paraId="4CB3828E" w14:textId="77777777" w:rsidR="00A00D96" w:rsidRPr="00AA3A23" w:rsidRDefault="7B586FFD" w:rsidP="7B586FFD">
            <w:pPr>
              <w:spacing w:after="120" w:line="276" w:lineRule="auto"/>
              <w:jc w:val="both"/>
              <w:rPr>
                <w:rFonts w:ascii="Lato" w:eastAsia="Aptos" w:hAnsi="Lato" w:cs="Times New Roman"/>
                <w:sz w:val="20"/>
                <w:szCs w:val="20"/>
              </w:rPr>
            </w:pPr>
            <w:r w:rsidRPr="7B586FFD">
              <w:rPr>
                <w:rFonts w:ascii="Lato" w:eastAsia="Aptos" w:hAnsi="Lato" w:cs="Times New Roman"/>
                <w:sz w:val="20"/>
                <w:szCs w:val="20"/>
              </w:rPr>
              <w:t>W ustawie z dnia 16 lutego 2007 r.  o ochronie konkurencji i konsumentów (Dz. U. z 2024 r. poz. 594):</w:t>
            </w:r>
            <w:bookmarkStart w:id="2" w:name="_Hlk165373872"/>
            <w:bookmarkEnd w:id="2"/>
          </w:p>
          <w:p w14:paraId="1DA466F7" w14:textId="77777777" w:rsidR="00A00D96" w:rsidRPr="00AA3A23" w:rsidRDefault="7B586FFD" w:rsidP="7B586FFD">
            <w:pPr>
              <w:spacing w:after="120" w:line="276" w:lineRule="auto"/>
              <w:jc w:val="both"/>
              <w:rPr>
                <w:rFonts w:ascii="Lato" w:eastAsia="Aptos" w:hAnsi="Lato" w:cs="Times New Roman"/>
                <w:sz w:val="20"/>
                <w:szCs w:val="20"/>
              </w:rPr>
            </w:pPr>
            <w:r w:rsidRPr="7B586FFD">
              <w:rPr>
                <w:rFonts w:ascii="Lato" w:eastAsia="Aptos" w:hAnsi="Lato" w:cs="Times New Roman"/>
                <w:sz w:val="20"/>
                <w:szCs w:val="20"/>
              </w:rPr>
              <w:lastRenderedPageBreak/>
              <w:t>1) w art. 113f po ust. 3 dodaje się ust. 3a w brzmieniu:</w:t>
            </w:r>
          </w:p>
          <w:p w14:paraId="470EE25A" w14:textId="77777777" w:rsidR="00A00D96" w:rsidRPr="00AA3A23" w:rsidRDefault="7B586FFD" w:rsidP="7B586FFD">
            <w:pPr>
              <w:spacing w:after="120" w:line="276" w:lineRule="auto"/>
              <w:jc w:val="both"/>
              <w:rPr>
                <w:rFonts w:ascii="Lato" w:eastAsia="Aptos" w:hAnsi="Lato" w:cs="Times New Roman"/>
                <w:sz w:val="20"/>
                <w:szCs w:val="20"/>
              </w:rPr>
            </w:pPr>
            <w:r w:rsidRPr="7B586FFD">
              <w:rPr>
                <w:rFonts w:ascii="Lato" w:eastAsia="Aptos" w:hAnsi="Lato" w:cs="Times New Roman"/>
                <w:sz w:val="20"/>
                <w:szCs w:val="20"/>
              </w:rPr>
              <w:t>„3a. Na żądanie wnioskodawcy Prezes Urzędu potwierdza datę i godzinę złożenia wniosku w formie uproszczonej.”;</w:t>
            </w:r>
          </w:p>
          <w:p w14:paraId="210E819F" w14:textId="77777777" w:rsidR="00A00D96" w:rsidRPr="00AA3A23" w:rsidRDefault="7B586FFD" w:rsidP="7B586FFD">
            <w:pPr>
              <w:spacing w:after="120" w:line="276" w:lineRule="auto"/>
              <w:jc w:val="both"/>
              <w:rPr>
                <w:rFonts w:ascii="Lato" w:eastAsia="Aptos" w:hAnsi="Lato" w:cs="Times New Roman"/>
                <w:sz w:val="20"/>
                <w:szCs w:val="20"/>
              </w:rPr>
            </w:pPr>
            <w:r w:rsidRPr="7B586FFD">
              <w:rPr>
                <w:rFonts w:ascii="Lato" w:eastAsia="Aptos" w:hAnsi="Lato" w:cs="Times New Roman"/>
                <w:sz w:val="20"/>
                <w:szCs w:val="20"/>
              </w:rPr>
              <w:t>2) art. 113k otrzymuje brzmienie:</w:t>
            </w:r>
          </w:p>
          <w:p w14:paraId="448F6BF5" w14:textId="77777777" w:rsidR="00A00D96" w:rsidRPr="00AA3A23" w:rsidRDefault="7B586FFD" w:rsidP="7B586FFD">
            <w:pPr>
              <w:spacing w:after="120" w:line="276" w:lineRule="auto"/>
              <w:jc w:val="both"/>
              <w:rPr>
                <w:rFonts w:ascii="Lato" w:eastAsia="Aptos" w:hAnsi="Lato" w:cs="Times New Roman"/>
                <w:sz w:val="20"/>
                <w:szCs w:val="20"/>
              </w:rPr>
            </w:pPr>
            <w:r w:rsidRPr="7B586FFD">
              <w:rPr>
                <w:rFonts w:ascii="Lato" w:eastAsia="Aptos" w:hAnsi="Lato" w:cs="Times New Roman"/>
                <w:sz w:val="20"/>
                <w:szCs w:val="20"/>
              </w:rPr>
              <w:t>„Art. 113k. Rada Ministrów określi, w drodze rozporządzenia, szczegółowy sposób i tryb postępowania z wnioskiem o odstąpienie od wymierzenia kary pieniężnej, wnioskiem o obniżenie kary pieniężnej i wnioskiem o wyznaczenie terminu na złożenie wniosku o odstąpienie od wymierzenia kary pieniężnej lub wniosku o obniżenie kary pieniężnej, złożonymi przez przedsiębiorcę lub osobę zarządzającą, oraz z wnioskiem w formie uproszczonej, złożonym przez przedsiębiorcę, mając na uwadze kategorię podmiotu składającego wniosek i konieczność zapewnienia rzetelnej oceny spełnienia warunków, o których mowa w art. 113b ust. 1 i art. 113c ust. 1, oraz właściwego zakwalifikowania wniosku.”.</w:t>
            </w:r>
          </w:p>
          <w:p w14:paraId="4D2D5C83" w14:textId="77777777" w:rsidR="00A00D96" w:rsidRPr="00AA3A23" w:rsidRDefault="7B586FFD" w:rsidP="7B586FFD">
            <w:pPr>
              <w:spacing w:after="120" w:line="276" w:lineRule="auto"/>
              <w:jc w:val="both"/>
              <w:rPr>
                <w:rFonts w:ascii="Lato" w:eastAsia="Aptos" w:hAnsi="Lato" w:cs="Times New Roman"/>
                <w:sz w:val="20"/>
                <w:szCs w:val="20"/>
              </w:rPr>
            </w:pPr>
            <w:r w:rsidRPr="7B586FFD">
              <w:rPr>
                <w:rFonts w:ascii="Lato" w:eastAsia="Aptos" w:hAnsi="Lato" w:cs="Times New Roman"/>
                <w:sz w:val="20"/>
                <w:szCs w:val="20"/>
              </w:rPr>
              <w:t>Zmiana w art. 113f ustawy o ochronie konkurencji i konsumentów wynika z konieczności doprecyzowania  regulacji wdrażającej art. 20 ust. 2 dyrektywy Parlamentu Europejskiego i Rady (UE) 2019/1 z dnia 11 grudnia 2018 r. mającej na celu nadanie organom ochrony konkurencji państw członkowskich uprawnień w celu skuteczniejszego egzekwowania prawa i zapewnienia należytego funkcjonowania rynku wewnętrznego („dyrektywa ECN+”). Zgodnie z tym przepisem krajowy organ ochrony konkurencji na żądanie wnioskodawcy wysyła pisemne potwierdzenie otrzymania wniosku, pełnego lub w formie uproszczonej, zawierające datę i czas otrzymania tego wniosku. Do wniosków pełnych zastosowanie znajduje art. 113a ust. 7 ustawy o ochronie konkurencji i konsumentów. Natomiast konieczne jest uzupełnienie art. 113f określającego zasady składania wniosku w formie uproszczonej o przepis dotyczący potwierdzania na żądanie wnioskodawcy daty i godziny składania tego rodzaju wniosku, analogicznie do art. 113a ust. 7 przywołanej ustawy.</w:t>
            </w:r>
          </w:p>
          <w:p w14:paraId="6042E481" w14:textId="77777777" w:rsidR="00A00D96" w:rsidRPr="00AA3A23" w:rsidRDefault="7B586FFD" w:rsidP="7B586FFD">
            <w:pPr>
              <w:autoSpaceDE w:val="0"/>
              <w:autoSpaceDN w:val="0"/>
              <w:adjustRightInd w:val="0"/>
              <w:spacing w:line="259" w:lineRule="auto"/>
              <w:jc w:val="both"/>
              <w:rPr>
                <w:rFonts w:ascii="Arial" w:eastAsia="Aptos" w:hAnsi="Arial" w:cs="Arial"/>
                <w:sz w:val="20"/>
                <w:szCs w:val="20"/>
              </w:rPr>
            </w:pPr>
            <w:bookmarkStart w:id="3" w:name="_Hlk165373734"/>
            <w:r w:rsidRPr="7B586FFD">
              <w:rPr>
                <w:rFonts w:ascii="Lato" w:eastAsia="Aptos" w:hAnsi="Lato" w:cs="Times New Roman"/>
                <w:sz w:val="20"/>
                <w:szCs w:val="20"/>
              </w:rPr>
              <w:t xml:space="preserve">Ponadto istnieje potrzeba doprecyzowania upoważnienia ustawowego do wydania rozporządzenia na podstawie art. 113k ustawy o ochronie konkurencji i konsumentów. Przedmiotową delegację należy uzupełnić o kwestie proceduralne i techniczne związane z wnioskami, o których mowa w art. 113e (wniosek o wyznaczenie terminu na złożenie „właściwego” wniosku leniency) i art. 113f tej ustawy (wniosek w formie uproszczonej, </w:t>
            </w:r>
            <w:r w:rsidRPr="7B586FFD">
              <w:rPr>
                <w:rFonts w:ascii="Lato" w:eastAsia="Aptos" w:hAnsi="Lato" w:cs="Times New Roman"/>
                <w:sz w:val="20"/>
                <w:szCs w:val="20"/>
              </w:rPr>
              <w:lastRenderedPageBreak/>
              <w:t>składany w sytuacji, gdy rozpatrywaniem wniosków leniency ma zająć się co do zasady Komisja Europejska). W związku z tym konieczne jest nadanie nowego brzmienia upoważnieniu ustawowemu przewidzianemu w art. 113k ustawy o ochronie konkurencji i konsumentów, tak aby obejmowało ono również ww. wnioski. Dzięki temu możliwe będzie uregulowanie w akcie wykonawczym do ustawy o ochronie konkurencji i konsumentów zagadnień proceduralnych dotyczących wniosków o wyznaczenie terminu i wniosków w formie uproszczonej w sposób spójny z procedurą stosowaną do innych rodzajów wniosków leniency. Objęcie zakresem upoważnienia ustawowego do wydania rozporządzenia wniosków wymienionych w art. 113e i art. 113f ustawy o ochronie konkurencji i konsumentów umożliwi w szczególności uregulowanie w tym rozporządzeniu tak istotnych z punktu widzenia wnioskodawców kwestii jak procedura składania wniosków ustnych czy też tryb składania wniosków w językach  urzędowych innych państw członkowskich UE, co jednocześnie zapewni pełne dostosowanie polskich przepisów do art. 20 ust. 3 i art. 21 ust. 4 dyrektywy ECN+.</w:t>
            </w:r>
            <w:bookmarkEnd w:id="3"/>
          </w:p>
        </w:tc>
        <w:tc>
          <w:tcPr>
            <w:tcW w:w="3075" w:type="dxa"/>
          </w:tcPr>
          <w:p w14:paraId="48C35922" w14:textId="2B37B395" w:rsidR="00A00D96" w:rsidRPr="00AA3A23" w:rsidRDefault="7B586FFD" w:rsidP="7B586FFD">
            <w:pPr>
              <w:spacing w:line="259" w:lineRule="auto"/>
              <w:jc w:val="both"/>
              <w:rPr>
                <w:rFonts w:ascii="Arial" w:eastAsia="Calibri" w:hAnsi="Arial" w:cs="Arial"/>
                <w:b/>
                <w:bCs/>
                <w:sz w:val="20"/>
                <w:szCs w:val="20"/>
              </w:rPr>
            </w:pPr>
            <w:r w:rsidRPr="7B586FFD">
              <w:rPr>
                <w:rFonts w:ascii="Arial" w:eastAsia="Calibri" w:hAnsi="Arial" w:cs="Arial"/>
                <w:b/>
                <w:bCs/>
                <w:sz w:val="20"/>
                <w:szCs w:val="20"/>
              </w:rPr>
              <w:lastRenderedPageBreak/>
              <w:t>Wyjaśnienie.</w:t>
            </w:r>
          </w:p>
          <w:p w14:paraId="7051C578" w14:textId="3F785CAA" w:rsidR="00A00D96" w:rsidRPr="00AA3A23" w:rsidRDefault="7B586FFD" w:rsidP="7B586FFD">
            <w:pPr>
              <w:spacing w:line="259" w:lineRule="auto"/>
              <w:jc w:val="both"/>
              <w:rPr>
                <w:rFonts w:ascii="Arial" w:eastAsia="Calibri" w:hAnsi="Arial" w:cs="Arial"/>
                <w:sz w:val="20"/>
                <w:szCs w:val="20"/>
              </w:rPr>
            </w:pPr>
            <w:r w:rsidRPr="7B586FFD">
              <w:rPr>
                <w:rFonts w:ascii="Arial" w:eastAsia="Calibri" w:hAnsi="Arial" w:cs="Arial"/>
                <w:sz w:val="20"/>
                <w:szCs w:val="20"/>
              </w:rPr>
              <w:t xml:space="preserve">Postulat, jako nowa propozycja względem przepisów zawartych w niniejszym projekcie ustawy, będzie analizowany w związku z </w:t>
            </w:r>
            <w:r w:rsidRPr="7B586FFD">
              <w:rPr>
                <w:rFonts w:ascii="Arial" w:eastAsia="Calibri" w:hAnsi="Arial" w:cs="Arial"/>
                <w:sz w:val="20"/>
                <w:szCs w:val="20"/>
              </w:rPr>
              <w:lastRenderedPageBreak/>
              <w:t xml:space="preserve">pracami nad nowym projektem ustawy deregulacyjnej. </w:t>
            </w:r>
          </w:p>
          <w:p w14:paraId="01451DAE" w14:textId="6CBD55CD" w:rsidR="00A00D96" w:rsidRPr="00AA3A23" w:rsidRDefault="00A00D96" w:rsidP="00A00D96">
            <w:pPr>
              <w:spacing w:line="259" w:lineRule="auto"/>
              <w:jc w:val="both"/>
              <w:rPr>
                <w:rFonts w:ascii="Arial" w:eastAsia="Calibri" w:hAnsi="Arial" w:cs="Arial"/>
                <w:sz w:val="20"/>
                <w:szCs w:val="20"/>
              </w:rPr>
            </w:pPr>
          </w:p>
        </w:tc>
      </w:tr>
      <w:tr w:rsidR="00A00D96" w:rsidRPr="00AA3A23" w14:paraId="5748FBC0" w14:textId="77777777" w:rsidTr="7B586FFD">
        <w:tc>
          <w:tcPr>
            <w:tcW w:w="763" w:type="dxa"/>
          </w:tcPr>
          <w:p w14:paraId="635378D7" w14:textId="77777777" w:rsidR="00A00D96" w:rsidRPr="00AA3A23" w:rsidRDefault="00A00D96" w:rsidP="00A00D96">
            <w:pPr>
              <w:numPr>
                <w:ilvl w:val="0"/>
                <w:numId w:val="1"/>
              </w:numPr>
              <w:spacing w:before="120"/>
              <w:ind w:left="171" w:right="-534" w:hanging="52"/>
              <w:contextualSpacing/>
              <w:rPr>
                <w:rFonts w:ascii="Arial" w:eastAsia="Calibri" w:hAnsi="Arial" w:cs="Arial"/>
                <w:bCs/>
                <w:sz w:val="20"/>
                <w:szCs w:val="20"/>
              </w:rPr>
            </w:pPr>
          </w:p>
        </w:tc>
        <w:tc>
          <w:tcPr>
            <w:tcW w:w="1500" w:type="dxa"/>
          </w:tcPr>
          <w:p w14:paraId="144FBD94" w14:textId="77777777" w:rsidR="00A00D96" w:rsidRPr="00AA3A23" w:rsidRDefault="7B586FFD" w:rsidP="7B586FFD">
            <w:pPr>
              <w:autoSpaceDE w:val="0"/>
              <w:autoSpaceDN w:val="0"/>
              <w:adjustRightInd w:val="0"/>
              <w:spacing w:line="259" w:lineRule="auto"/>
              <w:rPr>
                <w:rFonts w:ascii="Arial" w:eastAsia="Aptos" w:hAnsi="Arial" w:cs="Arial"/>
                <w:sz w:val="20"/>
                <w:szCs w:val="20"/>
              </w:rPr>
            </w:pPr>
            <w:r w:rsidRPr="7B586FFD">
              <w:rPr>
                <w:rFonts w:ascii="Lato" w:eastAsia="Aptos" w:hAnsi="Lato" w:cs="Times New Roman"/>
                <w:sz w:val="20"/>
                <w:szCs w:val="20"/>
              </w:rPr>
              <w:t>Dodatkowa propozycja – zmiana w art. 9 ustawy z dnia 5 sierpnia 2015 r. o zmianie ustawy o ochronie konkurencji i konsumentów oraz niektórych innych ustaw (Dz. U. z 2015 r. poz. 1634).</w:t>
            </w:r>
          </w:p>
        </w:tc>
        <w:tc>
          <w:tcPr>
            <w:tcW w:w="1560" w:type="dxa"/>
          </w:tcPr>
          <w:p w14:paraId="522898B4" w14:textId="77777777" w:rsidR="00A00D96" w:rsidRPr="00AA3A23" w:rsidRDefault="7B586FFD" w:rsidP="7B586FFD">
            <w:pPr>
              <w:spacing w:line="276" w:lineRule="auto"/>
              <w:jc w:val="center"/>
              <w:rPr>
                <w:rFonts w:ascii="Lato" w:eastAsia="Aptos" w:hAnsi="Lato" w:cs="Times New Roman"/>
                <w:sz w:val="20"/>
                <w:szCs w:val="20"/>
                <w:highlight w:val="yellow"/>
              </w:rPr>
            </w:pPr>
            <w:r w:rsidRPr="7B586FFD">
              <w:rPr>
                <w:rFonts w:ascii="Lato" w:eastAsia="Aptos" w:hAnsi="Lato" w:cs="Times New Roman"/>
                <w:sz w:val="20"/>
                <w:szCs w:val="20"/>
              </w:rPr>
              <w:t>Prezes UOKiK</w:t>
            </w:r>
          </w:p>
          <w:p w14:paraId="7A77053B" w14:textId="77777777" w:rsidR="00A00D96" w:rsidRPr="00AA3A23" w:rsidRDefault="00A00D96" w:rsidP="00A00D96">
            <w:pPr>
              <w:spacing w:line="276" w:lineRule="auto"/>
              <w:jc w:val="center"/>
              <w:rPr>
                <w:rFonts w:ascii="Lato" w:eastAsia="Aptos" w:hAnsi="Lato" w:cs="Times New Roman"/>
                <w:sz w:val="20"/>
                <w:szCs w:val="20"/>
                <w:highlight w:val="yellow"/>
              </w:rPr>
            </w:pPr>
          </w:p>
          <w:p w14:paraId="4310B274" w14:textId="77777777" w:rsidR="00A00D96" w:rsidRPr="00AA3A23" w:rsidRDefault="00A00D96" w:rsidP="00A00D96">
            <w:pPr>
              <w:autoSpaceDE w:val="0"/>
              <w:autoSpaceDN w:val="0"/>
              <w:adjustRightInd w:val="0"/>
              <w:spacing w:line="259" w:lineRule="auto"/>
              <w:rPr>
                <w:rFonts w:ascii="Arial" w:eastAsia="Aptos" w:hAnsi="Arial" w:cs="Arial"/>
                <w:sz w:val="20"/>
                <w:szCs w:val="20"/>
              </w:rPr>
            </w:pPr>
          </w:p>
        </w:tc>
        <w:tc>
          <w:tcPr>
            <w:tcW w:w="8363" w:type="dxa"/>
          </w:tcPr>
          <w:p w14:paraId="729AD618" w14:textId="77777777" w:rsidR="00A00D96" w:rsidRPr="00AA3A23" w:rsidRDefault="7B586FFD" w:rsidP="7B586FFD">
            <w:pPr>
              <w:spacing w:after="120" w:line="276" w:lineRule="auto"/>
              <w:jc w:val="both"/>
              <w:rPr>
                <w:rFonts w:ascii="Lato" w:eastAsia="Aptos" w:hAnsi="Lato" w:cs="Times New Roman"/>
                <w:sz w:val="20"/>
                <w:szCs w:val="20"/>
              </w:rPr>
            </w:pPr>
            <w:r w:rsidRPr="7B586FFD">
              <w:rPr>
                <w:rFonts w:ascii="Lato" w:eastAsia="Aptos" w:hAnsi="Lato" w:cs="Times New Roman"/>
                <w:sz w:val="20"/>
                <w:szCs w:val="20"/>
              </w:rPr>
              <w:t>Dodatkowa propozycja zmiany wpisująca się w charakter projektu i korespondująca z jego celami:</w:t>
            </w:r>
          </w:p>
          <w:p w14:paraId="39143B46" w14:textId="77777777" w:rsidR="00A00D96" w:rsidRPr="00AA3A23" w:rsidRDefault="7B586FFD" w:rsidP="7B586FFD">
            <w:pPr>
              <w:spacing w:after="120" w:line="276" w:lineRule="auto"/>
              <w:jc w:val="both"/>
              <w:rPr>
                <w:rFonts w:ascii="Lato" w:eastAsia="Aptos" w:hAnsi="Lato" w:cs="Times New Roman"/>
                <w:sz w:val="20"/>
                <w:szCs w:val="20"/>
              </w:rPr>
            </w:pPr>
            <w:r w:rsidRPr="7B586FFD">
              <w:rPr>
                <w:rFonts w:ascii="Lato" w:eastAsia="Aptos" w:hAnsi="Lato" w:cs="Times New Roman"/>
                <w:sz w:val="20"/>
                <w:szCs w:val="20"/>
              </w:rPr>
              <w:t>W ustawie z dnia 5 sierpnia 2015 r. o zmianie ustawy o ochronie konkurencji i konsumentów oraz niektórych innych ustaw (Dz. U. z 2015 r. poz. 1634) art. 9 otrzymuje brzmienie:</w:t>
            </w:r>
          </w:p>
          <w:p w14:paraId="5832BD47" w14:textId="77777777" w:rsidR="00A00D96" w:rsidRPr="00AA3A23" w:rsidRDefault="7B586FFD" w:rsidP="7B586FFD">
            <w:pPr>
              <w:spacing w:after="120" w:line="276" w:lineRule="auto"/>
              <w:jc w:val="both"/>
              <w:rPr>
                <w:rFonts w:ascii="Lato" w:eastAsia="Aptos" w:hAnsi="Lato" w:cs="Times New Roman"/>
                <w:sz w:val="20"/>
                <w:szCs w:val="20"/>
              </w:rPr>
            </w:pPr>
            <w:r w:rsidRPr="7B586FFD">
              <w:rPr>
                <w:rFonts w:ascii="Lato" w:eastAsia="Aptos" w:hAnsi="Lato" w:cs="Times New Roman"/>
                <w:sz w:val="20"/>
                <w:szCs w:val="20"/>
              </w:rPr>
              <w:t>„Art. 9. W odniesieniu do postanowień wzorców umów, które zostały wpisane do rejestru postanowień wzorców umów uznanych za niedozwolone, o którym mowa w art. 479</w:t>
            </w:r>
            <w:r w:rsidRPr="7B586FFD">
              <w:rPr>
                <w:rFonts w:ascii="Lato" w:eastAsia="Aptos" w:hAnsi="Lato" w:cs="Times New Roman"/>
                <w:sz w:val="20"/>
                <w:szCs w:val="20"/>
                <w:vertAlign w:val="superscript"/>
              </w:rPr>
              <w:t>45</w:t>
            </w:r>
            <w:r w:rsidRPr="7B586FFD">
              <w:rPr>
                <w:rFonts w:ascii="Lato" w:eastAsia="Aptos" w:hAnsi="Lato" w:cs="Times New Roman"/>
                <w:sz w:val="20"/>
                <w:szCs w:val="20"/>
              </w:rPr>
              <w:t xml:space="preserve"> ustawy zmienianej w art. 2, stosuje się przepisy ustaw zmienianych w art. 1 i art. 2, w brzmieniu dotychczasowym, nie dłużej jednak niż przez 20 lat od dnia wejścia w życie niniejszej ustawy.”</w:t>
            </w:r>
          </w:p>
          <w:p w14:paraId="2D942642" w14:textId="77777777" w:rsidR="00A00D96" w:rsidRPr="00AA3A23" w:rsidRDefault="7B586FFD" w:rsidP="7B586FFD">
            <w:pPr>
              <w:spacing w:after="120" w:line="276" w:lineRule="auto"/>
              <w:jc w:val="both"/>
              <w:rPr>
                <w:rFonts w:ascii="Lato" w:eastAsia="Aptos" w:hAnsi="Lato" w:cs="Times New Roman"/>
                <w:sz w:val="20"/>
                <w:szCs w:val="20"/>
              </w:rPr>
            </w:pPr>
            <w:r w:rsidRPr="7B586FFD">
              <w:rPr>
                <w:rFonts w:ascii="Lato" w:eastAsia="Aptos" w:hAnsi="Lato" w:cs="Times New Roman"/>
                <w:sz w:val="20"/>
                <w:szCs w:val="20"/>
              </w:rPr>
              <w:t xml:space="preserve">Mając na uwadze cel przedmiotowego projektu, jakim jest m.in. ułatwienie prowadzenia działalności gospodarczej, Prezes UOKiK proponuje, aby  wydłużyć funkcjonowanie rejestru postanowień wzorców umów uznanych za niedozwolone, celem zapewnienia przedsiębiorcom stosującym w obrocie konsumenckim wzorce umów stosownej bazy informacyjnej. Przedmiotowy rejestr zawiera postanowienia umowne, które zostały uznane przez SOKiK za abuzywne. Przedsiębiorcy mogą porównać postanowienia zawarte w swoich wzorcach z tymi wpisanymi do przedmiotowego rejestru, aby dokonać oceny czy istnieje ryzyko, że stosowane przez nich postanowienie może również zostać uznane za abuzywne. Rejestr pełni w ty zakresie rolę edukacyjną i stanowi wsparcie dla przedsiębiorców. Rejestr ma przestać funkcjonować z dniem 17 kwietnia 2026 r. Wynika to z przepisów przejściowych ustawy z </w:t>
            </w:r>
            <w:r w:rsidRPr="7B586FFD">
              <w:rPr>
                <w:rFonts w:ascii="Lato" w:eastAsia="Aptos" w:hAnsi="Lato" w:cs="Times New Roman"/>
                <w:sz w:val="20"/>
                <w:szCs w:val="20"/>
              </w:rPr>
              <w:lastRenderedPageBreak/>
              <w:t>dnia 5 sierpnia 2015 r. o zmianie ustawy o ochronie konkurencji i konsumentów oraz niektórych innych ustaw (Dz. U. z 2015 r. poz. 1634). Przedmiotową ustawą dokonano reformy systemu przeciwdziałania stosowaniu niedozwolonych postanowień wzorców umownych. Poprzednio obowiązujący  system polegający na składaniu przez Prezesa UOKiK do SOKiK powództw o stwierdzenie, że dane postanowienie wzorca umownego jest niedozwolone zastąpiono decyzjami administracyjnymi wydawanymi przez Prezesa UOKiK w toku postępowania o uznanie postanowień wzorca umowy z niedozwolone. Jednocześnie, zgodnie z art. 9 przedmiotowej ustawy wprowadzono10-letni okres przejściowy.</w:t>
            </w:r>
          </w:p>
          <w:p w14:paraId="278C872C" w14:textId="77777777" w:rsidR="00A00D96" w:rsidRPr="00AA3A23" w:rsidRDefault="7B586FFD" w:rsidP="7B586FFD">
            <w:pPr>
              <w:autoSpaceDE w:val="0"/>
              <w:autoSpaceDN w:val="0"/>
              <w:adjustRightInd w:val="0"/>
              <w:spacing w:line="259" w:lineRule="auto"/>
              <w:jc w:val="both"/>
              <w:rPr>
                <w:rFonts w:ascii="Arial" w:eastAsia="Aptos" w:hAnsi="Arial" w:cs="Arial"/>
                <w:sz w:val="20"/>
                <w:szCs w:val="20"/>
              </w:rPr>
            </w:pPr>
            <w:r w:rsidRPr="7B586FFD">
              <w:rPr>
                <w:rFonts w:ascii="Lato" w:eastAsia="Aptos" w:hAnsi="Lato" w:cs="Times New Roman"/>
                <w:sz w:val="20"/>
                <w:szCs w:val="20"/>
              </w:rPr>
              <w:t>Wobec powyższego, Prezes UOKiK proponuje wydłużyć okres wskazany w art. 9 ustawy z dnia 5 sierpnia 2015 r. o zmianie ustawy o ochronie konkurencji i konsumentów oraz niektórych innych ustaw o kolejne 10 lat.</w:t>
            </w:r>
          </w:p>
        </w:tc>
        <w:tc>
          <w:tcPr>
            <w:tcW w:w="3075" w:type="dxa"/>
          </w:tcPr>
          <w:p w14:paraId="5046B171" w14:textId="36A2A7FD" w:rsidR="00A00D96" w:rsidRPr="00AA3A23" w:rsidRDefault="7B586FFD" w:rsidP="7B586FFD">
            <w:pPr>
              <w:spacing w:after="160" w:line="259" w:lineRule="auto"/>
              <w:jc w:val="both"/>
              <w:rPr>
                <w:rFonts w:ascii="Arial" w:eastAsia="Arial" w:hAnsi="Arial" w:cs="Arial"/>
                <w:b/>
                <w:bCs/>
                <w:sz w:val="20"/>
                <w:szCs w:val="20"/>
              </w:rPr>
            </w:pPr>
            <w:r w:rsidRPr="7B586FFD">
              <w:rPr>
                <w:rFonts w:ascii="Arial" w:eastAsia="Arial" w:hAnsi="Arial" w:cs="Arial"/>
                <w:b/>
                <w:bCs/>
                <w:sz w:val="20"/>
                <w:szCs w:val="20"/>
              </w:rPr>
              <w:lastRenderedPageBreak/>
              <w:t>Wyjaśnienie.</w:t>
            </w:r>
          </w:p>
          <w:p w14:paraId="35BBB090" w14:textId="73A6F283" w:rsidR="00A00D96" w:rsidRPr="00AA3A23" w:rsidRDefault="7B586FFD" w:rsidP="7B586FFD">
            <w:pPr>
              <w:spacing w:after="160" w:line="259" w:lineRule="auto"/>
              <w:jc w:val="both"/>
              <w:rPr>
                <w:rFonts w:ascii="Arial" w:eastAsia="Arial" w:hAnsi="Arial" w:cs="Arial"/>
                <w:sz w:val="20"/>
                <w:szCs w:val="20"/>
              </w:rPr>
            </w:pPr>
            <w:r w:rsidRPr="7B586FFD">
              <w:rPr>
                <w:rFonts w:ascii="Arial" w:eastAsia="Arial" w:hAnsi="Arial" w:cs="Arial"/>
                <w:sz w:val="20"/>
                <w:szCs w:val="20"/>
              </w:rPr>
              <w:t>Postulat, jako nowa propozycja względem przepisów zawartych w niniejszym projekcie ustawy, będzie analizowany w związku z pracami nad nowym projektem ustawy deregulacyjnej.</w:t>
            </w:r>
          </w:p>
          <w:p w14:paraId="552A6A9D" w14:textId="48807BDB" w:rsidR="00A00D96" w:rsidRPr="00AA3A23" w:rsidRDefault="00A00D96" w:rsidP="00A00D96">
            <w:pPr>
              <w:spacing w:line="259" w:lineRule="auto"/>
              <w:jc w:val="both"/>
              <w:rPr>
                <w:rFonts w:ascii="Arial" w:eastAsia="Calibri" w:hAnsi="Arial" w:cs="Arial"/>
                <w:sz w:val="20"/>
                <w:szCs w:val="20"/>
              </w:rPr>
            </w:pPr>
          </w:p>
        </w:tc>
      </w:tr>
    </w:tbl>
    <w:p w14:paraId="13756F2A" w14:textId="77777777" w:rsidR="00700958" w:rsidRDefault="00700958"/>
    <w:sectPr w:rsidR="00700958" w:rsidSect="00AA3A23">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26F56C" w14:textId="77777777" w:rsidR="007A0E7C" w:rsidRDefault="007A0E7C" w:rsidP="00AA3A23">
      <w:pPr>
        <w:spacing w:after="0" w:line="240" w:lineRule="auto"/>
      </w:pPr>
      <w:r>
        <w:separator/>
      </w:r>
    </w:p>
  </w:endnote>
  <w:endnote w:type="continuationSeparator" w:id="0">
    <w:p w14:paraId="6AE2A0AC" w14:textId="77777777" w:rsidR="007A0E7C" w:rsidRDefault="007A0E7C" w:rsidP="00AA3A23">
      <w:pPr>
        <w:spacing w:after="0" w:line="240" w:lineRule="auto"/>
      </w:pPr>
      <w:r>
        <w:continuationSeparator/>
      </w:r>
    </w:p>
  </w:endnote>
  <w:endnote w:type="continuationNotice" w:id="1">
    <w:p w14:paraId="553DC4DB" w14:textId="77777777" w:rsidR="007A0E7C" w:rsidRDefault="007A0E7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ato">
    <w:charset w:val="00"/>
    <w:family w:val="swiss"/>
    <w:pitch w:val="variable"/>
    <w:sig w:usb0="E10002FF" w:usb1="5000ECFF" w:usb2="0000002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885A0C" w14:textId="77777777" w:rsidR="007A0E7C" w:rsidRDefault="007A0E7C" w:rsidP="00AA3A23">
      <w:pPr>
        <w:spacing w:after="0" w:line="240" w:lineRule="auto"/>
      </w:pPr>
      <w:r>
        <w:separator/>
      </w:r>
    </w:p>
  </w:footnote>
  <w:footnote w:type="continuationSeparator" w:id="0">
    <w:p w14:paraId="3C293011" w14:textId="77777777" w:rsidR="007A0E7C" w:rsidRDefault="007A0E7C" w:rsidP="00AA3A23">
      <w:pPr>
        <w:spacing w:after="0" w:line="240" w:lineRule="auto"/>
      </w:pPr>
      <w:r>
        <w:continuationSeparator/>
      </w:r>
    </w:p>
  </w:footnote>
  <w:footnote w:type="continuationNotice" w:id="1">
    <w:p w14:paraId="2D53CBD8" w14:textId="77777777" w:rsidR="007A0E7C" w:rsidRDefault="007A0E7C">
      <w:pPr>
        <w:spacing w:after="0" w:line="240" w:lineRule="auto"/>
      </w:pPr>
    </w:p>
  </w:footnote>
  <w:footnote w:id="2">
    <w:p w14:paraId="2B514352" w14:textId="77777777" w:rsidR="00A00D96" w:rsidRPr="00B96FF7" w:rsidRDefault="00A00D96" w:rsidP="7B586FFD">
      <w:pPr>
        <w:pStyle w:val="Tekstprzypisudolnego"/>
        <w:jc w:val="both"/>
        <w:rPr>
          <w:rFonts w:ascii="Times New Roman" w:hAnsi="Times New Roman"/>
          <w:sz w:val="18"/>
          <w:szCs w:val="18"/>
        </w:rPr>
      </w:pPr>
      <w:r w:rsidRPr="00B96FF7">
        <w:rPr>
          <w:rStyle w:val="Odwoanieprzypisudolnego"/>
          <w:rFonts w:ascii="Times New Roman" w:hAnsi="Times New Roman"/>
          <w:sz w:val="18"/>
          <w:szCs w:val="18"/>
        </w:rPr>
        <w:footnoteRef/>
      </w:r>
      <w:r w:rsidRPr="00B96FF7">
        <w:rPr>
          <w:rFonts w:ascii="Times New Roman" w:hAnsi="Times New Roman"/>
          <w:sz w:val="18"/>
          <w:szCs w:val="18"/>
        </w:rPr>
        <w:t xml:space="preserve"> (46) Państwom członkowskim należy zezwolić na utrzymanie lub wprowadzenie przepisów określających, że konsument – aby skorzystać z przysługujących mu praw – musi poinformować sprzedawcę o braku zgodności z umową w terminie nie krótszym niż dwa miesiące od dnia, w którym konsument stwierdził ten brak zgodności z umową. </w:t>
      </w:r>
      <w:r w:rsidRPr="035DF224">
        <w:rPr>
          <w:rFonts w:ascii="Times New Roman" w:hAnsi="Times New Roman"/>
          <w:b/>
          <w:bCs/>
          <w:sz w:val="18"/>
          <w:szCs w:val="18"/>
        </w:rPr>
        <w:t>Państwa członkowskie powinny mieć możliwość zapewnienia wyższego poziomu ochrony konsumentów, nie wprowadzając takiego obowiązku</w:t>
      </w:r>
      <w:r w:rsidRPr="00B96FF7">
        <w:rPr>
          <w:rFonts w:ascii="Times New Roman" w:hAnsi="Times New Roman"/>
          <w:sz w:val="18"/>
          <w:szCs w:val="18"/>
        </w:rPr>
        <w:t>.</w:t>
      </w:r>
    </w:p>
    <w:p w14:paraId="67906366" w14:textId="77777777" w:rsidR="00A00D96" w:rsidRPr="00B50708" w:rsidRDefault="00A00D96" w:rsidP="00AA3A23">
      <w:pPr>
        <w:pStyle w:val="Tekstprzypisudolnego"/>
        <w:jc w:val="both"/>
        <w:rPr>
          <w:sz w:val="18"/>
          <w:szCs w:val="18"/>
        </w:rPr>
      </w:pPr>
    </w:p>
  </w:footnote>
  <w:footnote w:id="3">
    <w:p w14:paraId="29422C41" w14:textId="77777777" w:rsidR="00A00D96" w:rsidRPr="00B96FF7" w:rsidRDefault="00A00D96" w:rsidP="7B586FFD">
      <w:pPr>
        <w:pStyle w:val="Tekstprzypisudolnego"/>
        <w:jc w:val="both"/>
        <w:rPr>
          <w:rFonts w:ascii="Times New Roman" w:hAnsi="Times New Roman"/>
          <w:sz w:val="18"/>
          <w:szCs w:val="18"/>
        </w:rPr>
      </w:pPr>
      <w:r w:rsidRPr="00B96FF7">
        <w:rPr>
          <w:rStyle w:val="Odwoanieprzypisudolnego"/>
          <w:rFonts w:ascii="Times New Roman" w:hAnsi="Times New Roman"/>
          <w:sz w:val="18"/>
          <w:szCs w:val="18"/>
        </w:rPr>
        <w:footnoteRef/>
      </w:r>
      <w:r w:rsidRPr="00B96FF7">
        <w:rPr>
          <w:rFonts w:ascii="Times New Roman" w:hAnsi="Times New Roman"/>
          <w:sz w:val="18"/>
          <w:szCs w:val="18"/>
        </w:rPr>
        <w:t xml:space="preserve"> Zob. K. Południak-Gierz, </w:t>
      </w:r>
      <w:r w:rsidRPr="7B586FFD">
        <w:rPr>
          <w:rFonts w:ascii="Times New Roman" w:hAnsi="Times New Roman"/>
          <w:i/>
          <w:iCs/>
          <w:sz w:val="18"/>
          <w:szCs w:val="18"/>
        </w:rPr>
        <w:t xml:space="preserve">Wpływ dyrektyw 2019/770 oraz 2019/771 na poziom ochrony konsumenta w ramach reżimu rękojmi w prawie polskim, Prawo w działaniu, Sprawy Cywilne, </w:t>
      </w:r>
      <w:r w:rsidRPr="00B96FF7">
        <w:rPr>
          <w:rFonts w:ascii="Times New Roman" w:hAnsi="Times New Roman"/>
          <w:sz w:val="18"/>
          <w:szCs w:val="18"/>
        </w:rPr>
        <w:t>54/203, s. 199.</w:t>
      </w:r>
    </w:p>
  </w:footnote>
  <w:footnote w:id="4">
    <w:p w14:paraId="6AA8782D" w14:textId="77777777" w:rsidR="00A00D96" w:rsidRDefault="00A00D96" w:rsidP="00AA3A23">
      <w:pPr>
        <w:pStyle w:val="Tekstprzypisudolnego"/>
        <w:jc w:val="both"/>
      </w:pPr>
      <w:r w:rsidRPr="00B96FF7">
        <w:rPr>
          <w:rStyle w:val="Odwoanieprzypisudolnego"/>
          <w:rFonts w:ascii="Times New Roman" w:hAnsi="Times New Roman"/>
          <w:sz w:val="18"/>
          <w:szCs w:val="18"/>
        </w:rPr>
        <w:footnoteRef/>
      </w:r>
      <w:r w:rsidRPr="00B96FF7">
        <w:rPr>
          <w:rFonts w:ascii="Times New Roman" w:hAnsi="Times New Roman"/>
          <w:sz w:val="18"/>
          <w:szCs w:val="18"/>
        </w:rPr>
        <w:t xml:space="preserve"> Zob. rządowy projekt ustawy o zmianie ustawy o prawach konsumenta oraz niektórych innych ustaw, druk sejmowy 2425.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AB53D77"/>
    <w:multiLevelType w:val="hybridMultilevel"/>
    <w:tmpl w:val="A30458AC"/>
    <w:lvl w:ilvl="0" w:tplc="041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9841675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3A23"/>
    <w:rsid w:val="000D6F87"/>
    <w:rsid w:val="00117938"/>
    <w:rsid w:val="0028325A"/>
    <w:rsid w:val="003A2BEE"/>
    <w:rsid w:val="003A77CC"/>
    <w:rsid w:val="0063290F"/>
    <w:rsid w:val="00700958"/>
    <w:rsid w:val="007A0E7C"/>
    <w:rsid w:val="007C74AA"/>
    <w:rsid w:val="008E59F0"/>
    <w:rsid w:val="0096398E"/>
    <w:rsid w:val="00A00D96"/>
    <w:rsid w:val="00A44F15"/>
    <w:rsid w:val="00AA3A23"/>
    <w:rsid w:val="00C546A5"/>
    <w:rsid w:val="00D00E34"/>
    <w:rsid w:val="00DE2BF6"/>
    <w:rsid w:val="00E010EC"/>
    <w:rsid w:val="00E24956"/>
    <w:rsid w:val="00F003E8"/>
    <w:rsid w:val="035DF224"/>
    <w:rsid w:val="22EEB6F4"/>
    <w:rsid w:val="2680696B"/>
    <w:rsid w:val="29E9A9C1"/>
    <w:rsid w:val="4409EC2B"/>
    <w:rsid w:val="4B34C222"/>
    <w:rsid w:val="63F5E467"/>
    <w:rsid w:val="75553B93"/>
    <w:rsid w:val="7B586FF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00AF4E"/>
  <w15:chartTrackingRefBased/>
  <w15:docId w15:val="{03D0EC92-C84D-4898-8CD0-ABA02B60C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AA3A2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AA3A2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AA3A23"/>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AA3A23"/>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AA3A23"/>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AA3A23"/>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AA3A23"/>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AA3A23"/>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AA3A23"/>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A3A23"/>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AA3A23"/>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AA3A23"/>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AA3A23"/>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AA3A23"/>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AA3A23"/>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AA3A23"/>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AA3A23"/>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AA3A23"/>
    <w:rPr>
      <w:rFonts w:eastAsiaTheme="majorEastAsia" w:cstheme="majorBidi"/>
      <w:color w:val="272727" w:themeColor="text1" w:themeTint="D8"/>
    </w:rPr>
  </w:style>
  <w:style w:type="paragraph" w:styleId="Tytu">
    <w:name w:val="Title"/>
    <w:basedOn w:val="Normalny"/>
    <w:next w:val="Normalny"/>
    <w:link w:val="TytuZnak"/>
    <w:uiPriority w:val="10"/>
    <w:qFormat/>
    <w:rsid w:val="00AA3A2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AA3A23"/>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AA3A23"/>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AA3A23"/>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AA3A23"/>
    <w:pPr>
      <w:spacing w:before="160"/>
      <w:jc w:val="center"/>
    </w:pPr>
    <w:rPr>
      <w:i/>
      <w:iCs/>
      <w:color w:val="404040" w:themeColor="text1" w:themeTint="BF"/>
    </w:rPr>
  </w:style>
  <w:style w:type="character" w:customStyle="1" w:styleId="CytatZnak">
    <w:name w:val="Cytat Znak"/>
    <w:basedOn w:val="Domylnaczcionkaakapitu"/>
    <w:link w:val="Cytat"/>
    <w:uiPriority w:val="29"/>
    <w:rsid w:val="00AA3A23"/>
    <w:rPr>
      <w:i/>
      <w:iCs/>
      <w:color w:val="404040" w:themeColor="text1" w:themeTint="BF"/>
    </w:rPr>
  </w:style>
  <w:style w:type="paragraph" w:styleId="Akapitzlist">
    <w:name w:val="List Paragraph"/>
    <w:basedOn w:val="Normalny"/>
    <w:uiPriority w:val="34"/>
    <w:qFormat/>
    <w:rsid w:val="00AA3A23"/>
    <w:pPr>
      <w:ind w:left="720"/>
      <w:contextualSpacing/>
    </w:pPr>
  </w:style>
  <w:style w:type="character" w:styleId="Wyrnienieintensywne">
    <w:name w:val="Intense Emphasis"/>
    <w:basedOn w:val="Domylnaczcionkaakapitu"/>
    <w:uiPriority w:val="21"/>
    <w:qFormat/>
    <w:rsid w:val="00AA3A23"/>
    <w:rPr>
      <w:i/>
      <w:iCs/>
      <w:color w:val="0F4761" w:themeColor="accent1" w:themeShade="BF"/>
    </w:rPr>
  </w:style>
  <w:style w:type="paragraph" w:styleId="Cytatintensywny">
    <w:name w:val="Intense Quote"/>
    <w:basedOn w:val="Normalny"/>
    <w:next w:val="Normalny"/>
    <w:link w:val="CytatintensywnyZnak"/>
    <w:uiPriority w:val="30"/>
    <w:qFormat/>
    <w:rsid w:val="00AA3A2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AA3A23"/>
    <w:rPr>
      <w:i/>
      <w:iCs/>
      <w:color w:val="0F4761" w:themeColor="accent1" w:themeShade="BF"/>
    </w:rPr>
  </w:style>
  <w:style w:type="character" w:styleId="Odwoanieintensywne">
    <w:name w:val="Intense Reference"/>
    <w:basedOn w:val="Domylnaczcionkaakapitu"/>
    <w:uiPriority w:val="32"/>
    <w:qFormat/>
    <w:rsid w:val="00AA3A23"/>
    <w:rPr>
      <w:b/>
      <w:bCs/>
      <w:smallCaps/>
      <w:color w:val="0F4761" w:themeColor="accent1" w:themeShade="BF"/>
      <w:spacing w:val="5"/>
    </w:rPr>
  </w:style>
  <w:style w:type="paragraph" w:styleId="Tekstprzypisudolnego">
    <w:name w:val="footnote text"/>
    <w:basedOn w:val="Normalny"/>
    <w:link w:val="TekstprzypisudolnegoZnak"/>
    <w:uiPriority w:val="99"/>
    <w:semiHidden/>
    <w:unhideWhenUsed/>
    <w:rsid w:val="00AA3A2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AA3A23"/>
    <w:rPr>
      <w:sz w:val="20"/>
      <w:szCs w:val="20"/>
    </w:rPr>
  </w:style>
  <w:style w:type="table" w:customStyle="1" w:styleId="Tabela-Siatka1">
    <w:name w:val="Tabela - Siatka1"/>
    <w:basedOn w:val="Standardowy"/>
    <w:next w:val="Tabela-Siatka"/>
    <w:uiPriority w:val="59"/>
    <w:rsid w:val="00AA3A23"/>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AA3A23"/>
    <w:rPr>
      <w:sz w:val="16"/>
      <w:szCs w:val="16"/>
    </w:rPr>
  </w:style>
  <w:style w:type="paragraph" w:customStyle="1" w:styleId="Tekstkomentarza1">
    <w:name w:val="Tekst komentarza1"/>
    <w:basedOn w:val="Normalny"/>
    <w:next w:val="Tekstkomentarza"/>
    <w:link w:val="TekstkomentarzaZnak"/>
    <w:uiPriority w:val="99"/>
    <w:unhideWhenUsed/>
    <w:rsid w:val="00AA3A23"/>
    <w:pPr>
      <w:spacing w:line="240" w:lineRule="auto"/>
    </w:pPr>
    <w:rPr>
      <w:sz w:val="20"/>
      <w:szCs w:val="20"/>
    </w:rPr>
  </w:style>
  <w:style w:type="character" w:customStyle="1" w:styleId="TekstkomentarzaZnak">
    <w:name w:val="Tekst komentarza Znak"/>
    <w:basedOn w:val="Domylnaczcionkaakapitu"/>
    <w:link w:val="Tekstkomentarza1"/>
    <w:uiPriority w:val="99"/>
    <w:rsid w:val="00AA3A23"/>
    <w:rPr>
      <w:sz w:val="20"/>
      <w:szCs w:val="20"/>
    </w:rPr>
  </w:style>
  <w:style w:type="character" w:styleId="Odwoanieprzypisudolnego">
    <w:name w:val="footnote reference"/>
    <w:aliases w:val=" Znak, Znak Znak,Znak,FZ,(Voetnootmarkering),Znak Znak"/>
    <w:basedOn w:val="Domylnaczcionkaakapitu"/>
    <w:uiPriority w:val="99"/>
    <w:semiHidden/>
    <w:unhideWhenUsed/>
    <w:rsid w:val="00AA3A23"/>
    <w:rPr>
      <w:vertAlign w:val="superscript"/>
    </w:rPr>
  </w:style>
  <w:style w:type="table" w:styleId="Tabela-Siatka">
    <w:name w:val="Table Grid"/>
    <w:basedOn w:val="Standardowy"/>
    <w:uiPriority w:val="39"/>
    <w:rsid w:val="00AA3A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komentarza">
    <w:name w:val="annotation text"/>
    <w:basedOn w:val="Normalny"/>
    <w:link w:val="TekstkomentarzaZnak1"/>
    <w:uiPriority w:val="99"/>
    <w:semiHidden/>
    <w:unhideWhenUsed/>
    <w:rsid w:val="00AA3A23"/>
    <w:pPr>
      <w:spacing w:line="240" w:lineRule="auto"/>
    </w:pPr>
    <w:rPr>
      <w:sz w:val="20"/>
      <w:szCs w:val="20"/>
    </w:rPr>
  </w:style>
  <w:style w:type="character" w:customStyle="1" w:styleId="TekstkomentarzaZnak1">
    <w:name w:val="Tekst komentarza Znak1"/>
    <w:basedOn w:val="Domylnaczcionkaakapitu"/>
    <w:link w:val="Tekstkomentarza"/>
    <w:uiPriority w:val="99"/>
    <w:semiHidden/>
    <w:rsid w:val="00AA3A23"/>
    <w:rPr>
      <w:sz w:val="20"/>
      <w:szCs w:val="20"/>
    </w:rPr>
  </w:style>
  <w:style w:type="table" w:styleId="Tabelasiatki1jasnaakcent1">
    <w:name w:val="Grid Table 1 Light Accent 1"/>
    <w:basedOn w:val="Standardowy"/>
    <w:uiPriority w:val="46"/>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styleId="Tekstprzypisukocowego">
    <w:name w:val="endnote text"/>
    <w:basedOn w:val="Normalny"/>
    <w:link w:val="TekstprzypisukocowegoZnak"/>
    <w:uiPriority w:val="99"/>
    <w:semiHidden/>
    <w:unhideWhenUsed/>
    <w:rsid w:val="00F003E8"/>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003E8"/>
    <w:rPr>
      <w:sz w:val="20"/>
      <w:szCs w:val="20"/>
    </w:rPr>
  </w:style>
  <w:style w:type="character" w:styleId="Odwoanieprzypisukocowego">
    <w:name w:val="endnote reference"/>
    <w:basedOn w:val="Domylnaczcionkaakapitu"/>
    <w:uiPriority w:val="99"/>
    <w:semiHidden/>
    <w:unhideWhenUsed/>
    <w:rsid w:val="00F003E8"/>
    <w:rPr>
      <w:vertAlign w:val="superscript"/>
    </w:rPr>
  </w:style>
  <w:style w:type="paragraph" w:customStyle="1" w:styleId="ZPKTzmpktartykuempunktem">
    <w:name w:val="Z/PKT – zm. pkt artykułem (punktem)"/>
    <w:basedOn w:val="Normalny"/>
    <w:uiPriority w:val="31"/>
    <w:qFormat/>
    <w:rsid w:val="00D00E34"/>
    <w:pPr>
      <w:spacing w:after="0" w:line="360" w:lineRule="auto"/>
      <w:ind w:left="1020" w:hanging="510"/>
      <w:jc w:val="both"/>
    </w:pPr>
    <w:rPr>
      <w:rFonts w:ascii="Times" w:eastAsiaTheme="minorEastAsia" w:hAnsi="Times" w:cs="Arial"/>
      <w:bCs/>
      <w:kern w:val="0"/>
      <w:szCs w:val="20"/>
      <w:lang w:eastAsia="pl-PL"/>
      <w14:ligatures w14:val="none"/>
    </w:rPr>
  </w:style>
  <w:style w:type="paragraph" w:customStyle="1" w:styleId="ZUSTzmustartykuempunktem">
    <w:name w:val="Z/UST(§) – zm. ust. (§) artykułem (punktem)"/>
    <w:basedOn w:val="Normalny"/>
    <w:uiPriority w:val="30"/>
    <w:qFormat/>
    <w:rsid w:val="00D00E34"/>
    <w:pPr>
      <w:suppressAutoHyphens/>
      <w:autoSpaceDE w:val="0"/>
      <w:autoSpaceDN w:val="0"/>
      <w:adjustRightInd w:val="0"/>
      <w:spacing w:after="0" w:line="360" w:lineRule="auto"/>
      <w:ind w:left="510" w:firstLine="510"/>
      <w:jc w:val="both"/>
    </w:pPr>
    <w:rPr>
      <w:rFonts w:ascii="Times" w:eastAsiaTheme="minorEastAsia" w:hAnsi="Times" w:cs="Arial"/>
      <w:kern w:val="0"/>
      <w:szCs w:val="20"/>
      <w:lang w:eastAsia="pl-PL"/>
      <w14:ligatures w14:val="none"/>
    </w:rPr>
  </w:style>
  <w:style w:type="paragraph" w:customStyle="1" w:styleId="ZLITUSTzmustliter">
    <w:name w:val="Z_LIT/UST(§) – zm. ust. (§) literą"/>
    <w:basedOn w:val="Normalny"/>
    <w:uiPriority w:val="46"/>
    <w:qFormat/>
    <w:rsid w:val="00D00E34"/>
    <w:pPr>
      <w:suppressAutoHyphens/>
      <w:autoSpaceDE w:val="0"/>
      <w:autoSpaceDN w:val="0"/>
      <w:adjustRightInd w:val="0"/>
      <w:spacing w:after="0" w:line="360" w:lineRule="auto"/>
      <w:ind w:left="987" w:firstLine="510"/>
      <w:jc w:val="both"/>
    </w:pPr>
    <w:rPr>
      <w:rFonts w:ascii="Times" w:eastAsiaTheme="minorEastAsia" w:hAnsi="Times" w:cs="Arial"/>
      <w:bCs/>
      <w:kern w:val="0"/>
      <w:szCs w:val="20"/>
      <w:lang w:eastAsia="pl-PL"/>
      <w14:ligatures w14:val="none"/>
    </w:rPr>
  </w:style>
  <w:style w:type="paragraph" w:customStyle="1" w:styleId="ZLITPKTzmpktliter">
    <w:name w:val="Z_LIT/PKT – zm. pkt literą"/>
    <w:basedOn w:val="Normalny"/>
    <w:uiPriority w:val="47"/>
    <w:qFormat/>
    <w:rsid w:val="00D00E34"/>
    <w:pPr>
      <w:spacing w:after="0" w:line="360" w:lineRule="auto"/>
      <w:ind w:left="1497" w:hanging="510"/>
      <w:jc w:val="both"/>
    </w:pPr>
    <w:rPr>
      <w:rFonts w:ascii="Times" w:eastAsiaTheme="minorEastAsia" w:hAnsi="Times" w:cs="Arial"/>
      <w:bCs/>
      <w:kern w:val="0"/>
      <w:szCs w:val="20"/>
      <w:lang w:eastAsia="pl-PL"/>
      <w14:ligatures w14:val="none"/>
    </w:rPr>
  </w:style>
  <w:style w:type="paragraph" w:styleId="Nagwek">
    <w:name w:val="header"/>
    <w:basedOn w:val="Normalny"/>
    <w:link w:val="NagwekZnak"/>
    <w:uiPriority w:val="99"/>
    <w:semiHidden/>
    <w:unhideWhenUsed/>
    <w:rsid w:val="000D6F87"/>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0D6F87"/>
  </w:style>
  <w:style w:type="paragraph" w:styleId="Stopka">
    <w:name w:val="footer"/>
    <w:basedOn w:val="Normalny"/>
    <w:link w:val="StopkaZnak"/>
    <w:uiPriority w:val="99"/>
    <w:semiHidden/>
    <w:unhideWhenUsed/>
    <w:rsid w:val="000D6F87"/>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0D6F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1A9DAB1603DB9B4F828582133B0748F9" ma:contentTypeVersion="2" ma:contentTypeDescription="Utwórz nowy dokument." ma:contentTypeScope="" ma:versionID="120d2fa984c23c4b09d04e7c96e0c553">
  <xsd:schema xmlns:xsd="http://www.w3.org/2001/XMLSchema" xmlns:xs="http://www.w3.org/2001/XMLSchema" xmlns:p="http://schemas.microsoft.com/office/2006/metadata/properties" xmlns:ns2="b064a0ac-8953-4d7d-b546-6563a1bb17bb" targetNamespace="http://schemas.microsoft.com/office/2006/metadata/properties" ma:root="true" ma:fieldsID="507cad150df4ab25d7140ade1984c73f" ns2:_="">
    <xsd:import namespace="b064a0ac-8953-4d7d-b546-6563a1bb17bb"/>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64a0ac-8953-4d7d-b546-6563a1bb17bb"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DAFD004-90AD-4915-8182-1007A47D971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B25B361-11D4-4373-A077-B9097E9A70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64a0ac-8953-4d7d-b546-6563a1bb17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D8F4532-8C60-43E2-B222-B16ADFC15BF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6052</Words>
  <Characters>36312</Characters>
  <Application>Microsoft Office Word</Application>
  <DocSecurity>0</DocSecurity>
  <Lines>302</Lines>
  <Paragraphs>84</Paragraphs>
  <ScaleCrop>false</ScaleCrop>
  <Company/>
  <LinksUpToDate>false</LinksUpToDate>
  <CharactersWithSpaces>42280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Czajka Katarzyna</dc:creator>
  <cp:keywords/>
  <dc:description/>
  <cp:lastModifiedBy>Herman Anna</cp:lastModifiedBy>
  <cp:revision>2</cp:revision>
  <dcterms:created xsi:type="dcterms:W3CDTF">2024-08-26T10:02:00Z</dcterms:created>
  <dcterms:modified xsi:type="dcterms:W3CDTF">2024-08-26T10:02:00Z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0x0101001A9DAB1603DB9B4F828582133B0748F9</vt:lpwstr>
  </property>
</Properties>
</file>