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CC603C5" w14:textId="77777777" w:rsidR="00187A49" w:rsidRDefault="00187A49"/>
    <w:tbl>
      <w:tblPr>
        <w:tblStyle w:val="Tabela-Siatka1"/>
        <w:tblW w:w="15516" w:type="dxa"/>
        <w:jc w:val="center"/>
        <w:tblLook w:val="04A0" w:firstRow="1" w:lastRow="0" w:firstColumn="1" w:lastColumn="0" w:noHBand="0" w:noVBand="1"/>
      </w:tblPr>
      <w:tblGrid>
        <w:gridCol w:w="879"/>
        <w:gridCol w:w="1662"/>
        <w:gridCol w:w="8176"/>
        <w:gridCol w:w="4791"/>
        <w:gridCol w:w="8"/>
      </w:tblGrid>
      <w:tr w:rsidR="00546363" w:rsidRPr="003B1986" w14:paraId="5B55D526" w14:textId="77777777" w:rsidTr="5F412CC3">
        <w:trPr>
          <w:trHeight w:val="592"/>
          <w:jc w:val="center"/>
        </w:trPr>
        <w:tc>
          <w:tcPr>
            <w:tcW w:w="15516" w:type="dxa"/>
            <w:gridSpan w:val="5"/>
            <w:shd w:val="clear" w:color="auto" w:fill="1F497D"/>
            <w:vAlign w:val="center"/>
          </w:tcPr>
          <w:p w14:paraId="29D4949B" w14:textId="397C065D" w:rsidR="00546363" w:rsidRPr="003B1986" w:rsidRDefault="5E4B0158" w:rsidP="5E4B0158">
            <w:pPr>
              <w:jc w:val="center"/>
              <w:rPr>
                <w:rFonts w:eastAsia="Calibri" w:cs="Arial"/>
                <w:b/>
                <w:bCs/>
                <w:color w:val="FFFFFF" w:themeColor="background1"/>
                <w:lang w:eastAsia="pl-PL"/>
              </w:rPr>
            </w:pPr>
            <w:r w:rsidRPr="5E4B0158">
              <w:rPr>
                <w:rFonts w:eastAsia="Calibri" w:cs="Arial"/>
                <w:b/>
                <w:bCs/>
                <w:color w:val="FFFFFF" w:themeColor="background1"/>
                <w:lang w:eastAsia="pl-PL"/>
              </w:rPr>
              <w:t>Uwagi Rady Legislacyjnej do projektu ustawy o zmianie niektórych ustaw w celu deregulacji prawa gospodarczego i administracyjnego oraz doskonalenia zasad opracowywania prawa gospodarczego (UA8) wraz ze stanowiskiem MRiT</w:t>
            </w:r>
          </w:p>
        </w:tc>
      </w:tr>
      <w:tr w:rsidR="00546363" w:rsidRPr="00546363" w14:paraId="19FCB9B0" w14:textId="77777777" w:rsidTr="5F412CC3">
        <w:trPr>
          <w:gridAfter w:val="1"/>
          <w:wAfter w:w="8" w:type="dxa"/>
          <w:jc w:val="center"/>
        </w:trPr>
        <w:tc>
          <w:tcPr>
            <w:tcW w:w="879" w:type="dxa"/>
            <w:shd w:val="clear" w:color="auto" w:fill="1F4E79"/>
          </w:tcPr>
          <w:p w14:paraId="01297C38" w14:textId="1591EB60" w:rsidR="00546363" w:rsidRPr="00546363" w:rsidRDefault="5E4B0158" w:rsidP="5E4B0158">
            <w:pPr>
              <w:jc w:val="center"/>
              <w:rPr>
                <w:rFonts w:eastAsia="Calibri" w:cs="Arial"/>
                <w:b/>
                <w:bCs/>
                <w:color w:val="FFFFFF" w:themeColor="background1"/>
                <w:lang w:eastAsia="pl-PL"/>
              </w:rPr>
            </w:pPr>
            <w:r w:rsidRPr="5E4B0158">
              <w:rPr>
                <w:rFonts w:eastAsia="Calibri" w:cs="Arial"/>
                <w:b/>
                <w:bCs/>
                <w:color w:val="FFFFFF" w:themeColor="background1"/>
                <w:lang w:eastAsia="pl-PL"/>
              </w:rPr>
              <w:t>L.p.</w:t>
            </w:r>
          </w:p>
        </w:tc>
        <w:tc>
          <w:tcPr>
            <w:tcW w:w="1662" w:type="dxa"/>
            <w:tcBorders>
              <w:top w:val="single" w:sz="4" w:space="0" w:color="auto"/>
              <w:left w:val="single" w:sz="4" w:space="0" w:color="auto"/>
              <w:bottom w:val="single" w:sz="4" w:space="0" w:color="auto"/>
              <w:right w:val="single" w:sz="4" w:space="0" w:color="auto"/>
            </w:tcBorders>
            <w:shd w:val="clear" w:color="auto" w:fill="1F4E79"/>
          </w:tcPr>
          <w:p w14:paraId="2038CE28" w14:textId="18FF0DF9" w:rsidR="00546363" w:rsidRPr="00546363" w:rsidRDefault="5E4B0158" w:rsidP="5E4B0158">
            <w:pPr>
              <w:jc w:val="center"/>
              <w:rPr>
                <w:rFonts w:eastAsia="Calibri" w:cs="Arial"/>
                <w:b/>
                <w:bCs/>
                <w:color w:val="FFFFFF" w:themeColor="background1"/>
                <w:lang w:eastAsia="pl-PL"/>
              </w:rPr>
            </w:pPr>
            <w:r w:rsidRPr="5E4B0158">
              <w:rPr>
                <w:rFonts w:eastAsia="Calibri" w:cs="Arial"/>
                <w:b/>
                <w:bCs/>
                <w:color w:val="FFFFFF" w:themeColor="background1"/>
                <w:lang w:eastAsia="pl-PL"/>
              </w:rPr>
              <w:t>Zagadnienie / jednostka redakcyjna</w:t>
            </w:r>
          </w:p>
        </w:tc>
        <w:tc>
          <w:tcPr>
            <w:tcW w:w="8176" w:type="dxa"/>
            <w:tcBorders>
              <w:top w:val="single" w:sz="4" w:space="0" w:color="auto"/>
              <w:left w:val="single" w:sz="4" w:space="0" w:color="auto"/>
              <w:bottom w:val="single" w:sz="4" w:space="0" w:color="auto"/>
              <w:right w:val="single" w:sz="4" w:space="0" w:color="auto"/>
            </w:tcBorders>
            <w:shd w:val="clear" w:color="auto" w:fill="1F4E79"/>
          </w:tcPr>
          <w:p w14:paraId="3E499169" w14:textId="76B14EFF" w:rsidR="00546363" w:rsidRPr="00546363" w:rsidRDefault="5E4B0158" w:rsidP="5E4B0158">
            <w:pPr>
              <w:jc w:val="center"/>
              <w:rPr>
                <w:rFonts w:eastAsia="Calibri" w:cs="Arial"/>
                <w:b/>
                <w:bCs/>
                <w:color w:val="FFFFFF" w:themeColor="background1"/>
                <w:lang w:eastAsia="pl-PL"/>
              </w:rPr>
            </w:pPr>
            <w:r w:rsidRPr="5E4B0158">
              <w:rPr>
                <w:rFonts w:eastAsia="Calibri" w:cs="Arial"/>
                <w:b/>
                <w:bCs/>
                <w:color w:val="FFFFFF" w:themeColor="background1"/>
                <w:lang w:eastAsia="pl-PL"/>
              </w:rPr>
              <w:t>Uwaga</w:t>
            </w:r>
          </w:p>
        </w:tc>
        <w:tc>
          <w:tcPr>
            <w:tcW w:w="4791" w:type="dxa"/>
            <w:shd w:val="clear" w:color="auto" w:fill="1F4E79"/>
          </w:tcPr>
          <w:p w14:paraId="275C462B" w14:textId="233DF507" w:rsidR="00546363" w:rsidRPr="00546363" w:rsidRDefault="5E4B0158" w:rsidP="5E4B0158">
            <w:pPr>
              <w:jc w:val="center"/>
              <w:rPr>
                <w:rFonts w:eastAsia="Calibri" w:cs="Arial"/>
                <w:b/>
                <w:bCs/>
                <w:color w:val="FFFFFF" w:themeColor="background1"/>
                <w:lang w:eastAsia="pl-PL"/>
              </w:rPr>
            </w:pPr>
            <w:r w:rsidRPr="5E4B0158">
              <w:rPr>
                <w:rFonts w:eastAsia="Calibri" w:cs="Arial"/>
                <w:b/>
                <w:bCs/>
                <w:color w:val="FFFFFF" w:themeColor="background1"/>
                <w:lang w:eastAsia="pl-PL"/>
              </w:rPr>
              <w:t>Stanowisko MRiT</w:t>
            </w:r>
          </w:p>
        </w:tc>
      </w:tr>
      <w:tr w:rsidR="00546363" w:rsidRPr="00642550" w14:paraId="0F93A908" w14:textId="77777777" w:rsidTr="5F412CC3">
        <w:trPr>
          <w:gridAfter w:val="1"/>
          <w:wAfter w:w="8" w:type="dxa"/>
          <w:trHeight w:val="555"/>
          <w:jc w:val="center"/>
        </w:trPr>
        <w:tc>
          <w:tcPr>
            <w:tcW w:w="879" w:type="dxa"/>
          </w:tcPr>
          <w:p w14:paraId="0F6C5528" w14:textId="77777777" w:rsidR="00546363" w:rsidRPr="00642550" w:rsidRDefault="00546363" w:rsidP="003972FB">
            <w:pPr>
              <w:numPr>
                <w:ilvl w:val="0"/>
                <w:numId w:val="3"/>
              </w:numPr>
              <w:spacing w:before="120"/>
              <w:ind w:right="-534"/>
              <w:contextualSpacing/>
              <w:rPr>
                <w:rFonts w:ascii="Lato" w:eastAsia="Calibri" w:hAnsi="Lato" w:cs="Arial"/>
                <w:b/>
                <w:sz w:val="20"/>
                <w:szCs w:val="20"/>
              </w:rPr>
            </w:pPr>
          </w:p>
        </w:tc>
        <w:tc>
          <w:tcPr>
            <w:tcW w:w="1662" w:type="dxa"/>
            <w:tcBorders>
              <w:top w:val="single" w:sz="4" w:space="0" w:color="auto"/>
              <w:left w:val="single" w:sz="4" w:space="0" w:color="auto"/>
              <w:bottom w:val="single" w:sz="4" w:space="0" w:color="auto"/>
              <w:right w:val="single" w:sz="4" w:space="0" w:color="auto"/>
            </w:tcBorders>
          </w:tcPr>
          <w:p w14:paraId="3727FB84" w14:textId="7B3D96D7" w:rsidR="00546363" w:rsidRPr="00642550" w:rsidRDefault="5E4B0158" w:rsidP="5E4B0158">
            <w:pPr>
              <w:rPr>
                <w:rFonts w:ascii="Lato" w:hAnsi="Lato" w:cs="Times New Roman"/>
                <w:sz w:val="20"/>
                <w:szCs w:val="20"/>
              </w:rPr>
            </w:pPr>
            <w:r w:rsidRPr="5E4B0158">
              <w:rPr>
                <w:rFonts w:ascii="Lato" w:hAnsi="Lato" w:cs="Times New Roman"/>
                <w:sz w:val="20"/>
                <w:szCs w:val="20"/>
              </w:rPr>
              <w:t xml:space="preserve">Zmiana w Prawie wekslowym </w:t>
            </w:r>
          </w:p>
        </w:tc>
        <w:tc>
          <w:tcPr>
            <w:tcW w:w="8176" w:type="dxa"/>
            <w:tcBorders>
              <w:top w:val="single" w:sz="4" w:space="0" w:color="auto"/>
              <w:left w:val="single" w:sz="4" w:space="0" w:color="auto"/>
              <w:bottom w:val="single" w:sz="4" w:space="0" w:color="auto"/>
              <w:right w:val="single" w:sz="4" w:space="0" w:color="auto"/>
            </w:tcBorders>
          </w:tcPr>
          <w:p w14:paraId="7781684C" w14:textId="34EE96A8" w:rsidR="000E37B9" w:rsidRPr="000E37B9" w:rsidRDefault="5E4B0158" w:rsidP="5E4B0158">
            <w:pPr>
              <w:jc w:val="both"/>
              <w:rPr>
                <w:rFonts w:ascii="Lato" w:hAnsi="Lato" w:cs="Times New Roman"/>
                <w:sz w:val="20"/>
                <w:szCs w:val="20"/>
              </w:rPr>
            </w:pPr>
            <w:r w:rsidRPr="5E4B0158">
              <w:rPr>
                <w:rFonts w:ascii="Lato" w:hAnsi="Lato" w:cs="Times New Roman"/>
                <w:sz w:val="20"/>
                <w:szCs w:val="20"/>
              </w:rPr>
              <w:t>Przewidziane w Projekcie zmiany w ustawie Prawo wekslowe – ukierunkowane na wprowadzenie w tej ustawie instytucji weksla w postaci elektronicznej – są nie w pełni kompatybilne z już zamieszczonymi w tej ustawie przepisami i są niedostatecznie precyzyjne oraz niekompletne. Przede wszystkim zwraca uwagę okoliczność, iż w dodawanych przez Projekt do ustawy Prawo wekslowe nowych przepisach art. 10a i art. 10b Prawa wekslowego jest mowa o „sporządzeniu weksla” (w postaci elektronicznej), podczas gdy ustawa Prawo wekslowe bardzo konsekwentnie używa w tym kontekście pojęcia „wystawienia weksla” (zob. tytuł działu I w tytule I Prawa wekslowego oraz art. 1 pkt 7, art. 2 zd. 4, art. 5 zd. 4, art. 10, art. 23 zd. 1, art. 34 zd. 2, art. 37 zd. 1 i 2, art. 41 zd. 6, art. 80, art. 81, art. 101 pkt 6, art. 102 zd. 3 i 4 Prawa wekslowego). Natomiast pojęcie „sporządzenia” jest w ustawie Prawo wekslowe w sposób spójny stosowane nie w odniesieniu do sporządzenia weksla, lecz sporządzenia innych dokumentów lub czynności związanych z wekslem, np. sporządzenie protestu (art. 85-94 Prawa wekslowego), sporządzenie odpisu weksla (art. 67 Prawa wekslowego), sporządzenie rachunku pokwitowanego (art. 58 zd. 2 Prawa wekslowego). Z powyższych względów, w celu zachowania w ramach ustawy Prawo wekslowe elementarnej spójności terminologicznej, należałoby rekomendować twórcom Projektu posłużenie się w projektowanych art. 10a i art. 10b Prawa wekslowego określeniem mówiącym o „wystawieniu weksla w postaci elektronicznej”.</w:t>
            </w:r>
          </w:p>
          <w:p w14:paraId="4F0DC58D" w14:textId="3A9BB2E7" w:rsidR="003972FB" w:rsidRPr="003972FB" w:rsidRDefault="5E4B0158" w:rsidP="5E4B0158">
            <w:pPr>
              <w:jc w:val="both"/>
              <w:rPr>
                <w:rFonts w:ascii="Lato" w:hAnsi="Lato" w:cs="Times New Roman"/>
                <w:sz w:val="20"/>
                <w:szCs w:val="20"/>
              </w:rPr>
            </w:pPr>
            <w:r w:rsidRPr="5E4B0158">
              <w:rPr>
                <w:rFonts w:ascii="Lato" w:hAnsi="Lato" w:cs="Times New Roman"/>
                <w:sz w:val="20"/>
                <w:szCs w:val="20"/>
              </w:rPr>
              <w:t>W dalszej kolejności należałoby zauważyć, że w projektowanym art. 10a Prawa wekslowego zupełnie niepotrzebnie występuje dwukrotne powtórzenie sformułowania mówiącego o wekslu w postaci elektronicznej: używa się tego określenia zarówno w zdaniu pierwszym, jak też w zdaniu drugim projektowanego nowego artykułu (Projektowany art. 10a Prawa wekslowego brzmi następująco: „Weksel może być sporządzony także w postaci elektronicznej. Ilekroć w ustawie jest mowa o wekslu należy przez to rozumieć także weksel w postaci elektronicznej, zwany dalej „elektronicznym wekslem”, chyba że ustawa stanowi inaczej.) Tymczasem możliwe i zasadne jest bardziej skrótowe sformułowanie tych przepisów, tak aby czyniło to zadość postulatowi zwięzłego i skrótowego redagowania przepisów prawa (zob. § 5 Zasad techniki prawodawczej) oraz by odpowiadało to stylistyce już obowiązujących przepisów Prawa wekslowego (który jest aktem prawnym bardzo syntetycznym i który w dążeniu do skrótowości przepisów często formułuje definicje pewnych terminów ujmując definiendum w nawiasie). Z tych względów Rada Legislacyjna postuluje zredagowanie projektowanego art. 10a Prawa wekslowego w następujący sposób: „Weksel może być wystawiony także w postaci elektronicznej (elektroniczny weksel). Ilekroć w ustawie jest mowa o wekslu należy przez to rozumieć także elektroniczny weksel, chyba że ustawa stanowi inaczej.”.</w:t>
            </w:r>
          </w:p>
          <w:p w14:paraId="0DBB49E8" w14:textId="5977DF9F" w:rsidR="003972FB" w:rsidRPr="003972FB" w:rsidRDefault="5E4B0158" w:rsidP="5E4B0158">
            <w:pPr>
              <w:jc w:val="both"/>
              <w:rPr>
                <w:rFonts w:ascii="Lato" w:hAnsi="Lato" w:cs="Times New Roman"/>
                <w:sz w:val="20"/>
                <w:szCs w:val="20"/>
              </w:rPr>
            </w:pPr>
            <w:r w:rsidRPr="5E4B0158">
              <w:rPr>
                <w:rFonts w:ascii="Lato" w:hAnsi="Lato" w:cs="Times New Roman"/>
                <w:sz w:val="20"/>
                <w:szCs w:val="20"/>
              </w:rPr>
              <w:lastRenderedPageBreak/>
              <w:t xml:space="preserve">Bardzo nieprecyzyjne i nieadekwatne treściowo jest zamieszczone w projektowanym art. 10c Prawa wekslowego określenie (wyliczenie) zakresu spraw przekazanych do uregulowania w rozporządzeniu (mającym zostać wydanym przez Ministra Sprawiedliwości w porozumieniu z innymi ministrami). Projektowany art. 10c Prawa wekslowego stanowi, że przewidziane tam rozporządzenie ma określać „wzór formularza elektronicznego weksla, i dokonywania innych czynności dotyczących weksla określonych w ustawie”. Taka stylistyka ustawowa jest przede wszystkim sprzeczna z regułą wyrażoną w projektowanym art. 10b Prawa wekslowego, z której wynika, że formularz ma być pewnym urzędowym dokumentem, w którym dokonuje się wszystkich czynności dotyczących elektronicznego weksla, w tym sporządzenia (a właściwie wystawienia) elektronicznego weksla („Czynności dotyczących elektronicznego weksla, w tym jego sporządzenie, dokonuje się na formularzu.”). Tym samym z projektowanego art. 10b Prawa wekslowego jasno wynika, że formularz jako taki nie jest sam w sobie jakąkolwiek „czynnością dotyczącą elektronicznego weksla”, lecz jest jedynie zewnętrznym upostaciowieniem (ucieleśnieniem) poszczególnych czynności dotyczących elektronicznego weksla, w tym jego wystawienia. W takim układzie w projektowanym art. 10c Prawa wekslowego de lege ferenda nie należałoby stosować zbitki pojęciowej: „wzór formularza elektronicznego weksla, i dokonywania innych czynności dotyczących weksla”, ponieważ taka stylistyka mylnie sugeruje jakoby formularz elektronicznego weksla był sam w sobie czynnością dotyczącą elektronicznego weksla, a konkretnie jego wystawieniem (sporządzeniem): mianowicie, po wzmiance o formularzu jest w tym nowo projektowanym przepisie mowa o „innych czynnościach dotyczących weksla”, zaś skoro jest tu mowa o „innych czynnościach”, to znaczy, że wcześniej w tym przepisie – w odniesieniu do formularza elektronicznego weksla – też jest mowa o określonej czynności (formularz jako czynność </w:t>
            </w:r>
            <w:r w:rsidRPr="5E4B0158">
              <w:rPr>
                <w:rFonts w:ascii="Lato" w:hAnsi="Lato" w:cs="Times New Roman"/>
                <w:i/>
                <w:iCs/>
                <w:sz w:val="20"/>
                <w:szCs w:val="20"/>
              </w:rPr>
              <w:t>eo ipso</w:t>
            </w:r>
            <w:r w:rsidRPr="5E4B0158">
              <w:rPr>
                <w:rFonts w:ascii="Lato" w:hAnsi="Lato" w:cs="Times New Roman"/>
                <w:sz w:val="20"/>
                <w:szCs w:val="20"/>
              </w:rPr>
              <w:t xml:space="preserve">). W przekonaniu Rady Legislacyjnej należy odejść od takiej stylistyki, a w konsekwencji zakres spraw przekazanych do uregulowania w rozporządzeniu powinno się w projektowanym  art. 10c Prawa wekslowego opisać w następujący sposób: Minister Sprawiedliwości, w porozumieniu z innymi właściwymi ministrami, określi „wzór formularza elektronicznego weksla stosowany przy dokonywaniu poszczególnych, określonych w ustawie, czynności dotyczących elektronicznego weksla, w tym przy jego wystawianiu”. Takie sformułowanie ustawowego upoważnienia będzie nie tylko bardziej precyzyjne niż obecne, ale też zapewni spójność terminologiczną z całością projektowanej nowelizacji Prawa wekslowego (tzn. spójność art. 10c z art. 10b Prawa wekslowego), a ponadto będzie adekwatne merytorycznie. </w:t>
            </w:r>
          </w:p>
          <w:p w14:paraId="529979CA" w14:textId="32C9581D" w:rsidR="003972FB" w:rsidRPr="003972FB" w:rsidRDefault="5E4B0158" w:rsidP="5E4B0158">
            <w:pPr>
              <w:jc w:val="both"/>
              <w:rPr>
                <w:rFonts w:ascii="Lato" w:hAnsi="Lato" w:cs="Times New Roman"/>
                <w:sz w:val="20"/>
                <w:szCs w:val="20"/>
              </w:rPr>
            </w:pPr>
            <w:r w:rsidRPr="5E4B0158">
              <w:rPr>
                <w:rFonts w:ascii="Lato" w:hAnsi="Lato" w:cs="Times New Roman"/>
                <w:sz w:val="20"/>
                <w:szCs w:val="20"/>
              </w:rPr>
              <w:t>Warto też dodać, że w projektowanym art. 10c Prawa wekslowego niepoprawnie określono ministrów mających współdziałać z Ministrem Sprawiedliwości przy wydawaniu przewidzianego tam rozporządzenia. Mianowicie, w projektowanym art. 10c Prawa wekslowego jest mowa o „ministrze do spraw cyfryzacji” oraz o „ministrze do spraw gospodarki”, podczas gdy prawidłowo powinno się tutaj użyć określeń mówiących, odpowiednio, o „ministrze właściwym do spraw cyfryzacji” oraz o „ministrze właściwym do spraw gospodarki”.</w:t>
            </w:r>
          </w:p>
          <w:p w14:paraId="17D2FDC9" w14:textId="688A9CB0" w:rsidR="003972FB" w:rsidRPr="003972FB" w:rsidRDefault="5E4B0158" w:rsidP="5E4B0158">
            <w:pPr>
              <w:jc w:val="both"/>
              <w:rPr>
                <w:rFonts w:ascii="Lato" w:hAnsi="Lato" w:cs="Times New Roman"/>
                <w:sz w:val="20"/>
                <w:szCs w:val="20"/>
              </w:rPr>
            </w:pPr>
            <w:r w:rsidRPr="5E4B0158">
              <w:rPr>
                <w:rFonts w:ascii="Lato" w:hAnsi="Lato" w:cs="Times New Roman"/>
                <w:sz w:val="20"/>
                <w:szCs w:val="20"/>
              </w:rPr>
              <w:t xml:space="preserve">Ponadto de lege ferenda w sposób znacznie bardziej szczegółowy i precyzyjny należałoby sformułować w projektowanym art. 10c Prawa wekslowego wytyczne dotyczące treści przewidzianego tam rozporządzenia. Obecnie ten projektowany przepis nakazuje przy wydawaniu rozporządzenia „zapewnienie bezpieczeństwa i ochronę uczestników obrotu”. </w:t>
            </w:r>
          </w:p>
          <w:p w14:paraId="173F7F91" w14:textId="062C3BFF" w:rsidR="003972FB" w:rsidRPr="003972FB" w:rsidRDefault="5E4B0158" w:rsidP="5E4B0158">
            <w:pPr>
              <w:jc w:val="both"/>
              <w:rPr>
                <w:rFonts w:ascii="Lato" w:hAnsi="Lato" w:cs="Times New Roman"/>
                <w:sz w:val="20"/>
                <w:szCs w:val="20"/>
              </w:rPr>
            </w:pPr>
            <w:r w:rsidRPr="5E4B0158">
              <w:rPr>
                <w:rFonts w:ascii="Lato" w:hAnsi="Lato" w:cs="Times New Roman"/>
                <w:sz w:val="20"/>
                <w:szCs w:val="20"/>
              </w:rPr>
              <w:lastRenderedPageBreak/>
              <w:t>Tymczasem bezpieczeństwo jest właściwie synonimem ochrony, a mianowicie jest ochroną przed różnego rodzaju niebezpieczeństwami czy też zagrożeniami,(</w:t>
            </w:r>
            <w:r>
              <w:t xml:space="preserve"> </w:t>
            </w:r>
            <w:r w:rsidRPr="5E4B0158">
              <w:rPr>
                <w:rFonts w:ascii="Lato" w:hAnsi="Lato" w:cs="Times New Roman"/>
                <w:sz w:val="20"/>
                <w:szCs w:val="20"/>
              </w:rPr>
              <w:t>Por. np. R. Rosicki, O pojęciu i istocie bezpieczeństwa, Przegląd Politologiczny 2010, nr 3, ss. 23-32.) co sprawia, że w projektowanym przepisie mamy do czynienia z niepotrzebnym powtórzeniem (synonimami).</w:t>
            </w:r>
          </w:p>
          <w:p w14:paraId="3DBA6BFB" w14:textId="0ECC6232" w:rsidR="003972FB" w:rsidRPr="003972FB" w:rsidRDefault="5E4B0158" w:rsidP="5E4B0158">
            <w:pPr>
              <w:jc w:val="both"/>
              <w:rPr>
                <w:rFonts w:ascii="Lato" w:hAnsi="Lato" w:cs="Times New Roman"/>
                <w:sz w:val="20"/>
                <w:szCs w:val="20"/>
              </w:rPr>
            </w:pPr>
            <w:r w:rsidRPr="5E4B0158">
              <w:rPr>
                <w:rFonts w:ascii="Lato" w:hAnsi="Lato" w:cs="Times New Roman"/>
                <w:sz w:val="20"/>
                <w:szCs w:val="20"/>
              </w:rPr>
              <w:t>Dlatego też Rada Legislacyjna postuluje zapisanie w art. 10c Prawa wekslowego, aby przy wydawaniu rozporządzenia właściwi ministrowie kierowali się koniecznością zapewnienia realizacji następujących – odmiennych i do pewnego stopnia konkurencyjnych – wartości: „bezpieczeństwa obrotu prawnego” (bezpieczeństwo obrotu jako takiego będące wartością obiektywną), „ochronę interesów uczestników obrotu wekslowego” (interesy jednostek jako wartości subiektywne) oraz „unikanie zbędnych formalności” (wartość korespondująca z celami Projektu).</w:t>
            </w:r>
          </w:p>
          <w:p w14:paraId="3088D967" w14:textId="655AE895" w:rsidR="003972FB" w:rsidRPr="003972FB" w:rsidRDefault="5E4B0158" w:rsidP="5E4B0158">
            <w:pPr>
              <w:jc w:val="both"/>
              <w:rPr>
                <w:rFonts w:ascii="Lato" w:hAnsi="Lato" w:cs="Times New Roman"/>
                <w:sz w:val="20"/>
                <w:szCs w:val="20"/>
              </w:rPr>
            </w:pPr>
            <w:r w:rsidRPr="5E4B0158">
              <w:rPr>
                <w:rFonts w:ascii="Lato" w:hAnsi="Lato" w:cs="Times New Roman"/>
                <w:sz w:val="20"/>
                <w:szCs w:val="20"/>
              </w:rPr>
              <w:t>Należy też rozstrzygnąć, w jakiej relacji będą pozostawały projektowane przepisy Prawa wekslowego o elektronicznym wekslu, w tym zwłaszcza przepisy rozporządzenia wydawanego na podstawie projektowanego art. 10c Prawa wekslowego, względem projektowanych przepisów Kodeksu cywilnego (k.c.) o papierach wartościowych na nośniku elektronicznym (projektowane przepisy art. 921[15a] k.c.). Jak wynika z uzasadnienia Projektu, te ostatnio wspomniane przepisy k.c. mają dotyczyć m. in „weksla elektronicznego” (ss. 16-19 uzasadnienia Projektu) i w związku z tym wydaje się, że de lege ferenda przepisy rozporządzenia wydawanego na podstawie projektowanego art. 10c Prawa wekslowego (o formularzu elektronicznego weksla) będą musiały uwzględniać projektowane przepisy art. 921[15a] k.c., mówiące m. in. o formie papieru wartościowego sporządzanego na nośniku elektronicznym. Sam Projekt oraz jego uzasadnienie całkowicie milczą w tej kwestii.</w:t>
            </w:r>
          </w:p>
          <w:p w14:paraId="2DC88B87" w14:textId="77777777" w:rsidR="003972FB" w:rsidRDefault="5E4B0158" w:rsidP="5E4B0158">
            <w:pPr>
              <w:jc w:val="both"/>
              <w:rPr>
                <w:rFonts w:ascii="Lato" w:hAnsi="Lato" w:cs="Times New Roman"/>
                <w:sz w:val="20"/>
                <w:szCs w:val="20"/>
              </w:rPr>
            </w:pPr>
            <w:r w:rsidRPr="5E4B0158">
              <w:rPr>
                <w:rFonts w:ascii="Lato" w:hAnsi="Lato" w:cs="Times New Roman"/>
                <w:sz w:val="20"/>
                <w:szCs w:val="20"/>
              </w:rPr>
              <w:t>Trzeba też koniecznie zauważyć, że przewidziana w Projekcie nowelizacja Prawa wekslowego jest niepełna, aby zapewnić efektywne wprowadzenie do obrotu elektronicznego weksla w odniesieniu do wszystkich przewidzianych w Prawie wekslowym rodzajów weksla: mianowicie, brak jest jakiejkolwiek wzmianki o elektronicznym wekslu w przepisach Prawa wekslowego dotyczących weksla własnego (tytuł II Prawa wekslowego). Projekt wprowadza przepisy o elektronicznym wekslu tylko do działu I Prawa wekslowego odnoszącym się do weksla trasowanego (ciągnionego). Tymczasem de lege ferenda konieczne jest wyraźne przesądzenie w Prawie wekslowym, iż również weksel własny może być wystawiony w postaci elektronicznej, zwłaszcza, że w obecnym przepisie art. 103 Prawa wekslowego przyjęto metodę wyczerpującego wyliczenia tych przepisów ustawy Prawo wekslowe o wekslu trasowanym, które stosuje się również do weksla własnego. De lege ferenda w art. 103 Prawa wekslowego należałoby zatem wyraźnie przesądzić, że wśród przepisów o wekslu trasowanym, które stosuje się także do weksla własnego („o ile z istotą wekslu własnego nie zostają w sprzeczności”) są też przepisy, które dotyczą „elektronicznego weksla (art. 10a-10c)”.</w:t>
            </w:r>
          </w:p>
          <w:p w14:paraId="5FBD453B" w14:textId="72DF6100" w:rsidR="006A42C6" w:rsidRPr="00642550" w:rsidRDefault="006A42C6" w:rsidP="003972FB">
            <w:pPr>
              <w:jc w:val="both"/>
              <w:rPr>
                <w:rFonts w:ascii="Lato" w:hAnsi="Lato" w:cs="Times New Roman"/>
                <w:sz w:val="20"/>
                <w:szCs w:val="20"/>
              </w:rPr>
            </w:pPr>
          </w:p>
        </w:tc>
        <w:tc>
          <w:tcPr>
            <w:tcW w:w="4791" w:type="dxa"/>
          </w:tcPr>
          <w:p w14:paraId="2887F912" w14:textId="374B4B53" w:rsidR="00546363" w:rsidRPr="00642550" w:rsidRDefault="5F412CC3" w:rsidP="5F412CC3">
            <w:pPr>
              <w:jc w:val="both"/>
              <w:rPr>
                <w:rFonts w:ascii="Lato" w:eastAsia="Lato" w:hAnsi="Lato" w:cs="Lato"/>
                <w:b/>
                <w:bCs/>
                <w:sz w:val="20"/>
                <w:szCs w:val="20"/>
              </w:rPr>
            </w:pPr>
            <w:r w:rsidRPr="5F412CC3">
              <w:rPr>
                <w:rFonts w:ascii="Lato" w:eastAsia="Lato" w:hAnsi="Lato" w:cs="Lato"/>
                <w:b/>
                <w:bCs/>
                <w:sz w:val="20"/>
                <w:szCs w:val="20"/>
              </w:rPr>
              <w:lastRenderedPageBreak/>
              <w:t>Wyjaśnienie.</w:t>
            </w:r>
          </w:p>
          <w:p w14:paraId="7B15D4DA" w14:textId="5196CDA1" w:rsidR="00546363" w:rsidRPr="00642550" w:rsidRDefault="5E4B0158" w:rsidP="5E4B0158">
            <w:pPr>
              <w:jc w:val="both"/>
              <w:rPr>
                <w:rFonts w:ascii="Lato" w:eastAsia="Lato" w:hAnsi="Lato" w:cs="Lato"/>
                <w:sz w:val="20"/>
                <w:szCs w:val="20"/>
              </w:rPr>
            </w:pPr>
            <w:r w:rsidRPr="5E4B0158">
              <w:rPr>
                <w:rFonts w:ascii="Lato" w:eastAsia="Lato" w:hAnsi="Lato" w:cs="Lato"/>
                <w:sz w:val="20"/>
                <w:szCs w:val="20"/>
              </w:rPr>
              <w:t>Przedmiotowe rozwiązania zostaną poddane dodatkowym analizom i procedowane w ramach odrębnego procesu legislacyjnego.</w:t>
            </w:r>
          </w:p>
        </w:tc>
      </w:tr>
      <w:tr w:rsidR="00546363" w:rsidRPr="00642550" w14:paraId="4723209E" w14:textId="77777777" w:rsidTr="5F412CC3">
        <w:trPr>
          <w:gridAfter w:val="1"/>
          <w:wAfter w:w="8" w:type="dxa"/>
          <w:jc w:val="center"/>
        </w:trPr>
        <w:tc>
          <w:tcPr>
            <w:tcW w:w="879" w:type="dxa"/>
            <w:vAlign w:val="center"/>
          </w:tcPr>
          <w:p w14:paraId="2EC858DF" w14:textId="77777777" w:rsidR="00546363" w:rsidRPr="00642550" w:rsidRDefault="00546363" w:rsidP="00546363">
            <w:pPr>
              <w:numPr>
                <w:ilvl w:val="0"/>
                <w:numId w:val="3"/>
              </w:numPr>
              <w:spacing w:before="120"/>
              <w:ind w:right="-534"/>
              <w:contextualSpacing/>
              <w:rPr>
                <w:rFonts w:ascii="Lato" w:eastAsia="Calibri" w:hAnsi="Lato" w:cs="Arial"/>
                <w:b/>
                <w:sz w:val="20"/>
                <w:szCs w:val="20"/>
              </w:rPr>
            </w:pPr>
          </w:p>
        </w:tc>
        <w:tc>
          <w:tcPr>
            <w:tcW w:w="1662" w:type="dxa"/>
            <w:tcBorders>
              <w:top w:val="single" w:sz="4" w:space="0" w:color="auto"/>
              <w:left w:val="single" w:sz="4" w:space="0" w:color="auto"/>
              <w:bottom w:val="single" w:sz="4" w:space="0" w:color="auto"/>
              <w:right w:val="single" w:sz="4" w:space="0" w:color="auto"/>
            </w:tcBorders>
          </w:tcPr>
          <w:p w14:paraId="06E211F8" w14:textId="77777777" w:rsidR="006A42C6" w:rsidRDefault="5E4B0158" w:rsidP="5E4B0158">
            <w:pPr>
              <w:jc w:val="center"/>
              <w:rPr>
                <w:rFonts w:ascii="Lato" w:hAnsi="Lato" w:cs="Times New Roman"/>
                <w:sz w:val="20"/>
                <w:szCs w:val="20"/>
              </w:rPr>
            </w:pPr>
            <w:r w:rsidRPr="5E4B0158">
              <w:rPr>
                <w:rFonts w:ascii="Lato" w:hAnsi="Lato" w:cs="Times New Roman"/>
                <w:sz w:val="20"/>
                <w:szCs w:val="20"/>
              </w:rPr>
              <w:t xml:space="preserve">Dodanie </w:t>
            </w:r>
          </w:p>
          <w:p w14:paraId="4669A903" w14:textId="395B83F5" w:rsidR="00546363" w:rsidRPr="00642550" w:rsidRDefault="5E4B0158" w:rsidP="5E4B0158">
            <w:pPr>
              <w:jc w:val="center"/>
              <w:rPr>
                <w:rFonts w:ascii="Lato" w:hAnsi="Lato" w:cs="Times New Roman"/>
                <w:sz w:val="20"/>
                <w:szCs w:val="20"/>
              </w:rPr>
            </w:pPr>
            <w:r w:rsidRPr="5E4B0158">
              <w:rPr>
                <w:rFonts w:ascii="Lato" w:hAnsi="Lato" w:cs="Times New Roman"/>
                <w:sz w:val="20"/>
                <w:szCs w:val="20"/>
              </w:rPr>
              <w:t>art. 45a Kpa</w:t>
            </w:r>
          </w:p>
        </w:tc>
        <w:tc>
          <w:tcPr>
            <w:tcW w:w="8176" w:type="dxa"/>
            <w:tcBorders>
              <w:top w:val="single" w:sz="4" w:space="0" w:color="auto"/>
              <w:left w:val="single" w:sz="4" w:space="0" w:color="auto"/>
              <w:bottom w:val="single" w:sz="4" w:space="0" w:color="auto"/>
              <w:right w:val="single" w:sz="4" w:space="0" w:color="auto"/>
            </w:tcBorders>
            <w:vAlign w:val="center"/>
          </w:tcPr>
          <w:p w14:paraId="1CAFB2EF" w14:textId="1149156C" w:rsidR="003972FB" w:rsidRPr="003972FB"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 xml:space="preserve">W projektowanym art. 45a § 2 k.p.a., odnoszącym się do instytucji doręczenia zastępczego stosowanego do osób prawnych i jednostek organizacyjnych nieposiadających osobowości prawnej, należałoby wyraźnie zastrzec, że przewidziane w tym przepisie pozostawienie pisma w aktach sprawy ze skutkiem doręczenia może być zastosowane nie w każdym przypadku „niemożności ustalenia adresu osoby fizycznej upoważnionej do reprezentowania adresata”, lecz jedynie w przypadku, gdy niemożliwe jest doręczenie pisma </w:t>
            </w:r>
            <w:r w:rsidRPr="5E4B0158">
              <w:rPr>
                <w:rFonts w:ascii="Lato" w:hAnsi="Lato" w:cs="TimesNewRomanPSMT"/>
                <w:sz w:val="20"/>
                <w:szCs w:val="20"/>
              </w:rPr>
              <w:lastRenderedPageBreak/>
              <w:t>w podstawowy sposób określony w art. 45 k.p.a. („Jednostkom organizacyjnym i organizacjom społecznym doręcza się pisma w lokalu ich siedziby do rąk osób uprawnionych do odbioru pism.”) i gdy dodatkowo zachodzą okoliczności wyspecyfikowane w projektowanym art. 45a 15 Ustawa z dnia 14 czerwca 1960 r. Kodeks postępowania administracyjnego, tekst jedn. Dz. U. z 2023 r. poz. 775, ze zm. 8 § 1 k.p.a. („Jeżeli podany przez osobę prawną lub jednostkę organizacyjną nieposiadającą osobowości prawnej adres jej siedziby nie istnieje, został wykreślony z rejestru lub jest niezgodny z odpowiednim rejestrem i nie można ustalić miejsca prowadzenia działalności”).</w:t>
            </w:r>
          </w:p>
          <w:p w14:paraId="1B703306" w14:textId="77777777" w:rsidR="003972FB" w:rsidRPr="003972FB"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Treść projektowanego art. 45a § 2 k.p.a. nie może bowiem tworzyć mylnego wrażenia lub być</w:t>
            </w:r>
          </w:p>
          <w:p w14:paraId="04FAF7C4" w14:textId="77777777" w:rsidR="00546363"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asumptem do błędnej interpretacji, że przewidziane tam doręczenie zastępcze można stosować bez podjęcia uprzedniej próby normalnego doręczenia przewidzianego w k.p.a. dla jednostek organizacyjnych. Dlatego też de lege ferenda zasadne byłoby nadanie projektowanemu art. 45a § 2 k.p.a. następującego brzmienia: „Jeżeli w przypadku określonym w § 1 nie jest możliwe ustalenie adresu osoby fizycznej upoważnionej do reprezentowania adresata, pismo pozostawia się w aktach sprawy ze skutkiem doręczenia.”. Dopiero przy takim wyraźnym odesłaniu wewnątrzsystemowym (do § 1 w art. 45a k.p.a.) będzie zupełnie oczywiste, że w przypadku doręczania pism w postępowaniu administracyjnym jednostkom organizacyjnym nakazana sekwencja działań organu jest następująca: najpierw musi nastąpić próba doręczenia zwykłego przewidzianego dla takich przypadków w art. 45 k.p.a.; następnie, jeżeli zachodzą przypadki opisane wyczerpująco w projektowanym art. 45a § 1 k.p.a., możliwe jest doręczenie pisma do rąk osoby fizycznej uprawnionej do reprezentowania adresata; i dopiero, gdy nie jest możliwe ustalenie adresu tej osoby fizycznej, w grę wchodzi opisane w projektowanym art. 45a § 2 k.p.a. doręczenie zastępcze (tak więc proponowane przez Radę Legislacyjną odesłanie wewnątrzsystemowe w projektowanym art. 45a § 2 k.p.a. zapobiegnie próbom wykładni i stosowania tego przepisu w oderwaniu od poprzedzających go regulacji prawnych). Przy czym wydaje się, że w projektowanym art. 45a § 2 k.p.a. należałoby dodatkowo wyraźnie przesądzić o jaki adres osoby fizycznej tam chodzi: adres miejsca zamieszkania lub może inny jeszcze adres, np. adres miejsca pobytu. Zdaniem Rady Legislacyjnej w grę powinny tutaj wchodzić oba te rodzaje adresu i w rezultacie doręczenie zastępcze z projektowanego art. 45a § 2 k.p.a. należałoby dopuścić dopiero wtedy, gdy nie jest możliwe ustalenie nie tylko adresu miejsca zamieszkania wspomnianej wyżej osoby fizycznej, ale również adresu miejsca jej aktualnego pobytu. W takim układzie proponowane finalnie brzmienie projektowanego art. 45a § 2 k.p.a. mogłoby być następujące: „Jeżeli w przypadku określonym w § 1 nie jest możliwe ustalenie adresu miejsca zamieszkania lub adresu aktualnego miejsca pobytu osoby fizycznej upoważnionej do reprezentowania adresata, pismo pozostawia się w aktach sprawy ze skutkiem doręczenia.”.</w:t>
            </w:r>
          </w:p>
          <w:p w14:paraId="5E85B620" w14:textId="0813886F" w:rsidR="006A42C6" w:rsidRPr="00642550" w:rsidRDefault="006A42C6" w:rsidP="006A42C6">
            <w:pPr>
              <w:autoSpaceDE w:val="0"/>
              <w:autoSpaceDN w:val="0"/>
              <w:adjustRightInd w:val="0"/>
              <w:jc w:val="both"/>
              <w:rPr>
                <w:rFonts w:ascii="Lato" w:hAnsi="Lato" w:cs="TimesNewRomanPSMT"/>
                <w:sz w:val="20"/>
                <w:szCs w:val="20"/>
              </w:rPr>
            </w:pPr>
          </w:p>
        </w:tc>
        <w:tc>
          <w:tcPr>
            <w:tcW w:w="4791" w:type="dxa"/>
          </w:tcPr>
          <w:p w14:paraId="5005673D" w14:textId="77777777" w:rsidR="00187A49" w:rsidRDefault="5E4B0158" w:rsidP="5E4B0158">
            <w:pPr>
              <w:jc w:val="both"/>
              <w:rPr>
                <w:rFonts w:ascii="Lato" w:eastAsia="Calibri" w:hAnsi="Lato" w:cs="Arial"/>
                <w:b/>
                <w:bCs/>
                <w:sz w:val="20"/>
                <w:szCs w:val="20"/>
              </w:rPr>
            </w:pPr>
            <w:r w:rsidRPr="5E4B0158">
              <w:rPr>
                <w:rFonts w:ascii="Lato" w:eastAsia="Calibri" w:hAnsi="Lato" w:cs="Arial"/>
                <w:b/>
                <w:bCs/>
                <w:sz w:val="20"/>
                <w:szCs w:val="20"/>
              </w:rPr>
              <w:lastRenderedPageBreak/>
              <w:t>Uwaga co do zasady uwzględniona.</w:t>
            </w:r>
          </w:p>
          <w:p w14:paraId="4AA8C1E4" w14:textId="3D9856D6" w:rsidR="00546363" w:rsidRPr="009E0B7B" w:rsidRDefault="5E4B0158" w:rsidP="5E4B0158">
            <w:pPr>
              <w:jc w:val="both"/>
              <w:rPr>
                <w:rFonts w:ascii="Lato" w:eastAsia="Calibri" w:hAnsi="Lato" w:cs="Arial"/>
                <w:b/>
                <w:bCs/>
                <w:sz w:val="20"/>
                <w:szCs w:val="20"/>
              </w:rPr>
            </w:pPr>
            <w:r w:rsidRPr="5E4B0158">
              <w:rPr>
                <w:rFonts w:ascii="Lato" w:eastAsia="Calibri" w:hAnsi="Lato" w:cs="Arial"/>
                <w:sz w:val="20"/>
                <w:szCs w:val="20"/>
              </w:rPr>
              <w:t>Zamiast proponowanego „adresu zamieszkania lub adresu aktualnego pobytu” użyte zostało sformułowanie „adres do doręczeń”. Powyższe zostało wyjaśnione w uzasadnieniu do projektu ustawy.</w:t>
            </w:r>
            <w:r w:rsidRPr="5E4B0158">
              <w:rPr>
                <w:rFonts w:ascii="Lato" w:eastAsia="Calibri" w:hAnsi="Lato" w:cs="Arial"/>
                <w:b/>
                <w:bCs/>
                <w:sz w:val="20"/>
                <w:szCs w:val="20"/>
              </w:rPr>
              <w:t xml:space="preserve">  </w:t>
            </w:r>
          </w:p>
        </w:tc>
      </w:tr>
      <w:tr w:rsidR="00546363" w:rsidRPr="00642550" w14:paraId="368125FC" w14:textId="77777777" w:rsidTr="5F412CC3">
        <w:trPr>
          <w:gridAfter w:val="1"/>
          <w:wAfter w:w="8" w:type="dxa"/>
          <w:jc w:val="center"/>
        </w:trPr>
        <w:tc>
          <w:tcPr>
            <w:tcW w:w="879" w:type="dxa"/>
            <w:vAlign w:val="center"/>
          </w:tcPr>
          <w:p w14:paraId="29A7309B" w14:textId="77777777" w:rsidR="00546363" w:rsidRPr="00642550" w:rsidRDefault="00546363" w:rsidP="00546363">
            <w:pPr>
              <w:numPr>
                <w:ilvl w:val="0"/>
                <w:numId w:val="3"/>
              </w:numPr>
              <w:spacing w:before="120"/>
              <w:ind w:right="-534"/>
              <w:contextualSpacing/>
              <w:rPr>
                <w:rFonts w:ascii="Lato" w:eastAsia="Calibri" w:hAnsi="Lato" w:cs="Arial"/>
                <w:b/>
                <w:sz w:val="20"/>
                <w:szCs w:val="20"/>
              </w:rPr>
            </w:pPr>
          </w:p>
        </w:tc>
        <w:tc>
          <w:tcPr>
            <w:tcW w:w="1662" w:type="dxa"/>
            <w:tcBorders>
              <w:top w:val="single" w:sz="4" w:space="0" w:color="auto"/>
              <w:left w:val="single" w:sz="4" w:space="0" w:color="auto"/>
              <w:bottom w:val="single" w:sz="4" w:space="0" w:color="auto"/>
              <w:right w:val="single" w:sz="4" w:space="0" w:color="auto"/>
            </w:tcBorders>
          </w:tcPr>
          <w:p w14:paraId="79DC4793" w14:textId="77777777" w:rsidR="006A42C6" w:rsidRDefault="5E4B0158" w:rsidP="5E4B0158">
            <w:pPr>
              <w:jc w:val="center"/>
              <w:rPr>
                <w:rFonts w:ascii="Lato" w:hAnsi="Lato" w:cs="Times New Roman"/>
                <w:sz w:val="20"/>
                <w:szCs w:val="20"/>
              </w:rPr>
            </w:pPr>
            <w:r w:rsidRPr="5E4B0158">
              <w:rPr>
                <w:rFonts w:ascii="Lato" w:hAnsi="Lato" w:cs="Times New Roman"/>
                <w:sz w:val="20"/>
                <w:szCs w:val="20"/>
              </w:rPr>
              <w:t xml:space="preserve">Zmiana </w:t>
            </w:r>
          </w:p>
          <w:p w14:paraId="60EB590B" w14:textId="77777777" w:rsidR="00546363" w:rsidRDefault="5E4B0158" w:rsidP="5E4B0158">
            <w:pPr>
              <w:jc w:val="center"/>
              <w:rPr>
                <w:rFonts w:ascii="Lato" w:hAnsi="Lato" w:cs="Times New Roman"/>
                <w:sz w:val="20"/>
                <w:szCs w:val="20"/>
              </w:rPr>
            </w:pPr>
            <w:r w:rsidRPr="5E4B0158">
              <w:rPr>
                <w:rFonts w:ascii="Lato" w:hAnsi="Lato" w:cs="Times New Roman"/>
                <w:sz w:val="20"/>
                <w:szCs w:val="20"/>
              </w:rPr>
              <w:t>art. 96a k.p.a.</w:t>
            </w:r>
          </w:p>
          <w:p w14:paraId="0CA2D124" w14:textId="235CE9D0" w:rsidR="006A42C6" w:rsidRPr="00642550" w:rsidRDefault="5E4B0158" w:rsidP="5E4B0158">
            <w:pPr>
              <w:jc w:val="center"/>
              <w:rPr>
                <w:rFonts w:ascii="Lato" w:hAnsi="Lato" w:cs="Times New Roman"/>
                <w:sz w:val="20"/>
                <w:szCs w:val="20"/>
              </w:rPr>
            </w:pPr>
            <w:r w:rsidRPr="5E4B0158">
              <w:rPr>
                <w:rFonts w:ascii="Lato" w:hAnsi="Lato" w:cs="Times New Roman"/>
                <w:sz w:val="20"/>
                <w:szCs w:val="20"/>
              </w:rPr>
              <w:t>(zmiana w zakresie mediacji)</w:t>
            </w:r>
          </w:p>
        </w:tc>
        <w:tc>
          <w:tcPr>
            <w:tcW w:w="8176" w:type="dxa"/>
            <w:tcBorders>
              <w:top w:val="single" w:sz="4" w:space="0" w:color="auto"/>
              <w:left w:val="single" w:sz="4" w:space="0" w:color="auto"/>
              <w:bottom w:val="single" w:sz="4" w:space="0" w:color="auto"/>
              <w:right w:val="single" w:sz="4" w:space="0" w:color="auto"/>
            </w:tcBorders>
            <w:vAlign w:val="center"/>
          </w:tcPr>
          <w:p w14:paraId="3C848818" w14:textId="2DBA4AFB" w:rsidR="00546363" w:rsidRPr="00642550"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 xml:space="preserve">Projektowane zastrzeżenie o dopuszczalności przeprowadzenia mediacji, gdy w szczególności sprawa jest rozstrzygana w ramach uznania administracyjnego (projektowany art. 96a § 1a k.p.a.) należałoby zamieścić nie w osobnym paragrafie (tak jak to przewiduje 9 obecnie Projekt), ale wprost w art. 96a § 1 k.p.a., czyli w jednostce redakcyjnej, w której jest ogólnie mowa o dopuszczalności przeprowadzenia mediacji. Ponadto wśród przykładowego wyliczenia spraw, których charakter pozwala na przeprowadzenie mediacji należałoby też </w:t>
            </w:r>
            <w:r w:rsidRPr="5E4B0158">
              <w:rPr>
                <w:rFonts w:ascii="Lato" w:hAnsi="Lato" w:cs="TimesNewRomanPSMT"/>
                <w:sz w:val="20"/>
                <w:szCs w:val="20"/>
              </w:rPr>
              <w:lastRenderedPageBreak/>
              <w:t>wymienić sprawy, w których występują strony o spornych interesach. W takim układzie Rada Legislacyjna proponuje nadanie przepisowi art. 96a § 1 k.p.a. następującego brzmienia: „W toku postępowania może być przeprowadzona mediacja, jeżeli pozwala na to charakter sprawy, w tym w szczególności, gdy sprawa jest rozstrzygana w ramach uznania administracyjnego lub gdy w sprawie występują strony o spornych interesach.”, przy równoczesnej rezygnacji z projektowanego art. 96a § 1a k.p.a.</w:t>
            </w:r>
          </w:p>
        </w:tc>
        <w:tc>
          <w:tcPr>
            <w:tcW w:w="4791" w:type="dxa"/>
          </w:tcPr>
          <w:p w14:paraId="3162CDB4" w14:textId="51FE61C2" w:rsidR="00546363" w:rsidRDefault="5F412CC3" w:rsidP="5F412CC3">
            <w:pPr>
              <w:jc w:val="both"/>
              <w:rPr>
                <w:rFonts w:ascii="Lato" w:eastAsia="Calibri" w:hAnsi="Lato" w:cs="Arial"/>
                <w:b/>
                <w:bCs/>
                <w:sz w:val="20"/>
                <w:szCs w:val="20"/>
              </w:rPr>
            </w:pPr>
            <w:r w:rsidRPr="5F412CC3">
              <w:rPr>
                <w:rFonts w:ascii="Lato" w:eastAsia="Calibri" w:hAnsi="Lato" w:cs="Arial"/>
                <w:b/>
                <w:bCs/>
                <w:sz w:val="20"/>
                <w:szCs w:val="20"/>
              </w:rPr>
              <w:lastRenderedPageBreak/>
              <w:t xml:space="preserve">Wyjaśnienie. </w:t>
            </w:r>
          </w:p>
          <w:p w14:paraId="0A448235" w14:textId="77777777" w:rsidR="00581E71" w:rsidRDefault="00581E71" w:rsidP="00C73B6A">
            <w:pPr>
              <w:jc w:val="both"/>
              <w:rPr>
                <w:rFonts w:ascii="Lato" w:eastAsia="Calibri" w:hAnsi="Lato" w:cs="Arial"/>
                <w:b/>
                <w:bCs/>
                <w:sz w:val="20"/>
                <w:szCs w:val="20"/>
              </w:rPr>
            </w:pPr>
          </w:p>
          <w:p w14:paraId="5FC03CC8" w14:textId="5DDE0214" w:rsidR="00581E71" w:rsidRPr="00581E71" w:rsidRDefault="5E4B0158" w:rsidP="5E4B0158">
            <w:pPr>
              <w:pStyle w:val="ZUSTzmustartykuempunktem"/>
              <w:spacing w:line="276" w:lineRule="auto"/>
              <w:ind w:left="0" w:firstLine="0"/>
              <w:rPr>
                <w:rFonts w:ascii="Lato" w:eastAsia="Calibri" w:hAnsi="Lato"/>
                <w:sz w:val="20"/>
              </w:rPr>
            </w:pPr>
            <w:r w:rsidRPr="5E4B0158">
              <w:rPr>
                <w:rFonts w:ascii="Lato" w:eastAsia="Calibri" w:hAnsi="Lato"/>
                <w:sz w:val="20"/>
              </w:rPr>
              <w:t xml:space="preserve">W wyniku analiz uwag zgłoszonych w uzgodnieniach międzyresortowych, opiniowaniu i konsultacjach publicznych, wypracowano nową propozycję </w:t>
            </w:r>
            <w:r w:rsidRPr="5E4B0158">
              <w:rPr>
                <w:rFonts w:ascii="Lato" w:eastAsia="Calibri" w:hAnsi="Lato"/>
                <w:sz w:val="20"/>
              </w:rPr>
              <w:lastRenderedPageBreak/>
              <w:t>brzmienia przepisu: „[s]prawą, której charakter pozwala na przeprowadzenie mediacji, jest w szczególności sprawa rozstrzygana w ramach uznania administracyjnego lub dotycząca:</w:t>
            </w:r>
          </w:p>
          <w:p w14:paraId="6CE8B499" w14:textId="77777777" w:rsidR="00581E71" w:rsidRPr="00581E71" w:rsidRDefault="00581E71" w:rsidP="5E4B0158">
            <w:pPr>
              <w:pStyle w:val="ZPKTzmpktartykuempunktem"/>
              <w:spacing w:line="276" w:lineRule="auto"/>
              <w:rPr>
                <w:rFonts w:ascii="Lato" w:eastAsia="Calibri" w:hAnsi="Lato"/>
                <w:sz w:val="20"/>
              </w:rPr>
            </w:pPr>
            <w:r w:rsidRPr="5E4B0158">
              <w:rPr>
                <w:rFonts w:ascii="Lato" w:eastAsia="Calibri" w:hAnsi="Lato"/>
                <w:sz w:val="20"/>
              </w:rPr>
              <w:t>1)</w:t>
            </w:r>
            <w:r w:rsidRPr="00581E71">
              <w:rPr>
                <w:rFonts w:ascii="Lato" w:eastAsia="Calibri" w:hAnsi="Lato"/>
                <w:bCs w:val="0"/>
                <w:sz w:val="20"/>
              </w:rPr>
              <w:tab/>
            </w:r>
            <w:r w:rsidRPr="5E4B0158">
              <w:rPr>
                <w:rFonts w:ascii="Lato" w:eastAsia="Calibri" w:hAnsi="Lato"/>
                <w:sz w:val="20"/>
              </w:rPr>
              <w:t>koncesji, zezwoleń lub pozwoleń na prowadzenie działalności gospodarczej;</w:t>
            </w:r>
          </w:p>
          <w:p w14:paraId="366539A9" w14:textId="77777777" w:rsidR="00581E71" w:rsidRPr="00581E71" w:rsidRDefault="00581E71" w:rsidP="5E4B0158">
            <w:pPr>
              <w:pStyle w:val="ZPKTzmpktartykuempunktem"/>
              <w:spacing w:line="276" w:lineRule="auto"/>
              <w:rPr>
                <w:rFonts w:ascii="Lato" w:eastAsia="Calibri" w:hAnsi="Lato"/>
                <w:sz w:val="20"/>
              </w:rPr>
            </w:pPr>
            <w:r w:rsidRPr="5E4B0158">
              <w:rPr>
                <w:rFonts w:ascii="Lato" w:eastAsia="Calibri" w:hAnsi="Lato"/>
                <w:sz w:val="20"/>
              </w:rPr>
              <w:t>2)</w:t>
            </w:r>
            <w:r w:rsidRPr="00581E71">
              <w:rPr>
                <w:rFonts w:ascii="Lato" w:eastAsia="Calibri" w:hAnsi="Lato"/>
                <w:bCs w:val="0"/>
                <w:sz w:val="20"/>
              </w:rPr>
              <w:tab/>
            </w:r>
            <w:r w:rsidRPr="5E4B0158">
              <w:rPr>
                <w:rFonts w:ascii="Lato" w:eastAsia="Calibri" w:hAnsi="Lato"/>
                <w:sz w:val="20"/>
              </w:rPr>
              <w:t>budownictwa i architektury;</w:t>
            </w:r>
          </w:p>
          <w:p w14:paraId="6461C768" w14:textId="77777777" w:rsidR="00581E71" w:rsidRPr="00581E71" w:rsidRDefault="00581E71" w:rsidP="5E4B0158">
            <w:pPr>
              <w:pStyle w:val="ZPKTzmpktartykuempunktem"/>
              <w:spacing w:line="276" w:lineRule="auto"/>
              <w:rPr>
                <w:rFonts w:ascii="Lato" w:eastAsia="Calibri" w:hAnsi="Lato"/>
                <w:sz w:val="20"/>
              </w:rPr>
            </w:pPr>
            <w:r w:rsidRPr="5E4B0158">
              <w:rPr>
                <w:rFonts w:ascii="Lato" w:eastAsia="Calibri" w:hAnsi="Lato"/>
                <w:sz w:val="20"/>
              </w:rPr>
              <w:t>3)</w:t>
            </w:r>
            <w:r w:rsidRPr="00581E71">
              <w:rPr>
                <w:rFonts w:ascii="Lato" w:eastAsia="Calibri" w:hAnsi="Lato"/>
                <w:bCs w:val="0"/>
                <w:sz w:val="20"/>
              </w:rPr>
              <w:tab/>
            </w:r>
            <w:r w:rsidRPr="5E4B0158">
              <w:rPr>
                <w:rFonts w:ascii="Lato" w:eastAsia="Calibri" w:hAnsi="Lato"/>
                <w:sz w:val="20"/>
              </w:rPr>
              <w:t>zagospodarowania przestrzennego;</w:t>
            </w:r>
          </w:p>
          <w:p w14:paraId="162BD7C5" w14:textId="77777777" w:rsidR="00581E71" w:rsidRPr="00581E71" w:rsidRDefault="00581E71" w:rsidP="5E4B0158">
            <w:pPr>
              <w:pStyle w:val="ZPKTzmpktartykuempunktem"/>
              <w:spacing w:line="276" w:lineRule="auto"/>
              <w:rPr>
                <w:rFonts w:ascii="Lato" w:eastAsia="Calibri" w:hAnsi="Lato"/>
                <w:sz w:val="20"/>
              </w:rPr>
            </w:pPr>
            <w:r w:rsidRPr="5E4B0158">
              <w:rPr>
                <w:rFonts w:ascii="Lato" w:eastAsia="Calibri" w:hAnsi="Lato"/>
                <w:sz w:val="20"/>
              </w:rPr>
              <w:t>4)</w:t>
            </w:r>
            <w:r w:rsidRPr="00581E71">
              <w:rPr>
                <w:rFonts w:ascii="Lato" w:eastAsia="Calibri" w:hAnsi="Lato"/>
                <w:bCs w:val="0"/>
                <w:sz w:val="20"/>
              </w:rPr>
              <w:tab/>
            </w:r>
            <w:r w:rsidRPr="5E4B0158">
              <w:rPr>
                <w:rFonts w:ascii="Lato" w:eastAsia="Calibri" w:hAnsi="Lato"/>
                <w:sz w:val="20"/>
              </w:rPr>
              <w:t>ochrony środowiska i przyrody;</w:t>
            </w:r>
          </w:p>
          <w:p w14:paraId="2B016521" w14:textId="77777777" w:rsidR="00581E71" w:rsidRPr="00581E71" w:rsidRDefault="00581E71" w:rsidP="5E4B0158">
            <w:pPr>
              <w:pStyle w:val="ZPKTzmpktartykuempunktem"/>
              <w:spacing w:line="276" w:lineRule="auto"/>
              <w:rPr>
                <w:rFonts w:ascii="Lato" w:eastAsia="Calibri" w:hAnsi="Lato"/>
                <w:sz w:val="20"/>
              </w:rPr>
            </w:pPr>
            <w:r w:rsidRPr="5E4B0158">
              <w:rPr>
                <w:rFonts w:ascii="Lato" w:eastAsia="Calibri" w:hAnsi="Lato"/>
                <w:sz w:val="20"/>
              </w:rPr>
              <w:t>5)</w:t>
            </w:r>
            <w:r w:rsidRPr="00581E71">
              <w:rPr>
                <w:rFonts w:ascii="Lato" w:eastAsia="Calibri" w:hAnsi="Lato"/>
                <w:bCs w:val="0"/>
                <w:sz w:val="20"/>
              </w:rPr>
              <w:tab/>
            </w:r>
            <w:r w:rsidRPr="5E4B0158">
              <w:rPr>
                <w:rFonts w:ascii="Lato" w:eastAsia="Calibri" w:hAnsi="Lato"/>
                <w:sz w:val="20"/>
              </w:rPr>
              <w:t>gospodarki wodnej;</w:t>
            </w:r>
          </w:p>
          <w:p w14:paraId="6F915E2E" w14:textId="77777777" w:rsidR="00581E71" w:rsidRPr="00581E71" w:rsidRDefault="00581E71" w:rsidP="5E4B0158">
            <w:pPr>
              <w:pStyle w:val="ZPKTzmpktartykuempunktem"/>
              <w:spacing w:line="276" w:lineRule="auto"/>
              <w:rPr>
                <w:rFonts w:ascii="Lato" w:eastAsia="Calibri" w:hAnsi="Lato"/>
                <w:sz w:val="20"/>
              </w:rPr>
            </w:pPr>
            <w:r w:rsidRPr="5E4B0158">
              <w:rPr>
                <w:rFonts w:ascii="Lato" w:eastAsia="Calibri" w:hAnsi="Lato"/>
                <w:sz w:val="20"/>
              </w:rPr>
              <w:t>6)</w:t>
            </w:r>
            <w:r w:rsidRPr="00581E71">
              <w:rPr>
                <w:rFonts w:ascii="Lato" w:eastAsia="Calibri" w:hAnsi="Lato"/>
                <w:bCs w:val="0"/>
                <w:sz w:val="20"/>
              </w:rPr>
              <w:tab/>
            </w:r>
            <w:r w:rsidRPr="5E4B0158">
              <w:rPr>
                <w:rFonts w:ascii="Lato" w:eastAsia="Calibri" w:hAnsi="Lato"/>
                <w:sz w:val="20"/>
              </w:rPr>
              <w:t>nieruchomości;</w:t>
            </w:r>
          </w:p>
          <w:p w14:paraId="36D6F795" w14:textId="77777777" w:rsidR="00581E71" w:rsidRPr="00581E71" w:rsidRDefault="00581E71" w:rsidP="5E4B0158">
            <w:pPr>
              <w:pStyle w:val="ZPKTzmpktartykuempunktem"/>
              <w:spacing w:line="276" w:lineRule="auto"/>
              <w:rPr>
                <w:rFonts w:ascii="Lato" w:eastAsia="Calibri" w:hAnsi="Lato"/>
                <w:sz w:val="20"/>
              </w:rPr>
            </w:pPr>
            <w:r w:rsidRPr="5E4B0158">
              <w:rPr>
                <w:rFonts w:ascii="Lato" w:eastAsia="Calibri" w:hAnsi="Lato"/>
                <w:sz w:val="20"/>
              </w:rPr>
              <w:t>7)</w:t>
            </w:r>
            <w:r w:rsidRPr="00581E71">
              <w:rPr>
                <w:rFonts w:ascii="Lato" w:eastAsia="Calibri" w:hAnsi="Lato"/>
                <w:bCs w:val="0"/>
                <w:sz w:val="20"/>
              </w:rPr>
              <w:tab/>
            </w:r>
            <w:r w:rsidRPr="5E4B0158">
              <w:rPr>
                <w:rFonts w:ascii="Lato" w:eastAsia="Calibri" w:hAnsi="Lato"/>
                <w:sz w:val="20"/>
              </w:rPr>
              <w:t>rolnictwa i leśnictwa;</w:t>
            </w:r>
          </w:p>
          <w:p w14:paraId="7F622993" w14:textId="77777777" w:rsidR="00581E71" w:rsidRDefault="00581E71" w:rsidP="5E4B0158">
            <w:pPr>
              <w:pStyle w:val="ZPKTzmpktartykuempunktem"/>
              <w:spacing w:line="276" w:lineRule="auto"/>
              <w:rPr>
                <w:rFonts w:ascii="Lato" w:eastAsia="Calibri" w:hAnsi="Lato"/>
                <w:sz w:val="20"/>
              </w:rPr>
            </w:pPr>
            <w:r w:rsidRPr="5E4B0158">
              <w:rPr>
                <w:rFonts w:ascii="Lato" w:eastAsia="Calibri" w:hAnsi="Lato"/>
                <w:sz w:val="20"/>
              </w:rPr>
              <w:t>8)</w:t>
            </w:r>
            <w:r w:rsidRPr="00581E71">
              <w:rPr>
                <w:rFonts w:ascii="Lato" w:eastAsia="Calibri" w:hAnsi="Lato"/>
                <w:bCs w:val="0"/>
                <w:sz w:val="20"/>
              </w:rPr>
              <w:tab/>
            </w:r>
            <w:r w:rsidRPr="5E4B0158">
              <w:rPr>
                <w:rFonts w:ascii="Lato" w:eastAsia="Calibri" w:hAnsi="Lato"/>
                <w:sz w:val="20"/>
              </w:rPr>
              <w:t xml:space="preserve">własności przemysłowej.”. </w:t>
            </w:r>
          </w:p>
          <w:p w14:paraId="3C78710E" w14:textId="77777777" w:rsidR="00581E71" w:rsidRDefault="00581E71" w:rsidP="00581E71">
            <w:pPr>
              <w:pStyle w:val="ZPKTzmpktartykuempunktem"/>
              <w:spacing w:line="276" w:lineRule="auto"/>
              <w:rPr>
                <w:rFonts w:ascii="Lato" w:eastAsia="Calibri" w:hAnsi="Lato"/>
                <w:bCs w:val="0"/>
                <w:sz w:val="20"/>
              </w:rPr>
            </w:pPr>
          </w:p>
          <w:p w14:paraId="6FE4E61E" w14:textId="73E1E76F" w:rsidR="00581E71" w:rsidRDefault="5E4B0158" w:rsidP="5E4B0158">
            <w:pPr>
              <w:pStyle w:val="ZPKTzmpktartykuempunktem"/>
              <w:spacing w:line="276" w:lineRule="auto"/>
              <w:ind w:left="0" w:firstLine="0"/>
              <w:rPr>
                <w:rFonts w:ascii="Lato" w:eastAsia="Calibri" w:hAnsi="Lato"/>
                <w:sz w:val="20"/>
              </w:rPr>
            </w:pPr>
            <w:r w:rsidRPr="5E4B0158">
              <w:rPr>
                <w:rFonts w:ascii="Lato" w:eastAsia="Calibri" w:hAnsi="Lato"/>
                <w:sz w:val="20"/>
              </w:rPr>
              <w:t xml:space="preserve">Katalog spraw, których charakter pozwala na przeprowadzenie mediacji, będzie katalogiem otwartym. Sprawy, w których strony będą mogłyby być załatwiane przy pomocy mediacji, ponieważ już w dotychczasowym brzmieniu przepisów rozdziału 5a KPA uwzględniono możliwość dokonania ustaleń w zakresie ugody administracyjnej. </w:t>
            </w:r>
          </w:p>
          <w:p w14:paraId="48A38AA3" w14:textId="4A24E729" w:rsidR="00581E71" w:rsidRDefault="00581E71" w:rsidP="00581E71">
            <w:pPr>
              <w:pStyle w:val="ZPKTzmpktartykuempunktem"/>
              <w:spacing w:line="276" w:lineRule="auto"/>
              <w:ind w:left="0" w:firstLine="0"/>
              <w:rPr>
                <w:rFonts w:ascii="Lato" w:eastAsia="Calibri" w:hAnsi="Lato"/>
                <w:bCs w:val="0"/>
                <w:sz w:val="20"/>
              </w:rPr>
            </w:pPr>
          </w:p>
          <w:p w14:paraId="24CF0EC2" w14:textId="0126E6D2" w:rsidR="00581E71" w:rsidRDefault="5E4B0158" w:rsidP="5E4B0158">
            <w:pPr>
              <w:pStyle w:val="ZPKTzmpktartykuempunktem"/>
              <w:spacing w:line="276" w:lineRule="auto"/>
              <w:ind w:left="0" w:firstLine="0"/>
              <w:rPr>
                <w:rFonts w:ascii="Lato" w:eastAsia="Calibri" w:hAnsi="Lato"/>
                <w:sz w:val="20"/>
              </w:rPr>
            </w:pPr>
            <w:r w:rsidRPr="5E4B0158">
              <w:rPr>
                <w:rFonts w:ascii="Lato" w:eastAsia="Calibri" w:hAnsi="Lato"/>
                <w:sz w:val="20"/>
              </w:rPr>
              <w:t>Projekt będzie analizowany pod kątem legislacyjnym podczas komisji prawniczej, co może wpłynąć na zmianę umiejscowienia przepisu.</w:t>
            </w:r>
          </w:p>
          <w:p w14:paraId="71CAA4ED" w14:textId="77777777" w:rsidR="00581E71" w:rsidRPr="00581E71" w:rsidRDefault="00581E71" w:rsidP="00581E71">
            <w:pPr>
              <w:pStyle w:val="ZPKTzmpktartykuempunktem"/>
              <w:spacing w:line="276" w:lineRule="auto"/>
              <w:ind w:left="0" w:firstLine="0"/>
              <w:rPr>
                <w:rFonts w:ascii="Lato" w:eastAsia="Calibri" w:hAnsi="Lato"/>
                <w:bCs w:val="0"/>
                <w:sz w:val="20"/>
              </w:rPr>
            </w:pPr>
          </w:p>
          <w:p w14:paraId="4365E14D" w14:textId="3B5D08AE" w:rsidR="00581E71" w:rsidRPr="00581E71" w:rsidRDefault="00581E71" w:rsidP="00C73B6A">
            <w:pPr>
              <w:jc w:val="both"/>
              <w:rPr>
                <w:rFonts w:ascii="Lato" w:eastAsia="Calibri" w:hAnsi="Lato" w:cs="Arial"/>
                <w:sz w:val="20"/>
                <w:szCs w:val="20"/>
              </w:rPr>
            </w:pPr>
          </w:p>
        </w:tc>
      </w:tr>
      <w:tr w:rsidR="006A42C6" w:rsidRPr="00642550" w14:paraId="1BC6CE54" w14:textId="77777777" w:rsidTr="5F412CC3">
        <w:trPr>
          <w:gridAfter w:val="1"/>
          <w:wAfter w:w="8" w:type="dxa"/>
          <w:jc w:val="center"/>
        </w:trPr>
        <w:tc>
          <w:tcPr>
            <w:tcW w:w="879" w:type="dxa"/>
            <w:vAlign w:val="center"/>
          </w:tcPr>
          <w:p w14:paraId="2A29274B" w14:textId="77777777" w:rsidR="006A42C6" w:rsidRPr="00642550" w:rsidRDefault="006A42C6" w:rsidP="00546363">
            <w:pPr>
              <w:numPr>
                <w:ilvl w:val="0"/>
                <w:numId w:val="3"/>
              </w:numPr>
              <w:spacing w:before="120"/>
              <w:ind w:right="-534"/>
              <w:contextualSpacing/>
              <w:rPr>
                <w:rFonts w:ascii="Lato" w:eastAsia="Calibri" w:hAnsi="Lato" w:cs="Arial"/>
                <w:b/>
                <w:sz w:val="20"/>
                <w:szCs w:val="20"/>
              </w:rPr>
            </w:pPr>
          </w:p>
        </w:tc>
        <w:tc>
          <w:tcPr>
            <w:tcW w:w="1662" w:type="dxa"/>
            <w:tcBorders>
              <w:top w:val="single" w:sz="4" w:space="0" w:color="auto"/>
              <w:left w:val="single" w:sz="4" w:space="0" w:color="auto"/>
              <w:bottom w:val="single" w:sz="4" w:space="0" w:color="auto"/>
              <w:right w:val="single" w:sz="4" w:space="0" w:color="auto"/>
            </w:tcBorders>
          </w:tcPr>
          <w:p w14:paraId="07D53F3E" w14:textId="1CDE457C" w:rsidR="006A42C6" w:rsidRPr="00642550" w:rsidRDefault="5E4B0158" w:rsidP="5E4B0158">
            <w:pPr>
              <w:jc w:val="center"/>
              <w:rPr>
                <w:rFonts w:ascii="Lato" w:hAnsi="Lato" w:cs="Times New Roman"/>
                <w:sz w:val="20"/>
                <w:szCs w:val="20"/>
              </w:rPr>
            </w:pPr>
            <w:r w:rsidRPr="5E4B0158">
              <w:rPr>
                <w:rFonts w:ascii="Lato" w:hAnsi="Lato" w:cs="Times New Roman"/>
                <w:sz w:val="20"/>
                <w:szCs w:val="20"/>
              </w:rPr>
              <w:t>Zmiana w art. 97 § 6 k.p.a.</w:t>
            </w:r>
          </w:p>
        </w:tc>
        <w:tc>
          <w:tcPr>
            <w:tcW w:w="8176" w:type="dxa"/>
            <w:tcBorders>
              <w:top w:val="single" w:sz="4" w:space="0" w:color="auto"/>
              <w:left w:val="single" w:sz="4" w:space="0" w:color="auto"/>
              <w:bottom w:val="single" w:sz="4" w:space="0" w:color="auto"/>
              <w:right w:val="single" w:sz="4" w:space="0" w:color="auto"/>
            </w:tcBorders>
            <w:vAlign w:val="center"/>
          </w:tcPr>
          <w:p w14:paraId="72926690" w14:textId="0F89FE5F" w:rsidR="006A42C6" w:rsidRPr="006A42C6"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Projektowany art. 97 § 6 k.p.a., stanowiący, że „Przepisu § 4 nie stosuje się do postępowań administracyjnych wszczętych z urzędu.”, jest całkowicie zbędny (superfluum ustawowe), skoro projektowany art. 97 § 4 k.p.a. wyraźnie przecież stanowi, że przewidziana tam instytucja umorzenia postępowania administracyjnego może zostać zastosowana tylko w przypadku postępowania „wszczętego na żądanie strony”. Tak więc samo już literalne brzmienie projektowanego art. 97 § 4 k.p.a. jasno przesądza, że przewidziane w tym przepisie umorzenie postępowania administracyjnego może dotyczyć tylko postępowań administracyjnych wszczętych na wniosek, nie zaś postępowań wszczętych z urzędu. Nie ma potrzeby powtarzania tej regulacji w nowym art. 97 § 6 k.p.a.</w:t>
            </w:r>
          </w:p>
          <w:p w14:paraId="1AE7DC95" w14:textId="02B96A41" w:rsidR="006A42C6" w:rsidRPr="00642550" w:rsidRDefault="006A42C6" w:rsidP="006A42C6">
            <w:pPr>
              <w:autoSpaceDE w:val="0"/>
              <w:autoSpaceDN w:val="0"/>
              <w:adjustRightInd w:val="0"/>
              <w:jc w:val="both"/>
              <w:rPr>
                <w:rFonts w:ascii="Lato" w:hAnsi="Lato" w:cs="TimesNewRomanPSMT"/>
                <w:sz w:val="20"/>
                <w:szCs w:val="20"/>
              </w:rPr>
            </w:pPr>
          </w:p>
        </w:tc>
        <w:tc>
          <w:tcPr>
            <w:tcW w:w="4791" w:type="dxa"/>
          </w:tcPr>
          <w:p w14:paraId="4C05F64D" w14:textId="0851F7D2" w:rsidR="006A42C6" w:rsidRPr="008C74FE" w:rsidRDefault="5F412CC3" w:rsidP="5F412CC3">
            <w:pPr>
              <w:jc w:val="both"/>
              <w:rPr>
                <w:rFonts w:ascii="Lato" w:eastAsia="Calibri" w:hAnsi="Lato" w:cs="Arial"/>
                <w:b/>
                <w:bCs/>
                <w:sz w:val="20"/>
                <w:szCs w:val="20"/>
              </w:rPr>
            </w:pPr>
            <w:r w:rsidRPr="5F412CC3">
              <w:rPr>
                <w:rFonts w:ascii="Lato" w:eastAsia="Calibri" w:hAnsi="Lato" w:cs="Arial"/>
                <w:b/>
                <w:bCs/>
                <w:sz w:val="20"/>
                <w:szCs w:val="20"/>
              </w:rPr>
              <w:t>Uwaga uwzględniona.</w:t>
            </w:r>
          </w:p>
        </w:tc>
      </w:tr>
      <w:tr w:rsidR="008C74FE" w:rsidRPr="00642550" w14:paraId="677AEFE9" w14:textId="77777777" w:rsidTr="5F412CC3">
        <w:trPr>
          <w:gridAfter w:val="1"/>
          <w:wAfter w:w="8" w:type="dxa"/>
          <w:jc w:val="center"/>
        </w:trPr>
        <w:tc>
          <w:tcPr>
            <w:tcW w:w="879" w:type="dxa"/>
            <w:vAlign w:val="center"/>
          </w:tcPr>
          <w:p w14:paraId="1FE9D1BF" w14:textId="77777777" w:rsidR="008C74FE" w:rsidRPr="00642550" w:rsidRDefault="008C74FE" w:rsidP="00546363">
            <w:pPr>
              <w:numPr>
                <w:ilvl w:val="0"/>
                <w:numId w:val="3"/>
              </w:numPr>
              <w:spacing w:before="120"/>
              <w:ind w:right="-534"/>
              <w:contextualSpacing/>
              <w:rPr>
                <w:rFonts w:ascii="Lato" w:eastAsia="Calibri" w:hAnsi="Lato" w:cs="Arial"/>
                <w:b/>
                <w:sz w:val="20"/>
                <w:szCs w:val="20"/>
              </w:rPr>
            </w:pPr>
          </w:p>
        </w:tc>
        <w:tc>
          <w:tcPr>
            <w:tcW w:w="1662" w:type="dxa"/>
            <w:tcBorders>
              <w:top w:val="single" w:sz="4" w:space="0" w:color="auto"/>
              <w:left w:val="single" w:sz="4" w:space="0" w:color="auto"/>
              <w:bottom w:val="single" w:sz="4" w:space="0" w:color="auto"/>
              <w:right w:val="single" w:sz="4" w:space="0" w:color="auto"/>
            </w:tcBorders>
          </w:tcPr>
          <w:p w14:paraId="68204A93" w14:textId="4F31AA51" w:rsidR="008C74FE" w:rsidRDefault="5E4B0158" w:rsidP="5E4B0158">
            <w:pPr>
              <w:jc w:val="center"/>
              <w:rPr>
                <w:rFonts w:ascii="Lato" w:hAnsi="Lato" w:cs="Times New Roman"/>
                <w:sz w:val="20"/>
                <w:szCs w:val="20"/>
              </w:rPr>
            </w:pPr>
            <w:r w:rsidRPr="5E4B0158">
              <w:rPr>
                <w:rFonts w:ascii="Lato" w:hAnsi="Lato" w:cs="Times New Roman"/>
                <w:sz w:val="20"/>
                <w:szCs w:val="20"/>
              </w:rPr>
              <w:t>Zmiana w art. 97 § 4 k.p.a.</w:t>
            </w:r>
          </w:p>
        </w:tc>
        <w:tc>
          <w:tcPr>
            <w:tcW w:w="8176" w:type="dxa"/>
            <w:tcBorders>
              <w:top w:val="single" w:sz="4" w:space="0" w:color="auto"/>
              <w:left w:val="single" w:sz="4" w:space="0" w:color="auto"/>
              <w:bottom w:val="single" w:sz="4" w:space="0" w:color="auto"/>
              <w:right w:val="single" w:sz="4" w:space="0" w:color="auto"/>
            </w:tcBorders>
            <w:vAlign w:val="center"/>
          </w:tcPr>
          <w:p w14:paraId="39D9E077" w14:textId="1E2E0466" w:rsidR="008C74FE"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 xml:space="preserve">Ponadto w projektowanym art. 97 § 4 k.p.a. należałoby de lege ferenda posłużyć się sformułowaniem mówiącym nie tyle o „usunięciu” przyczyn uzasadniających zawieszenie postępowania, ale raczej – w nawiązaniu do stylistyki stosowanej w obecnym art. 97 § 2 k.p.a. – o „ustąpieniu” przyczyn uzasadniających zawieszenie postępowania. Proponowane </w:t>
            </w:r>
            <w:r w:rsidRPr="5E4B0158">
              <w:rPr>
                <w:rFonts w:ascii="Lato" w:hAnsi="Lato" w:cs="TimesNewRomanPSMT"/>
                <w:sz w:val="20"/>
                <w:szCs w:val="20"/>
              </w:rPr>
              <w:lastRenderedPageBreak/>
              <w:t>przez Radę Legislacyjną zastosowanie w projektowanym art. 97 § 4 k.p.a. określenia „ustąpienie przyczyn” (zamiast „usunięcie przyczyn”) zapewni niezbędną spójność terminologiczną w ramach jednego i tego samego artykułu k.p.a. oraz zapobiegnie ewentualnym sporom interpretacyjnym odnośnie tego, czy w obu paragrafach ustawodawca miał na myśli te same zjawiska prawne.</w:t>
            </w:r>
          </w:p>
        </w:tc>
        <w:tc>
          <w:tcPr>
            <w:tcW w:w="4791" w:type="dxa"/>
          </w:tcPr>
          <w:p w14:paraId="768500C1" w14:textId="29E30D5E" w:rsidR="008C74FE" w:rsidRPr="008C74FE" w:rsidRDefault="5F412CC3" w:rsidP="5F412CC3">
            <w:pPr>
              <w:jc w:val="both"/>
              <w:rPr>
                <w:rFonts w:ascii="Lato" w:eastAsia="Calibri" w:hAnsi="Lato" w:cs="Arial"/>
                <w:b/>
                <w:bCs/>
                <w:sz w:val="20"/>
                <w:szCs w:val="20"/>
              </w:rPr>
            </w:pPr>
            <w:r w:rsidRPr="5F412CC3">
              <w:rPr>
                <w:rFonts w:ascii="Lato" w:eastAsia="Calibri" w:hAnsi="Lato" w:cs="Arial"/>
                <w:b/>
                <w:bCs/>
                <w:sz w:val="20"/>
                <w:szCs w:val="20"/>
              </w:rPr>
              <w:lastRenderedPageBreak/>
              <w:t>Uwaga uwzględniona.</w:t>
            </w:r>
          </w:p>
        </w:tc>
      </w:tr>
      <w:tr w:rsidR="006A42C6" w:rsidRPr="00642550" w14:paraId="6DF71D89" w14:textId="77777777" w:rsidTr="5F412CC3">
        <w:trPr>
          <w:gridAfter w:val="1"/>
          <w:wAfter w:w="8" w:type="dxa"/>
          <w:jc w:val="center"/>
        </w:trPr>
        <w:tc>
          <w:tcPr>
            <w:tcW w:w="879" w:type="dxa"/>
            <w:vAlign w:val="center"/>
          </w:tcPr>
          <w:p w14:paraId="50CAA7D0" w14:textId="77777777" w:rsidR="006A42C6" w:rsidRPr="00642550" w:rsidRDefault="006A42C6" w:rsidP="00546363">
            <w:pPr>
              <w:numPr>
                <w:ilvl w:val="0"/>
                <w:numId w:val="3"/>
              </w:numPr>
              <w:spacing w:before="120"/>
              <w:ind w:right="-534"/>
              <w:contextualSpacing/>
              <w:rPr>
                <w:rFonts w:ascii="Lato" w:eastAsia="Calibri" w:hAnsi="Lato" w:cs="Arial"/>
                <w:b/>
                <w:sz w:val="20"/>
                <w:szCs w:val="20"/>
              </w:rPr>
            </w:pPr>
          </w:p>
        </w:tc>
        <w:tc>
          <w:tcPr>
            <w:tcW w:w="1662" w:type="dxa"/>
            <w:tcBorders>
              <w:top w:val="single" w:sz="4" w:space="0" w:color="auto"/>
              <w:left w:val="single" w:sz="4" w:space="0" w:color="auto"/>
              <w:bottom w:val="single" w:sz="4" w:space="0" w:color="auto"/>
              <w:right w:val="single" w:sz="4" w:space="0" w:color="auto"/>
            </w:tcBorders>
          </w:tcPr>
          <w:p w14:paraId="0994B93F" w14:textId="0CF7D541" w:rsidR="006A42C6" w:rsidRPr="00642550" w:rsidRDefault="5E4B0158" w:rsidP="5E4B0158">
            <w:pPr>
              <w:jc w:val="center"/>
              <w:rPr>
                <w:rFonts w:ascii="Lato" w:hAnsi="Lato" w:cs="Times New Roman"/>
                <w:sz w:val="20"/>
                <w:szCs w:val="20"/>
              </w:rPr>
            </w:pPr>
            <w:r w:rsidRPr="5E4B0158">
              <w:rPr>
                <w:rFonts w:ascii="Lato" w:hAnsi="Lato" w:cs="Times New Roman"/>
                <w:sz w:val="20"/>
                <w:szCs w:val="20"/>
              </w:rPr>
              <w:t>Zmiana w art. 109 k.p.a.</w:t>
            </w:r>
          </w:p>
        </w:tc>
        <w:tc>
          <w:tcPr>
            <w:tcW w:w="8176" w:type="dxa"/>
            <w:tcBorders>
              <w:top w:val="single" w:sz="4" w:space="0" w:color="auto"/>
              <w:left w:val="single" w:sz="4" w:space="0" w:color="auto"/>
              <w:bottom w:val="single" w:sz="4" w:space="0" w:color="auto"/>
              <w:right w:val="single" w:sz="4" w:space="0" w:color="auto"/>
            </w:tcBorders>
            <w:vAlign w:val="center"/>
          </w:tcPr>
          <w:p w14:paraId="319DDE70" w14:textId="3AF77B9F" w:rsidR="006A42C6"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Projektowanym art. 109 § 3 k.p.a. należałoby wyraźnie rozstrzygnąć kwestię tego, czy przewidziane w tym przepisie doręczenie stronie załączników do decyzji wydanej w postaci papierowej na innym trwałym nośniku informacji (za zgodą strony wyrażoną na piśmie albo ustnie do protokołu) należy traktować jako komplementarną formę doręczenia załączników do decyzji, stosowaną kumulatywnie z doręczeniem załączników w postaci papierowej, czy też może jest to zastępcza forma doręczenia stronie załączników do decyzji, stosowana zamiast doręczania załączników do decyzji w postaci papierowej. Obecne brzmienie projektowanego art. 109 § 3 k.p.a. wyraźnie tej kwestii nie przesądza, co oznacza, że zgoda strony na doręczenie jej załączników do decyzji wydanej w formie papierowej na innym trwałym nośniku informacji niekoniecznie musi być rozumiana jako zwalniająca organ administracji od konieczności doręczenia tych załączników w formie papierowej. To zaś z kolei byłoby sprzeczne z zakładanym celem projektowanej regulacji. Dlatego też Rada Legislacyjna proponuje następujące brzmienie projektowanego art. 109 § 3 k.p.a.: „Załączniki do decyzji wydanej w postaci papierowej mogą być doręczone, zamiast w postaci papierowej, na innym trwałym nośniku informacji za zgodą strony wyrażoną na piśmie albo ustnie do protokołu.”.</w:t>
            </w:r>
          </w:p>
          <w:p w14:paraId="299361D5" w14:textId="2486FE17" w:rsidR="006A42C6" w:rsidRPr="00642550" w:rsidRDefault="006A42C6" w:rsidP="006A42C6">
            <w:pPr>
              <w:autoSpaceDE w:val="0"/>
              <w:autoSpaceDN w:val="0"/>
              <w:adjustRightInd w:val="0"/>
              <w:jc w:val="both"/>
              <w:rPr>
                <w:rFonts w:ascii="Lato" w:hAnsi="Lato" w:cs="TimesNewRomanPSMT"/>
                <w:sz w:val="20"/>
                <w:szCs w:val="20"/>
              </w:rPr>
            </w:pPr>
          </w:p>
        </w:tc>
        <w:tc>
          <w:tcPr>
            <w:tcW w:w="4791" w:type="dxa"/>
          </w:tcPr>
          <w:p w14:paraId="0540487B" w14:textId="067370FA" w:rsidR="006A42C6" w:rsidRDefault="5F412CC3" w:rsidP="5F412CC3">
            <w:pPr>
              <w:jc w:val="both"/>
              <w:rPr>
                <w:rFonts w:ascii="Lato" w:eastAsia="Calibri" w:hAnsi="Lato" w:cs="Arial"/>
                <w:b/>
                <w:bCs/>
                <w:sz w:val="20"/>
                <w:szCs w:val="20"/>
              </w:rPr>
            </w:pPr>
            <w:r w:rsidRPr="5F412CC3">
              <w:rPr>
                <w:rFonts w:ascii="Lato" w:eastAsia="Calibri" w:hAnsi="Lato" w:cs="Arial"/>
                <w:b/>
                <w:bCs/>
                <w:sz w:val="20"/>
                <w:szCs w:val="20"/>
              </w:rPr>
              <w:t>Wyjaśnienie.</w:t>
            </w:r>
          </w:p>
          <w:p w14:paraId="16C5E931" w14:textId="3E46618D" w:rsidR="00E66316" w:rsidRDefault="5E4B0158" w:rsidP="5E4B0158">
            <w:pPr>
              <w:jc w:val="both"/>
              <w:rPr>
                <w:rFonts w:ascii="Lato" w:hAnsi="Lato" w:cs="TimesNewRomanPSMT"/>
                <w:sz w:val="20"/>
                <w:szCs w:val="20"/>
              </w:rPr>
            </w:pPr>
            <w:r w:rsidRPr="5E4B0158">
              <w:rPr>
                <w:rFonts w:ascii="Lato" w:eastAsia="Calibri" w:hAnsi="Lato" w:cs="Arial"/>
                <w:sz w:val="20"/>
                <w:szCs w:val="20"/>
              </w:rPr>
              <w:t xml:space="preserve">Nie jest uzasadnione takie rozumienie projektowanych przepisów, które powodowałoby, że doręczenie załączników na innym trwałym nośniku  </w:t>
            </w:r>
            <w:r w:rsidRPr="5E4B0158">
              <w:rPr>
                <w:rFonts w:ascii="Lato" w:hAnsi="Lato" w:cs="TimesNewRomanPSMT"/>
                <w:sz w:val="20"/>
                <w:szCs w:val="20"/>
              </w:rPr>
              <w:t>należałoby traktować jako komplementarną formę doręczenia załączników do decyzji, stosowaną kumulatywnie z doręczeniem załączników w postaci papierowej i w ocenie projektodawcy jest to już wyrażone w treści przepisu.</w:t>
            </w:r>
          </w:p>
          <w:p w14:paraId="070E5C12" w14:textId="7C0AF0E6" w:rsidR="0005374F" w:rsidRDefault="5E4B0158" w:rsidP="5E4B0158">
            <w:pPr>
              <w:jc w:val="both"/>
              <w:rPr>
                <w:rFonts w:ascii="Lato" w:hAnsi="Lato" w:cs="TimesNewRomanPSMT"/>
                <w:sz w:val="20"/>
                <w:szCs w:val="20"/>
              </w:rPr>
            </w:pPr>
            <w:r w:rsidRPr="5E4B0158">
              <w:rPr>
                <w:rFonts w:ascii="Lato" w:hAnsi="Lato" w:cs="TimesNewRomanPSMT"/>
                <w:sz w:val="20"/>
                <w:szCs w:val="20"/>
              </w:rPr>
              <w:t xml:space="preserve">W przypadku spełnienie dwóch warunków – wola organu i zgoda strony – załączniki </w:t>
            </w:r>
            <w:r>
              <w:t xml:space="preserve">do decyzji wydanej w postaci papierowej </w:t>
            </w:r>
            <w:r w:rsidRPr="5E4B0158">
              <w:rPr>
                <w:rFonts w:ascii="Lato" w:hAnsi="Lato" w:cs="TimesNewRomanPSMT"/>
                <w:sz w:val="20"/>
                <w:szCs w:val="20"/>
              </w:rPr>
              <w:t xml:space="preserve">będą doręczane tylko na innym trwałym nośniku. Organ będzie miał możliwości wyboru formy doręczenia na etapie wyrażania woli co do sposobu doręczenia. Nie będzie zobowiązany do kumulatywnego doręczenia załączników. </w:t>
            </w:r>
          </w:p>
          <w:p w14:paraId="161CE7D9" w14:textId="024E201E" w:rsidR="0043242A" w:rsidRPr="00E66316" w:rsidRDefault="5E4B0158" w:rsidP="5E4B0158">
            <w:pPr>
              <w:jc w:val="both"/>
              <w:rPr>
                <w:rFonts w:ascii="Lato" w:eastAsia="Calibri" w:hAnsi="Lato" w:cs="Arial"/>
                <w:sz w:val="20"/>
                <w:szCs w:val="20"/>
              </w:rPr>
            </w:pPr>
            <w:r w:rsidRPr="5E4B0158">
              <w:rPr>
                <w:rFonts w:ascii="Lato" w:eastAsia="Calibri" w:hAnsi="Lato" w:cs="Arial"/>
                <w:sz w:val="20"/>
                <w:szCs w:val="20"/>
              </w:rPr>
              <w:t xml:space="preserve">Uzupełnione w tym zakresie będzie uzasadnienie do zmiany. </w:t>
            </w:r>
          </w:p>
        </w:tc>
      </w:tr>
      <w:tr w:rsidR="006A42C6" w:rsidRPr="00642550" w14:paraId="7451D98C" w14:textId="77777777" w:rsidTr="5F412CC3">
        <w:trPr>
          <w:gridAfter w:val="1"/>
          <w:wAfter w:w="8" w:type="dxa"/>
          <w:jc w:val="center"/>
        </w:trPr>
        <w:tc>
          <w:tcPr>
            <w:tcW w:w="879" w:type="dxa"/>
            <w:vAlign w:val="center"/>
          </w:tcPr>
          <w:p w14:paraId="3C350954" w14:textId="77777777" w:rsidR="006A42C6" w:rsidRPr="00642550" w:rsidRDefault="006A42C6" w:rsidP="00546363">
            <w:pPr>
              <w:numPr>
                <w:ilvl w:val="0"/>
                <w:numId w:val="3"/>
              </w:numPr>
              <w:spacing w:before="120"/>
              <w:ind w:right="-534"/>
              <w:contextualSpacing/>
              <w:rPr>
                <w:rFonts w:ascii="Lato" w:eastAsia="Calibri" w:hAnsi="Lato" w:cs="Arial"/>
                <w:b/>
                <w:sz w:val="20"/>
                <w:szCs w:val="20"/>
              </w:rPr>
            </w:pPr>
          </w:p>
        </w:tc>
        <w:tc>
          <w:tcPr>
            <w:tcW w:w="1662" w:type="dxa"/>
            <w:tcBorders>
              <w:top w:val="single" w:sz="4" w:space="0" w:color="auto"/>
              <w:left w:val="single" w:sz="4" w:space="0" w:color="auto"/>
              <w:bottom w:val="single" w:sz="4" w:space="0" w:color="auto"/>
              <w:right w:val="single" w:sz="4" w:space="0" w:color="auto"/>
            </w:tcBorders>
          </w:tcPr>
          <w:p w14:paraId="59B3BF65" w14:textId="36FA7D40" w:rsidR="006A42C6" w:rsidRPr="00642550" w:rsidRDefault="5E4B0158" w:rsidP="5E4B0158">
            <w:pPr>
              <w:jc w:val="center"/>
              <w:rPr>
                <w:rFonts w:ascii="Lato" w:hAnsi="Lato" w:cs="Times New Roman"/>
                <w:sz w:val="20"/>
                <w:szCs w:val="20"/>
              </w:rPr>
            </w:pPr>
            <w:r w:rsidRPr="5E4B0158">
              <w:rPr>
                <w:rFonts w:ascii="Lato" w:hAnsi="Lato" w:cs="Times New Roman"/>
                <w:sz w:val="20"/>
                <w:szCs w:val="20"/>
              </w:rPr>
              <w:t>Zmiana w art. 189i k.p.a.</w:t>
            </w:r>
          </w:p>
        </w:tc>
        <w:tc>
          <w:tcPr>
            <w:tcW w:w="8176" w:type="dxa"/>
            <w:tcBorders>
              <w:top w:val="single" w:sz="4" w:space="0" w:color="auto"/>
              <w:left w:val="single" w:sz="4" w:space="0" w:color="auto"/>
              <w:bottom w:val="single" w:sz="4" w:space="0" w:color="auto"/>
              <w:right w:val="single" w:sz="4" w:space="0" w:color="auto"/>
            </w:tcBorders>
            <w:vAlign w:val="center"/>
          </w:tcPr>
          <w:p w14:paraId="34DF29AF" w14:textId="2DAD7840" w:rsidR="006A42C6" w:rsidRPr="006A42C6"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 xml:space="preserve">Zdefiniowane w projektowanym art. 189i § 1 k.p.a. pojęcie zaległej administracyjnej kary pieniężnej jest wysoce nieprawidłowe, ponieważ wbrew ogólnym zasadom k.p.a. oraz w sposób zupełnie niecelowy ten projektowany przepis zmusza osobę ukaraną administracyjną karą pieniężną do zapłaty nałożonej na nią decyzją kary jeszcze przed uostatecznieniem się decyzji nakładającej karę, a więc jeszcze przed upływem terminu do wniesienia odwołania w administracyjnym toku instancji lub wniosku o ponowne rozpatrzenie sprawy. Projektowany art. 189i § 1 k.p.a. stanowi, że „Zaległą administracyjną karą pieniężną jest kara niezapłacona w terminie 14 dni od dnia doręczenia stronie decyzji w sprawie administracyjnej kary pieniężnej, jeżeli decyzja stała się ostateczna, chyba że przepisy szczególne wskazują inny termin jej zapłaty.” Z przepisu tego wynika, że jeżeli przepis szczególny nie wskazuje odrębnego terminu zapłaty administracyjnej kary pieniężnej, to tego rodzaju kara nałożona decyzją administracyjną wydaną w pierwszej instancji staje się zaległa wtedy, gdy ukarany nie zapłacił jej w terminie 14 dni od dnia doręczenia mu decyzji o ukaraniu, choć pod zawieszającym warunkiem uostatecznienia się tej decyzji. Projektowany art. 189a § 1 k.p.a. nie stanowi zatem, że administracyjna kara pieniężna staje się zaległa, gdy decyzja o ukaraniu stała się ostateczna i gdy ukarany nie zapłacił jej w terminie 14 dni od tej daty doręczenia mu ostatecznej decyzji o ukaraniu. Przeciwnie, zgodnie z projektowanym przepisem administracyjna kara pieniężna staje się zaległa już wtedy, gdy ukarany nie zapłaci jej w terminie 14 dni od dnia doręczenia mu decyzji o ukaraniu, o ile (warunek zawieszający) decyzja ta stanie się następnie ostateczna: czy to dlatego, że ukarany w terminie 14 dni od dnia doręczenia mu decyzji o ukaraniu nie </w:t>
            </w:r>
            <w:r w:rsidRPr="5E4B0158">
              <w:rPr>
                <w:rFonts w:ascii="Lato" w:hAnsi="Lato" w:cs="TimesNewRomanPSMT"/>
                <w:sz w:val="20"/>
                <w:szCs w:val="20"/>
              </w:rPr>
              <w:lastRenderedPageBreak/>
              <w:t>wniesie od niej odwołania lub wniosku o ponowne rozpatrzenie sprawy (zob. art. 129 § 2 w zw. z art. 16 § 1 k.p.a.), czy też dlatego, że po wniesieniu przez niego odwołania decyzja zostanie utrzymana w mocy przez organ odwoławczy (art. 138 § 1 pkt 1 w zw. z art. 16 § 1 k.p.a.). W praktyce oznacza to, że ukarany, nie chcąc aby nałożona na niego decyzją administracyjna kara pieniężna stała się zaległa w rozumieniu projektowanego art. 189i §1 k.p.a. (co będzie z kolei skutkowało naliczeniem odsetek za zwłokę w wysokości określonej jak dla zaległości podatkowych – zob. art. 189i § 2 k.p.a.), będzie musiał tę karę zapłacić już od razu w terminie 14 dni od dnia doręczenia mu tej decyzji wydanej w pierwszej instancji, gdyż nawet jeżeli następnie wniesie od tej decyzji odwołanie, to nie będzie miał on przecież pewności, w jaki sposób odwołanie to zostanie w przyszłości rozstrzygnięte przez organ odwoławczy (lub ewentualnie przez organ pierwszej instancji w ramach autokontroli): jeżeli jego odwołanie zostanie rozstrzygnięte na jego niekorzyść i decyzja o ukaraniu stanie się ostateczna, to przy założeniu, że nie uiścił on kary od razu w terminie 14 dni od dnia doręczenia mu decyzji o ukaraniu wydanej w pierwszej instancji, nałożona na niego kara stanie się zaległa (i to w sposób bezwzględny oraz nieodwołalny i automatycznie) w momencie uostatecznienia się decyzji o ukaraniu Tym samym ukarany, chcąc uniknąć uznania nałożonej na niego administracyjnej kary pieniężnej za zaległą (czy też chcąc wyeliminować ryzyko uznania nałożonej na niego administracyjnej kary pieniężnej za zaległą), będzie – w sytuacji obowiązywania projektowanego art. 189i § 1 k.p.a. – w praktyce zmuszony do zapłaty wspomnianej kary w terminie 14 dni od dnia doręczenia mu decyzji o ukaraniu wydanej w pierwszej instancji.</w:t>
            </w:r>
          </w:p>
          <w:p w14:paraId="021B7DA2" w14:textId="0460DF5E" w:rsidR="006A42C6" w:rsidRPr="006A42C6"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Tymczasem takie faktyczne wymuszenie na ukaranym zapłaty administracyjnej kary pieniężnej jeszcze przed uostatecznieniem się decyzji o ukaraniu jest niezgodne z regułami z art. 130 § 1 i § 2 k.p.a., w myśl których przed upływem terminu do wniesienia odwołania decyzja nie ulega wykonaniu (art. 130 § 1 k.p.a.), zaś wniesienie odwołania w terminie wstrzymuje wykonanie decyzji (art. 130 § 2 k.p.a.). Wbrew powołanym elementarnym regułom z art. 130 § 1 i § 2 k.p.a., w sytuacji ewentualnego obowiązywania projektowanego art. 189i § 1 k.p.a. osoba ukarana administracyjną karą pieniężną będzie musiała wykonać decyzję o nałożeniu tej kary jeszcze przed upływem terminu do wniesienia przez nią odwołania od decyzji, czyli będzie musiała zapłacić nałożoną na nią administracyjną karę pieniężną w terminie 14 dni od dnia doręczenia jej decyzji o ukaraniu wydanej w pierwszej instancji, gdyż w razie nieuiszczenia jej w tym terminie kara ta stanie się zaległa z momentem uostatecznienia się decyzji o ukaraniu (i to stanie się zaległa od razu i automatycznie z chwilą uostatecznienia się decyzji o ukaraniu, bez dania ukaranemu żadnego dodatkowego terminu na uiszczenienałożonej na niego administracyjnej kary pieniężnej).</w:t>
            </w:r>
          </w:p>
          <w:p w14:paraId="16C70616" w14:textId="2E41B0CA" w:rsidR="006A42C6" w:rsidRPr="006A42C6"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 xml:space="preserve">Co więcej, jeżeli ukarany administracyjną karą pieniężną zapłaci tę karę w terminie 14 dni od dnia doręczenia mu decyzji o ukaraniu wydanej w pierwszej instancji (czyniąc to w celu uniknięcia uznania tej kary za zaległą w razie niepowodzenia jego odwołania od decyzji), zaś następnie decyzja ta zostanie przez organ odwoławczy uchylona lub zmieniona poprzez zmniejszenie wysokości nałożonej kary pieniężnej, wówczas okaże się, że ukarany tak naprawdę niezasadnie został pozbawiony na pewien okres czasu (może nawet dłuższy) swoich środków pieniężnych, i to być może nawet dużych środków (obowiązujące w Polsce przepisy prawa przewidują niekiedy kary pieniężne w wysokości nawet wielu milionów złotych - Zob. np. art. 106 ust. 1 i 8 oraz art. 106a ust. 1 ustawy z dnia 16 lutego 2007 r. o ochronie konkurencji i konsumentów, tekst jedn. Dz. U. z 2023 r. poz. 1689, ze zm). W takiej </w:t>
            </w:r>
            <w:r w:rsidRPr="5E4B0158">
              <w:rPr>
                <w:rFonts w:ascii="Lato" w:hAnsi="Lato" w:cs="TimesNewRomanPSMT"/>
                <w:sz w:val="20"/>
                <w:szCs w:val="20"/>
              </w:rPr>
              <w:lastRenderedPageBreak/>
              <w:t xml:space="preserve">sytuacji ukarany będzie miał oczywiście roszczenie do Skarbu Państwa o zwrot swoich pieniędzy, ale otrzyma je bez żadnych odsetek, pomimo iż przez pewien okres czasu nie będzie mógł z tych środków efektywnie korzystać, i to nie będzie mógł tego czynić – w świetle decyzji organu drugiej instancji – w sposób niezasadny (niesłuszny). Te opisane negatywne skutki prawne dla jednostek budzą poważne wątpliwości co do zgodności projektowanego art. 189i § 1 k.p.a. z Konstytucją RP, w tym zwłaszcza z zasadą zaufania do państwa i prawa (art. 2 Konstytucji RP) oraz z zasadą dwuinstancyjności postępowania administracyjnego (art. 78 w zw. z art. 31 ust. 3 Konstytucji RP), bo czynią tę dwuinstancyjność mniej efektywną (Ustawowe odstępstwo od zasady dwuinstancyjności jest co prawda konstytucyjnie dopuszczalne (art. 78 zd. 2 Konstytucji RP), ale tylko wyjątkowo (dla szczególnych względów) i przy zachowaniu przesłanek z art. 31 ust. 3 Konstytucji RP (zob. np. wyrok TK z dnia 14 maja 2013 r. w sprawie P 27/12, OTK Z. U. 2013, nr 4A, poz. 41, pkt III.2.2 uzasadnienia; wyrok TK z dnia 16 maja 2018 r. w sprawie K 12/15, OTK Z. U. 2018, A, poz. 29, pkt III.2.2-2.3 uzasadnienia), zaś w omawianym przypadku spełnienie tych wyjątkowych powodów (dla osłabienia efektywności dwuinstancyjności) wydaje się wątpliwe.). </w:t>
            </w:r>
          </w:p>
          <w:p w14:paraId="438430A0" w14:textId="1DA6589A" w:rsidR="006A42C6" w:rsidRPr="006A42C6"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Aby zapobiec takim właśnie skutkom – które są na pewno niezgodne z ogólnymi zasadami k.p.a. oraz nadmiernie uciążliwe dla jednostek i w efekcie niecelowe – Rada Legislacyjna proponuje nadanie projektowanemu przepisowi art. 189i § 1 k.p.a. następującego brzmienia:</w:t>
            </w:r>
          </w:p>
          <w:p w14:paraId="394C8B42" w14:textId="77777777" w:rsidR="006A42C6"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„Zaległą administracyjną karą pieniężną jest kara niezapłacona w terminie 14 dni od dnia, w którym decyzja nakładająca na stronę administracyjną karę pieniężną stała się ostateczna, chyba że przepisy szczególne wskazują inny termin jej zapłaty.” Przy takim brzmieniu projektowanego przepisu jest oczywiste, że bieg 14-dniowego terminu do zapłaty przez ukaranego administracyjnej kary pieniężnej – którego bezskuteczny upływ powoduje uznanie tej kary za zaległą – rozpoczyna się dopiero z momentem, w którym decyzja nakładająca na ukaranego administracyjną karę pieniężną stała się ostateczna, nie zaś już w momencie doręczenia mu wspomnianej decyzji wydanej w pierwszej instancji.</w:t>
            </w:r>
          </w:p>
          <w:p w14:paraId="5FC26466" w14:textId="58741F89" w:rsidR="007D6289" w:rsidRPr="00642550" w:rsidRDefault="007D6289" w:rsidP="007D6289">
            <w:pPr>
              <w:autoSpaceDE w:val="0"/>
              <w:autoSpaceDN w:val="0"/>
              <w:adjustRightInd w:val="0"/>
              <w:jc w:val="both"/>
              <w:rPr>
                <w:rFonts w:ascii="Lato" w:hAnsi="Lato" w:cs="TimesNewRomanPSMT"/>
                <w:sz w:val="20"/>
                <w:szCs w:val="20"/>
              </w:rPr>
            </w:pPr>
          </w:p>
        </w:tc>
        <w:tc>
          <w:tcPr>
            <w:tcW w:w="4791" w:type="dxa"/>
          </w:tcPr>
          <w:p w14:paraId="3F928DAC" w14:textId="18602A3F" w:rsidR="006A42C6" w:rsidRPr="00642550" w:rsidRDefault="5F412CC3" w:rsidP="5F412CC3">
            <w:pPr>
              <w:jc w:val="both"/>
              <w:rPr>
                <w:rFonts w:ascii="Lato" w:eastAsia="Calibri" w:hAnsi="Lato" w:cs="Arial"/>
                <w:sz w:val="20"/>
                <w:szCs w:val="20"/>
              </w:rPr>
            </w:pPr>
            <w:r w:rsidRPr="5F412CC3">
              <w:rPr>
                <w:rFonts w:ascii="Lato" w:eastAsia="Calibri" w:hAnsi="Lato" w:cs="Arial"/>
                <w:b/>
                <w:bCs/>
                <w:sz w:val="20"/>
                <w:szCs w:val="20"/>
              </w:rPr>
              <w:lastRenderedPageBreak/>
              <w:t>Uwaga uwzględniona.</w:t>
            </w:r>
          </w:p>
        </w:tc>
      </w:tr>
      <w:tr w:rsidR="006A42C6" w:rsidRPr="00642550" w14:paraId="7D369CB5" w14:textId="77777777" w:rsidTr="5F412CC3">
        <w:trPr>
          <w:gridAfter w:val="1"/>
          <w:wAfter w:w="8" w:type="dxa"/>
          <w:jc w:val="center"/>
        </w:trPr>
        <w:tc>
          <w:tcPr>
            <w:tcW w:w="879" w:type="dxa"/>
            <w:vAlign w:val="center"/>
          </w:tcPr>
          <w:p w14:paraId="2A115A75" w14:textId="77777777" w:rsidR="006A42C6" w:rsidRPr="00642550" w:rsidRDefault="006A42C6" w:rsidP="00546363">
            <w:pPr>
              <w:numPr>
                <w:ilvl w:val="0"/>
                <w:numId w:val="3"/>
              </w:numPr>
              <w:spacing w:before="120"/>
              <w:ind w:right="-534"/>
              <w:contextualSpacing/>
              <w:rPr>
                <w:rFonts w:ascii="Lato" w:eastAsia="Calibri" w:hAnsi="Lato" w:cs="Arial"/>
                <w:b/>
                <w:sz w:val="20"/>
                <w:szCs w:val="20"/>
              </w:rPr>
            </w:pPr>
          </w:p>
        </w:tc>
        <w:tc>
          <w:tcPr>
            <w:tcW w:w="1662" w:type="dxa"/>
            <w:tcBorders>
              <w:top w:val="single" w:sz="4" w:space="0" w:color="auto"/>
              <w:left w:val="single" w:sz="4" w:space="0" w:color="auto"/>
              <w:bottom w:val="single" w:sz="4" w:space="0" w:color="auto"/>
              <w:right w:val="single" w:sz="4" w:space="0" w:color="auto"/>
            </w:tcBorders>
          </w:tcPr>
          <w:p w14:paraId="76C7F518" w14:textId="6582F82D" w:rsidR="006A42C6" w:rsidRPr="00642550" w:rsidRDefault="5E4B0158" w:rsidP="5E4B0158">
            <w:pPr>
              <w:jc w:val="center"/>
              <w:rPr>
                <w:rFonts w:ascii="Lato" w:hAnsi="Lato" w:cs="Times New Roman"/>
                <w:sz w:val="20"/>
                <w:szCs w:val="20"/>
              </w:rPr>
            </w:pPr>
            <w:r w:rsidRPr="5E4B0158">
              <w:rPr>
                <w:rFonts w:ascii="Lato" w:hAnsi="Lato" w:cs="Times New Roman"/>
                <w:sz w:val="20"/>
                <w:szCs w:val="20"/>
              </w:rPr>
              <w:t>Zmiana w art. 189l k.p.a.</w:t>
            </w:r>
          </w:p>
        </w:tc>
        <w:tc>
          <w:tcPr>
            <w:tcW w:w="8176" w:type="dxa"/>
            <w:tcBorders>
              <w:top w:val="single" w:sz="4" w:space="0" w:color="auto"/>
              <w:left w:val="single" w:sz="4" w:space="0" w:color="auto"/>
              <w:bottom w:val="single" w:sz="4" w:space="0" w:color="auto"/>
              <w:right w:val="single" w:sz="4" w:space="0" w:color="auto"/>
            </w:tcBorders>
            <w:vAlign w:val="center"/>
          </w:tcPr>
          <w:p w14:paraId="722FA251" w14:textId="77777777" w:rsidR="007D6289"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Projektowany art. 189l § 4 k.p.a. powinien de lege ferenda dawać organowi administracji znacznie szersze możliwości umorzenia wskazanej tam zaległej administracyjnej kary pieniężnej niż to czyni w obecnym brzmieniu. Ten projektowany przepis stanowi, że „W przypadku, o którym mowa w § 1 pkt 2 [tj. gdy kwota zaległej administracyjnej kary pieniężnej nie została zaspokojona w zakończonym postępowaniu likwidacyjnym lub upadłościowym – przyp. RL], właściwy organ może umorzyć zaległą administracyjną karę pieniężną, jeżeli umorzenie nie będzie stanowiło pomocy publicznej lub będzie stanowiło pomoc de minimis – w zakresie i na zasadach określonych w bezpośrednio obowiązujących przepisach prawa Unii Europejskiej dotyczących pomocy w ramach zasady de minimis.”. Otóż należy rekomendować, aby właściwy organ mógł umorzyć wskazaną w tym projektowanym przepisie zaległą administracyjna karę pieniężną również wtedy, gdy umorzenie będzie stanowiło pomoc publiczną zgodną z zasadami rynku wewnętrznego Unii Europejskiej, której dopuszczalność została określona przez właściwe organy Unii Europejskiej. Takie rozwiązanie będzie zgodne z prawem UE i będzie ono zbieżne treściowo z analogicznymi rozwiązaniami przewidzianymi w obecnym art. 189k § 3 lit. c) k.p.a., a ponadto, jako rozwiązanie korzystne dla jednostek (przedsiębiorców), będzie to również udanie się wpisywało w główne cele Projektu.</w:t>
            </w:r>
          </w:p>
          <w:p w14:paraId="70129B91" w14:textId="1FC931CB" w:rsidR="007D6289" w:rsidRPr="00642550" w:rsidRDefault="007D6289" w:rsidP="007D6289">
            <w:pPr>
              <w:autoSpaceDE w:val="0"/>
              <w:autoSpaceDN w:val="0"/>
              <w:adjustRightInd w:val="0"/>
              <w:jc w:val="both"/>
              <w:rPr>
                <w:rFonts w:ascii="Lato" w:hAnsi="Lato" w:cs="TimesNewRomanPSMT"/>
                <w:sz w:val="20"/>
                <w:szCs w:val="20"/>
              </w:rPr>
            </w:pPr>
          </w:p>
        </w:tc>
        <w:tc>
          <w:tcPr>
            <w:tcW w:w="4791" w:type="dxa"/>
          </w:tcPr>
          <w:p w14:paraId="7B834A27" w14:textId="02F936A7" w:rsidR="006A42C6" w:rsidRDefault="5F412CC3" w:rsidP="5F412CC3">
            <w:pPr>
              <w:jc w:val="both"/>
              <w:rPr>
                <w:rFonts w:ascii="Lato" w:eastAsia="Calibri" w:hAnsi="Lato" w:cs="Arial"/>
                <w:b/>
                <w:bCs/>
                <w:sz w:val="20"/>
                <w:szCs w:val="20"/>
              </w:rPr>
            </w:pPr>
            <w:r w:rsidRPr="5F412CC3">
              <w:rPr>
                <w:rFonts w:ascii="Lato" w:eastAsia="Calibri" w:hAnsi="Lato" w:cs="Arial"/>
                <w:b/>
                <w:bCs/>
                <w:sz w:val="20"/>
                <w:szCs w:val="20"/>
              </w:rPr>
              <w:lastRenderedPageBreak/>
              <w:t>Uwaga uwzględniona.</w:t>
            </w:r>
          </w:p>
          <w:p w14:paraId="14E701A4" w14:textId="31AE3FB4" w:rsidR="008C74FE" w:rsidRPr="00642550" w:rsidRDefault="5E4B0158" w:rsidP="5E4B0158">
            <w:pPr>
              <w:jc w:val="both"/>
              <w:rPr>
                <w:rFonts w:ascii="Lato" w:eastAsia="Calibri" w:hAnsi="Lato" w:cs="Arial"/>
                <w:sz w:val="20"/>
                <w:szCs w:val="20"/>
              </w:rPr>
            </w:pPr>
            <w:r w:rsidRPr="5E4B0158">
              <w:rPr>
                <w:rFonts w:ascii="Lato" w:eastAsia="Calibri" w:hAnsi="Lato" w:cs="Arial"/>
                <w:sz w:val="20"/>
                <w:szCs w:val="20"/>
              </w:rPr>
              <w:t>Kwestia przewidziana w art. 189l par. 4 k.p.a. nie jest tożsama z przypadkiem, o którym mowa w art. 189k par. 3 lit. c k.p.a.</w:t>
            </w:r>
          </w:p>
        </w:tc>
      </w:tr>
      <w:tr w:rsidR="006A42C6" w:rsidRPr="00642550" w14:paraId="41D040E0" w14:textId="77777777" w:rsidTr="5F412CC3">
        <w:trPr>
          <w:gridAfter w:val="1"/>
          <w:wAfter w:w="8" w:type="dxa"/>
          <w:jc w:val="center"/>
        </w:trPr>
        <w:tc>
          <w:tcPr>
            <w:tcW w:w="879" w:type="dxa"/>
            <w:vAlign w:val="center"/>
          </w:tcPr>
          <w:p w14:paraId="3326CB6F" w14:textId="77777777" w:rsidR="006A42C6" w:rsidRPr="00642550" w:rsidRDefault="006A42C6" w:rsidP="00546363">
            <w:pPr>
              <w:numPr>
                <w:ilvl w:val="0"/>
                <w:numId w:val="3"/>
              </w:numPr>
              <w:spacing w:before="120"/>
              <w:ind w:right="-534"/>
              <w:contextualSpacing/>
              <w:rPr>
                <w:rFonts w:ascii="Lato" w:eastAsia="Calibri" w:hAnsi="Lato" w:cs="Arial"/>
                <w:b/>
                <w:sz w:val="20"/>
                <w:szCs w:val="20"/>
              </w:rPr>
            </w:pPr>
          </w:p>
        </w:tc>
        <w:tc>
          <w:tcPr>
            <w:tcW w:w="1662" w:type="dxa"/>
            <w:tcBorders>
              <w:top w:val="single" w:sz="4" w:space="0" w:color="auto"/>
              <w:left w:val="single" w:sz="4" w:space="0" w:color="auto"/>
              <w:bottom w:val="single" w:sz="4" w:space="0" w:color="auto"/>
              <w:right w:val="single" w:sz="4" w:space="0" w:color="auto"/>
            </w:tcBorders>
          </w:tcPr>
          <w:p w14:paraId="72572894" w14:textId="7083DA42" w:rsidR="006A42C6" w:rsidRPr="00642550" w:rsidRDefault="5E4B0158" w:rsidP="5E4B0158">
            <w:pPr>
              <w:jc w:val="center"/>
              <w:rPr>
                <w:rFonts w:ascii="Lato" w:hAnsi="Lato" w:cs="Times New Roman"/>
                <w:sz w:val="20"/>
                <w:szCs w:val="20"/>
              </w:rPr>
            </w:pPr>
            <w:r w:rsidRPr="5E4B0158">
              <w:rPr>
                <w:rFonts w:ascii="Lato" w:hAnsi="Lato" w:cs="Times New Roman"/>
                <w:sz w:val="20"/>
                <w:szCs w:val="20"/>
              </w:rPr>
              <w:t xml:space="preserve">Zmiana w art. 921 </w:t>
            </w:r>
            <w:r w:rsidRPr="5E4B0158">
              <w:rPr>
                <w:rFonts w:ascii="Lato" w:hAnsi="Lato" w:cs="Times New Roman"/>
                <w:sz w:val="20"/>
                <w:szCs w:val="20"/>
                <w:vertAlign w:val="superscript"/>
              </w:rPr>
              <w:t>15a</w:t>
            </w:r>
            <w:r w:rsidRPr="5E4B0158">
              <w:rPr>
                <w:rFonts w:ascii="Lato" w:hAnsi="Lato" w:cs="Times New Roman"/>
                <w:sz w:val="20"/>
                <w:szCs w:val="20"/>
              </w:rPr>
              <w:t xml:space="preserve"> K.c.</w:t>
            </w:r>
          </w:p>
        </w:tc>
        <w:tc>
          <w:tcPr>
            <w:tcW w:w="8176" w:type="dxa"/>
            <w:tcBorders>
              <w:top w:val="single" w:sz="4" w:space="0" w:color="auto"/>
              <w:left w:val="single" w:sz="4" w:space="0" w:color="auto"/>
              <w:bottom w:val="single" w:sz="4" w:space="0" w:color="auto"/>
              <w:right w:val="single" w:sz="4" w:space="0" w:color="auto"/>
            </w:tcBorders>
            <w:vAlign w:val="center"/>
          </w:tcPr>
          <w:p w14:paraId="227FFA84" w14:textId="5B4D8DFE" w:rsidR="001716D5"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 xml:space="preserve">Nie jest w pełni jasne, jaki będzie realny zakres zastosowania projektowanych przepisów k.c. o papierach wartościowych na nośniku elektronicznym (projektowane przepisy art. 921[15a] k.c.). Projektowany art. 921[15a] § 2 k.c. bardzo mocno zawęża zakres zastosowania tych przepisów, gdyż wyraźnie stanowi, że „Przepisów niniejszego kodeksu o dokumencie na nośniku elektronicznym nie stosuje się do papierów wartościowych stanowiących instrumenty finansowe w rozumieniu przepisów odrębnych.”. Powołany projektowany przepis k.c. odsyła zatem do ustawy o obrocie instrumentami finansowymi,19 zaś z tej ostatniej ustawy wynika, że instrumentami finansowymi w jej rozumieniu są w zasadzie wszystkie możliwe papiery wartościowe, z wyjątkiem jedynie weksli i czeków, do których ta ustawa nie ma zastosowania (zob. art. 1 ust. 2, art. 2 ust. 1 pkt 1 i art. 3 pkt 1 ustawy o obrocie instrumentami finansowymi). Ustawa o obrocie instrumentami finansowymi stanowi, że instrumentami finansowymi w jej rozumieniu są m. in. papiery wartościowe (art. 2 ust. 1 pkt 1 powołanej ustawy), zaś zamieszczona w tej ustawie legalna definicja papieru wartościowego jest bardzo szeroka, obejmująca w zasadzie wszelkie możliwe tego rodzaju papiery, co wynika z posłużenia się w tej definicji nie tylko obszernym katalogiem konkretnych wymienionych z nazwy papierów wartościowych, ale i zastosowania dopełniającej generalnej formuły mówiącej o „innych zbywalnych papierach wartościowych” (art. 3 pkt 1 ustawy o obrocie instrumentami finansowymi). W zasadzie w tej szerokiej (generalnej) definicji mieściłyby się również weksle i czeki, gdyby nie fakt, iż powołana ustawa wyraźnie wyłącza weksle i czeki z zakresu jej zastosowania (art. 1 ust. 2 ustawy o obrocie instrumentami finansowymi). W efekcie należy stwierdzić, że projektowane przepisy k.c. o papierach wartościowych na nośniku elektronicznym – z uwagi na zastrzeżenie zamieszczone w projektowanym art. 921[15a] § 2 k.c. – będą miały w praktyce zastosowanie jedynie do weksli i czeków, co każe postawić zasadne pytanie, czy w takiej sytuacji nie lepiej byłoby je zamieścić po prostu bezpośrednio w przepisach ustawy Prawo wekslowe i ustawy Prawo czekowe? </w:t>
            </w:r>
          </w:p>
          <w:p w14:paraId="14BCAC01" w14:textId="1C70C696" w:rsidR="006A42C6" w:rsidRPr="00642550"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Co jest przy tym znamienne, chociaż twórcy Projektu w jego uzasadnieniu nie stwierdzają wyraźnie, iż projektowane przepisy art. 921[15a] k.c. będą miały zastosowanie tylko do weksli i czeków, to jednak cała ta część uzasadnienia Projektu, w której jest mowa o projektowanych przepisach art. 921[15a] k.c. jest zatytułowana: „Weksel elektroniczny” (s. 16 uzasadnienia Projektu), zaś w treści uzasadnienia jest w tym kontekście mowa tylko o elektronicznym wekslu i koncepcji elektronicznego weksla (ss. 16-19 uzasadnienia Projektu). Kwestia realnego zakresu zastosowania projektowanych przepisów art. 921[15a] k.c. wymaga więc obecnie jednoznacznego wyjaśnienia i wyraźnego odniesienia się do tej problematyki w uzasadnieniu Projektu oraz w Ocenie Skutków Regulacji.</w:t>
            </w:r>
          </w:p>
        </w:tc>
        <w:tc>
          <w:tcPr>
            <w:tcW w:w="4791" w:type="dxa"/>
          </w:tcPr>
          <w:p w14:paraId="6F7D4A3C" w14:textId="79AF1F4C" w:rsidR="006A42C6" w:rsidRPr="00642550" w:rsidRDefault="5F412CC3" w:rsidP="5F412CC3">
            <w:pPr>
              <w:jc w:val="both"/>
              <w:rPr>
                <w:rFonts w:ascii="Lato" w:eastAsia="Lato" w:hAnsi="Lato" w:cs="Lato"/>
                <w:sz w:val="20"/>
                <w:szCs w:val="20"/>
              </w:rPr>
            </w:pPr>
            <w:r w:rsidRPr="5F412CC3">
              <w:rPr>
                <w:rFonts w:ascii="Lato" w:eastAsia="Lato" w:hAnsi="Lato" w:cs="Lato"/>
                <w:b/>
                <w:bCs/>
                <w:sz w:val="20"/>
                <w:szCs w:val="20"/>
              </w:rPr>
              <w:t>Wyjaśnienie.</w:t>
            </w:r>
          </w:p>
          <w:p w14:paraId="251F6E1E" w14:textId="5CC0E9E2" w:rsidR="006A42C6" w:rsidRPr="00642550" w:rsidRDefault="5E4B0158" w:rsidP="5E4B0158">
            <w:pPr>
              <w:jc w:val="both"/>
              <w:rPr>
                <w:rFonts w:ascii="Lato" w:eastAsia="Lato" w:hAnsi="Lato" w:cs="Lato"/>
                <w:sz w:val="20"/>
                <w:szCs w:val="20"/>
              </w:rPr>
            </w:pPr>
            <w:r w:rsidRPr="5E4B0158">
              <w:rPr>
                <w:rFonts w:ascii="Lato" w:eastAsia="Lato" w:hAnsi="Lato" w:cs="Lato"/>
                <w:sz w:val="20"/>
                <w:szCs w:val="20"/>
              </w:rPr>
              <w:t>Przedmiotowe rozwiązania zostaną poddane dodatkowym analizom i procedowane w ramach odrębnego procesu legislacyjnego.</w:t>
            </w:r>
          </w:p>
        </w:tc>
      </w:tr>
      <w:tr w:rsidR="001F4F9C" w:rsidRPr="00642550" w14:paraId="2AB9EE34" w14:textId="77777777" w:rsidTr="5F412CC3">
        <w:trPr>
          <w:gridAfter w:val="1"/>
          <w:wAfter w:w="8" w:type="dxa"/>
          <w:jc w:val="center"/>
        </w:trPr>
        <w:tc>
          <w:tcPr>
            <w:tcW w:w="879" w:type="dxa"/>
            <w:vAlign w:val="center"/>
          </w:tcPr>
          <w:p w14:paraId="36705F53" w14:textId="77777777" w:rsidR="001F4F9C" w:rsidRPr="00642550" w:rsidRDefault="001F4F9C" w:rsidP="00546363">
            <w:pPr>
              <w:numPr>
                <w:ilvl w:val="0"/>
                <w:numId w:val="3"/>
              </w:numPr>
              <w:spacing w:before="120"/>
              <w:ind w:right="-534"/>
              <w:contextualSpacing/>
              <w:rPr>
                <w:rFonts w:ascii="Lato" w:eastAsia="Calibri" w:hAnsi="Lato" w:cs="Arial"/>
                <w:b/>
                <w:sz w:val="20"/>
                <w:szCs w:val="20"/>
              </w:rPr>
            </w:pPr>
          </w:p>
        </w:tc>
        <w:tc>
          <w:tcPr>
            <w:tcW w:w="1662" w:type="dxa"/>
            <w:tcBorders>
              <w:top w:val="single" w:sz="4" w:space="0" w:color="auto"/>
              <w:left w:val="single" w:sz="4" w:space="0" w:color="auto"/>
              <w:bottom w:val="single" w:sz="4" w:space="0" w:color="auto"/>
              <w:right w:val="single" w:sz="4" w:space="0" w:color="auto"/>
            </w:tcBorders>
          </w:tcPr>
          <w:p w14:paraId="1005D383" w14:textId="57005179" w:rsidR="001F4F9C" w:rsidRDefault="5E4B0158" w:rsidP="5E4B0158">
            <w:pPr>
              <w:jc w:val="center"/>
              <w:rPr>
                <w:rFonts w:ascii="Lato" w:hAnsi="Lato" w:cs="Times New Roman"/>
                <w:sz w:val="20"/>
                <w:szCs w:val="20"/>
              </w:rPr>
            </w:pPr>
            <w:r w:rsidRPr="5E4B0158">
              <w:rPr>
                <w:rFonts w:ascii="Lato" w:hAnsi="Lato" w:cs="Times New Roman"/>
                <w:sz w:val="20"/>
                <w:szCs w:val="20"/>
              </w:rPr>
              <w:t xml:space="preserve">Zmiany w ustawie o rzemiośle </w:t>
            </w:r>
          </w:p>
        </w:tc>
        <w:tc>
          <w:tcPr>
            <w:tcW w:w="8176" w:type="dxa"/>
            <w:tcBorders>
              <w:top w:val="single" w:sz="4" w:space="0" w:color="auto"/>
              <w:left w:val="single" w:sz="4" w:space="0" w:color="auto"/>
              <w:bottom w:val="single" w:sz="4" w:space="0" w:color="auto"/>
              <w:right w:val="single" w:sz="4" w:space="0" w:color="auto"/>
            </w:tcBorders>
            <w:vAlign w:val="center"/>
          </w:tcPr>
          <w:p w14:paraId="6CA31F7F" w14:textId="4646394D" w:rsidR="001F4F9C" w:rsidRPr="001F4F9C"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 xml:space="preserve">Projektowane przepisy nowelizujące ustawę o rzemiośle wymagają doprecyzowania przede wszystkim w zakresie definicji rzemiosła. Rada Legislacyjna nie kwestionuje w tym przypadku merytorycznych zmian w tej definicji, rozszerzających w praktyce krąg spółek, których działalność będzie kwalifikowana jako rzemiosło (w rozumieniu art. 2 ust. 1 ustawy o rzemiośle), zaś one same będą rzemieślnikami (w rozumieniu art. 2 ust. 6 ustawy o rzemiośle), ale zwraca uwagę, iż przy określaniu w projektowanym art. 2 ust. 1 ustawy o rzemiośle tychże spółek oraz ich wspólników należy w sposób wyraźny unormować dwie kwestie. Po pierwsze, w poszczególnych punktach (2-7) projektowanego art. 2 ust. 1 ustawy o rzemiośle należy wyraźnie przesądzić, iż wspólnik spółki (co najmniej jeden), którego praca </w:t>
            </w:r>
            <w:r w:rsidRPr="5E4B0158">
              <w:rPr>
                <w:rFonts w:ascii="Lato" w:hAnsi="Lato" w:cs="TimesNewRomanPSMT"/>
                <w:sz w:val="20"/>
                <w:szCs w:val="20"/>
              </w:rPr>
              <w:lastRenderedPageBreak/>
              <w:t>oraz kwalifikacje zawodowe pozwalają uznać działalność całej spółki za rzemiosło (a samą spółkę za rzemieślnika) musi być osobą fizyczną, nie zaś osobą prawną lub inną spółką. W praktyce jest to oczywiście (i powinno być) dopuszczalne, że wspólnikiem spółki cywilnej lub handlowej, której działalność jest kwalifikowana jako rzemiosło jest inna spółka, w tym spółka wykonująca rzemiosło i będąca na gruncie ustawy rzemieślnikiem: nie chodzi więc o to, aby całkowicie wykluczać taką możliwość. Rzecz jednak w tym, że pierwotnym i niejako rudymentarnym warunkiem uznania działalności spółki (cywilnej lub handlowej) za rzemiosło, a samej spółki za rzemieślnika, powinno być to, że co najmniej jeden jej wspólnik będący osobą fizyczną wykonuje w jej ramach własną pracę rzemieślniczą oraz posiada kwalifikacje zawodowe rzemieślnika. Po drugie, w poszczególnych punktach projektowanego art. 2 ust. 1 ustawy o rzemiośle należy w sposób jednoznaczny i wyraźny przesądzić, że „potwierdzone dowody”, o których jest tam mowa, odnoszą się jedynie do kwalifikacji zawodowych rzemieślnika (osoby fizycznej), a nie do jego pracy własnej, choć oczywiście działalność danej spółki kwalifikowana jako rzemiosło musi być oparta o pracę własną wspomnianej osoby fizycznej. Z obecnego brzmienia projektowanych przepisów art. 2 ust. 1 ustawy o rzemiośle można wyciągnąć – z pewnością nietrafny – wniosek, że „potwierdzone dowody”, o których jest tam mowa, dotyczą nie tylko kwalifikacji zawodowych rzemieślnika, ale również jego pracy własnej („[…] z wykorzystaniem kwalifikacji zawodowych w rzemiośle co najmniej jednego wspólnika, potwierdzonych dowodami kwalifikacji zawodowych i jego pracy własnej”).</w:t>
            </w:r>
          </w:p>
          <w:p w14:paraId="4F8B223A" w14:textId="11EFFFCC" w:rsidR="001F4F9C" w:rsidRPr="001F4F9C"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W efekcie Rada Legislacyjna proponuje, aby odnośne fragmenty w poszczególnych punktach (2-7) art. 2 ust. 1 ustawy o rzemiośle sformułować, odpowiednio, w następujący sposób: „[…] z wykorzystaniem pracy własnej co najmniej jednego wspólnika będącego osobą fizyczną oraz jego kwalifikacji zawodowych w rzemiośle, potwierdzonych dowodami kwalifikacji zawodowych”. Analogicznie należy sformułować art. 2 ust. 1 pkt 1 ustawy o rzemiośle dotyczący osoby fizycznej działającej indywidualnie: „[…] z wykorzystaniem pracy własnej tej osoby i jej kwalifikacji zawodowych w rzemiośle, potwierdzonych dowodami kwalifikacji zawodowych”.</w:t>
            </w:r>
          </w:p>
          <w:p w14:paraId="73222B72" w14:textId="75ACAFDD" w:rsidR="001F4F9C" w:rsidRPr="001F4F9C"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Ponadto przy opisywaniu w art. 2 ust. 4 ustawy o rzemiośle rodzajów działalności nie kwalifikowanych jako rzemiosło (tj. wyłączonych z zakresu definicji rzemiosła) należy posłużyć się nie określeniem: „usługi lecznicze”, ale „działalność lecznicza”, gdyż tak właśnie działalność ta jest określona w stosownej poświęconej tej działalności ustawie, gdzie jest ona przy tym legalnie zdefiniowana (zob. ustawę z dnia 15 kwietnia 2011 r. o działalności leczniczej, w tym art. 3 ust. 1 i 2 tej ustawy).</w:t>
            </w:r>
          </w:p>
          <w:p w14:paraId="3D8ACB4D" w14:textId="5718075D" w:rsidR="001F4F9C" w:rsidRPr="001F4F9C"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Wreszcie w dodawanym przepisie art. 4 ust. 1a ustawy o rzemiośle występuje błędne odesłanie do „art. 2 ust. 1d”, podczas gdy prawidłowo odesłanie to powinno następować do „art. 2 ust. 1 pkt 3-7” (należy tu pominąć m. in. odesłanie do art. 2 ust. 1 pkt 2 ustawy o  rzemiośle, gdyż w tym ostatnim przepisie jest mowa o spółkach cywilnych, a te nie są odrębnymi podmiotami prawa i nie mogą być członkami organizacji samorządu gospodarczego</w:t>
            </w:r>
          </w:p>
          <w:p w14:paraId="49B7E204" w14:textId="77777777" w:rsidR="001F4F9C"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rzemiosła).</w:t>
            </w:r>
          </w:p>
          <w:p w14:paraId="4A9012B2" w14:textId="10A62596" w:rsidR="00F360F0" w:rsidRPr="001F4F9C" w:rsidRDefault="00F360F0" w:rsidP="001F4F9C">
            <w:pPr>
              <w:autoSpaceDE w:val="0"/>
              <w:autoSpaceDN w:val="0"/>
              <w:adjustRightInd w:val="0"/>
              <w:jc w:val="both"/>
              <w:rPr>
                <w:rFonts w:ascii="Lato" w:hAnsi="Lato" w:cs="TimesNewRomanPSMT"/>
                <w:sz w:val="20"/>
                <w:szCs w:val="20"/>
              </w:rPr>
            </w:pPr>
          </w:p>
        </w:tc>
        <w:tc>
          <w:tcPr>
            <w:tcW w:w="4791" w:type="dxa"/>
          </w:tcPr>
          <w:p w14:paraId="21BC5123" w14:textId="3C25ABD7" w:rsidR="009E0B7B" w:rsidRPr="009E0B7B" w:rsidRDefault="5F412CC3" w:rsidP="5F412CC3">
            <w:pPr>
              <w:jc w:val="both"/>
              <w:rPr>
                <w:rFonts w:ascii="Lato" w:eastAsia="Calibri" w:hAnsi="Lato" w:cs="Arial"/>
                <w:b/>
                <w:bCs/>
                <w:sz w:val="20"/>
                <w:szCs w:val="20"/>
              </w:rPr>
            </w:pPr>
            <w:r w:rsidRPr="5F412CC3">
              <w:rPr>
                <w:rFonts w:ascii="Lato" w:eastAsia="Calibri" w:hAnsi="Lato" w:cs="Arial"/>
                <w:b/>
                <w:bCs/>
                <w:sz w:val="20"/>
                <w:szCs w:val="20"/>
              </w:rPr>
              <w:lastRenderedPageBreak/>
              <w:t>Uwaga uwzględniona.</w:t>
            </w:r>
          </w:p>
          <w:p w14:paraId="368EFD54" w14:textId="1C551BAC" w:rsidR="009E0B7B" w:rsidRPr="009E0B7B" w:rsidRDefault="5E4B0158" w:rsidP="5E4B0158">
            <w:pPr>
              <w:jc w:val="both"/>
              <w:rPr>
                <w:rFonts w:ascii="Lato" w:eastAsia="Calibri" w:hAnsi="Lato" w:cs="Arial"/>
                <w:sz w:val="20"/>
                <w:szCs w:val="20"/>
              </w:rPr>
            </w:pPr>
            <w:r w:rsidRPr="5E4B0158">
              <w:rPr>
                <w:rFonts w:ascii="Lato" w:eastAsia="Calibri" w:hAnsi="Lato" w:cs="Arial"/>
                <w:sz w:val="20"/>
                <w:szCs w:val="20"/>
              </w:rPr>
              <w:t xml:space="preserve">W ustawie o rzemiośle RL proponuje się, aby odnośne fragmenty w poszczególnych punktach (2-7) art. 2 ust. 1 ustawy o rzemiośle sformułować, odpowiednio, w następujący sposób: </w:t>
            </w:r>
          </w:p>
          <w:p w14:paraId="26994CEB" w14:textId="77777777" w:rsidR="009E0B7B" w:rsidRPr="009E0B7B" w:rsidRDefault="5E4B0158" w:rsidP="5E4B0158">
            <w:pPr>
              <w:jc w:val="both"/>
              <w:rPr>
                <w:rFonts w:ascii="Lato" w:eastAsia="Calibri" w:hAnsi="Lato" w:cs="Arial"/>
                <w:sz w:val="20"/>
                <w:szCs w:val="20"/>
              </w:rPr>
            </w:pPr>
            <w:r w:rsidRPr="5E4B0158">
              <w:rPr>
                <w:rFonts w:ascii="Lato" w:eastAsia="Calibri" w:hAnsi="Lato" w:cs="Arial"/>
                <w:sz w:val="20"/>
                <w:szCs w:val="20"/>
              </w:rPr>
              <w:t xml:space="preserve">„[…] z wykorzystaniem pracy własnej co najmniej jednego wspólnika będącego osobą fizyczną oraz jego kwalifikacji zawodowych w rzemiośle, potwierdzonych dowodami kwalifikacji </w:t>
            </w:r>
            <w:r w:rsidRPr="5E4B0158">
              <w:rPr>
                <w:rFonts w:ascii="Lato" w:eastAsia="Calibri" w:hAnsi="Lato" w:cs="Arial"/>
                <w:sz w:val="20"/>
                <w:szCs w:val="20"/>
              </w:rPr>
              <w:lastRenderedPageBreak/>
              <w:t>zawodowych”. Analogicznie należy sformułować art. 2 ust. 1 pkt 1 ustawy o rzemiośle dotyczący osoby fizycznej działającej indywidualnie: „[…] z wykorzystaniem pracy własnej tej osoby i jej kwalifikacji zawodowych w rzemiośle, potwierdzonych dowodami kwalifikacji zawodowych”.</w:t>
            </w:r>
          </w:p>
          <w:p w14:paraId="4B703A79" w14:textId="481BBF42" w:rsidR="009E0B7B" w:rsidRPr="009E0B7B" w:rsidRDefault="5E4B0158" w:rsidP="5E4B0158">
            <w:pPr>
              <w:jc w:val="both"/>
              <w:rPr>
                <w:rFonts w:ascii="Lato" w:eastAsia="Calibri" w:hAnsi="Lato" w:cs="Arial"/>
                <w:sz w:val="20"/>
                <w:szCs w:val="20"/>
              </w:rPr>
            </w:pPr>
            <w:r w:rsidRPr="5E4B0158">
              <w:rPr>
                <w:rFonts w:ascii="Lato" w:eastAsia="Calibri" w:hAnsi="Lato" w:cs="Arial"/>
                <w:sz w:val="20"/>
                <w:szCs w:val="20"/>
              </w:rPr>
              <w:t xml:space="preserve">Przepis został poprawiony. </w:t>
            </w:r>
          </w:p>
          <w:p w14:paraId="2B8010B8" w14:textId="77777777" w:rsidR="009E0B7B" w:rsidRPr="009E0B7B" w:rsidRDefault="009E0B7B" w:rsidP="009E0B7B">
            <w:pPr>
              <w:jc w:val="both"/>
              <w:rPr>
                <w:rFonts w:ascii="Lato" w:eastAsia="Calibri" w:hAnsi="Lato" w:cs="Arial"/>
                <w:sz w:val="20"/>
                <w:szCs w:val="20"/>
              </w:rPr>
            </w:pPr>
          </w:p>
          <w:p w14:paraId="6B0E37BC" w14:textId="6D5A02D2" w:rsidR="009E0B7B" w:rsidRPr="009E0B7B" w:rsidRDefault="5E4B0158" w:rsidP="5E4B0158">
            <w:pPr>
              <w:jc w:val="both"/>
              <w:rPr>
                <w:rFonts w:ascii="Lato" w:eastAsia="Calibri" w:hAnsi="Lato" w:cs="Arial"/>
                <w:sz w:val="20"/>
                <w:szCs w:val="20"/>
              </w:rPr>
            </w:pPr>
            <w:r w:rsidRPr="5E4B0158">
              <w:rPr>
                <w:rFonts w:ascii="Lato" w:eastAsia="Calibri" w:hAnsi="Lato" w:cs="Arial"/>
                <w:sz w:val="20"/>
                <w:szCs w:val="20"/>
              </w:rPr>
              <w:t>RL: przy opisywaniu w art. 2 ust. 4 ustawy o rzemiośle rodzajów działalności nie kwalifikowanych jako rzemiosło (tj. wyłączonych z zakresu definicji rzemiosła) należy posłużyć się nie określeniem: „usługi lecznicze”, ale „działalność lecznicza”, gdyż tak właśnie działalność ta jest określona w stosownej poświęconej tej działalności ustawie, gdzie jest ona przy tym legalnie zdefiniowana (zob. ustawę z dnia 15 kwietnia 2011 r. o działalności leczniczej, w tym art. 3 ust. 1 i 2 tej ustawy).</w:t>
            </w:r>
          </w:p>
          <w:p w14:paraId="2A39187E" w14:textId="52AAFA08" w:rsidR="009E0B7B" w:rsidRPr="009E0B7B" w:rsidRDefault="5E4B0158" w:rsidP="5E4B0158">
            <w:pPr>
              <w:jc w:val="both"/>
              <w:rPr>
                <w:rFonts w:ascii="Lato" w:eastAsia="Calibri" w:hAnsi="Lato" w:cs="Arial"/>
                <w:sz w:val="20"/>
                <w:szCs w:val="20"/>
              </w:rPr>
            </w:pPr>
            <w:r w:rsidRPr="5E4B0158">
              <w:rPr>
                <w:rFonts w:ascii="Lato" w:eastAsia="Calibri" w:hAnsi="Lato" w:cs="Arial"/>
                <w:sz w:val="20"/>
                <w:szCs w:val="20"/>
              </w:rPr>
              <w:t xml:space="preserve">Przepis został poprawiony. </w:t>
            </w:r>
          </w:p>
          <w:p w14:paraId="6B6D75A2" w14:textId="77777777" w:rsidR="009E0B7B" w:rsidRPr="009E0B7B" w:rsidRDefault="009E0B7B" w:rsidP="009E0B7B">
            <w:pPr>
              <w:jc w:val="both"/>
              <w:rPr>
                <w:rFonts w:ascii="Lato" w:eastAsia="Calibri" w:hAnsi="Lato" w:cs="Arial"/>
                <w:sz w:val="20"/>
                <w:szCs w:val="20"/>
              </w:rPr>
            </w:pPr>
          </w:p>
          <w:p w14:paraId="6146BC37" w14:textId="77777777" w:rsidR="009E0B7B" w:rsidRPr="009E0B7B" w:rsidRDefault="5E4B0158" w:rsidP="5E4B0158">
            <w:pPr>
              <w:jc w:val="both"/>
              <w:rPr>
                <w:rFonts w:ascii="Lato" w:eastAsia="Calibri" w:hAnsi="Lato" w:cs="Arial"/>
                <w:sz w:val="20"/>
                <w:szCs w:val="20"/>
              </w:rPr>
            </w:pPr>
            <w:r w:rsidRPr="5E4B0158">
              <w:rPr>
                <w:rFonts w:ascii="Lato" w:eastAsia="Calibri" w:hAnsi="Lato" w:cs="Arial"/>
                <w:sz w:val="20"/>
                <w:szCs w:val="20"/>
              </w:rPr>
              <w:t>RL: w dodawanym przepisie art. 4 ust. 1a ustawy o rzemiośle występuje błędne odesłanie do „art. 2 ust. 1d”,</w:t>
            </w:r>
          </w:p>
          <w:p w14:paraId="71AF6743" w14:textId="77777777" w:rsidR="009E0B7B" w:rsidRPr="009E0B7B" w:rsidRDefault="009E0B7B" w:rsidP="009E0B7B">
            <w:pPr>
              <w:jc w:val="both"/>
              <w:rPr>
                <w:rFonts w:ascii="Lato" w:eastAsia="Calibri" w:hAnsi="Lato" w:cs="Arial"/>
                <w:sz w:val="20"/>
                <w:szCs w:val="20"/>
              </w:rPr>
            </w:pPr>
          </w:p>
          <w:p w14:paraId="142A02CB" w14:textId="18894ACE" w:rsidR="001F4F9C" w:rsidRPr="00642550" w:rsidRDefault="5E4B0158" w:rsidP="5E4B0158">
            <w:pPr>
              <w:jc w:val="both"/>
              <w:rPr>
                <w:rFonts w:ascii="Lato" w:eastAsia="Calibri" w:hAnsi="Lato" w:cs="Arial"/>
                <w:sz w:val="20"/>
                <w:szCs w:val="20"/>
              </w:rPr>
            </w:pPr>
            <w:r w:rsidRPr="5E4B0158">
              <w:rPr>
                <w:rFonts w:ascii="Lato" w:eastAsia="Calibri" w:hAnsi="Lato" w:cs="Arial"/>
                <w:sz w:val="20"/>
                <w:szCs w:val="20"/>
              </w:rPr>
              <w:t>Przepis został poprawiony. Przy okazji przeredagowany będzie przepis przejściowy.</w:t>
            </w:r>
          </w:p>
        </w:tc>
      </w:tr>
      <w:tr w:rsidR="006A42C6" w:rsidRPr="00642550" w14:paraId="1AA01AF5" w14:textId="77777777" w:rsidTr="5F412CC3">
        <w:trPr>
          <w:gridAfter w:val="1"/>
          <w:wAfter w:w="8" w:type="dxa"/>
          <w:jc w:val="center"/>
        </w:trPr>
        <w:tc>
          <w:tcPr>
            <w:tcW w:w="879" w:type="dxa"/>
            <w:vAlign w:val="center"/>
          </w:tcPr>
          <w:p w14:paraId="74974C48" w14:textId="77777777" w:rsidR="006A42C6" w:rsidRPr="00642550" w:rsidRDefault="006A42C6" w:rsidP="00546363">
            <w:pPr>
              <w:numPr>
                <w:ilvl w:val="0"/>
                <w:numId w:val="3"/>
              </w:numPr>
              <w:spacing w:before="120"/>
              <w:ind w:right="-534"/>
              <w:contextualSpacing/>
              <w:rPr>
                <w:rFonts w:ascii="Lato" w:eastAsia="Calibri" w:hAnsi="Lato" w:cs="Arial"/>
                <w:b/>
                <w:sz w:val="20"/>
                <w:szCs w:val="20"/>
              </w:rPr>
            </w:pPr>
          </w:p>
        </w:tc>
        <w:tc>
          <w:tcPr>
            <w:tcW w:w="1662" w:type="dxa"/>
            <w:tcBorders>
              <w:top w:val="single" w:sz="4" w:space="0" w:color="auto"/>
              <w:left w:val="single" w:sz="4" w:space="0" w:color="auto"/>
              <w:bottom w:val="single" w:sz="4" w:space="0" w:color="auto"/>
              <w:right w:val="single" w:sz="4" w:space="0" w:color="auto"/>
            </w:tcBorders>
          </w:tcPr>
          <w:p w14:paraId="6B566C20" w14:textId="52BF3938" w:rsidR="006A42C6" w:rsidRPr="00642550" w:rsidRDefault="5E4B0158" w:rsidP="5E4B0158">
            <w:pPr>
              <w:jc w:val="center"/>
              <w:rPr>
                <w:rFonts w:ascii="Lato" w:hAnsi="Lato" w:cs="Times New Roman"/>
                <w:sz w:val="20"/>
                <w:szCs w:val="20"/>
              </w:rPr>
            </w:pPr>
            <w:r w:rsidRPr="5E4B0158">
              <w:rPr>
                <w:rFonts w:ascii="Lato" w:hAnsi="Lato" w:cs="Times New Roman"/>
                <w:sz w:val="20"/>
                <w:szCs w:val="20"/>
              </w:rPr>
              <w:t xml:space="preserve">Zmiana w ustawie o zasadach </w:t>
            </w:r>
            <w:r w:rsidRPr="5E4B0158">
              <w:rPr>
                <w:rFonts w:ascii="Lato" w:hAnsi="Lato" w:cs="Times New Roman"/>
                <w:sz w:val="20"/>
                <w:szCs w:val="20"/>
              </w:rPr>
              <w:lastRenderedPageBreak/>
              <w:t>ewidencji i identyfikacji podatników i płatników</w:t>
            </w:r>
          </w:p>
        </w:tc>
        <w:tc>
          <w:tcPr>
            <w:tcW w:w="8176" w:type="dxa"/>
            <w:tcBorders>
              <w:top w:val="single" w:sz="4" w:space="0" w:color="auto"/>
              <w:left w:val="single" w:sz="4" w:space="0" w:color="auto"/>
              <w:bottom w:val="single" w:sz="4" w:space="0" w:color="auto"/>
              <w:right w:val="single" w:sz="4" w:space="0" w:color="auto"/>
            </w:tcBorders>
            <w:vAlign w:val="center"/>
          </w:tcPr>
          <w:p w14:paraId="4F0D6B5D" w14:textId="1A85A1CB" w:rsidR="001F4F9C" w:rsidRPr="001F4F9C"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lastRenderedPageBreak/>
              <w:t xml:space="preserve">O ile słuszna jest zawarta w Projekcie idea, że osoby fizyczne wykonujące działalność, o której mowa w art. 5 ust. 1 ustawy Prawo przedsiębiorców powinny używać jako swojego identyfikatora podatkowego numeru PESEL, a nie NIP (zob. art. 12 pkt 1 Projektu </w:t>
            </w:r>
            <w:r w:rsidRPr="5E4B0158">
              <w:rPr>
                <w:rFonts w:ascii="Lato" w:hAnsi="Lato" w:cs="TimesNewRomanPSMT"/>
                <w:sz w:val="20"/>
                <w:szCs w:val="20"/>
              </w:rPr>
              <w:lastRenderedPageBreak/>
              <w:t>wprowadzający nowy przepis art. 3 ust. 1 pkt 1 lit. b) ustawy o zasadach ewidencji i identyfikacji podatników i płatników), o tyle należy zauważyć, iż reguła ta wynika już z obowiązującego obecnie art. 3 ust. 1 pkt 1 ustawy o zasadach ewidencji i identyfikacji podatników i płatników, zaś wprowadzenie w tym zakresie proponowanych w Projekcie przepisów może wywołać dalsze (niezamierzone) wątpliwości interpretacyjne. I tak, zgodnie z art. 3 ust. 1 pkt 1 ustawy o zasadach ewidencji i identyfikacji podatników i płatników, w przypadku podatników będących osobami fizycznymi nieprowadzącymi działalności gospodarczej ich identyfikatorem podatkowym jest numer PESEL. Tymczasem działalność, o której jest mowa w art. 5 ust. 1 ustawy Prawo przedsiębiorców, jest wyraźnie kwalifikowana przez ustawodawcę jako działalność nie stanowiąca działalności gospodarczej w rozumieniu tej ustawy. Na gruncie obowiązujących przepisów oznacza to, że osoba fizyczna wykonująca wskazaną tam działalność – jako podatnik nieprowadzący działalności gospodarczej – ma prawo używać w charakterze swojego identyfikatora podatkowego numeru PESEL (wniosek z art. 3 ust. 1 pkt 1 ustawy o zasadach ewidencji i identyfikacji podatników i płatników w zw. z art. 5 ust. 1 ustawy Prawo przedsiębiorców).</w:t>
            </w:r>
          </w:p>
          <w:p w14:paraId="5B5FBEF5" w14:textId="0E4A0DF0" w:rsidR="001F4F9C" w:rsidRPr="001F4F9C"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Wyraźne zapisanie tej kwestii w kształcie proponowanym w Projekcie wywoła pewne dalsze, prawdopodobnie niezamierzone, wątpliwości interpretacyjne. Mianowicie, projektowany art. 3 ust. 1 pkt 1 lit. b) ustawy o zasadach ewidencji i identyfikacji podatników i płatników stanowi, że numer PESEL jest identyfikatorem podatkowym w przypadku podatników będących osobami fizycznymi „wykonującymi działalność, o której mowa w art. 5 ust. 1 ustawy z dnia 6 marca 2018 r. – Prawo przedsiębiorców (Dz. U. z 2024 r. poz. 236 i …), o których mowa w ust. 1a.”. Problem polega jednak na tym, że w projektowanym art. 3 ust. 1a ustawy o zasadach ewidencji i identyfikacji podatników i płatników, do którego odsyła projektowany art. 3 ust. 1 pkt 1 lit. b) tej ustawy, jest mowa zarówno o podatnikach, którzy mają prawo używać numeru PESEL jako swojego identyfikatora podatkowego, jak też o podatnikach, którzy takiego prawa nie mają. Można się jedynie domyślać, że w ramach odesłania przewidzianego w projektowanym art. 3 ust. 1 pkt 1 lit. b) tej ustawy twórcy Projektu mieli na myśli tylko tę pierwszą grupę osób, aczkolwiek w tym projektowanym przepisie nie zostało to wyraźnie stwierdzone. Co więcej, skoro projektowany art. 3 ust. 1 pkt 1 lit. b) ustawy o zasadach ewidencji i identyfikacji podatników i płatników stanowi, że numer PESEL jest identyfikatorem podatkowym w przypadku podatników będących osobami fizycznymi „wykonującymi działalność, o której mowa w art. 5 ust. 1 ustawy z dnia 6 marca 2018 r. – Prawo przedsiębiorców”, to pojawia się pytanie, czy prawo do posługiwania się numerem PESEL jako identyfikatorem podatkowym przysługuje również takim osobom fizycznym, które co prawda wykonują działalność, o której mowa w art. 5 ust. 1 ustawy Prawo przedsiębiorców, ale które równocześnie, korzystając z możliwości stworzonej przez art. 5 ust. 2 Prawa przedsiębiorców, złożą w takiej sytuacji wniosek o wpis do Centralnej Ewidencji i Informacji o Działalności Gospodarczej, co spowoduje, że ich działalność stanie z dniem określonym we wniosku działalnością gospodarczą? De lege lata takie osoby musiałyby w takiej sytuacji zacząć używać NIP-u w charakterze swojego identyfikatora podatkowego, chyba że nadal nie byłyby one zarejestrowanymi podatnikami podatku od towarów i usług – wówczas nadal mogłyby one używać w tym charakterze swojego numeru PESEL (wniosek z obecnego art. 3 ust. 1 pkt 1 ustawy o zasadach ewidencji i identyfikacji podatników i płatników).</w:t>
            </w:r>
          </w:p>
          <w:p w14:paraId="2E452917" w14:textId="6392ACAD" w:rsidR="001F4F9C" w:rsidRPr="001F4F9C"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lastRenderedPageBreak/>
              <w:t>Natomiast na gruncie projektowanych przepisów art. 3 ust. 1 pkt 1 lit. a) i b) w zw. z ust. 1a ustawy o zasadach ewidencji i identyfikacji podatników i płatników odpowiedź na to samo pytanie nie jest już tak jednoznaczna: z uwagi bowiem na stosunkowo skomplikowane brzmienie tych projektowanych przepisów możliwe są tu różne odpowiedzi, w zależności od zastosowanej argumentacji prawniczej.</w:t>
            </w:r>
          </w:p>
          <w:p w14:paraId="24B8E14B" w14:textId="77777777" w:rsidR="001F4F9C"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Z powyższych względów Rada Legislacyjna rekomenduje ponowne przemyślenie opisanych wyżej zmian legislacyjnych proponowanych przez Projekt w ustawie o zasadach ewidencji i identyfikacji podatników i płatników. Zdaniem Rady Legislacyjnej, ten sam efekt co założony w uzasadnieniu Projektu można uzyskać już na gruncie obecnych – znacznie krótszych i prostszych – przepisów ustawy, co jest chyba lepsze niż czynienie tego za pomocą dodatkowych rozbudowanych regulacji przewidzianych w tym zakresie w Projekcie.</w:t>
            </w:r>
          </w:p>
          <w:p w14:paraId="6D7EFF22" w14:textId="4C35702E" w:rsidR="00F360F0" w:rsidRPr="00642550" w:rsidRDefault="00F360F0" w:rsidP="001F4F9C">
            <w:pPr>
              <w:autoSpaceDE w:val="0"/>
              <w:autoSpaceDN w:val="0"/>
              <w:adjustRightInd w:val="0"/>
              <w:jc w:val="both"/>
              <w:rPr>
                <w:rFonts w:ascii="Lato" w:hAnsi="Lato" w:cs="TimesNewRomanPSMT"/>
                <w:sz w:val="20"/>
                <w:szCs w:val="20"/>
              </w:rPr>
            </w:pPr>
          </w:p>
        </w:tc>
        <w:tc>
          <w:tcPr>
            <w:tcW w:w="4791" w:type="dxa"/>
          </w:tcPr>
          <w:p w14:paraId="29905A00" w14:textId="43B62629" w:rsidR="006A42C6" w:rsidRPr="00642550" w:rsidRDefault="5F412CC3" w:rsidP="5F412CC3">
            <w:pPr>
              <w:jc w:val="both"/>
              <w:rPr>
                <w:rFonts w:ascii="Lato" w:eastAsia="Calibri" w:hAnsi="Lato" w:cs="Arial"/>
                <w:sz w:val="20"/>
                <w:szCs w:val="20"/>
              </w:rPr>
            </w:pPr>
            <w:r w:rsidRPr="5F412CC3">
              <w:rPr>
                <w:rFonts w:ascii="Lato" w:eastAsia="Calibri" w:hAnsi="Lato" w:cs="Arial"/>
                <w:b/>
                <w:bCs/>
                <w:sz w:val="20"/>
                <w:szCs w:val="20"/>
              </w:rPr>
              <w:lastRenderedPageBreak/>
              <w:t>Wyjaśnienie.</w:t>
            </w:r>
          </w:p>
          <w:p w14:paraId="3A6751ED" w14:textId="2DC06406" w:rsidR="006A42C6" w:rsidRPr="00642550" w:rsidRDefault="006A42C6" w:rsidP="2A19A114">
            <w:pPr>
              <w:jc w:val="both"/>
              <w:rPr>
                <w:rFonts w:ascii="Lato" w:eastAsia="Calibri" w:hAnsi="Lato" w:cs="Arial"/>
                <w:b/>
                <w:bCs/>
                <w:sz w:val="20"/>
                <w:szCs w:val="20"/>
              </w:rPr>
            </w:pPr>
          </w:p>
          <w:p w14:paraId="3C0EB0C4" w14:textId="18009845" w:rsidR="006A42C6" w:rsidRPr="00642550" w:rsidRDefault="5E4B0158" w:rsidP="5E4B0158">
            <w:pPr>
              <w:jc w:val="both"/>
              <w:rPr>
                <w:rFonts w:ascii="Lato" w:eastAsia="Calibri" w:hAnsi="Lato" w:cs="Arial"/>
                <w:b/>
                <w:bCs/>
                <w:sz w:val="20"/>
                <w:szCs w:val="20"/>
              </w:rPr>
            </w:pPr>
            <w:r w:rsidRPr="5E4B0158">
              <w:rPr>
                <w:rFonts w:ascii="Lato" w:eastAsia="Calibri" w:hAnsi="Lato" w:cs="Arial"/>
                <w:sz w:val="20"/>
                <w:szCs w:val="20"/>
              </w:rPr>
              <w:lastRenderedPageBreak/>
              <w:t xml:space="preserve">Proponowana przez MRiT zmiana związana jest właśnie z mogącą budzić wątpliwości interpretacją przepisów. Dokładne poprawione brzmienie regulacji - wyrażające intencję autorów - zostało opracowane przy współpracy z Ministerstwem Finansów.  </w:t>
            </w:r>
          </w:p>
        </w:tc>
      </w:tr>
      <w:tr w:rsidR="006A42C6" w:rsidRPr="00642550" w14:paraId="2726E5C7" w14:textId="77777777" w:rsidTr="5F412CC3">
        <w:trPr>
          <w:gridAfter w:val="1"/>
          <w:wAfter w:w="8" w:type="dxa"/>
          <w:jc w:val="center"/>
        </w:trPr>
        <w:tc>
          <w:tcPr>
            <w:tcW w:w="879" w:type="dxa"/>
            <w:vAlign w:val="center"/>
          </w:tcPr>
          <w:p w14:paraId="0B36F4FC" w14:textId="77777777" w:rsidR="006A42C6" w:rsidRPr="00642550" w:rsidRDefault="006A42C6" w:rsidP="00546363">
            <w:pPr>
              <w:numPr>
                <w:ilvl w:val="0"/>
                <w:numId w:val="3"/>
              </w:numPr>
              <w:spacing w:before="120"/>
              <w:ind w:right="-534"/>
              <w:contextualSpacing/>
              <w:rPr>
                <w:rFonts w:ascii="Lato" w:eastAsia="Calibri" w:hAnsi="Lato" w:cs="Arial"/>
                <w:b/>
                <w:sz w:val="20"/>
                <w:szCs w:val="20"/>
              </w:rPr>
            </w:pPr>
          </w:p>
        </w:tc>
        <w:tc>
          <w:tcPr>
            <w:tcW w:w="1662" w:type="dxa"/>
            <w:tcBorders>
              <w:top w:val="single" w:sz="4" w:space="0" w:color="auto"/>
              <w:left w:val="single" w:sz="4" w:space="0" w:color="auto"/>
              <w:bottom w:val="single" w:sz="4" w:space="0" w:color="auto"/>
              <w:right w:val="single" w:sz="4" w:space="0" w:color="auto"/>
            </w:tcBorders>
          </w:tcPr>
          <w:p w14:paraId="56612211" w14:textId="43AB5CE3" w:rsidR="006A42C6" w:rsidRPr="00642550" w:rsidRDefault="5E4B0158" w:rsidP="5E4B0158">
            <w:pPr>
              <w:jc w:val="center"/>
              <w:rPr>
                <w:rFonts w:ascii="Lato" w:hAnsi="Lato" w:cs="Times New Roman"/>
                <w:sz w:val="20"/>
                <w:szCs w:val="20"/>
              </w:rPr>
            </w:pPr>
            <w:r w:rsidRPr="5E4B0158">
              <w:rPr>
                <w:rFonts w:ascii="Lato" w:hAnsi="Lato" w:cs="Times New Roman"/>
                <w:sz w:val="20"/>
                <w:szCs w:val="20"/>
              </w:rPr>
              <w:t>Zmiana w ustawie o podatku akcyzowym</w:t>
            </w:r>
          </w:p>
        </w:tc>
        <w:tc>
          <w:tcPr>
            <w:tcW w:w="8176" w:type="dxa"/>
            <w:tcBorders>
              <w:top w:val="single" w:sz="4" w:space="0" w:color="auto"/>
              <w:left w:val="single" w:sz="4" w:space="0" w:color="auto"/>
              <w:bottom w:val="single" w:sz="4" w:space="0" w:color="auto"/>
              <w:right w:val="single" w:sz="4" w:space="0" w:color="auto"/>
            </w:tcBorders>
            <w:vAlign w:val="center"/>
          </w:tcPr>
          <w:p w14:paraId="6764BAB1" w14:textId="31B5C3ED" w:rsidR="006A42C6" w:rsidRPr="00642550"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Rada Legislacyjna postuluje poszerzenie zakresu zwolnienia od akcyzy samochodu osobowego w prowadzonej działalności badawczo- rozwojowej przez podmiot posiadający status centrum badawczo-rozwojowego. Projekt przewiduje dodanie do ustawy o podatku akcyzowym przepisu stanowiącego, że zwalnia się od akcyzy samochód osobowy wykorzystywany do celów badawczych w prowadzonej działalności badawczo-rozwojowej przez podmiot posiadający status centrum badawczo- rozwojowego, o którym mowa w art. 17 ustawy z dnia 30 maja 2008 r. o niektórych formach wspierania działalności innowacyjnej28 (projektowany art. 110b ust. 1 ustawy o podatku akcyzowym). Przy czym zwolnienie to obowiązuje w czasie wykorzystywania samochodu osobowego do celów badawczych w prowadzonej działalności badawczo-rozwojowej (projektowany art. 110b ust. 2 ustawy o podatku akcyzowym). Skoro wspomniane wyżej centrum badawczo-rozwojowe może prowadzić zarówno działalność badawczą, tzn. badania naukowe, jak też działalność rozwojową (tak wyraźnie stanowi art. 17 ust. 1 ustawy o niektórych formach wspierania działalności innowacyjnej),29 to zasadne wydaje się zwolnienie od akcyzy samochodu osobowego, który nie tylko jest wykorzystywany przez centrum w prowadzonej działalności badawczo-rozwojowej „do celów badawczych” (jak to explicite stanowią projektowane przepisy art. 110b ust. 1 i 2 ustawy o podatku akcyzowym), ale który jest też wykorzystywany „do celów prac rozwojowych”.</w:t>
            </w:r>
          </w:p>
        </w:tc>
        <w:tc>
          <w:tcPr>
            <w:tcW w:w="4791" w:type="dxa"/>
          </w:tcPr>
          <w:p w14:paraId="29110318" w14:textId="43FD73E5" w:rsidR="000139A3" w:rsidRDefault="5F412CC3" w:rsidP="5F412CC3">
            <w:pPr>
              <w:jc w:val="both"/>
              <w:rPr>
                <w:rFonts w:ascii="Lato" w:eastAsia="Calibri" w:hAnsi="Lato" w:cs="Arial"/>
                <w:b/>
                <w:bCs/>
                <w:sz w:val="20"/>
                <w:szCs w:val="20"/>
              </w:rPr>
            </w:pPr>
            <w:r w:rsidRPr="5F412CC3">
              <w:rPr>
                <w:rFonts w:ascii="Lato" w:eastAsia="Calibri" w:hAnsi="Lato" w:cs="Arial"/>
                <w:b/>
                <w:bCs/>
                <w:sz w:val="20"/>
                <w:szCs w:val="20"/>
              </w:rPr>
              <w:t>Uwaga nieaktualna.</w:t>
            </w:r>
          </w:p>
          <w:p w14:paraId="1E5B144F" w14:textId="6674C869" w:rsidR="006A42C6" w:rsidRPr="00642550" w:rsidRDefault="5E4B0158" w:rsidP="5E4B0158">
            <w:pPr>
              <w:jc w:val="both"/>
              <w:rPr>
                <w:rFonts w:ascii="Lato" w:eastAsia="Calibri" w:hAnsi="Lato" w:cs="Arial"/>
                <w:sz w:val="20"/>
                <w:szCs w:val="20"/>
              </w:rPr>
            </w:pPr>
            <w:r w:rsidRPr="5E4B0158">
              <w:rPr>
                <w:rFonts w:ascii="Lato" w:eastAsia="Calibri" w:hAnsi="Lato" w:cs="Arial"/>
                <w:sz w:val="20"/>
                <w:szCs w:val="20"/>
              </w:rPr>
              <w:t xml:space="preserve">Zwolnienie będzie dotyczyło nie tylko podmiotów prowadzących działalność badawczo-rozwojową.  </w:t>
            </w:r>
          </w:p>
        </w:tc>
      </w:tr>
      <w:tr w:rsidR="006A42C6" w:rsidRPr="00642550" w14:paraId="411C3432" w14:textId="77777777" w:rsidTr="5F412CC3">
        <w:trPr>
          <w:gridAfter w:val="1"/>
          <w:wAfter w:w="8" w:type="dxa"/>
          <w:jc w:val="center"/>
        </w:trPr>
        <w:tc>
          <w:tcPr>
            <w:tcW w:w="879" w:type="dxa"/>
            <w:vAlign w:val="center"/>
          </w:tcPr>
          <w:p w14:paraId="1A49DD49" w14:textId="77777777" w:rsidR="006A42C6" w:rsidRPr="00642550" w:rsidRDefault="006A42C6" w:rsidP="00546363">
            <w:pPr>
              <w:numPr>
                <w:ilvl w:val="0"/>
                <w:numId w:val="3"/>
              </w:numPr>
              <w:spacing w:before="120"/>
              <w:ind w:right="-534"/>
              <w:contextualSpacing/>
              <w:rPr>
                <w:rFonts w:ascii="Lato" w:eastAsia="Calibri" w:hAnsi="Lato" w:cs="Arial"/>
                <w:b/>
                <w:sz w:val="20"/>
                <w:szCs w:val="20"/>
              </w:rPr>
            </w:pPr>
          </w:p>
        </w:tc>
        <w:tc>
          <w:tcPr>
            <w:tcW w:w="1662" w:type="dxa"/>
            <w:tcBorders>
              <w:top w:val="single" w:sz="4" w:space="0" w:color="auto"/>
              <w:left w:val="single" w:sz="4" w:space="0" w:color="auto"/>
              <w:bottom w:val="single" w:sz="4" w:space="0" w:color="auto"/>
              <w:right w:val="single" w:sz="4" w:space="0" w:color="auto"/>
            </w:tcBorders>
          </w:tcPr>
          <w:p w14:paraId="1EBAF2C4" w14:textId="4E7D5C16" w:rsidR="006A42C6" w:rsidRPr="00642550" w:rsidRDefault="5E4B0158" w:rsidP="5E4B0158">
            <w:pPr>
              <w:jc w:val="center"/>
              <w:rPr>
                <w:rFonts w:ascii="Lato" w:hAnsi="Lato" w:cs="Times New Roman"/>
                <w:sz w:val="20"/>
                <w:szCs w:val="20"/>
              </w:rPr>
            </w:pPr>
            <w:r w:rsidRPr="5E4B0158">
              <w:rPr>
                <w:rFonts w:ascii="Lato" w:hAnsi="Lato" w:cs="Times New Roman"/>
                <w:sz w:val="20"/>
                <w:szCs w:val="20"/>
              </w:rPr>
              <w:t xml:space="preserve">Zmiany w ustawie Prawo przedsiębiorców </w:t>
            </w:r>
          </w:p>
        </w:tc>
        <w:tc>
          <w:tcPr>
            <w:tcW w:w="8176" w:type="dxa"/>
            <w:tcBorders>
              <w:top w:val="single" w:sz="4" w:space="0" w:color="auto"/>
              <w:left w:val="single" w:sz="4" w:space="0" w:color="auto"/>
              <w:bottom w:val="single" w:sz="4" w:space="0" w:color="auto"/>
              <w:right w:val="single" w:sz="4" w:space="0" w:color="auto"/>
            </w:tcBorders>
            <w:vAlign w:val="center"/>
          </w:tcPr>
          <w:p w14:paraId="61144905" w14:textId="7BDC9DF6" w:rsidR="00FA280B" w:rsidRPr="00FA280B"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Rada Legislacyjna popiera przewidziane przez Projekt zmiany w ustawie Prawo przedsiębiorców ukierunkowane na poprawę jakości i zwiększenie efektywności procesów projektowania i przygotowywania aktów normatywnych regulujących zasady podejmowania, wykonywania i zakończenia działalności gospodarczej. W szczególności Rada Legislacyjna z satysfakcją przyjmuje uznanie jej szczególnego statusu jako ważnego rządowego organu opiniodawczego we wspomnianych procedurach (zob. projektowany art. 70 ust. 3 pkt 2 ustawy Prawo przedsiębiorców, przewidujący opiniowanie przez Radę Legislacyjną informacji ministrów o wynikach bieżącego przeglądu funkcjonowania aktów normatywnych określających zasady podejmowania, wykonywania lub zakończenia działalności gospodarczej).</w:t>
            </w:r>
          </w:p>
          <w:p w14:paraId="548C0248" w14:textId="77777777" w:rsidR="00FA280B"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Rada Legislacyjna proponuje, aby w ustawie Prawo przedsiębiorców zostało wyraźnie zapisane, że program regulacyjny, o którym jest mowa w nowym projektowanym rozdziale 6a ustawy Prawo przedsiębiorców jest przyjmowany przez Radę Ministrów w drodze uchwały.</w:t>
            </w:r>
          </w:p>
          <w:p w14:paraId="1016A09B" w14:textId="7FE154E5" w:rsidR="00FA280B" w:rsidRPr="00FA280B"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lastRenderedPageBreak/>
              <w:t>Obecnie Projekt przewiduje, że program regulacyjny, opracowany przez ministra właściwego do spraw gospodarki, jest przez Radę Ministrów „zatwierdzany” (projektowany art. 71a ust. 5 Prawa przedsiębiorców), natomiast nie określa formy tego zatwierdzenia. Prawdopodobnie założono, że nie będzie to uchwała publikowana w Monitorze Polskim, gdyż w Projekcie</w:t>
            </w:r>
          </w:p>
          <w:p w14:paraId="56898B0C" w14:textId="77777777" w:rsidR="00FA280B"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stanowi się, że wspomniany program regulacyjny będzie jedynie udostępniany na stronie internetowej urzędu obsługującego ministra właściwego do spraw gospodarki. Ze względu na merytoryczną rangę tego programu byłoby natomiast warto nadać mu jednoznacznie status uchwały Rady Ministrów, ogłaszanej na ogólnych zasadach w Dzienniku Urzędowym Rzeczypospolitej Polskiej „Monitor Polski” (tak jak to jest np. z polityką energetyczną państwa).</w:t>
            </w:r>
          </w:p>
          <w:p w14:paraId="05001A5B" w14:textId="7E65867E" w:rsidR="00FA280B" w:rsidRPr="00642550" w:rsidRDefault="00FA280B" w:rsidP="00FA280B">
            <w:pPr>
              <w:autoSpaceDE w:val="0"/>
              <w:autoSpaceDN w:val="0"/>
              <w:adjustRightInd w:val="0"/>
              <w:jc w:val="both"/>
              <w:rPr>
                <w:rFonts w:ascii="Lato" w:hAnsi="Lato" w:cs="TimesNewRomanPSMT"/>
                <w:sz w:val="20"/>
                <w:szCs w:val="20"/>
              </w:rPr>
            </w:pPr>
          </w:p>
        </w:tc>
        <w:tc>
          <w:tcPr>
            <w:tcW w:w="4791" w:type="dxa"/>
          </w:tcPr>
          <w:p w14:paraId="2D34FC4B" w14:textId="4FD5E1EA" w:rsidR="006A42C6" w:rsidRPr="009E0B7B" w:rsidRDefault="5F412CC3" w:rsidP="5F412CC3">
            <w:pPr>
              <w:jc w:val="both"/>
              <w:rPr>
                <w:rFonts w:ascii="Lato" w:eastAsia="Calibri" w:hAnsi="Lato" w:cs="Arial"/>
                <w:b/>
                <w:bCs/>
                <w:sz w:val="20"/>
                <w:szCs w:val="20"/>
              </w:rPr>
            </w:pPr>
            <w:r w:rsidRPr="5F412CC3">
              <w:rPr>
                <w:rFonts w:ascii="Lato" w:eastAsia="Calibri" w:hAnsi="Lato" w:cs="Arial"/>
                <w:b/>
                <w:bCs/>
                <w:sz w:val="20"/>
                <w:szCs w:val="20"/>
              </w:rPr>
              <w:lastRenderedPageBreak/>
              <w:t>Uwaga uwzględniona.</w:t>
            </w:r>
          </w:p>
          <w:p w14:paraId="6FFFBDAB" w14:textId="4D4CC1D0" w:rsidR="009E0B7B" w:rsidRPr="00642550" w:rsidRDefault="5E4B0158" w:rsidP="5E4B0158">
            <w:pPr>
              <w:jc w:val="both"/>
              <w:rPr>
                <w:rFonts w:ascii="Lato" w:eastAsia="Calibri" w:hAnsi="Lato" w:cs="Arial"/>
                <w:sz w:val="20"/>
                <w:szCs w:val="20"/>
              </w:rPr>
            </w:pPr>
            <w:r w:rsidRPr="5E4B0158">
              <w:rPr>
                <w:rFonts w:ascii="Lato" w:eastAsia="Calibri" w:hAnsi="Lato" w:cs="Arial"/>
                <w:sz w:val="20"/>
                <w:szCs w:val="20"/>
              </w:rPr>
              <w:t>Rada Legislacyjna proponuje, aby w ustawie Prawo przedsiębiorców zostało wyraźnie zapisane, że program regulacyjny, o którym jest mowa w nowym projektowanym rozdziale 6a ustawy Prawo przedsiębiorców jest przyjmowany przez Radę Ministrów w drodze uchwały.</w:t>
            </w:r>
          </w:p>
        </w:tc>
      </w:tr>
      <w:tr w:rsidR="006A42C6" w:rsidRPr="00642550" w14:paraId="19C9EE9A" w14:textId="77777777" w:rsidTr="5F412CC3">
        <w:trPr>
          <w:gridAfter w:val="1"/>
          <w:wAfter w:w="8" w:type="dxa"/>
          <w:jc w:val="center"/>
        </w:trPr>
        <w:tc>
          <w:tcPr>
            <w:tcW w:w="879" w:type="dxa"/>
            <w:vAlign w:val="center"/>
          </w:tcPr>
          <w:p w14:paraId="720B2B5E" w14:textId="77777777" w:rsidR="006A42C6" w:rsidRPr="00642550" w:rsidRDefault="006A42C6" w:rsidP="00546363">
            <w:pPr>
              <w:numPr>
                <w:ilvl w:val="0"/>
                <w:numId w:val="3"/>
              </w:numPr>
              <w:spacing w:before="120"/>
              <w:ind w:right="-534"/>
              <w:contextualSpacing/>
              <w:rPr>
                <w:rFonts w:ascii="Lato" w:eastAsia="Calibri" w:hAnsi="Lato" w:cs="Arial"/>
                <w:b/>
                <w:sz w:val="20"/>
                <w:szCs w:val="20"/>
              </w:rPr>
            </w:pPr>
          </w:p>
        </w:tc>
        <w:tc>
          <w:tcPr>
            <w:tcW w:w="1662" w:type="dxa"/>
            <w:tcBorders>
              <w:top w:val="single" w:sz="4" w:space="0" w:color="auto"/>
              <w:left w:val="single" w:sz="4" w:space="0" w:color="auto"/>
              <w:bottom w:val="single" w:sz="4" w:space="0" w:color="auto"/>
              <w:right w:val="single" w:sz="4" w:space="0" w:color="auto"/>
            </w:tcBorders>
          </w:tcPr>
          <w:p w14:paraId="318BA0BF" w14:textId="5EB6AD36" w:rsidR="006A42C6" w:rsidRPr="00642550" w:rsidRDefault="5E4B0158" w:rsidP="5E4B0158">
            <w:pPr>
              <w:jc w:val="center"/>
              <w:rPr>
                <w:rFonts w:ascii="Lato" w:hAnsi="Lato" w:cs="Times New Roman"/>
                <w:sz w:val="20"/>
                <w:szCs w:val="20"/>
              </w:rPr>
            </w:pPr>
            <w:r w:rsidRPr="5E4B0158">
              <w:rPr>
                <w:rFonts w:ascii="Lato" w:hAnsi="Lato" w:cs="Times New Roman"/>
                <w:sz w:val="20"/>
                <w:szCs w:val="20"/>
              </w:rPr>
              <w:t>Przepisy przejściowe</w:t>
            </w:r>
          </w:p>
        </w:tc>
        <w:tc>
          <w:tcPr>
            <w:tcW w:w="8176" w:type="dxa"/>
            <w:tcBorders>
              <w:top w:val="single" w:sz="4" w:space="0" w:color="auto"/>
              <w:left w:val="single" w:sz="4" w:space="0" w:color="auto"/>
              <w:bottom w:val="single" w:sz="4" w:space="0" w:color="auto"/>
              <w:right w:val="single" w:sz="4" w:space="0" w:color="auto"/>
            </w:tcBorders>
            <w:vAlign w:val="center"/>
          </w:tcPr>
          <w:p w14:paraId="54A292EE" w14:textId="29E24468" w:rsidR="006A42C6" w:rsidRPr="00642550" w:rsidRDefault="5E4B0158" w:rsidP="5E4B0158">
            <w:pPr>
              <w:autoSpaceDE w:val="0"/>
              <w:autoSpaceDN w:val="0"/>
              <w:adjustRightInd w:val="0"/>
              <w:jc w:val="both"/>
              <w:rPr>
                <w:rFonts w:ascii="Lato" w:hAnsi="Lato" w:cs="TimesNewRomanPSMT"/>
                <w:sz w:val="20"/>
                <w:szCs w:val="20"/>
              </w:rPr>
            </w:pPr>
            <w:r w:rsidRPr="5E4B0158">
              <w:rPr>
                <w:rFonts w:ascii="Lato" w:hAnsi="Lato" w:cs="TimesNewRomanPSMT"/>
                <w:sz w:val="20"/>
                <w:szCs w:val="20"/>
              </w:rPr>
              <w:t>W Projekcie brak jest przepisów przejściowych dotyczących niektórych kategorii spraw (inaczej mówiąc: zawarte w Projekcie przepisy przejściowe są niekompletne). W szczególności brak jest w Projekcie wyraźnego przesądzenia, czy przewidziane w Projekcie zmienione przepisy k.c. dotyczące umowy leasingu (art. 702[2], art. 709[11] i art. 709[13] § 2 k.c.) mają być stosowane również do umów leasingu zawartych przed dniem wejścia w życie Projektu. Ponadto nie zostało wyraźnie przesądzone, czy nowe lub zmienione przepisy Kodeksu postępowania cywilnego dotyczące mediacji lub pozwu mają być stosowane również do postępowań (lub spraw) wszczętych przed dniem wejścia w życie Projektu. Kwestie te wymagają jednoznacznego rozstrzygnięcia w przepisach przejściowych Projektu.</w:t>
            </w:r>
          </w:p>
        </w:tc>
        <w:tc>
          <w:tcPr>
            <w:tcW w:w="4791" w:type="dxa"/>
          </w:tcPr>
          <w:p w14:paraId="523834AF" w14:textId="5CA978AA" w:rsidR="006A42C6" w:rsidRPr="00642550" w:rsidRDefault="5F412CC3" w:rsidP="5F412CC3">
            <w:pPr>
              <w:jc w:val="both"/>
              <w:rPr>
                <w:rFonts w:ascii="Lato" w:eastAsia="Calibri" w:hAnsi="Lato" w:cs="Arial"/>
                <w:b/>
                <w:bCs/>
                <w:sz w:val="20"/>
                <w:szCs w:val="20"/>
              </w:rPr>
            </w:pPr>
            <w:r w:rsidRPr="5F412CC3">
              <w:rPr>
                <w:rFonts w:ascii="Lato" w:eastAsia="Calibri" w:hAnsi="Lato" w:cs="Arial"/>
                <w:b/>
                <w:bCs/>
                <w:sz w:val="20"/>
                <w:szCs w:val="20"/>
              </w:rPr>
              <w:t>Uwaga uwzględniona.</w:t>
            </w:r>
          </w:p>
          <w:p w14:paraId="7BEBA29A" w14:textId="194F0290" w:rsidR="006A42C6" w:rsidRPr="00642550" w:rsidRDefault="5E4B0158" w:rsidP="5E4B0158">
            <w:pPr>
              <w:jc w:val="both"/>
              <w:rPr>
                <w:rFonts w:ascii="Lato" w:eastAsia="Calibri" w:hAnsi="Lato" w:cs="Arial"/>
                <w:sz w:val="20"/>
                <w:szCs w:val="20"/>
              </w:rPr>
            </w:pPr>
            <w:r w:rsidRPr="5E4B0158">
              <w:rPr>
                <w:rFonts w:ascii="Lato" w:eastAsia="Calibri" w:hAnsi="Lato" w:cs="Arial"/>
                <w:sz w:val="20"/>
                <w:szCs w:val="20"/>
              </w:rPr>
              <w:t>Przepisy przejściowe zostały uzupełnione.</w:t>
            </w:r>
          </w:p>
        </w:tc>
      </w:tr>
    </w:tbl>
    <w:p w14:paraId="25CB74A2" w14:textId="28D244FB" w:rsidR="0098161D" w:rsidRPr="00565D32" w:rsidRDefault="0098161D" w:rsidP="00C53987">
      <w:pPr>
        <w:spacing w:line="240" w:lineRule="exact"/>
        <w:rPr>
          <w:rFonts w:ascii="Lato" w:hAnsi="Lato" w:cstheme="minorHAnsi"/>
          <w:sz w:val="20"/>
          <w:szCs w:val="20"/>
        </w:rPr>
      </w:pPr>
    </w:p>
    <w:sectPr w:rsidR="0098161D" w:rsidRPr="00565D32" w:rsidSect="003972FB">
      <w:headerReference w:type="default" r:id="rId11"/>
      <w:footerReference w:type="default" r:id="rId12"/>
      <w:footerReference w:type="first" r:id="rId13"/>
      <w:pgSz w:w="16838" w:h="11906" w:orient="landscape"/>
      <w:pgMar w:top="568" w:right="1985" w:bottom="426" w:left="1134" w:header="0" w:footer="1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1DF8D0" w14:textId="77777777" w:rsidR="00132BC7" w:rsidRDefault="00132BC7">
      <w:pPr>
        <w:spacing w:after="0" w:line="240" w:lineRule="auto"/>
      </w:pPr>
      <w:r>
        <w:separator/>
      </w:r>
    </w:p>
  </w:endnote>
  <w:endnote w:type="continuationSeparator" w:id="0">
    <w:p w14:paraId="4C380A68" w14:textId="77777777" w:rsidR="00132BC7" w:rsidRDefault="00132B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1" w:fontKey="{42E35E1A-27FE-40A1-A2D3-0F78651E3319}"/>
    <w:embedBold r:id="rId2" w:fontKey="{FD8AAC41-C403-431E-A08F-777DF5C625F1}"/>
    <w:embedItalic r:id="rId3" w:fontKey="{BA893626-4128-4618-A446-1BDF6596C855}"/>
  </w:font>
  <w:font w:name="Times">
    <w:panose1 w:val="02020603050405020304"/>
    <w:charset w:val="EE"/>
    <w:family w:val="roman"/>
    <w:pitch w:val="variable"/>
    <w:sig w:usb0="E0002EFF" w:usb1="C000785B" w:usb2="00000009" w:usb3="00000000" w:csb0="000001FF" w:csb1="00000000"/>
    <w:embedRegular r:id="rId4" w:fontKey="{CA5232E5-BB6E-4003-94A5-11EA174FB3BD}"/>
  </w:font>
  <w:font w:name="Arial">
    <w:panose1 w:val="020B0604020202020204"/>
    <w:charset w:val="EE"/>
    <w:family w:val="swiss"/>
    <w:pitch w:val="variable"/>
    <w:sig w:usb0="E0002EFF" w:usb1="C000785B" w:usb2="00000009" w:usb3="00000000" w:csb0="000001FF" w:csb1="00000000"/>
  </w:font>
  <w:font w:name="Lato">
    <w:charset w:val="00"/>
    <w:family w:val="swiss"/>
    <w:pitch w:val="variable"/>
    <w:sig w:usb0="E10002FF" w:usb1="5000ECFF" w:usb2="00000021" w:usb3="00000000" w:csb0="0000019F" w:csb1="00000000"/>
    <w:embedRegular r:id="rId5" w:fontKey="{69A00A1F-E372-4606-AD83-DAB86A50420E}"/>
    <w:embedBold r:id="rId6" w:fontKey="{6BC5922E-D1E0-48FB-AB13-83EA2B55FA87}"/>
    <w:embedItalic r:id="rId7" w:fontKey="{31895AFA-0D27-408F-BB86-3DD8D3B4FCAE}"/>
  </w:font>
  <w:font w:name="TimesNewRomanPSMT">
    <w:altName w:val="Times New Roman"/>
    <w:panose1 w:val="00000000000000000000"/>
    <w:charset w:val="EE"/>
    <w:family w:val="auto"/>
    <w:notTrueType/>
    <w:pitch w:val="default"/>
    <w:sig w:usb0="00000007" w:usb1="00000000" w:usb2="00000000" w:usb3="00000000" w:csb0="00000003" w:csb1="00000000"/>
  </w:font>
  <w:font w:name="Calibri Light">
    <w:panose1 w:val="020F0302020204030204"/>
    <w:charset w:val="EE"/>
    <w:family w:val="swiss"/>
    <w:pitch w:val="variable"/>
    <w:sig w:usb0="E4002EFF" w:usb1="C000247B" w:usb2="00000009" w:usb3="00000000" w:csb0="000001FF" w:csb1="00000000"/>
    <w:embedRegular r:id="rId8" w:fontKey="{1162E16B-82D9-4825-A251-1ACD4340F32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34C0B3" w14:textId="6AA02656" w:rsidR="0098161D" w:rsidRDefault="0098161D" w:rsidP="003A1976">
    <w:pPr>
      <w:pStyle w:val="Stopka"/>
      <w:tabs>
        <w:tab w:val="clear" w:pos="4536"/>
        <w:tab w:val="clear" w:pos="9072"/>
        <w:tab w:val="left" w:pos="5954"/>
      </w:tabs>
      <w:spacing w:line="200" w:lineRule="exact"/>
      <w:ind w:left="5954" w:hanging="5954"/>
      <w:jc w:val="both"/>
      <w:rPr>
        <w:rFonts w:ascii="Lato" w:hAnsi="Lato"/>
        <w:sz w:val="14"/>
        <w:szCs w:val="1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A399B6" w14:textId="2069C129" w:rsidR="0098161D" w:rsidRDefault="0098161D" w:rsidP="00274D44">
    <w:pPr>
      <w:pStyle w:val="Stopka"/>
      <w:tabs>
        <w:tab w:val="clear" w:pos="4536"/>
        <w:tab w:val="clear" w:pos="9072"/>
        <w:tab w:val="left" w:pos="5954"/>
      </w:tabs>
      <w:spacing w:line="200" w:lineRule="exact"/>
      <w:ind w:left="5954" w:hanging="5954"/>
      <w:jc w:val="both"/>
      <w:rPr>
        <w:rFonts w:ascii="Lato" w:hAnsi="Lato"/>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9D85BE" w14:textId="77777777" w:rsidR="00132BC7" w:rsidRDefault="00132BC7">
      <w:pPr>
        <w:spacing w:after="0" w:line="240" w:lineRule="auto"/>
      </w:pPr>
      <w:r>
        <w:separator/>
      </w:r>
    </w:p>
  </w:footnote>
  <w:footnote w:type="continuationSeparator" w:id="0">
    <w:p w14:paraId="25224D2F" w14:textId="77777777" w:rsidR="00132BC7" w:rsidRDefault="00132BC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D8B461" w14:textId="77777777" w:rsidR="0098161D" w:rsidRDefault="0098161D" w:rsidP="009276B2">
    <w:pPr>
      <w:pStyle w:val="Nagwek"/>
      <w:tabs>
        <w:tab w:val="clear" w:pos="4536"/>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733B51"/>
    <w:multiLevelType w:val="hybridMultilevel"/>
    <w:tmpl w:val="4462F3E4"/>
    <w:lvl w:ilvl="0" w:tplc="B568CB8A">
      <w:start w:val="1"/>
      <w:numFmt w:val="decimal"/>
      <w:lvlText w:val="%1."/>
      <w:lvlJc w:val="left"/>
      <w:pPr>
        <w:tabs>
          <w:tab w:val="num" w:pos="720"/>
        </w:tabs>
        <w:ind w:left="720" w:hanging="360"/>
      </w:pPr>
      <w:rPr>
        <w:rFonts w:cs="Times New Roman"/>
      </w:rPr>
    </w:lvl>
    <w:lvl w:ilvl="1" w:tplc="291EB646">
      <w:start w:val="1"/>
      <w:numFmt w:val="lowerLetter"/>
      <w:lvlText w:val="%2."/>
      <w:lvlJc w:val="left"/>
      <w:pPr>
        <w:tabs>
          <w:tab w:val="num" w:pos="1440"/>
        </w:tabs>
        <w:ind w:left="1440" w:hanging="360"/>
      </w:pPr>
      <w:rPr>
        <w:rFonts w:cs="Times New Roman"/>
      </w:rPr>
    </w:lvl>
    <w:lvl w:ilvl="2" w:tplc="424E160E">
      <w:start w:val="1"/>
      <w:numFmt w:val="lowerRoman"/>
      <w:lvlText w:val="%3."/>
      <w:lvlJc w:val="right"/>
      <w:pPr>
        <w:tabs>
          <w:tab w:val="num" w:pos="2160"/>
        </w:tabs>
        <w:ind w:left="2160" w:hanging="180"/>
      </w:pPr>
      <w:rPr>
        <w:rFonts w:cs="Times New Roman"/>
      </w:rPr>
    </w:lvl>
    <w:lvl w:ilvl="3" w:tplc="6360F822">
      <w:start w:val="1"/>
      <w:numFmt w:val="decimal"/>
      <w:lvlText w:val="%4."/>
      <w:lvlJc w:val="left"/>
      <w:pPr>
        <w:tabs>
          <w:tab w:val="num" w:pos="2880"/>
        </w:tabs>
        <w:ind w:left="2880" w:hanging="360"/>
      </w:pPr>
      <w:rPr>
        <w:rFonts w:cs="Times New Roman"/>
      </w:rPr>
    </w:lvl>
    <w:lvl w:ilvl="4" w:tplc="F1EC6E00">
      <w:start w:val="1"/>
      <w:numFmt w:val="lowerLetter"/>
      <w:lvlText w:val="%5."/>
      <w:lvlJc w:val="left"/>
      <w:pPr>
        <w:tabs>
          <w:tab w:val="num" w:pos="3600"/>
        </w:tabs>
        <w:ind w:left="3600" w:hanging="360"/>
      </w:pPr>
      <w:rPr>
        <w:rFonts w:cs="Times New Roman"/>
      </w:rPr>
    </w:lvl>
    <w:lvl w:ilvl="5" w:tplc="551465D0">
      <w:start w:val="1"/>
      <w:numFmt w:val="lowerRoman"/>
      <w:lvlText w:val="%6."/>
      <w:lvlJc w:val="right"/>
      <w:pPr>
        <w:tabs>
          <w:tab w:val="num" w:pos="4320"/>
        </w:tabs>
        <w:ind w:left="4320" w:hanging="180"/>
      </w:pPr>
      <w:rPr>
        <w:rFonts w:cs="Times New Roman"/>
      </w:rPr>
    </w:lvl>
    <w:lvl w:ilvl="6" w:tplc="3782C078">
      <w:start w:val="1"/>
      <w:numFmt w:val="decimal"/>
      <w:lvlText w:val="%7."/>
      <w:lvlJc w:val="left"/>
      <w:pPr>
        <w:tabs>
          <w:tab w:val="num" w:pos="5040"/>
        </w:tabs>
        <w:ind w:left="5040" w:hanging="360"/>
      </w:pPr>
      <w:rPr>
        <w:rFonts w:cs="Times New Roman"/>
      </w:rPr>
    </w:lvl>
    <w:lvl w:ilvl="7" w:tplc="6DA60288">
      <w:start w:val="1"/>
      <w:numFmt w:val="lowerLetter"/>
      <w:lvlText w:val="%8."/>
      <w:lvlJc w:val="left"/>
      <w:pPr>
        <w:tabs>
          <w:tab w:val="num" w:pos="5760"/>
        </w:tabs>
        <w:ind w:left="5760" w:hanging="360"/>
      </w:pPr>
      <w:rPr>
        <w:rFonts w:cs="Times New Roman"/>
      </w:rPr>
    </w:lvl>
    <w:lvl w:ilvl="8" w:tplc="59462CD0">
      <w:start w:val="1"/>
      <w:numFmt w:val="lowerRoman"/>
      <w:lvlText w:val="%9."/>
      <w:lvlJc w:val="right"/>
      <w:pPr>
        <w:tabs>
          <w:tab w:val="num" w:pos="6480"/>
        </w:tabs>
        <w:ind w:left="6480" w:hanging="180"/>
      </w:pPr>
      <w:rPr>
        <w:rFonts w:cs="Times New Roman"/>
      </w:rPr>
    </w:lvl>
  </w:abstractNum>
  <w:abstractNum w:abstractNumId="1" w15:restartNumberingAfterBreak="0">
    <w:nsid w:val="26220F5E"/>
    <w:multiLevelType w:val="hybridMultilevel"/>
    <w:tmpl w:val="54640F68"/>
    <w:lvl w:ilvl="0" w:tplc="F5A8D61A">
      <w:start w:val="1"/>
      <w:numFmt w:val="decimal"/>
      <w:lvlText w:val="%1."/>
      <w:lvlJc w:val="left"/>
      <w:pPr>
        <w:tabs>
          <w:tab w:val="num" w:pos="720"/>
        </w:tabs>
        <w:ind w:left="720" w:hanging="360"/>
      </w:pPr>
      <w:rPr>
        <w:rFonts w:cs="Times New Roman"/>
      </w:rPr>
    </w:lvl>
    <w:lvl w:ilvl="1" w:tplc="1A7683B4">
      <w:start w:val="1"/>
      <w:numFmt w:val="lowerLetter"/>
      <w:lvlText w:val="%2."/>
      <w:lvlJc w:val="left"/>
      <w:pPr>
        <w:tabs>
          <w:tab w:val="num" w:pos="1440"/>
        </w:tabs>
        <w:ind w:left="1440" w:hanging="360"/>
      </w:pPr>
      <w:rPr>
        <w:rFonts w:cs="Times New Roman"/>
      </w:rPr>
    </w:lvl>
    <w:lvl w:ilvl="2" w:tplc="17F0D394">
      <w:start w:val="1"/>
      <w:numFmt w:val="lowerRoman"/>
      <w:lvlText w:val="%3."/>
      <w:lvlJc w:val="right"/>
      <w:pPr>
        <w:tabs>
          <w:tab w:val="num" w:pos="2160"/>
        </w:tabs>
        <w:ind w:left="2160" w:hanging="180"/>
      </w:pPr>
      <w:rPr>
        <w:rFonts w:cs="Times New Roman"/>
      </w:rPr>
    </w:lvl>
    <w:lvl w:ilvl="3" w:tplc="6E0E8F30">
      <w:start w:val="1"/>
      <w:numFmt w:val="decimal"/>
      <w:lvlText w:val="%4."/>
      <w:lvlJc w:val="left"/>
      <w:pPr>
        <w:tabs>
          <w:tab w:val="num" w:pos="2880"/>
        </w:tabs>
        <w:ind w:left="2880" w:hanging="360"/>
      </w:pPr>
      <w:rPr>
        <w:rFonts w:cs="Times New Roman"/>
      </w:rPr>
    </w:lvl>
    <w:lvl w:ilvl="4" w:tplc="C112733E">
      <w:start w:val="1"/>
      <w:numFmt w:val="lowerLetter"/>
      <w:lvlText w:val="%5."/>
      <w:lvlJc w:val="left"/>
      <w:pPr>
        <w:tabs>
          <w:tab w:val="num" w:pos="3600"/>
        </w:tabs>
        <w:ind w:left="3600" w:hanging="360"/>
      </w:pPr>
      <w:rPr>
        <w:rFonts w:cs="Times New Roman"/>
      </w:rPr>
    </w:lvl>
    <w:lvl w:ilvl="5" w:tplc="72908D4C">
      <w:start w:val="1"/>
      <w:numFmt w:val="lowerRoman"/>
      <w:lvlText w:val="%6."/>
      <w:lvlJc w:val="right"/>
      <w:pPr>
        <w:tabs>
          <w:tab w:val="num" w:pos="4320"/>
        </w:tabs>
        <w:ind w:left="4320" w:hanging="180"/>
      </w:pPr>
      <w:rPr>
        <w:rFonts w:cs="Times New Roman"/>
      </w:rPr>
    </w:lvl>
    <w:lvl w:ilvl="6" w:tplc="05F835E0">
      <w:start w:val="1"/>
      <w:numFmt w:val="decimal"/>
      <w:lvlText w:val="%7."/>
      <w:lvlJc w:val="left"/>
      <w:pPr>
        <w:tabs>
          <w:tab w:val="num" w:pos="5040"/>
        </w:tabs>
        <w:ind w:left="5040" w:hanging="360"/>
      </w:pPr>
      <w:rPr>
        <w:rFonts w:cs="Times New Roman"/>
      </w:rPr>
    </w:lvl>
    <w:lvl w:ilvl="7" w:tplc="5EF429D4">
      <w:start w:val="1"/>
      <w:numFmt w:val="lowerLetter"/>
      <w:lvlText w:val="%8."/>
      <w:lvlJc w:val="left"/>
      <w:pPr>
        <w:tabs>
          <w:tab w:val="num" w:pos="5760"/>
        </w:tabs>
        <w:ind w:left="5760" w:hanging="360"/>
      </w:pPr>
      <w:rPr>
        <w:rFonts w:cs="Times New Roman"/>
      </w:rPr>
    </w:lvl>
    <w:lvl w:ilvl="8" w:tplc="260878CE">
      <w:start w:val="1"/>
      <w:numFmt w:val="lowerRoman"/>
      <w:lvlText w:val="%9."/>
      <w:lvlJc w:val="right"/>
      <w:pPr>
        <w:tabs>
          <w:tab w:val="num" w:pos="6480"/>
        </w:tabs>
        <w:ind w:left="6480" w:hanging="180"/>
      </w:pPr>
      <w:rPr>
        <w:rFonts w:cs="Times New Roman"/>
      </w:rPr>
    </w:lvl>
  </w:abstractNum>
  <w:abstractNum w:abstractNumId="2" w15:restartNumberingAfterBreak="0">
    <w:nsid w:val="4AB53D77"/>
    <w:multiLevelType w:val="hybridMultilevel"/>
    <w:tmpl w:val="2AA204E4"/>
    <w:lvl w:ilvl="0" w:tplc="0415000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num w:numId="1" w16cid:durableId="20965979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757751080">
    <w:abstractNumId w:val="0"/>
  </w:num>
  <w:num w:numId="3" w16cid:durableId="98416757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embedTrueTypeFonts/>
  <w:proofState w:spelling="clean"/>
  <w:defaultTabStop w:val="552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D6414"/>
    <w:rsid w:val="000139A3"/>
    <w:rsid w:val="0005374F"/>
    <w:rsid w:val="0006777D"/>
    <w:rsid w:val="000D6414"/>
    <w:rsid w:val="000E37B9"/>
    <w:rsid w:val="00132BC7"/>
    <w:rsid w:val="001716D5"/>
    <w:rsid w:val="00187A49"/>
    <w:rsid w:val="001A3466"/>
    <w:rsid w:val="001E0D85"/>
    <w:rsid w:val="001F4F9C"/>
    <w:rsid w:val="00200B8D"/>
    <w:rsid w:val="00217C6D"/>
    <w:rsid w:val="00245AF6"/>
    <w:rsid w:val="00387E4D"/>
    <w:rsid w:val="003972FB"/>
    <w:rsid w:val="003E06A9"/>
    <w:rsid w:val="0043242A"/>
    <w:rsid w:val="00476DC8"/>
    <w:rsid w:val="004770EE"/>
    <w:rsid w:val="004D231E"/>
    <w:rsid w:val="00546363"/>
    <w:rsid w:val="00581E71"/>
    <w:rsid w:val="005B7105"/>
    <w:rsid w:val="00612844"/>
    <w:rsid w:val="0063290F"/>
    <w:rsid w:val="006908A7"/>
    <w:rsid w:val="006A42C6"/>
    <w:rsid w:val="007C74AA"/>
    <w:rsid w:val="007D47B7"/>
    <w:rsid w:val="007D6289"/>
    <w:rsid w:val="008C74FE"/>
    <w:rsid w:val="008D7879"/>
    <w:rsid w:val="0098161D"/>
    <w:rsid w:val="009E0B7B"/>
    <w:rsid w:val="00A51BB6"/>
    <w:rsid w:val="00A97462"/>
    <w:rsid w:val="00AA29B6"/>
    <w:rsid w:val="00B729CC"/>
    <w:rsid w:val="00C05B3F"/>
    <w:rsid w:val="00C14E3A"/>
    <w:rsid w:val="00CE43D9"/>
    <w:rsid w:val="00CF3BBE"/>
    <w:rsid w:val="00D12249"/>
    <w:rsid w:val="00DB669B"/>
    <w:rsid w:val="00DE5C7E"/>
    <w:rsid w:val="00E54835"/>
    <w:rsid w:val="00E66316"/>
    <w:rsid w:val="00F360F0"/>
    <w:rsid w:val="00FA280B"/>
    <w:rsid w:val="00FA36DC"/>
    <w:rsid w:val="00FC0B6B"/>
    <w:rsid w:val="2A19A114"/>
    <w:rsid w:val="5BA295BD"/>
    <w:rsid w:val="5E4B0158"/>
    <w:rsid w:val="5F412CC3"/>
    <w:rsid w:val="7CA68A0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5629F5"/>
  <w15:docId w15:val="{E41CAE80-47F9-428D-9F88-6A67F15B4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9276B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9276B2"/>
  </w:style>
  <w:style w:type="paragraph" w:styleId="Stopka">
    <w:name w:val="footer"/>
    <w:basedOn w:val="Normalny"/>
    <w:link w:val="StopkaZnak"/>
    <w:uiPriority w:val="99"/>
    <w:unhideWhenUsed/>
    <w:rsid w:val="009276B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9276B2"/>
  </w:style>
  <w:style w:type="character" w:styleId="Hipercze">
    <w:name w:val="Hyperlink"/>
    <w:basedOn w:val="Domylnaczcionkaakapitu"/>
    <w:uiPriority w:val="99"/>
    <w:unhideWhenUsed/>
    <w:rsid w:val="00565D32"/>
    <w:rPr>
      <w:color w:val="0563C1" w:themeColor="hyperlink"/>
      <w:u w:val="single"/>
    </w:rPr>
  </w:style>
  <w:style w:type="character" w:customStyle="1" w:styleId="Nierozpoznanawzmianka1">
    <w:name w:val="Nierozpoznana wzmianka1"/>
    <w:basedOn w:val="Domylnaczcionkaakapitu"/>
    <w:uiPriority w:val="99"/>
    <w:semiHidden/>
    <w:unhideWhenUsed/>
    <w:rsid w:val="00565D32"/>
    <w:rPr>
      <w:color w:val="605E5C"/>
      <w:shd w:val="clear" w:color="auto" w:fill="E1DFDD"/>
    </w:rPr>
  </w:style>
  <w:style w:type="table" w:customStyle="1" w:styleId="Tabela-Siatka1">
    <w:name w:val="Tabela - Siatka1"/>
    <w:basedOn w:val="Standardowy"/>
    <w:next w:val="Tabela-Siatka"/>
    <w:uiPriority w:val="59"/>
    <w:rsid w:val="005463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Siatka">
    <w:name w:val="Table Grid"/>
    <w:basedOn w:val="Standardowy"/>
    <w:uiPriority w:val="39"/>
    <w:rsid w:val="005463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9E0B7B"/>
    <w:rPr>
      <w:sz w:val="16"/>
      <w:szCs w:val="16"/>
    </w:rPr>
  </w:style>
  <w:style w:type="paragraph" w:styleId="Tekstkomentarza">
    <w:name w:val="annotation text"/>
    <w:basedOn w:val="Normalny"/>
    <w:link w:val="TekstkomentarzaZnak"/>
    <w:uiPriority w:val="99"/>
    <w:unhideWhenUsed/>
    <w:rsid w:val="009E0B7B"/>
    <w:pPr>
      <w:spacing w:line="240" w:lineRule="auto"/>
    </w:pPr>
    <w:rPr>
      <w:sz w:val="20"/>
      <w:szCs w:val="20"/>
    </w:rPr>
  </w:style>
  <w:style w:type="character" w:customStyle="1" w:styleId="TekstkomentarzaZnak">
    <w:name w:val="Tekst komentarza Znak"/>
    <w:basedOn w:val="Domylnaczcionkaakapitu"/>
    <w:link w:val="Tekstkomentarza"/>
    <w:uiPriority w:val="99"/>
    <w:rsid w:val="009E0B7B"/>
    <w:rPr>
      <w:sz w:val="20"/>
      <w:szCs w:val="20"/>
    </w:rPr>
  </w:style>
  <w:style w:type="paragraph" w:styleId="Tematkomentarza">
    <w:name w:val="annotation subject"/>
    <w:basedOn w:val="Tekstkomentarza"/>
    <w:next w:val="Tekstkomentarza"/>
    <w:link w:val="TematkomentarzaZnak"/>
    <w:uiPriority w:val="99"/>
    <w:semiHidden/>
    <w:unhideWhenUsed/>
    <w:rsid w:val="009E0B7B"/>
    <w:rPr>
      <w:b/>
      <w:bCs/>
    </w:rPr>
  </w:style>
  <w:style w:type="character" w:customStyle="1" w:styleId="TematkomentarzaZnak">
    <w:name w:val="Temat komentarza Znak"/>
    <w:basedOn w:val="TekstkomentarzaZnak"/>
    <w:link w:val="Tematkomentarza"/>
    <w:uiPriority w:val="99"/>
    <w:semiHidden/>
    <w:rsid w:val="009E0B7B"/>
    <w:rPr>
      <w:b/>
      <w:bCs/>
      <w:sz w:val="20"/>
      <w:szCs w:val="20"/>
    </w:rPr>
  </w:style>
  <w:style w:type="paragraph" w:customStyle="1" w:styleId="ZPKTzmpktartykuempunktem">
    <w:name w:val="Z/PKT – zm. pkt artykułem (punktem)"/>
    <w:basedOn w:val="Normalny"/>
    <w:uiPriority w:val="31"/>
    <w:qFormat/>
    <w:rsid w:val="00581E71"/>
    <w:pPr>
      <w:spacing w:after="0" w:line="360" w:lineRule="auto"/>
      <w:ind w:left="1020" w:hanging="510"/>
      <w:jc w:val="both"/>
    </w:pPr>
    <w:rPr>
      <w:rFonts w:ascii="Times" w:eastAsiaTheme="minorEastAsia" w:hAnsi="Times" w:cs="Arial"/>
      <w:bCs/>
      <w:sz w:val="24"/>
      <w:szCs w:val="20"/>
      <w:lang w:eastAsia="pl-PL"/>
    </w:rPr>
  </w:style>
  <w:style w:type="paragraph" w:customStyle="1" w:styleId="ZUSTzmustartykuempunktem">
    <w:name w:val="Z/UST(§) – zm. ust. (§) artykułem (punktem)"/>
    <w:basedOn w:val="Normalny"/>
    <w:uiPriority w:val="30"/>
    <w:qFormat/>
    <w:rsid w:val="00581E71"/>
    <w:pPr>
      <w:suppressAutoHyphens/>
      <w:autoSpaceDE w:val="0"/>
      <w:autoSpaceDN w:val="0"/>
      <w:adjustRightInd w:val="0"/>
      <w:spacing w:after="0" w:line="360" w:lineRule="auto"/>
      <w:ind w:left="510" w:firstLine="510"/>
      <w:jc w:val="both"/>
    </w:pPr>
    <w:rPr>
      <w:rFonts w:ascii="Times" w:eastAsiaTheme="minorEastAsia" w:hAnsi="Times" w:cs="Arial"/>
      <w:sz w:val="24"/>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1A9DAB1603DB9B4F828582133B0748F9" ma:contentTypeVersion="2" ma:contentTypeDescription="Utwórz nowy dokument." ma:contentTypeScope="" ma:versionID="120d2fa984c23c4b09d04e7c96e0c553">
  <xsd:schema xmlns:xsd="http://www.w3.org/2001/XMLSchema" xmlns:xs="http://www.w3.org/2001/XMLSchema" xmlns:p="http://schemas.microsoft.com/office/2006/metadata/properties" xmlns:ns2="b064a0ac-8953-4d7d-b546-6563a1bb17bb" targetNamespace="http://schemas.microsoft.com/office/2006/metadata/properties" ma:root="true" ma:fieldsID="507cad150df4ab25d7140ade1984c73f" ns2:_="">
    <xsd:import namespace="b064a0ac-8953-4d7d-b546-6563a1bb17bb"/>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64a0ac-8953-4d7d-b546-6563a1bb17bb" elementFormDefault="qualified">
    <xsd:import namespace="http://schemas.microsoft.com/office/2006/documentManagement/types"/>
    <xsd:import namespace="http://schemas.microsoft.com/office/infopath/2007/PartnerControls"/>
    <xsd:element name="SharedWithUsers" ma:index="8"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43A598B-ABDC-4BA8-A338-4B45AF1623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64a0ac-8953-4d7d-b546-6563a1bb17b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91CC7C6-0242-41BF-8B2D-A9D94F1AE38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003C594-FD83-4656-9EED-6301E582CBAF}">
  <ds:schemaRefs>
    <ds:schemaRef ds:uri="http://schemas.openxmlformats.org/officeDocument/2006/bibliography"/>
  </ds:schemaRefs>
</ds:datastoreItem>
</file>

<file path=customXml/itemProps4.xml><?xml version="1.0" encoding="utf-8"?>
<ds:datastoreItem xmlns:ds="http://schemas.openxmlformats.org/officeDocument/2006/customXml" ds:itemID="{8A6C67FB-3DC7-4B00-BC6C-D9AC4B63121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6793</Words>
  <Characters>40763</Characters>
  <Application>Microsoft Office Word</Application>
  <DocSecurity>0</DocSecurity>
  <Lines>339</Lines>
  <Paragraphs>94</Paragraphs>
  <ScaleCrop>false</ScaleCrop>
  <Company>Kancelaria Prezesa Rady Ministrow</Company>
  <LinksUpToDate>false</LinksUpToDate>
  <CharactersWithSpaces>47462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Nowakowski Adam</dc:creator>
  <cp:lastModifiedBy>Herman Anna</cp:lastModifiedBy>
  <cp:revision>2</cp:revision>
  <cp:lastPrinted>2022-09-08T13:34:00Z</cp:lastPrinted>
  <dcterms:created xsi:type="dcterms:W3CDTF">2024-08-26T10:13:00Z</dcterms:created>
  <dcterms:modified xsi:type="dcterms:W3CDTF">2024-08-26T10:13:00Z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0x0101001A9DAB1603DB9B4F828582133B0748F9</vt:lpwstr>
  </property>
</Properties>
</file>