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B8110" w14:textId="56228B68" w:rsidR="00950267" w:rsidRPr="00A555B6" w:rsidRDefault="00950267" w:rsidP="004E6FE9">
      <w:pPr>
        <w:spacing w:before="120" w:after="120" w:line="360" w:lineRule="auto"/>
        <w:jc w:val="center"/>
        <w:rPr>
          <w:rFonts w:ascii="Times New Roman" w:hAnsi="Times New Roman" w:cs="Times New Roman"/>
          <w:b/>
          <w:bCs/>
        </w:rPr>
      </w:pPr>
      <w:r w:rsidRPr="00A555B6">
        <w:rPr>
          <w:rFonts w:ascii="Times New Roman" w:hAnsi="Times New Roman" w:cs="Times New Roman"/>
          <w:b/>
          <w:bCs/>
        </w:rPr>
        <w:t>Uzasadnienie</w:t>
      </w:r>
    </w:p>
    <w:sdt>
      <w:sdtPr>
        <w:rPr>
          <w:rFonts w:ascii="Times New Roman" w:eastAsiaTheme="minorHAnsi" w:hAnsi="Times New Roman" w:cs="Times New Roman"/>
          <w:color w:val="auto"/>
          <w:kern w:val="2"/>
          <w:sz w:val="22"/>
          <w:szCs w:val="22"/>
          <w:lang w:eastAsia="en-US"/>
          <w14:ligatures w14:val="standardContextual"/>
        </w:rPr>
        <w:id w:val="-46610004"/>
        <w:docPartObj>
          <w:docPartGallery w:val="Table of Contents"/>
          <w:docPartUnique/>
        </w:docPartObj>
      </w:sdtPr>
      <w:sdtEndPr>
        <w:rPr>
          <w:b/>
          <w:bCs/>
        </w:rPr>
      </w:sdtEndPr>
      <w:sdtContent>
        <w:p w14:paraId="02CBF5CC" w14:textId="6AEC20DA" w:rsidR="006D600F" w:rsidRPr="00A555B6" w:rsidRDefault="006D600F" w:rsidP="004E6FE9">
          <w:pPr>
            <w:pStyle w:val="Nagwekspisutreci"/>
            <w:spacing w:before="120" w:after="120" w:line="360" w:lineRule="auto"/>
            <w:rPr>
              <w:rFonts w:ascii="Times New Roman" w:hAnsi="Times New Roman" w:cs="Times New Roman"/>
              <w:b/>
              <w:bCs/>
              <w:color w:val="auto"/>
              <w:sz w:val="22"/>
              <w:szCs w:val="22"/>
            </w:rPr>
          </w:pPr>
          <w:r w:rsidRPr="00A555B6">
            <w:rPr>
              <w:rFonts w:ascii="Times New Roman" w:hAnsi="Times New Roman" w:cs="Times New Roman"/>
              <w:b/>
              <w:bCs/>
              <w:color w:val="auto"/>
              <w:sz w:val="22"/>
              <w:szCs w:val="22"/>
            </w:rPr>
            <w:t>Spis treści</w:t>
          </w:r>
        </w:p>
        <w:p w14:paraId="1D35ECB7" w14:textId="7C52C7A5" w:rsidR="0008340C" w:rsidRDefault="006D600F">
          <w:pPr>
            <w:pStyle w:val="Spistreci1"/>
            <w:rPr>
              <w:rFonts w:eastAsiaTheme="minorEastAsia"/>
              <w:noProof/>
              <w:sz w:val="24"/>
              <w:szCs w:val="24"/>
              <w:lang w:eastAsia="pl-PL"/>
            </w:rPr>
          </w:pPr>
          <w:r w:rsidRPr="00A555B6">
            <w:rPr>
              <w:rFonts w:ascii="Times New Roman" w:hAnsi="Times New Roman" w:cs="Times New Roman"/>
            </w:rPr>
            <w:fldChar w:fldCharType="begin"/>
          </w:r>
          <w:r w:rsidRPr="00A555B6">
            <w:rPr>
              <w:rFonts w:ascii="Times New Roman" w:hAnsi="Times New Roman" w:cs="Times New Roman"/>
            </w:rPr>
            <w:instrText xml:space="preserve"> TOC \o "1-3" \h \z \u </w:instrText>
          </w:r>
          <w:r w:rsidRPr="00A555B6">
            <w:rPr>
              <w:rFonts w:ascii="Times New Roman" w:hAnsi="Times New Roman" w:cs="Times New Roman"/>
            </w:rPr>
            <w:fldChar w:fldCharType="separate"/>
          </w:r>
          <w:hyperlink w:anchor="_Toc174689294" w:history="1">
            <w:r w:rsidR="0008340C" w:rsidRPr="00B717B9">
              <w:rPr>
                <w:rStyle w:val="Hipercze"/>
                <w:rFonts w:ascii="Times New Roman" w:hAnsi="Times New Roman" w:cs="Times New Roman"/>
                <w:b/>
                <w:bCs/>
                <w:noProof/>
              </w:rPr>
              <w:t>1.</w:t>
            </w:r>
            <w:r w:rsidR="0008340C">
              <w:rPr>
                <w:rFonts w:eastAsiaTheme="minorEastAsia"/>
                <w:noProof/>
                <w:sz w:val="24"/>
                <w:szCs w:val="24"/>
                <w:lang w:eastAsia="pl-PL"/>
              </w:rPr>
              <w:tab/>
            </w:r>
            <w:r w:rsidR="0008340C" w:rsidRPr="00B717B9">
              <w:rPr>
                <w:rStyle w:val="Hipercze"/>
                <w:rFonts w:ascii="Times New Roman" w:hAnsi="Times New Roman" w:cs="Times New Roman"/>
                <w:b/>
                <w:bCs/>
                <w:noProof/>
              </w:rPr>
              <w:t>Cel i potrzeba ustawy</w:t>
            </w:r>
            <w:r w:rsidR="0008340C">
              <w:rPr>
                <w:noProof/>
                <w:webHidden/>
              </w:rPr>
              <w:tab/>
            </w:r>
            <w:r w:rsidR="0008340C">
              <w:rPr>
                <w:noProof/>
                <w:webHidden/>
              </w:rPr>
              <w:fldChar w:fldCharType="begin"/>
            </w:r>
            <w:r w:rsidR="0008340C">
              <w:rPr>
                <w:noProof/>
                <w:webHidden/>
              </w:rPr>
              <w:instrText xml:space="preserve"> PAGEREF _Toc174689294 \h </w:instrText>
            </w:r>
            <w:r w:rsidR="0008340C">
              <w:rPr>
                <w:noProof/>
                <w:webHidden/>
              </w:rPr>
            </w:r>
            <w:r w:rsidR="0008340C">
              <w:rPr>
                <w:noProof/>
                <w:webHidden/>
              </w:rPr>
              <w:fldChar w:fldCharType="separate"/>
            </w:r>
            <w:r w:rsidR="0008340C">
              <w:rPr>
                <w:noProof/>
                <w:webHidden/>
              </w:rPr>
              <w:t>4</w:t>
            </w:r>
            <w:r w:rsidR="0008340C">
              <w:rPr>
                <w:noProof/>
                <w:webHidden/>
              </w:rPr>
              <w:fldChar w:fldCharType="end"/>
            </w:r>
          </w:hyperlink>
        </w:p>
        <w:p w14:paraId="38C6D729" w14:textId="60B97EE7" w:rsidR="0008340C" w:rsidRDefault="00000000">
          <w:pPr>
            <w:pStyle w:val="Spistreci1"/>
            <w:rPr>
              <w:rFonts w:eastAsiaTheme="minorEastAsia"/>
              <w:noProof/>
              <w:sz w:val="24"/>
              <w:szCs w:val="24"/>
              <w:lang w:eastAsia="pl-PL"/>
            </w:rPr>
          </w:pPr>
          <w:hyperlink w:anchor="_Toc174689295" w:history="1">
            <w:r w:rsidR="0008340C" w:rsidRPr="00B717B9">
              <w:rPr>
                <w:rStyle w:val="Hipercze"/>
                <w:rFonts w:ascii="Times New Roman" w:hAnsi="Times New Roman" w:cs="Times New Roman"/>
                <w:b/>
                <w:bCs/>
                <w:noProof/>
              </w:rPr>
              <w:t>2.</w:t>
            </w:r>
            <w:r w:rsidR="0008340C">
              <w:rPr>
                <w:rFonts w:eastAsiaTheme="minorEastAsia"/>
                <w:noProof/>
                <w:sz w:val="24"/>
                <w:szCs w:val="24"/>
                <w:lang w:eastAsia="pl-PL"/>
              </w:rPr>
              <w:tab/>
            </w:r>
            <w:r w:rsidR="0008340C" w:rsidRPr="00B717B9">
              <w:rPr>
                <w:rStyle w:val="Hipercze"/>
                <w:rFonts w:ascii="Times New Roman" w:hAnsi="Times New Roman" w:cs="Times New Roman"/>
                <w:b/>
                <w:bCs/>
                <w:noProof/>
              </w:rPr>
              <w:t>Omówienie zmian zawartych w projekcie ustawy</w:t>
            </w:r>
            <w:r w:rsidR="0008340C">
              <w:rPr>
                <w:noProof/>
                <w:webHidden/>
              </w:rPr>
              <w:tab/>
            </w:r>
            <w:r w:rsidR="0008340C">
              <w:rPr>
                <w:noProof/>
                <w:webHidden/>
              </w:rPr>
              <w:fldChar w:fldCharType="begin"/>
            </w:r>
            <w:r w:rsidR="0008340C">
              <w:rPr>
                <w:noProof/>
                <w:webHidden/>
              </w:rPr>
              <w:instrText xml:space="preserve"> PAGEREF _Toc174689295 \h </w:instrText>
            </w:r>
            <w:r w:rsidR="0008340C">
              <w:rPr>
                <w:noProof/>
                <w:webHidden/>
              </w:rPr>
            </w:r>
            <w:r w:rsidR="0008340C">
              <w:rPr>
                <w:noProof/>
                <w:webHidden/>
              </w:rPr>
              <w:fldChar w:fldCharType="separate"/>
            </w:r>
            <w:r w:rsidR="0008340C">
              <w:rPr>
                <w:noProof/>
                <w:webHidden/>
              </w:rPr>
              <w:t>5</w:t>
            </w:r>
            <w:r w:rsidR="0008340C">
              <w:rPr>
                <w:noProof/>
                <w:webHidden/>
              </w:rPr>
              <w:fldChar w:fldCharType="end"/>
            </w:r>
          </w:hyperlink>
        </w:p>
        <w:p w14:paraId="3F391FF4" w14:textId="2216DB5E" w:rsidR="0008340C" w:rsidRDefault="00000000">
          <w:pPr>
            <w:pStyle w:val="Spistreci2"/>
            <w:rPr>
              <w:rFonts w:eastAsiaTheme="minorEastAsia"/>
              <w:noProof/>
              <w:sz w:val="24"/>
              <w:szCs w:val="24"/>
              <w:lang w:eastAsia="pl-PL"/>
            </w:rPr>
          </w:pPr>
          <w:hyperlink w:anchor="_Toc174689296" w:history="1">
            <w:r w:rsidR="0008340C" w:rsidRPr="00B717B9">
              <w:rPr>
                <w:rStyle w:val="Hipercze"/>
                <w:noProof/>
              </w:rPr>
              <w:t>Ustawa z dnia 14 czerwca 1960 r. – Kodeks postępowania administracyjnego</w:t>
            </w:r>
            <w:r w:rsidR="0008340C">
              <w:rPr>
                <w:noProof/>
                <w:webHidden/>
              </w:rPr>
              <w:tab/>
            </w:r>
            <w:r w:rsidR="0008340C">
              <w:rPr>
                <w:noProof/>
                <w:webHidden/>
              </w:rPr>
              <w:fldChar w:fldCharType="begin"/>
            </w:r>
            <w:r w:rsidR="0008340C">
              <w:rPr>
                <w:noProof/>
                <w:webHidden/>
              </w:rPr>
              <w:instrText xml:space="preserve"> PAGEREF _Toc174689296 \h </w:instrText>
            </w:r>
            <w:r w:rsidR="0008340C">
              <w:rPr>
                <w:noProof/>
                <w:webHidden/>
              </w:rPr>
            </w:r>
            <w:r w:rsidR="0008340C">
              <w:rPr>
                <w:noProof/>
                <w:webHidden/>
              </w:rPr>
              <w:fldChar w:fldCharType="separate"/>
            </w:r>
            <w:r w:rsidR="0008340C">
              <w:rPr>
                <w:noProof/>
                <w:webHidden/>
              </w:rPr>
              <w:t>6</w:t>
            </w:r>
            <w:r w:rsidR="0008340C">
              <w:rPr>
                <w:noProof/>
                <w:webHidden/>
              </w:rPr>
              <w:fldChar w:fldCharType="end"/>
            </w:r>
          </w:hyperlink>
        </w:p>
        <w:p w14:paraId="0D8BA83D" w14:textId="0CA72B24" w:rsidR="0008340C" w:rsidRDefault="00000000">
          <w:pPr>
            <w:pStyle w:val="Spistreci2"/>
            <w:rPr>
              <w:rFonts w:eastAsiaTheme="minorEastAsia"/>
              <w:noProof/>
              <w:sz w:val="24"/>
              <w:szCs w:val="24"/>
              <w:lang w:eastAsia="pl-PL"/>
            </w:rPr>
          </w:pPr>
          <w:hyperlink w:anchor="_Toc174689297" w:history="1">
            <w:r w:rsidR="0008340C" w:rsidRPr="00B717B9">
              <w:rPr>
                <w:rStyle w:val="Hipercze"/>
                <w:noProof/>
              </w:rPr>
              <w:t>Ustawa z dnia 23 kwietnia 1964 r. – Kodeks cywilny</w:t>
            </w:r>
            <w:r w:rsidR="0008340C">
              <w:rPr>
                <w:noProof/>
                <w:webHidden/>
              </w:rPr>
              <w:tab/>
            </w:r>
            <w:r w:rsidR="0008340C">
              <w:rPr>
                <w:noProof/>
                <w:webHidden/>
              </w:rPr>
              <w:fldChar w:fldCharType="begin"/>
            </w:r>
            <w:r w:rsidR="0008340C">
              <w:rPr>
                <w:noProof/>
                <w:webHidden/>
              </w:rPr>
              <w:instrText xml:space="preserve"> PAGEREF _Toc174689297 \h </w:instrText>
            </w:r>
            <w:r w:rsidR="0008340C">
              <w:rPr>
                <w:noProof/>
                <w:webHidden/>
              </w:rPr>
            </w:r>
            <w:r w:rsidR="0008340C">
              <w:rPr>
                <w:noProof/>
                <w:webHidden/>
              </w:rPr>
              <w:fldChar w:fldCharType="separate"/>
            </w:r>
            <w:r w:rsidR="0008340C">
              <w:rPr>
                <w:noProof/>
                <w:webHidden/>
              </w:rPr>
              <w:t>22</w:t>
            </w:r>
            <w:r w:rsidR="0008340C">
              <w:rPr>
                <w:noProof/>
                <w:webHidden/>
              </w:rPr>
              <w:fldChar w:fldCharType="end"/>
            </w:r>
          </w:hyperlink>
        </w:p>
        <w:p w14:paraId="41C1E269" w14:textId="373A0157" w:rsidR="0008340C" w:rsidRDefault="00000000">
          <w:pPr>
            <w:pStyle w:val="Spistreci2"/>
            <w:rPr>
              <w:rFonts w:eastAsiaTheme="minorEastAsia"/>
              <w:noProof/>
              <w:sz w:val="24"/>
              <w:szCs w:val="24"/>
              <w:lang w:eastAsia="pl-PL"/>
            </w:rPr>
          </w:pPr>
          <w:hyperlink w:anchor="_Toc174689298" w:history="1">
            <w:r w:rsidR="0008340C" w:rsidRPr="00B717B9">
              <w:rPr>
                <w:rStyle w:val="Hipercze"/>
                <w:noProof/>
              </w:rPr>
              <w:t>Ustawa z dnia 17 listopada 1964 r. – Kodeks postępowania cywilnego</w:t>
            </w:r>
            <w:r w:rsidR="0008340C">
              <w:rPr>
                <w:noProof/>
                <w:webHidden/>
              </w:rPr>
              <w:tab/>
            </w:r>
            <w:r w:rsidR="0008340C">
              <w:rPr>
                <w:noProof/>
                <w:webHidden/>
              </w:rPr>
              <w:fldChar w:fldCharType="begin"/>
            </w:r>
            <w:r w:rsidR="0008340C">
              <w:rPr>
                <w:noProof/>
                <w:webHidden/>
              </w:rPr>
              <w:instrText xml:space="preserve"> PAGEREF _Toc174689298 \h </w:instrText>
            </w:r>
            <w:r w:rsidR="0008340C">
              <w:rPr>
                <w:noProof/>
                <w:webHidden/>
              </w:rPr>
            </w:r>
            <w:r w:rsidR="0008340C">
              <w:rPr>
                <w:noProof/>
                <w:webHidden/>
              </w:rPr>
              <w:fldChar w:fldCharType="separate"/>
            </w:r>
            <w:r w:rsidR="0008340C">
              <w:rPr>
                <w:noProof/>
                <w:webHidden/>
              </w:rPr>
              <w:t>22</w:t>
            </w:r>
            <w:r w:rsidR="0008340C">
              <w:rPr>
                <w:noProof/>
                <w:webHidden/>
              </w:rPr>
              <w:fldChar w:fldCharType="end"/>
            </w:r>
          </w:hyperlink>
        </w:p>
        <w:p w14:paraId="46179D1A" w14:textId="77DCEB2C" w:rsidR="0008340C" w:rsidRDefault="00000000">
          <w:pPr>
            <w:pStyle w:val="Spistreci2"/>
            <w:rPr>
              <w:rFonts w:eastAsiaTheme="minorEastAsia"/>
              <w:noProof/>
              <w:sz w:val="24"/>
              <w:szCs w:val="24"/>
              <w:lang w:eastAsia="pl-PL"/>
            </w:rPr>
          </w:pPr>
          <w:hyperlink w:anchor="_Toc174689299" w:history="1">
            <w:r w:rsidR="0008340C" w:rsidRPr="00B717B9">
              <w:rPr>
                <w:rStyle w:val="Hipercze"/>
                <w:noProof/>
              </w:rPr>
              <w:t>Ustawa z dnia 9 kwietnia 1968 r. o dokonywaniu w księgach wieczystych wpisów na rzecz Skarbu Państwa w oparciu o międzynarodowe umowy o uregulowaniu roszczeń finansowych</w:t>
            </w:r>
            <w:r w:rsidR="0008340C">
              <w:rPr>
                <w:noProof/>
                <w:webHidden/>
              </w:rPr>
              <w:tab/>
            </w:r>
            <w:r w:rsidR="0008340C">
              <w:rPr>
                <w:noProof/>
                <w:webHidden/>
              </w:rPr>
              <w:fldChar w:fldCharType="begin"/>
            </w:r>
            <w:r w:rsidR="0008340C">
              <w:rPr>
                <w:noProof/>
                <w:webHidden/>
              </w:rPr>
              <w:instrText xml:space="preserve"> PAGEREF _Toc174689299 \h </w:instrText>
            </w:r>
            <w:r w:rsidR="0008340C">
              <w:rPr>
                <w:noProof/>
                <w:webHidden/>
              </w:rPr>
            </w:r>
            <w:r w:rsidR="0008340C">
              <w:rPr>
                <w:noProof/>
                <w:webHidden/>
              </w:rPr>
              <w:fldChar w:fldCharType="separate"/>
            </w:r>
            <w:r w:rsidR="0008340C">
              <w:rPr>
                <w:noProof/>
                <w:webHidden/>
              </w:rPr>
              <w:t>28</w:t>
            </w:r>
            <w:r w:rsidR="0008340C">
              <w:rPr>
                <w:noProof/>
                <w:webHidden/>
              </w:rPr>
              <w:fldChar w:fldCharType="end"/>
            </w:r>
          </w:hyperlink>
        </w:p>
        <w:p w14:paraId="12F2C8D0" w14:textId="7497A26F" w:rsidR="0008340C" w:rsidRDefault="00000000">
          <w:pPr>
            <w:pStyle w:val="Spistreci2"/>
            <w:rPr>
              <w:rFonts w:eastAsiaTheme="minorEastAsia"/>
              <w:noProof/>
              <w:sz w:val="24"/>
              <w:szCs w:val="24"/>
              <w:lang w:eastAsia="pl-PL"/>
            </w:rPr>
          </w:pPr>
          <w:hyperlink w:anchor="_Toc174689300" w:history="1">
            <w:r w:rsidR="0008340C" w:rsidRPr="00B717B9">
              <w:rPr>
                <w:rStyle w:val="Hipercze"/>
                <w:noProof/>
              </w:rPr>
              <w:t>Ustawa z dnia 22 marca 1989 r. o rzemiośle</w:t>
            </w:r>
            <w:r w:rsidR="0008340C">
              <w:rPr>
                <w:noProof/>
                <w:webHidden/>
              </w:rPr>
              <w:tab/>
            </w:r>
            <w:r w:rsidR="0008340C">
              <w:rPr>
                <w:noProof/>
                <w:webHidden/>
              </w:rPr>
              <w:fldChar w:fldCharType="begin"/>
            </w:r>
            <w:r w:rsidR="0008340C">
              <w:rPr>
                <w:noProof/>
                <w:webHidden/>
              </w:rPr>
              <w:instrText xml:space="preserve"> PAGEREF _Toc174689300 \h </w:instrText>
            </w:r>
            <w:r w:rsidR="0008340C">
              <w:rPr>
                <w:noProof/>
                <w:webHidden/>
              </w:rPr>
            </w:r>
            <w:r w:rsidR="0008340C">
              <w:rPr>
                <w:noProof/>
                <w:webHidden/>
              </w:rPr>
              <w:fldChar w:fldCharType="separate"/>
            </w:r>
            <w:r w:rsidR="0008340C">
              <w:rPr>
                <w:noProof/>
                <w:webHidden/>
              </w:rPr>
              <w:t>29</w:t>
            </w:r>
            <w:r w:rsidR="0008340C">
              <w:rPr>
                <w:noProof/>
                <w:webHidden/>
              </w:rPr>
              <w:fldChar w:fldCharType="end"/>
            </w:r>
          </w:hyperlink>
        </w:p>
        <w:p w14:paraId="070E894A" w14:textId="4C455D29" w:rsidR="0008340C" w:rsidRDefault="00000000">
          <w:pPr>
            <w:pStyle w:val="Spistreci2"/>
            <w:rPr>
              <w:rFonts w:eastAsiaTheme="minorEastAsia"/>
              <w:noProof/>
              <w:sz w:val="24"/>
              <w:szCs w:val="24"/>
              <w:lang w:eastAsia="pl-PL"/>
            </w:rPr>
          </w:pPr>
          <w:hyperlink w:anchor="_Toc174689301" w:history="1">
            <w:r w:rsidR="0008340C" w:rsidRPr="00B717B9">
              <w:rPr>
                <w:rStyle w:val="Hipercze"/>
                <w:noProof/>
              </w:rPr>
              <w:t>Ustawa z dnia 12 stycznia 1991 r. o podatkach i opłatach lokalnych</w:t>
            </w:r>
            <w:r w:rsidR="0008340C">
              <w:rPr>
                <w:noProof/>
                <w:webHidden/>
              </w:rPr>
              <w:tab/>
            </w:r>
            <w:r w:rsidR="0008340C">
              <w:rPr>
                <w:noProof/>
                <w:webHidden/>
              </w:rPr>
              <w:fldChar w:fldCharType="begin"/>
            </w:r>
            <w:r w:rsidR="0008340C">
              <w:rPr>
                <w:noProof/>
                <w:webHidden/>
              </w:rPr>
              <w:instrText xml:space="preserve"> PAGEREF _Toc174689301 \h </w:instrText>
            </w:r>
            <w:r w:rsidR="0008340C">
              <w:rPr>
                <w:noProof/>
                <w:webHidden/>
              </w:rPr>
            </w:r>
            <w:r w:rsidR="0008340C">
              <w:rPr>
                <w:noProof/>
                <w:webHidden/>
              </w:rPr>
              <w:fldChar w:fldCharType="separate"/>
            </w:r>
            <w:r w:rsidR="0008340C">
              <w:rPr>
                <w:noProof/>
                <w:webHidden/>
              </w:rPr>
              <w:t>35</w:t>
            </w:r>
            <w:r w:rsidR="0008340C">
              <w:rPr>
                <w:noProof/>
                <w:webHidden/>
              </w:rPr>
              <w:fldChar w:fldCharType="end"/>
            </w:r>
          </w:hyperlink>
        </w:p>
        <w:p w14:paraId="53B5986D" w14:textId="65D27BB9" w:rsidR="0008340C" w:rsidRDefault="00000000">
          <w:pPr>
            <w:pStyle w:val="Spistreci2"/>
            <w:rPr>
              <w:rFonts w:eastAsiaTheme="minorEastAsia"/>
              <w:noProof/>
              <w:sz w:val="24"/>
              <w:szCs w:val="24"/>
              <w:lang w:eastAsia="pl-PL"/>
            </w:rPr>
          </w:pPr>
          <w:hyperlink w:anchor="_Toc174689302" w:history="1">
            <w:r w:rsidR="0008340C" w:rsidRPr="00B717B9">
              <w:rPr>
                <w:rStyle w:val="Hipercze"/>
                <w:noProof/>
              </w:rPr>
              <w:t>Ustawa z dnia 14 lutego 1991 r. – Prawo o notariacie</w:t>
            </w:r>
            <w:r w:rsidR="0008340C">
              <w:rPr>
                <w:noProof/>
                <w:webHidden/>
              </w:rPr>
              <w:tab/>
            </w:r>
            <w:r w:rsidR="0008340C">
              <w:rPr>
                <w:noProof/>
                <w:webHidden/>
              </w:rPr>
              <w:fldChar w:fldCharType="begin"/>
            </w:r>
            <w:r w:rsidR="0008340C">
              <w:rPr>
                <w:noProof/>
                <w:webHidden/>
              </w:rPr>
              <w:instrText xml:space="preserve"> PAGEREF _Toc174689302 \h </w:instrText>
            </w:r>
            <w:r w:rsidR="0008340C">
              <w:rPr>
                <w:noProof/>
                <w:webHidden/>
              </w:rPr>
            </w:r>
            <w:r w:rsidR="0008340C">
              <w:rPr>
                <w:noProof/>
                <w:webHidden/>
              </w:rPr>
              <w:fldChar w:fldCharType="separate"/>
            </w:r>
            <w:r w:rsidR="0008340C">
              <w:rPr>
                <w:noProof/>
                <w:webHidden/>
              </w:rPr>
              <w:t>36</w:t>
            </w:r>
            <w:r w:rsidR="0008340C">
              <w:rPr>
                <w:noProof/>
                <w:webHidden/>
              </w:rPr>
              <w:fldChar w:fldCharType="end"/>
            </w:r>
          </w:hyperlink>
        </w:p>
        <w:p w14:paraId="78A55E71" w14:textId="279FF06F" w:rsidR="0008340C" w:rsidRDefault="00000000">
          <w:pPr>
            <w:pStyle w:val="Spistreci2"/>
            <w:rPr>
              <w:rFonts w:eastAsiaTheme="minorEastAsia"/>
              <w:noProof/>
              <w:sz w:val="24"/>
              <w:szCs w:val="24"/>
              <w:lang w:eastAsia="pl-PL"/>
            </w:rPr>
          </w:pPr>
          <w:hyperlink w:anchor="_Toc174689303" w:history="1">
            <w:r w:rsidR="0008340C" w:rsidRPr="00B717B9">
              <w:rPr>
                <w:rStyle w:val="Hipercze"/>
                <w:noProof/>
              </w:rPr>
              <w:t>Ustawa z dnia 26 lipca 1991 r. o podatku dochodowym od osób fizycznych</w:t>
            </w:r>
            <w:r w:rsidR="0008340C">
              <w:rPr>
                <w:noProof/>
                <w:webHidden/>
              </w:rPr>
              <w:tab/>
            </w:r>
            <w:r w:rsidR="0008340C">
              <w:rPr>
                <w:noProof/>
                <w:webHidden/>
              </w:rPr>
              <w:fldChar w:fldCharType="begin"/>
            </w:r>
            <w:r w:rsidR="0008340C">
              <w:rPr>
                <w:noProof/>
                <w:webHidden/>
              </w:rPr>
              <w:instrText xml:space="preserve"> PAGEREF _Toc174689303 \h </w:instrText>
            </w:r>
            <w:r w:rsidR="0008340C">
              <w:rPr>
                <w:noProof/>
                <w:webHidden/>
              </w:rPr>
            </w:r>
            <w:r w:rsidR="0008340C">
              <w:rPr>
                <w:noProof/>
                <w:webHidden/>
              </w:rPr>
              <w:fldChar w:fldCharType="separate"/>
            </w:r>
            <w:r w:rsidR="0008340C">
              <w:rPr>
                <w:noProof/>
                <w:webHidden/>
              </w:rPr>
              <w:t>36</w:t>
            </w:r>
            <w:r w:rsidR="0008340C">
              <w:rPr>
                <w:noProof/>
                <w:webHidden/>
              </w:rPr>
              <w:fldChar w:fldCharType="end"/>
            </w:r>
          </w:hyperlink>
        </w:p>
        <w:p w14:paraId="7B2514E0" w14:textId="6B94A36D" w:rsidR="0008340C" w:rsidRDefault="00000000">
          <w:pPr>
            <w:pStyle w:val="Spistreci2"/>
            <w:rPr>
              <w:rFonts w:eastAsiaTheme="minorEastAsia"/>
              <w:noProof/>
              <w:sz w:val="24"/>
              <w:szCs w:val="24"/>
              <w:lang w:eastAsia="pl-PL"/>
            </w:rPr>
          </w:pPr>
          <w:hyperlink w:anchor="_Toc174689304" w:history="1">
            <w:r w:rsidR="0008340C" w:rsidRPr="00B717B9">
              <w:rPr>
                <w:rStyle w:val="Hipercze"/>
                <w:noProof/>
              </w:rPr>
              <w:t>Ustawa z dnia 15 lutego 1992 r. o podatku dochodowym od osób prawnych</w:t>
            </w:r>
            <w:r w:rsidR="0008340C">
              <w:rPr>
                <w:noProof/>
                <w:webHidden/>
              </w:rPr>
              <w:tab/>
            </w:r>
            <w:r w:rsidR="0008340C">
              <w:rPr>
                <w:noProof/>
                <w:webHidden/>
              </w:rPr>
              <w:fldChar w:fldCharType="begin"/>
            </w:r>
            <w:r w:rsidR="0008340C">
              <w:rPr>
                <w:noProof/>
                <w:webHidden/>
              </w:rPr>
              <w:instrText xml:space="preserve"> PAGEREF _Toc174689304 \h </w:instrText>
            </w:r>
            <w:r w:rsidR="0008340C">
              <w:rPr>
                <w:noProof/>
                <w:webHidden/>
              </w:rPr>
            </w:r>
            <w:r w:rsidR="0008340C">
              <w:rPr>
                <w:noProof/>
                <w:webHidden/>
              </w:rPr>
              <w:fldChar w:fldCharType="separate"/>
            </w:r>
            <w:r w:rsidR="0008340C">
              <w:rPr>
                <w:noProof/>
                <w:webHidden/>
              </w:rPr>
              <w:t>36</w:t>
            </w:r>
            <w:r w:rsidR="0008340C">
              <w:rPr>
                <w:noProof/>
                <w:webHidden/>
              </w:rPr>
              <w:fldChar w:fldCharType="end"/>
            </w:r>
          </w:hyperlink>
        </w:p>
        <w:p w14:paraId="589ED115" w14:textId="42A4BB88" w:rsidR="0008340C" w:rsidRDefault="00000000">
          <w:pPr>
            <w:pStyle w:val="Spistreci2"/>
            <w:rPr>
              <w:rFonts w:eastAsiaTheme="minorEastAsia"/>
              <w:noProof/>
              <w:sz w:val="24"/>
              <w:szCs w:val="24"/>
              <w:lang w:eastAsia="pl-PL"/>
            </w:rPr>
          </w:pPr>
          <w:hyperlink w:anchor="_Toc174689305" w:history="1">
            <w:r w:rsidR="0008340C" w:rsidRPr="00B717B9">
              <w:rPr>
                <w:rStyle w:val="Hipercze"/>
                <w:noProof/>
              </w:rPr>
              <w:t>Ustawa z dnia 13 października 1995 r. o zasadach ewidencji i identyfikacji podatników i płatników</w:t>
            </w:r>
            <w:r w:rsidR="0008340C">
              <w:rPr>
                <w:noProof/>
                <w:webHidden/>
              </w:rPr>
              <w:tab/>
            </w:r>
            <w:r w:rsidR="0008340C">
              <w:rPr>
                <w:noProof/>
                <w:webHidden/>
              </w:rPr>
              <w:fldChar w:fldCharType="begin"/>
            </w:r>
            <w:r w:rsidR="0008340C">
              <w:rPr>
                <w:noProof/>
                <w:webHidden/>
              </w:rPr>
              <w:instrText xml:space="preserve"> PAGEREF _Toc174689305 \h </w:instrText>
            </w:r>
            <w:r w:rsidR="0008340C">
              <w:rPr>
                <w:noProof/>
                <w:webHidden/>
              </w:rPr>
            </w:r>
            <w:r w:rsidR="0008340C">
              <w:rPr>
                <w:noProof/>
                <w:webHidden/>
              </w:rPr>
              <w:fldChar w:fldCharType="separate"/>
            </w:r>
            <w:r w:rsidR="0008340C">
              <w:rPr>
                <w:noProof/>
                <w:webHidden/>
              </w:rPr>
              <w:t>37</w:t>
            </w:r>
            <w:r w:rsidR="0008340C">
              <w:rPr>
                <w:noProof/>
                <w:webHidden/>
              </w:rPr>
              <w:fldChar w:fldCharType="end"/>
            </w:r>
          </w:hyperlink>
        </w:p>
        <w:p w14:paraId="5FC7E845" w14:textId="68AA8A84" w:rsidR="0008340C" w:rsidRDefault="00000000">
          <w:pPr>
            <w:pStyle w:val="Spistreci2"/>
            <w:rPr>
              <w:rFonts w:eastAsiaTheme="minorEastAsia"/>
              <w:noProof/>
              <w:sz w:val="24"/>
              <w:szCs w:val="24"/>
              <w:lang w:eastAsia="pl-PL"/>
            </w:rPr>
          </w:pPr>
          <w:hyperlink w:anchor="_Toc174689306" w:history="1">
            <w:r w:rsidR="0008340C" w:rsidRPr="00B717B9">
              <w:rPr>
                <w:rStyle w:val="Hipercze"/>
                <w:noProof/>
              </w:rPr>
              <w:t>Ustawa z dnia 5 grudnia 1996 r. o zawodach lekarza i lekarza dentysty</w:t>
            </w:r>
            <w:r w:rsidR="0008340C">
              <w:rPr>
                <w:noProof/>
                <w:webHidden/>
              </w:rPr>
              <w:tab/>
            </w:r>
            <w:r w:rsidR="0008340C">
              <w:rPr>
                <w:noProof/>
                <w:webHidden/>
              </w:rPr>
              <w:fldChar w:fldCharType="begin"/>
            </w:r>
            <w:r w:rsidR="0008340C">
              <w:rPr>
                <w:noProof/>
                <w:webHidden/>
              </w:rPr>
              <w:instrText xml:space="preserve"> PAGEREF _Toc174689306 \h </w:instrText>
            </w:r>
            <w:r w:rsidR="0008340C">
              <w:rPr>
                <w:noProof/>
                <w:webHidden/>
              </w:rPr>
            </w:r>
            <w:r w:rsidR="0008340C">
              <w:rPr>
                <w:noProof/>
                <w:webHidden/>
              </w:rPr>
              <w:fldChar w:fldCharType="separate"/>
            </w:r>
            <w:r w:rsidR="0008340C">
              <w:rPr>
                <w:noProof/>
                <w:webHidden/>
              </w:rPr>
              <w:t>38</w:t>
            </w:r>
            <w:r w:rsidR="0008340C">
              <w:rPr>
                <w:noProof/>
                <w:webHidden/>
              </w:rPr>
              <w:fldChar w:fldCharType="end"/>
            </w:r>
          </w:hyperlink>
        </w:p>
        <w:p w14:paraId="13269083" w14:textId="32CAED3D" w:rsidR="0008340C" w:rsidRDefault="00000000">
          <w:pPr>
            <w:pStyle w:val="Spistreci2"/>
            <w:rPr>
              <w:rFonts w:eastAsiaTheme="minorEastAsia"/>
              <w:noProof/>
              <w:sz w:val="24"/>
              <w:szCs w:val="24"/>
              <w:lang w:eastAsia="pl-PL"/>
            </w:rPr>
          </w:pPr>
          <w:hyperlink w:anchor="_Toc174689307" w:history="1">
            <w:r w:rsidR="0008340C" w:rsidRPr="00B717B9">
              <w:rPr>
                <w:rStyle w:val="Hipercze"/>
                <w:noProof/>
              </w:rPr>
              <w:t>Ustawa z dnia 29 sierpnia 1997 r. – Ordynacja podatkowa</w:t>
            </w:r>
            <w:r w:rsidR="0008340C">
              <w:rPr>
                <w:noProof/>
                <w:webHidden/>
              </w:rPr>
              <w:tab/>
            </w:r>
            <w:r w:rsidR="0008340C">
              <w:rPr>
                <w:noProof/>
                <w:webHidden/>
              </w:rPr>
              <w:fldChar w:fldCharType="begin"/>
            </w:r>
            <w:r w:rsidR="0008340C">
              <w:rPr>
                <w:noProof/>
                <w:webHidden/>
              </w:rPr>
              <w:instrText xml:space="preserve"> PAGEREF _Toc174689307 \h </w:instrText>
            </w:r>
            <w:r w:rsidR="0008340C">
              <w:rPr>
                <w:noProof/>
                <w:webHidden/>
              </w:rPr>
            </w:r>
            <w:r w:rsidR="0008340C">
              <w:rPr>
                <w:noProof/>
                <w:webHidden/>
              </w:rPr>
              <w:fldChar w:fldCharType="separate"/>
            </w:r>
            <w:r w:rsidR="0008340C">
              <w:rPr>
                <w:noProof/>
                <w:webHidden/>
              </w:rPr>
              <w:t>38</w:t>
            </w:r>
            <w:r w:rsidR="0008340C">
              <w:rPr>
                <w:noProof/>
                <w:webHidden/>
              </w:rPr>
              <w:fldChar w:fldCharType="end"/>
            </w:r>
          </w:hyperlink>
        </w:p>
        <w:p w14:paraId="4982A537" w14:textId="3AAA811C" w:rsidR="0008340C" w:rsidRDefault="00000000">
          <w:pPr>
            <w:pStyle w:val="Spistreci2"/>
            <w:rPr>
              <w:rFonts w:eastAsiaTheme="minorEastAsia"/>
              <w:noProof/>
              <w:sz w:val="24"/>
              <w:szCs w:val="24"/>
              <w:lang w:eastAsia="pl-PL"/>
            </w:rPr>
          </w:pPr>
          <w:hyperlink w:anchor="_Toc174689308" w:history="1">
            <w:r w:rsidR="0008340C" w:rsidRPr="00B717B9">
              <w:rPr>
                <w:rStyle w:val="Hipercze"/>
                <w:noProof/>
              </w:rPr>
              <w:t>Ustawa z dnia 29 sierpnia 1997 r. – Prawo bankowe</w:t>
            </w:r>
            <w:r w:rsidR="0008340C">
              <w:rPr>
                <w:noProof/>
                <w:webHidden/>
              </w:rPr>
              <w:tab/>
            </w:r>
            <w:r w:rsidR="0008340C">
              <w:rPr>
                <w:noProof/>
                <w:webHidden/>
              </w:rPr>
              <w:fldChar w:fldCharType="begin"/>
            </w:r>
            <w:r w:rsidR="0008340C">
              <w:rPr>
                <w:noProof/>
                <w:webHidden/>
              </w:rPr>
              <w:instrText xml:space="preserve"> PAGEREF _Toc174689308 \h </w:instrText>
            </w:r>
            <w:r w:rsidR="0008340C">
              <w:rPr>
                <w:noProof/>
                <w:webHidden/>
              </w:rPr>
            </w:r>
            <w:r w:rsidR="0008340C">
              <w:rPr>
                <w:noProof/>
                <w:webHidden/>
              </w:rPr>
              <w:fldChar w:fldCharType="separate"/>
            </w:r>
            <w:r w:rsidR="0008340C">
              <w:rPr>
                <w:noProof/>
                <w:webHidden/>
              </w:rPr>
              <w:t>41</w:t>
            </w:r>
            <w:r w:rsidR="0008340C">
              <w:rPr>
                <w:noProof/>
                <w:webHidden/>
              </w:rPr>
              <w:fldChar w:fldCharType="end"/>
            </w:r>
          </w:hyperlink>
        </w:p>
        <w:p w14:paraId="34090E97" w14:textId="2D6D145A" w:rsidR="0008340C" w:rsidRDefault="00000000">
          <w:pPr>
            <w:pStyle w:val="Spistreci2"/>
            <w:rPr>
              <w:rFonts w:eastAsiaTheme="minorEastAsia"/>
              <w:noProof/>
              <w:sz w:val="24"/>
              <w:szCs w:val="24"/>
              <w:lang w:eastAsia="pl-PL"/>
            </w:rPr>
          </w:pPr>
          <w:hyperlink w:anchor="_Toc174689309" w:history="1">
            <w:r w:rsidR="0008340C" w:rsidRPr="00B717B9">
              <w:rPr>
                <w:rStyle w:val="Hipercze"/>
                <w:noProof/>
              </w:rPr>
              <w:t>Ustawa z dnia 13 października 1998 r. o systemie ubezpieczeń społecznych</w:t>
            </w:r>
            <w:r w:rsidR="0008340C">
              <w:rPr>
                <w:noProof/>
                <w:webHidden/>
              </w:rPr>
              <w:tab/>
            </w:r>
            <w:r w:rsidR="0008340C">
              <w:rPr>
                <w:noProof/>
                <w:webHidden/>
              </w:rPr>
              <w:fldChar w:fldCharType="begin"/>
            </w:r>
            <w:r w:rsidR="0008340C">
              <w:rPr>
                <w:noProof/>
                <w:webHidden/>
              </w:rPr>
              <w:instrText xml:space="preserve"> PAGEREF _Toc174689309 \h </w:instrText>
            </w:r>
            <w:r w:rsidR="0008340C">
              <w:rPr>
                <w:noProof/>
                <w:webHidden/>
              </w:rPr>
            </w:r>
            <w:r w:rsidR="0008340C">
              <w:rPr>
                <w:noProof/>
                <w:webHidden/>
              </w:rPr>
              <w:fldChar w:fldCharType="separate"/>
            </w:r>
            <w:r w:rsidR="0008340C">
              <w:rPr>
                <w:noProof/>
                <w:webHidden/>
              </w:rPr>
              <w:t>43</w:t>
            </w:r>
            <w:r w:rsidR="0008340C">
              <w:rPr>
                <w:noProof/>
                <w:webHidden/>
              </w:rPr>
              <w:fldChar w:fldCharType="end"/>
            </w:r>
          </w:hyperlink>
        </w:p>
        <w:p w14:paraId="5A818800" w14:textId="36878403" w:rsidR="0008340C" w:rsidRDefault="00000000">
          <w:pPr>
            <w:pStyle w:val="Spistreci2"/>
            <w:rPr>
              <w:rFonts w:eastAsiaTheme="minorEastAsia"/>
              <w:noProof/>
              <w:sz w:val="24"/>
              <w:szCs w:val="24"/>
              <w:lang w:eastAsia="pl-PL"/>
            </w:rPr>
          </w:pPr>
          <w:hyperlink w:anchor="_Toc174689310" w:history="1">
            <w:r w:rsidR="0008340C" w:rsidRPr="00B717B9">
              <w:rPr>
                <w:rStyle w:val="Hipercze"/>
                <w:noProof/>
              </w:rPr>
              <w:t>Ustawa z dnia 17 grudnia 1998 r. o emeryturach i rentach z Funduszu Ubezpieczeń Społecznych</w:t>
            </w:r>
            <w:r w:rsidR="0008340C">
              <w:rPr>
                <w:noProof/>
                <w:webHidden/>
              </w:rPr>
              <w:tab/>
            </w:r>
            <w:r w:rsidR="0008340C">
              <w:rPr>
                <w:noProof/>
                <w:webHidden/>
              </w:rPr>
              <w:fldChar w:fldCharType="begin"/>
            </w:r>
            <w:r w:rsidR="0008340C">
              <w:rPr>
                <w:noProof/>
                <w:webHidden/>
              </w:rPr>
              <w:instrText xml:space="preserve"> PAGEREF _Toc174689310 \h </w:instrText>
            </w:r>
            <w:r w:rsidR="0008340C">
              <w:rPr>
                <w:noProof/>
                <w:webHidden/>
              </w:rPr>
            </w:r>
            <w:r w:rsidR="0008340C">
              <w:rPr>
                <w:noProof/>
                <w:webHidden/>
              </w:rPr>
              <w:fldChar w:fldCharType="separate"/>
            </w:r>
            <w:r w:rsidR="0008340C">
              <w:rPr>
                <w:noProof/>
                <w:webHidden/>
              </w:rPr>
              <w:t>43</w:t>
            </w:r>
            <w:r w:rsidR="0008340C">
              <w:rPr>
                <w:noProof/>
                <w:webHidden/>
              </w:rPr>
              <w:fldChar w:fldCharType="end"/>
            </w:r>
          </w:hyperlink>
        </w:p>
        <w:p w14:paraId="364B5D57" w14:textId="7DCAF359" w:rsidR="0008340C" w:rsidRDefault="00000000">
          <w:pPr>
            <w:pStyle w:val="Spistreci2"/>
            <w:rPr>
              <w:rFonts w:eastAsiaTheme="minorEastAsia"/>
              <w:noProof/>
              <w:sz w:val="24"/>
              <w:szCs w:val="24"/>
              <w:lang w:eastAsia="pl-PL"/>
            </w:rPr>
          </w:pPr>
          <w:hyperlink w:anchor="_Toc174689311" w:history="1">
            <w:r w:rsidR="0008340C" w:rsidRPr="00B717B9">
              <w:rPr>
                <w:rStyle w:val="Hipercze"/>
                <w:noProof/>
              </w:rPr>
              <w:t>Ustawa z dnia 2 marca 2001 r. o wyrobie alkoholu etylowego oraz wytwarzaniu wyrobów tytoniowych</w:t>
            </w:r>
            <w:r w:rsidR="0008340C">
              <w:rPr>
                <w:noProof/>
                <w:webHidden/>
              </w:rPr>
              <w:tab/>
            </w:r>
            <w:r w:rsidR="0008340C">
              <w:rPr>
                <w:noProof/>
                <w:webHidden/>
              </w:rPr>
              <w:fldChar w:fldCharType="begin"/>
            </w:r>
            <w:r w:rsidR="0008340C">
              <w:rPr>
                <w:noProof/>
                <w:webHidden/>
              </w:rPr>
              <w:instrText xml:space="preserve"> PAGEREF _Toc174689311 \h </w:instrText>
            </w:r>
            <w:r w:rsidR="0008340C">
              <w:rPr>
                <w:noProof/>
                <w:webHidden/>
              </w:rPr>
            </w:r>
            <w:r w:rsidR="0008340C">
              <w:rPr>
                <w:noProof/>
                <w:webHidden/>
              </w:rPr>
              <w:fldChar w:fldCharType="separate"/>
            </w:r>
            <w:r w:rsidR="0008340C">
              <w:rPr>
                <w:noProof/>
                <w:webHidden/>
              </w:rPr>
              <w:t>45</w:t>
            </w:r>
            <w:r w:rsidR="0008340C">
              <w:rPr>
                <w:noProof/>
                <w:webHidden/>
              </w:rPr>
              <w:fldChar w:fldCharType="end"/>
            </w:r>
          </w:hyperlink>
        </w:p>
        <w:p w14:paraId="04489752" w14:textId="1E00F19A" w:rsidR="0008340C" w:rsidRDefault="00000000">
          <w:pPr>
            <w:pStyle w:val="Spistreci2"/>
            <w:rPr>
              <w:rFonts w:eastAsiaTheme="minorEastAsia"/>
              <w:noProof/>
              <w:sz w:val="24"/>
              <w:szCs w:val="24"/>
              <w:lang w:eastAsia="pl-PL"/>
            </w:rPr>
          </w:pPr>
          <w:hyperlink w:anchor="_Toc174689312" w:history="1">
            <w:r w:rsidR="0008340C" w:rsidRPr="00B717B9">
              <w:rPr>
                <w:rStyle w:val="Hipercze"/>
                <w:noProof/>
              </w:rPr>
              <w:t>Ustawa z dnia 3 lipca 2002 r. – Prawo lotnicze</w:t>
            </w:r>
            <w:r w:rsidR="0008340C">
              <w:rPr>
                <w:noProof/>
                <w:webHidden/>
              </w:rPr>
              <w:tab/>
            </w:r>
            <w:r w:rsidR="0008340C">
              <w:rPr>
                <w:noProof/>
                <w:webHidden/>
              </w:rPr>
              <w:fldChar w:fldCharType="begin"/>
            </w:r>
            <w:r w:rsidR="0008340C">
              <w:rPr>
                <w:noProof/>
                <w:webHidden/>
              </w:rPr>
              <w:instrText xml:space="preserve"> PAGEREF _Toc174689312 \h </w:instrText>
            </w:r>
            <w:r w:rsidR="0008340C">
              <w:rPr>
                <w:noProof/>
                <w:webHidden/>
              </w:rPr>
            </w:r>
            <w:r w:rsidR="0008340C">
              <w:rPr>
                <w:noProof/>
                <w:webHidden/>
              </w:rPr>
              <w:fldChar w:fldCharType="separate"/>
            </w:r>
            <w:r w:rsidR="0008340C">
              <w:rPr>
                <w:noProof/>
                <w:webHidden/>
              </w:rPr>
              <w:t>45</w:t>
            </w:r>
            <w:r w:rsidR="0008340C">
              <w:rPr>
                <w:noProof/>
                <w:webHidden/>
              </w:rPr>
              <w:fldChar w:fldCharType="end"/>
            </w:r>
          </w:hyperlink>
        </w:p>
        <w:p w14:paraId="6FE1C78E" w14:textId="4411EFDB" w:rsidR="0008340C" w:rsidRDefault="00000000">
          <w:pPr>
            <w:pStyle w:val="Spistreci2"/>
            <w:rPr>
              <w:rFonts w:eastAsiaTheme="minorEastAsia"/>
              <w:noProof/>
              <w:sz w:val="24"/>
              <w:szCs w:val="24"/>
              <w:lang w:eastAsia="pl-PL"/>
            </w:rPr>
          </w:pPr>
          <w:hyperlink w:anchor="_Toc174689313" w:history="1">
            <w:r w:rsidR="0008340C" w:rsidRPr="00B717B9">
              <w:rPr>
                <w:rStyle w:val="Hipercze"/>
                <w:noProof/>
              </w:rPr>
              <w:t>Ustawa z dnia 30 sierpnia 2002 r. – Prawo o postępowaniu przed sądami administracyjnymi</w:t>
            </w:r>
            <w:r w:rsidR="0008340C">
              <w:rPr>
                <w:noProof/>
                <w:webHidden/>
              </w:rPr>
              <w:tab/>
            </w:r>
            <w:r w:rsidR="0008340C">
              <w:rPr>
                <w:noProof/>
                <w:webHidden/>
              </w:rPr>
              <w:fldChar w:fldCharType="begin"/>
            </w:r>
            <w:r w:rsidR="0008340C">
              <w:rPr>
                <w:noProof/>
                <w:webHidden/>
              </w:rPr>
              <w:instrText xml:space="preserve"> PAGEREF _Toc174689313 \h </w:instrText>
            </w:r>
            <w:r w:rsidR="0008340C">
              <w:rPr>
                <w:noProof/>
                <w:webHidden/>
              </w:rPr>
            </w:r>
            <w:r w:rsidR="0008340C">
              <w:rPr>
                <w:noProof/>
                <w:webHidden/>
              </w:rPr>
              <w:fldChar w:fldCharType="separate"/>
            </w:r>
            <w:r w:rsidR="0008340C">
              <w:rPr>
                <w:noProof/>
                <w:webHidden/>
              </w:rPr>
              <w:t>46</w:t>
            </w:r>
            <w:r w:rsidR="0008340C">
              <w:rPr>
                <w:noProof/>
                <w:webHidden/>
              </w:rPr>
              <w:fldChar w:fldCharType="end"/>
            </w:r>
          </w:hyperlink>
        </w:p>
        <w:p w14:paraId="43B17737" w14:textId="6E7C7AE9" w:rsidR="0008340C" w:rsidRDefault="00000000">
          <w:pPr>
            <w:pStyle w:val="Spistreci2"/>
            <w:rPr>
              <w:rFonts w:eastAsiaTheme="minorEastAsia"/>
              <w:noProof/>
              <w:sz w:val="24"/>
              <w:szCs w:val="24"/>
              <w:lang w:eastAsia="pl-PL"/>
            </w:rPr>
          </w:pPr>
          <w:hyperlink w:anchor="_Toc174689314" w:history="1">
            <w:r w:rsidR="0008340C" w:rsidRPr="00B717B9">
              <w:rPr>
                <w:rStyle w:val="Hipercze"/>
                <w:noProof/>
              </w:rPr>
              <w:t>Ustawa z dnia 11 marca 2004 r. o podatku od towarów i usług</w:t>
            </w:r>
            <w:r w:rsidR="0008340C">
              <w:rPr>
                <w:noProof/>
                <w:webHidden/>
              </w:rPr>
              <w:tab/>
            </w:r>
            <w:r w:rsidR="0008340C">
              <w:rPr>
                <w:noProof/>
                <w:webHidden/>
              </w:rPr>
              <w:fldChar w:fldCharType="begin"/>
            </w:r>
            <w:r w:rsidR="0008340C">
              <w:rPr>
                <w:noProof/>
                <w:webHidden/>
              </w:rPr>
              <w:instrText xml:space="preserve"> PAGEREF _Toc174689314 \h </w:instrText>
            </w:r>
            <w:r w:rsidR="0008340C">
              <w:rPr>
                <w:noProof/>
                <w:webHidden/>
              </w:rPr>
            </w:r>
            <w:r w:rsidR="0008340C">
              <w:rPr>
                <w:noProof/>
                <w:webHidden/>
              </w:rPr>
              <w:fldChar w:fldCharType="separate"/>
            </w:r>
            <w:r w:rsidR="0008340C">
              <w:rPr>
                <w:noProof/>
                <w:webHidden/>
              </w:rPr>
              <w:t>48</w:t>
            </w:r>
            <w:r w:rsidR="0008340C">
              <w:rPr>
                <w:noProof/>
                <w:webHidden/>
              </w:rPr>
              <w:fldChar w:fldCharType="end"/>
            </w:r>
          </w:hyperlink>
        </w:p>
        <w:p w14:paraId="0A3750BA" w14:textId="211F93AA" w:rsidR="0008340C" w:rsidRDefault="00000000">
          <w:pPr>
            <w:pStyle w:val="Spistreci2"/>
            <w:rPr>
              <w:rFonts w:eastAsiaTheme="minorEastAsia"/>
              <w:noProof/>
              <w:sz w:val="24"/>
              <w:szCs w:val="24"/>
              <w:lang w:eastAsia="pl-PL"/>
            </w:rPr>
          </w:pPr>
          <w:hyperlink w:anchor="_Toc174689315" w:history="1">
            <w:r w:rsidR="0008340C" w:rsidRPr="00B717B9">
              <w:rPr>
                <w:rStyle w:val="Hipercze"/>
                <w:noProof/>
              </w:rPr>
              <w:t>Ustawa z dnia 19 marca 2004 r. - Prawo celne</w:t>
            </w:r>
            <w:r w:rsidR="0008340C">
              <w:rPr>
                <w:noProof/>
                <w:webHidden/>
              </w:rPr>
              <w:tab/>
            </w:r>
            <w:r w:rsidR="0008340C">
              <w:rPr>
                <w:noProof/>
                <w:webHidden/>
              </w:rPr>
              <w:fldChar w:fldCharType="begin"/>
            </w:r>
            <w:r w:rsidR="0008340C">
              <w:rPr>
                <w:noProof/>
                <w:webHidden/>
              </w:rPr>
              <w:instrText xml:space="preserve"> PAGEREF _Toc174689315 \h </w:instrText>
            </w:r>
            <w:r w:rsidR="0008340C">
              <w:rPr>
                <w:noProof/>
                <w:webHidden/>
              </w:rPr>
            </w:r>
            <w:r w:rsidR="0008340C">
              <w:rPr>
                <w:noProof/>
                <w:webHidden/>
              </w:rPr>
              <w:fldChar w:fldCharType="separate"/>
            </w:r>
            <w:r w:rsidR="0008340C">
              <w:rPr>
                <w:noProof/>
                <w:webHidden/>
              </w:rPr>
              <w:t>48</w:t>
            </w:r>
            <w:r w:rsidR="0008340C">
              <w:rPr>
                <w:noProof/>
                <w:webHidden/>
              </w:rPr>
              <w:fldChar w:fldCharType="end"/>
            </w:r>
          </w:hyperlink>
        </w:p>
        <w:p w14:paraId="07209796" w14:textId="7448A954" w:rsidR="0008340C" w:rsidRDefault="00000000">
          <w:pPr>
            <w:pStyle w:val="Spistreci2"/>
            <w:rPr>
              <w:rFonts w:eastAsiaTheme="minorEastAsia"/>
              <w:noProof/>
              <w:sz w:val="24"/>
              <w:szCs w:val="24"/>
              <w:lang w:eastAsia="pl-PL"/>
            </w:rPr>
          </w:pPr>
          <w:hyperlink w:anchor="_Toc174689316" w:history="1">
            <w:r w:rsidR="0008340C" w:rsidRPr="00B717B9">
              <w:rPr>
                <w:rStyle w:val="Hipercze"/>
                <w:noProof/>
              </w:rPr>
              <w:t>Ustawa z dnia 28 lipca 2005 r. o kosztach sądowych w sprawach cywilnych</w:t>
            </w:r>
            <w:r w:rsidR="0008340C">
              <w:rPr>
                <w:noProof/>
                <w:webHidden/>
              </w:rPr>
              <w:tab/>
            </w:r>
            <w:r w:rsidR="0008340C">
              <w:rPr>
                <w:noProof/>
                <w:webHidden/>
              </w:rPr>
              <w:fldChar w:fldCharType="begin"/>
            </w:r>
            <w:r w:rsidR="0008340C">
              <w:rPr>
                <w:noProof/>
                <w:webHidden/>
              </w:rPr>
              <w:instrText xml:space="preserve"> PAGEREF _Toc174689316 \h </w:instrText>
            </w:r>
            <w:r w:rsidR="0008340C">
              <w:rPr>
                <w:noProof/>
                <w:webHidden/>
              </w:rPr>
            </w:r>
            <w:r w:rsidR="0008340C">
              <w:rPr>
                <w:noProof/>
                <w:webHidden/>
              </w:rPr>
              <w:fldChar w:fldCharType="separate"/>
            </w:r>
            <w:r w:rsidR="0008340C">
              <w:rPr>
                <w:noProof/>
                <w:webHidden/>
              </w:rPr>
              <w:t>49</w:t>
            </w:r>
            <w:r w:rsidR="0008340C">
              <w:rPr>
                <w:noProof/>
                <w:webHidden/>
              </w:rPr>
              <w:fldChar w:fldCharType="end"/>
            </w:r>
          </w:hyperlink>
        </w:p>
        <w:p w14:paraId="086408D2" w14:textId="2BC605C2" w:rsidR="0008340C" w:rsidRDefault="00000000">
          <w:pPr>
            <w:pStyle w:val="Spistreci2"/>
            <w:rPr>
              <w:rFonts w:eastAsiaTheme="minorEastAsia"/>
              <w:noProof/>
              <w:sz w:val="24"/>
              <w:szCs w:val="24"/>
              <w:lang w:eastAsia="pl-PL"/>
            </w:rPr>
          </w:pPr>
          <w:hyperlink w:anchor="_Toc174689317" w:history="1">
            <w:r w:rsidR="0008340C" w:rsidRPr="00B717B9">
              <w:rPr>
                <w:rStyle w:val="Hipercze"/>
                <w:noProof/>
              </w:rPr>
              <w:t>Ustawa z dnia 18 października 2006 r. o wyrobie napojów spirytusowych</w:t>
            </w:r>
            <w:r w:rsidR="0008340C">
              <w:rPr>
                <w:noProof/>
                <w:webHidden/>
              </w:rPr>
              <w:tab/>
            </w:r>
            <w:r w:rsidR="0008340C">
              <w:rPr>
                <w:noProof/>
                <w:webHidden/>
              </w:rPr>
              <w:fldChar w:fldCharType="begin"/>
            </w:r>
            <w:r w:rsidR="0008340C">
              <w:rPr>
                <w:noProof/>
                <w:webHidden/>
              </w:rPr>
              <w:instrText xml:space="preserve"> PAGEREF _Toc174689317 \h </w:instrText>
            </w:r>
            <w:r w:rsidR="0008340C">
              <w:rPr>
                <w:noProof/>
                <w:webHidden/>
              </w:rPr>
            </w:r>
            <w:r w:rsidR="0008340C">
              <w:rPr>
                <w:noProof/>
                <w:webHidden/>
              </w:rPr>
              <w:fldChar w:fldCharType="separate"/>
            </w:r>
            <w:r w:rsidR="0008340C">
              <w:rPr>
                <w:noProof/>
                <w:webHidden/>
              </w:rPr>
              <w:t>49</w:t>
            </w:r>
            <w:r w:rsidR="0008340C">
              <w:rPr>
                <w:noProof/>
                <w:webHidden/>
              </w:rPr>
              <w:fldChar w:fldCharType="end"/>
            </w:r>
          </w:hyperlink>
        </w:p>
        <w:p w14:paraId="00B32407" w14:textId="7FA895CD" w:rsidR="0008340C" w:rsidRDefault="00000000">
          <w:pPr>
            <w:pStyle w:val="Spistreci2"/>
            <w:rPr>
              <w:rFonts w:eastAsiaTheme="minorEastAsia"/>
              <w:noProof/>
              <w:sz w:val="24"/>
              <w:szCs w:val="24"/>
              <w:lang w:eastAsia="pl-PL"/>
            </w:rPr>
          </w:pPr>
          <w:hyperlink w:anchor="_Toc174689318" w:history="1">
            <w:r w:rsidR="0008340C" w:rsidRPr="00B717B9">
              <w:rPr>
                <w:rStyle w:val="Hipercze"/>
                <w:noProof/>
              </w:rPr>
              <w:t>Ustawa z dnia 6 grudnia 2008 r. o podatku akcyzowym</w:t>
            </w:r>
            <w:r w:rsidR="0008340C">
              <w:rPr>
                <w:noProof/>
                <w:webHidden/>
              </w:rPr>
              <w:tab/>
            </w:r>
            <w:r w:rsidR="0008340C">
              <w:rPr>
                <w:noProof/>
                <w:webHidden/>
              </w:rPr>
              <w:fldChar w:fldCharType="begin"/>
            </w:r>
            <w:r w:rsidR="0008340C">
              <w:rPr>
                <w:noProof/>
                <w:webHidden/>
              </w:rPr>
              <w:instrText xml:space="preserve"> PAGEREF _Toc174689318 \h </w:instrText>
            </w:r>
            <w:r w:rsidR="0008340C">
              <w:rPr>
                <w:noProof/>
                <w:webHidden/>
              </w:rPr>
            </w:r>
            <w:r w:rsidR="0008340C">
              <w:rPr>
                <w:noProof/>
                <w:webHidden/>
              </w:rPr>
              <w:fldChar w:fldCharType="separate"/>
            </w:r>
            <w:r w:rsidR="0008340C">
              <w:rPr>
                <w:noProof/>
                <w:webHidden/>
              </w:rPr>
              <w:t>50</w:t>
            </w:r>
            <w:r w:rsidR="0008340C">
              <w:rPr>
                <w:noProof/>
                <w:webHidden/>
              </w:rPr>
              <w:fldChar w:fldCharType="end"/>
            </w:r>
          </w:hyperlink>
        </w:p>
        <w:p w14:paraId="7379DBCF" w14:textId="7A97A824" w:rsidR="0008340C" w:rsidRDefault="00000000">
          <w:pPr>
            <w:pStyle w:val="Spistreci2"/>
            <w:rPr>
              <w:rFonts w:eastAsiaTheme="minorEastAsia"/>
              <w:noProof/>
              <w:sz w:val="24"/>
              <w:szCs w:val="24"/>
              <w:lang w:eastAsia="pl-PL"/>
            </w:rPr>
          </w:pPr>
          <w:hyperlink w:anchor="_Toc174689319" w:history="1">
            <w:r w:rsidR="0008340C" w:rsidRPr="00B717B9">
              <w:rPr>
                <w:rStyle w:val="Hipercze"/>
                <w:noProof/>
              </w:rPr>
              <w:t>Ustawa z dnia 5 stycznia 2011 r. o kierujących pojazdami</w:t>
            </w:r>
            <w:r w:rsidR="0008340C">
              <w:rPr>
                <w:noProof/>
                <w:webHidden/>
              </w:rPr>
              <w:tab/>
            </w:r>
            <w:r w:rsidR="0008340C">
              <w:rPr>
                <w:noProof/>
                <w:webHidden/>
              </w:rPr>
              <w:fldChar w:fldCharType="begin"/>
            </w:r>
            <w:r w:rsidR="0008340C">
              <w:rPr>
                <w:noProof/>
                <w:webHidden/>
              </w:rPr>
              <w:instrText xml:space="preserve"> PAGEREF _Toc174689319 \h </w:instrText>
            </w:r>
            <w:r w:rsidR="0008340C">
              <w:rPr>
                <w:noProof/>
                <w:webHidden/>
              </w:rPr>
            </w:r>
            <w:r w:rsidR="0008340C">
              <w:rPr>
                <w:noProof/>
                <w:webHidden/>
              </w:rPr>
              <w:fldChar w:fldCharType="separate"/>
            </w:r>
            <w:r w:rsidR="0008340C">
              <w:rPr>
                <w:noProof/>
                <w:webHidden/>
              </w:rPr>
              <w:t>52</w:t>
            </w:r>
            <w:r w:rsidR="0008340C">
              <w:rPr>
                <w:noProof/>
                <w:webHidden/>
              </w:rPr>
              <w:fldChar w:fldCharType="end"/>
            </w:r>
          </w:hyperlink>
        </w:p>
        <w:p w14:paraId="24F2880B" w14:textId="3007E633" w:rsidR="0008340C" w:rsidRDefault="00000000">
          <w:pPr>
            <w:pStyle w:val="Spistreci2"/>
            <w:rPr>
              <w:rFonts w:eastAsiaTheme="minorEastAsia"/>
              <w:noProof/>
              <w:sz w:val="24"/>
              <w:szCs w:val="24"/>
              <w:lang w:eastAsia="pl-PL"/>
            </w:rPr>
          </w:pPr>
          <w:hyperlink w:anchor="_Toc174689320" w:history="1">
            <w:r w:rsidR="0008340C" w:rsidRPr="00B717B9">
              <w:rPr>
                <w:rStyle w:val="Hipercze"/>
                <w:noProof/>
              </w:rPr>
              <w:t>Ustawa z dnia 20 stycznia 2011 r. o odpowiedzialności majątkowej funkcjonariuszy publicznych za rażące naruszenie prawa</w:t>
            </w:r>
            <w:r w:rsidR="0008340C">
              <w:rPr>
                <w:noProof/>
                <w:webHidden/>
              </w:rPr>
              <w:tab/>
            </w:r>
            <w:r w:rsidR="0008340C">
              <w:rPr>
                <w:noProof/>
                <w:webHidden/>
              </w:rPr>
              <w:fldChar w:fldCharType="begin"/>
            </w:r>
            <w:r w:rsidR="0008340C">
              <w:rPr>
                <w:noProof/>
                <w:webHidden/>
              </w:rPr>
              <w:instrText xml:space="preserve"> PAGEREF _Toc174689320 \h </w:instrText>
            </w:r>
            <w:r w:rsidR="0008340C">
              <w:rPr>
                <w:noProof/>
                <w:webHidden/>
              </w:rPr>
            </w:r>
            <w:r w:rsidR="0008340C">
              <w:rPr>
                <w:noProof/>
                <w:webHidden/>
              </w:rPr>
              <w:fldChar w:fldCharType="separate"/>
            </w:r>
            <w:r w:rsidR="0008340C">
              <w:rPr>
                <w:noProof/>
                <w:webHidden/>
              </w:rPr>
              <w:t>53</w:t>
            </w:r>
            <w:r w:rsidR="0008340C">
              <w:rPr>
                <w:noProof/>
                <w:webHidden/>
              </w:rPr>
              <w:fldChar w:fldCharType="end"/>
            </w:r>
          </w:hyperlink>
        </w:p>
        <w:p w14:paraId="0759C5F9" w14:textId="519F77E2" w:rsidR="0008340C" w:rsidRDefault="00000000">
          <w:pPr>
            <w:pStyle w:val="Spistreci2"/>
            <w:rPr>
              <w:rFonts w:eastAsiaTheme="minorEastAsia"/>
              <w:noProof/>
              <w:sz w:val="24"/>
              <w:szCs w:val="24"/>
              <w:lang w:eastAsia="pl-PL"/>
            </w:rPr>
          </w:pPr>
          <w:hyperlink w:anchor="_Toc174689321" w:history="1">
            <w:r w:rsidR="0008340C" w:rsidRPr="00B717B9">
              <w:rPr>
                <w:rStyle w:val="Hipercze"/>
                <w:noProof/>
              </w:rPr>
              <w:t>Ustawa z dnia 8 marca 2013 r. o przeciwdziałaniu nadmiernym opóźnieniom w transakcjach handlowych</w:t>
            </w:r>
            <w:r w:rsidR="0008340C">
              <w:rPr>
                <w:noProof/>
                <w:webHidden/>
              </w:rPr>
              <w:tab/>
            </w:r>
            <w:r w:rsidR="0008340C">
              <w:rPr>
                <w:noProof/>
                <w:webHidden/>
              </w:rPr>
              <w:fldChar w:fldCharType="begin"/>
            </w:r>
            <w:r w:rsidR="0008340C">
              <w:rPr>
                <w:noProof/>
                <w:webHidden/>
              </w:rPr>
              <w:instrText xml:space="preserve"> PAGEREF _Toc174689321 \h </w:instrText>
            </w:r>
            <w:r w:rsidR="0008340C">
              <w:rPr>
                <w:noProof/>
                <w:webHidden/>
              </w:rPr>
            </w:r>
            <w:r w:rsidR="0008340C">
              <w:rPr>
                <w:noProof/>
                <w:webHidden/>
              </w:rPr>
              <w:fldChar w:fldCharType="separate"/>
            </w:r>
            <w:r w:rsidR="0008340C">
              <w:rPr>
                <w:noProof/>
                <w:webHidden/>
              </w:rPr>
              <w:t>53</w:t>
            </w:r>
            <w:r w:rsidR="0008340C">
              <w:rPr>
                <w:noProof/>
                <w:webHidden/>
              </w:rPr>
              <w:fldChar w:fldCharType="end"/>
            </w:r>
          </w:hyperlink>
        </w:p>
        <w:p w14:paraId="1A0C88DF" w14:textId="470B483B" w:rsidR="0008340C" w:rsidRDefault="00000000">
          <w:pPr>
            <w:pStyle w:val="Spistreci2"/>
            <w:rPr>
              <w:rFonts w:eastAsiaTheme="minorEastAsia"/>
              <w:noProof/>
              <w:sz w:val="24"/>
              <w:szCs w:val="24"/>
              <w:lang w:eastAsia="pl-PL"/>
            </w:rPr>
          </w:pPr>
          <w:hyperlink w:anchor="_Toc174689322" w:history="1">
            <w:r w:rsidR="0008340C" w:rsidRPr="00B717B9">
              <w:rPr>
                <w:rStyle w:val="Hipercze"/>
                <w:noProof/>
              </w:rPr>
              <w:t>Ustawa z dnia 30 maja 2014 r. o prawach konsumenta</w:t>
            </w:r>
            <w:r w:rsidR="0008340C">
              <w:rPr>
                <w:noProof/>
                <w:webHidden/>
              </w:rPr>
              <w:tab/>
            </w:r>
            <w:r w:rsidR="0008340C">
              <w:rPr>
                <w:noProof/>
                <w:webHidden/>
              </w:rPr>
              <w:fldChar w:fldCharType="begin"/>
            </w:r>
            <w:r w:rsidR="0008340C">
              <w:rPr>
                <w:noProof/>
                <w:webHidden/>
              </w:rPr>
              <w:instrText xml:space="preserve"> PAGEREF _Toc174689322 \h </w:instrText>
            </w:r>
            <w:r w:rsidR="0008340C">
              <w:rPr>
                <w:noProof/>
                <w:webHidden/>
              </w:rPr>
            </w:r>
            <w:r w:rsidR="0008340C">
              <w:rPr>
                <w:noProof/>
                <w:webHidden/>
              </w:rPr>
              <w:fldChar w:fldCharType="separate"/>
            </w:r>
            <w:r w:rsidR="0008340C">
              <w:rPr>
                <w:noProof/>
                <w:webHidden/>
              </w:rPr>
              <w:t>53</w:t>
            </w:r>
            <w:r w:rsidR="0008340C">
              <w:rPr>
                <w:noProof/>
                <w:webHidden/>
              </w:rPr>
              <w:fldChar w:fldCharType="end"/>
            </w:r>
          </w:hyperlink>
        </w:p>
        <w:p w14:paraId="6DEB9B51" w14:textId="761A20D7" w:rsidR="0008340C" w:rsidRDefault="00000000">
          <w:pPr>
            <w:pStyle w:val="Spistreci2"/>
            <w:rPr>
              <w:rFonts w:eastAsiaTheme="minorEastAsia"/>
              <w:noProof/>
              <w:sz w:val="24"/>
              <w:szCs w:val="24"/>
              <w:lang w:eastAsia="pl-PL"/>
            </w:rPr>
          </w:pPr>
          <w:hyperlink w:anchor="_Toc174689323" w:history="1">
            <w:r w:rsidR="0008340C" w:rsidRPr="00B717B9">
              <w:rPr>
                <w:rStyle w:val="Hipercze"/>
                <w:noProof/>
              </w:rPr>
              <w:t xml:space="preserve">Ustawa z dnia 14 grudnia 2016 r. </w:t>
            </w:r>
            <w:r w:rsidR="0008340C" w:rsidRPr="00B717B9">
              <w:rPr>
                <w:rStyle w:val="Hipercze"/>
                <w:rFonts w:ascii="Arial" w:hAnsi="Arial" w:cs="Arial"/>
                <w:noProof/>
              </w:rPr>
              <w:t>‒</w:t>
            </w:r>
            <w:r w:rsidR="0008340C" w:rsidRPr="00B717B9">
              <w:rPr>
                <w:rStyle w:val="Hipercze"/>
                <w:noProof/>
              </w:rPr>
              <w:t xml:space="preserve"> Prawo o</w:t>
            </w:r>
            <w:r w:rsidR="0008340C" w:rsidRPr="00B717B9">
              <w:rPr>
                <w:rStyle w:val="Hipercze"/>
                <w:rFonts w:ascii="Aptos" w:hAnsi="Aptos" w:cs="Aptos"/>
                <w:noProof/>
              </w:rPr>
              <w:t>ś</w:t>
            </w:r>
            <w:r w:rsidR="0008340C" w:rsidRPr="00B717B9">
              <w:rPr>
                <w:rStyle w:val="Hipercze"/>
                <w:noProof/>
              </w:rPr>
              <w:t>wiatowe</w:t>
            </w:r>
            <w:r w:rsidR="0008340C">
              <w:rPr>
                <w:noProof/>
                <w:webHidden/>
              </w:rPr>
              <w:tab/>
            </w:r>
            <w:r w:rsidR="0008340C">
              <w:rPr>
                <w:noProof/>
                <w:webHidden/>
              </w:rPr>
              <w:fldChar w:fldCharType="begin"/>
            </w:r>
            <w:r w:rsidR="0008340C">
              <w:rPr>
                <w:noProof/>
                <w:webHidden/>
              </w:rPr>
              <w:instrText xml:space="preserve"> PAGEREF _Toc174689323 \h </w:instrText>
            </w:r>
            <w:r w:rsidR="0008340C">
              <w:rPr>
                <w:noProof/>
                <w:webHidden/>
              </w:rPr>
            </w:r>
            <w:r w:rsidR="0008340C">
              <w:rPr>
                <w:noProof/>
                <w:webHidden/>
              </w:rPr>
              <w:fldChar w:fldCharType="separate"/>
            </w:r>
            <w:r w:rsidR="0008340C">
              <w:rPr>
                <w:noProof/>
                <w:webHidden/>
              </w:rPr>
              <w:t>54</w:t>
            </w:r>
            <w:r w:rsidR="0008340C">
              <w:rPr>
                <w:noProof/>
                <w:webHidden/>
              </w:rPr>
              <w:fldChar w:fldCharType="end"/>
            </w:r>
          </w:hyperlink>
        </w:p>
        <w:p w14:paraId="02B25722" w14:textId="40446295" w:rsidR="0008340C" w:rsidRDefault="00000000">
          <w:pPr>
            <w:pStyle w:val="Spistreci2"/>
            <w:rPr>
              <w:rFonts w:eastAsiaTheme="minorEastAsia"/>
              <w:noProof/>
              <w:sz w:val="24"/>
              <w:szCs w:val="24"/>
              <w:lang w:eastAsia="pl-PL"/>
            </w:rPr>
          </w:pPr>
          <w:hyperlink w:anchor="_Toc174689324" w:history="1">
            <w:r w:rsidR="0008340C" w:rsidRPr="00B717B9">
              <w:rPr>
                <w:rStyle w:val="Hipercze"/>
                <w:noProof/>
              </w:rPr>
              <w:t xml:space="preserve">Ustawa z dnia 6 marca 2018 r. </w:t>
            </w:r>
            <w:r w:rsidR="0008340C" w:rsidRPr="00B717B9">
              <w:rPr>
                <w:rStyle w:val="Hipercze"/>
                <w:rFonts w:ascii="Arial" w:hAnsi="Arial" w:cs="Arial"/>
                <w:noProof/>
              </w:rPr>
              <w:t>‒</w:t>
            </w:r>
            <w:r w:rsidR="0008340C" w:rsidRPr="00B717B9">
              <w:rPr>
                <w:rStyle w:val="Hipercze"/>
                <w:noProof/>
              </w:rPr>
              <w:t xml:space="preserve"> Prawo przedsi</w:t>
            </w:r>
            <w:r w:rsidR="0008340C" w:rsidRPr="00B717B9">
              <w:rPr>
                <w:rStyle w:val="Hipercze"/>
                <w:rFonts w:ascii="Aptos" w:hAnsi="Aptos" w:cs="Aptos"/>
                <w:noProof/>
              </w:rPr>
              <w:t>ę</w:t>
            </w:r>
            <w:r w:rsidR="0008340C" w:rsidRPr="00B717B9">
              <w:rPr>
                <w:rStyle w:val="Hipercze"/>
                <w:noProof/>
              </w:rPr>
              <w:t>biorc</w:t>
            </w:r>
            <w:r w:rsidR="0008340C" w:rsidRPr="00B717B9">
              <w:rPr>
                <w:rStyle w:val="Hipercze"/>
                <w:rFonts w:ascii="Aptos" w:hAnsi="Aptos" w:cs="Aptos"/>
                <w:noProof/>
              </w:rPr>
              <w:t>ó</w:t>
            </w:r>
            <w:r w:rsidR="0008340C" w:rsidRPr="00B717B9">
              <w:rPr>
                <w:rStyle w:val="Hipercze"/>
                <w:noProof/>
              </w:rPr>
              <w:t>w</w:t>
            </w:r>
            <w:r w:rsidR="0008340C">
              <w:rPr>
                <w:noProof/>
                <w:webHidden/>
              </w:rPr>
              <w:tab/>
            </w:r>
            <w:r w:rsidR="0008340C">
              <w:rPr>
                <w:noProof/>
                <w:webHidden/>
              </w:rPr>
              <w:fldChar w:fldCharType="begin"/>
            </w:r>
            <w:r w:rsidR="0008340C">
              <w:rPr>
                <w:noProof/>
                <w:webHidden/>
              </w:rPr>
              <w:instrText xml:space="preserve"> PAGEREF _Toc174689324 \h </w:instrText>
            </w:r>
            <w:r w:rsidR="0008340C">
              <w:rPr>
                <w:noProof/>
                <w:webHidden/>
              </w:rPr>
            </w:r>
            <w:r w:rsidR="0008340C">
              <w:rPr>
                <w:noProof/>
                <w:webHidden/>
              </w:rPr>
              <w:fldChar w:fldCharType="separate"/>
            </w:r>
            <w:r w:rsidR="0008340C">
              <w:rPr>
                <w:noProof/>
                <w:webHidden/>
              </w:rPr>
              <w:t>56</w:t>
            </w:r>
            <w:r w:rsidR="0008340C">
              <w:rPr>
                <w:noProof/>
                <w:webHidden/>
              </w:rPr>
              <w:fldChar w:fldCharType="end"/>
            </w:r>
          </w:hyperlink>
        </w:p>
        <w:p w14:paraId="0EC56BA0" w14:textId="07DF91A1" w:rsidR="0008340C" w:rsidRDefault="00000000">
          <w:pPr>
            <w:pStyle w:val="Spistreci2"/>
            <w:rPr>
              <w:rFonts w:eastAsiaTheme="minorEastAsia"/>
              <w:noProof/>
              <w:sz w:val="24"/>
              <w:szCs w:val="24"/>
              <w:lang w:eastAsia="pl-PL"/>
            </w:rPr>
          </w:pPr>
          <w:hyperlink w:anchor="_Toc174689325" w:history="1">
            <w:r w:rsidR="0008340C" w:rsidRPr="00B717B9">
              <w:rPr>
                <w:rStyle w:val="Hipercze"/>
                <w:noProof/>
              </w:rPr>
              <w:t>Ustawa z dnia 6 marca 2018 r. o Centralnej Ewidencji i Informacji o Działalności Gospodarczej i Punkcie Informacji dla Przedsiębiorcy</w:t>
            </w:r>
            <w:r w:rsidR="0008340C">
              <w:rPr>
                <w:noProof/>
                <w:webHidden/>
              </w:rPr>
              <w:tab/>
            </w:r>
            <w:r w:rsidR="0008340C">
              <w:rPr>
                <w:noProof/>
                <w:webHidden/>
              </w:rPr>
              <w:fldChar w:fldCharType="begin"/>
            </w:r>
            <w:r w:rsidR="0008340C">
              <w:rPr>
                <w:noProof/>
                <w:webHidden/>
              </w:rPr>
              <w:instrText xml:space="preserve"> PAGEREF _Toc174689325 \h </w:instrText>
            </w:r>
            <w:r w:rsidR="0008340C">
              <w:rPr>
                <w:noProof/>
                <w:webHidden/>
              </w:rPr>
            </w:r>
            <w:r w:rsidR="0008340C">
              <w:rPr>
                <w:noProof/>
                <w:webHidden/>
              </w:rPr>
              <w:fldChar w:fldCharType="separate"/>
            </w:r>
            <w:r w:rsidR="0008340C">
              <w:rPr>
                <w:noProof/>
                <w:webHidden/>
              </w:rPr>
              <w:t>72</w:t>
            </w:r>
            <w:r w:rsidR="0008340C">
              <w:rPr>
                <w:noProof/>
                <w:webHidden/>
              </w:rPr>
              <w:fldChar w:fldCharType="end"/>
            </w:r>
          </w:hyperlink>
        </w:p>
        <w:p w14:paraId="46BE9C6A" w14:textId="7A4EA3EC" w:rsidR="0008340C" w:rsidRDefault="00000000">
          <w:pPr>
            <w:pStyle w:val="Spistreci2"/>
            <w:rPr>
              <w:rFonts w:eastAsiaTheme="minorEastAsia"/>
              <w:noProof/>
              <w:sz w:val="24"/>
              <w:szCs w:val="24"/>
              <w:lang w:eastAsia="pl-PL"/>
            </w:rPr>
          </w:pPr>
          <w:hyperlink w:anchor="_Toc174689326" w:history="1">
            <w:r w:rsidR="0008340C" w:rsidRPr="00B717B9">
              <w:rPr>
                <w:rStyle w:val="Hipercze"/>
                <w:noProof/>
              </w:rPr>
              <w:t>Ustawa z dnia 6 marca 2018 r. o Rzeczniku Małych i Średnich Przedsiębiorców</w:t>
            </w:r>
            <w:r w:rsidR="0008340C">
              <w:rPr>
                <w:noProof/>
                <w:webHidden/>
              </w:rPr>
              <w:tab/>
            </w:r>
            <w:r w:rsidR="0008340C">
              <w:rPr>
                <w:noProof/>
                <w:webHidden/>
              </w:rPr>
              <w:fldChar w:fldCharType="begin"/>
            </w:r>
            <w:r w:rsidR="0008340C">
              <w:rPr>
                <w:noProof/>
                <w:webHidden/>
              </w:rPr>
              <w:instrText xml:space="preserve"> PAGEREF _Toc174689326 \h </w:instrText>
            </w:r>
            <w:r w:rsidR="0008340C">
              <w:rPr>
                <w:noProof/>
                <w:webHidden/>
              </w:rPr>
            </w:r>
            <w:r w:rsidR="0008340C">
              <w:rPr>
                <w:noProof/>
                <w:webHidden/>
              </w:rPr>
              <w:fldChar w:fldCharType="separate"/>
            </w:r>
            <w:r w:rsidR="0008340C">
              <w:rPr>
                <w:noProof/>
                <w:webHidden/>
              </w:rPr>
              <w:t>72</w:t>
            </w:r>
            <w:r w:rsidR="0008340C">
              <w:rPr>
                <w:noProof/>
                <w:webHidden/>
              </w:rPr>
              <w:fldChar w:fldCharType="end"/>
            </w:r>
          </w:hyperlink>
        </w:p>
        <w:p w14:paraId="19835D56" w14:textId="308442B0" w:rsidR="0008340C" w:rsidRDefault="00000000">
          <w:pPr>
            <w:pStyle w:val="Spistreci2"/>
            <w:rPr>
              <w:rFonts w:eastAsiaTheme="minorEastAsia"/>
              <w:noProof/>
              <w:sz w:val="24"/>
              <w:szCs w:val="24"/>
              <w:lang w:eastAsia="pl-PL"/>
            </w:rPr>
          </w:pPr>
          <w:hyperlink w:anchor="_Toc174689327" w:history="1">
            <w:r w:rsidR="0008340C" w:rsidRPr="00B717B9">
              <w:rPr>
                <w:rStyle w:val="Hipercze"/>
                <w:noProof/>
              </w:rPr>
              <w:t>Ustawa z dnia 11 września 2019 r. – Prawo zamówień publicznych</w:t>
            </w:r>
            <w:r w:rsidR="0008340C">
              <w:rPr>
                <w:noProof/>
                <w:webHidden/>
              </w:rPr>
              <w:tab/>
            </w:r>
            <w:r w:rsidR="0008340C">
              <w:rPr>
                <w:noProof/>
                <w:webHidden/>
              </w:rPr>
              <w:fldChar w:fldCharType="begin"/>
            </w:r>
            <w:r w:rsidR="0008340C">
              <w:rPr>
                <w:noProof/>
                <w:webHidden/>
              </w:rPr>
              <w:instrText xml:space="preserve"> PAGEREF _Toc174689327 \h </w:instrText>
            </w:r>
            <w:r w:rsidR="0008340C">
              <w:rPr>
                <w:noProof/>
                <w:webHidden/>
              </w:rPr>
            </w:r>
            <w:r w:rsidR="0008340C">
              <w:rPr>
                <w:noProof/>
                <w:webHidden/>
              </w:rPr>
              <w:fldChar w:fldCharType="separate"/>
            </w:r>
            <w:r w:rsidR="0008340C">
              <w:rPr>
                <w:noProof/>
                <w:webHidden/>
              </w:rPr>
              <w:t>73</w:t>
            </w:r>
            <w:r w:rsidR="0008340C">
              <w:rPr>
                <w:noProof/>
                <w:webHidden/>
              </w:rPr>
              <w:fldChar w:fldCharType="end"/>
            </w:r>
          </w:hyperlink>
        </w:p>
        <w:p w14:paraId="5FA06303" w14:textId="09570595" w:rsidR="0008340C" w:rsidRDefault="00000000">
          <w:pPr>
            <w:pStyle w:val="Spistreci2"/>
            <w:rPr>
              <w:rFonts w:eastAsiaTheme="minorEastAsia"/>
              <w:noProof/>
              <w:sz w:val="24"/>
              <w:szCs w:val="24"/>
              <w:lang w:eastAsia="pl-PL"/>
            </w:rPr>
          </w:pPr>
          <w:hyperlink w:anchor="_Toc174689328" w:history="1">
            <w:r w:rsidR="0008340C" w:rsidRPr="00B717B9">
              <w:rPr>
                <w:rStyle w:val="Hipercze"/>
                <w:noProof/>
              </w:rPr>
              <w:t>Ustawa z dnia 2 grudnia 2021 r. o wyrobach winiarskich</w:t>
            </w:r>
            <w:r w:rsidR="0008340C">
              <w:rPr>
                <w:noProof/>
                <w:webHidden/>
              </w:rPr>
              <w:tab/>
            </w:r>
            <w:r w:rsidR="0008340C">
              <w:rPr>
                <w:noProof/>
                <w:webHidden/>
              </w:rPr>
              <w:fldChar w:fldCharType="begin"/>
            </w:r>
            <w:r w:rsidR="0008340C">
              <w:rPr>
                <w:noProof/>
                <w:webHidden/>
              </w:rPr>
              <w:instrText xml:space="preserve"> PAGEREF _Toc174689328 \h </w:instrText>
            </w:r>
            <w:r w:rsidR="0008340C">
              <w:rPr>
                <w:noProof/>
                <w:webHidden/>
              </w:rPr>
            </w:r>
            <w:r w:rsidR="0008340C">
              <w:rPr>
                <w:noProof/>
                <w:webHidden/>
              </w:rPr>
              <w:fldChar w:fldCharType="separate"/>
            </w:r>
            <w:r w:rsidR="0008340C">
              <w:rPr>
                <w:noProof/>
                <w:webHidden/>
              </w:rPr>
              <w:t>78</w:t>
            </w:r>
            <w:r w:rsidR="0008340C">
              <w:rPr>
                <w:noProof/>
                <w:webHidden/>
              </w:rPr>
              <w:fldChar w:fldCharType="end"/>
            </w:r>
          </w:hyperlink>
        </w:p>
        <w:p w14:paraId="270361D4" w14:textId="273BC8E1" w:rsidR="0008340C" w:rsidRDefault="00000000">
          <w:pPr>
            <w:pStyle w:val="Spistreci1"/>
            <w:rPr>
              <w:rFonts w:eastAsiaTheme="minorEastAsia"/>
              <w:noProof/>
              <w:sz w:val="24"/>
              <w:szCs w:val="24"/>
              <w:lang w:eastAsia="pl-PL"/>
            </w:rPr>
          </w:pPr>
          <w:hyperlink w:anchor="_Toc174689329" w:history="1">
            <w:r w:rsidR="0008340C" w:rsidRPr="00B717B9">
              <w:rPr>
                <w:rStyle w:val="Hipercze"/>
                <w:rFonts w:ascii="Times New Roman" w:hAnsi="Times New Roman" w:cs="Times New Roman"/>
                <w:b/>
                <w:bCs/>
                <w:noProof/>
              </w:rPr>
              <w:t>3.</w:t>
            </w:r>
            <w:r w:rsidR="0008340C">
              <w:rPr>
                <w:rFonts w:eastAsiaTheme="minorEastAsia"/>
                <w:noProof/>
                <w:sz w:val="24"/>
                <w:szCs w:val="24"/>
                <w:lang w:eastAsia="pl-PL"/>
              </w:rPr>
              <w:tab/>
            </w:r>
            <w:r w:rsidR="0008340C" w:rsidRPr="00B717B9">
              <w:rPr>
                <w:rStyle w:val="Hipercze"/>
                <w:rFonts w:ascii="Times New Roman" w:hAnsi="Times New Roman" w:cs="Times New Roman"/>
                <w:b/>
                <w:bCs/>
                <w:noProof/>
              </w:rPr>
              <w:t>Ocena przewidywanego wpływu projektu ustawy na działalność mikroprzedsiębiorców oraz małych i średnich przedsiębiorców</w:t>
            </w:r>
            <w:r w:rsidR="0008340C">
              <w:rPr>
                <w:noProof/>
                <w:webHidden/>
              </w:rPr>
              <w:tab/>
            </w:r>
            <w:r w:rsidR="0008340C">
              <w:rPr>
                <w:noProof/>
                <w:webHidden/>
              </w:rPr>
              <w:fldChar w:fldCharType="begin"/>
            </w:r>
            <w:r w:rsidR="0008340C">
              <w:rPr>
                <w:noProof/>
                <w:webHidden/>
              </w:rPr>
              <w:instrText xml:space="preserve"> PAGEREF _Toc174689329 \h </w:instrText>
            </w:r>
            <w:r w:rsidR="0008340C">
              <w:rPr>
                <w:noProof/>
                <w:webHidden/>
              </w:rPr>
            </w:r>
            <w:r w:rsidR="0008340C">
              <w:rPr>
                <w:noProof/>
                <w:webHidden/>
              </w:rPr>
              <w:fldChar w:fldCharType="separate"/>
            </w:r>
            <w:r w:rsidR="0008340C">
              <w:rPr>
                <w:noProof/>
                <w:webHidden/>
              </w:rPr>
              <w:t>78</w:t>
            </w:r>
            <w:r w:rsidR="0008340C">
              <w:rPr>
                <w:noProof/>
                <w:webHidden/>
              </w:rPr>
              <w:fldChar w:fldCharType="end"/>
            </w:r>
          </w:hyperlink>
        </w:p>
        <w:p w14:paraId="47CCBF88" w14:textId="4F980180" w:rsidR="0008340C" w:rsidRDefault="00000000">
          <w:pPr>
            <w:pStyle w:val="Spistreci1"/>
            <w:rPr>
              <w:rFonts w:eastAsiaTheme="minorEastAsia"/>
              <w:noProof/>
              <w:sz w:val="24"/>
              <w:szCs w:val="24"/>
              <w:lang w:eastAsia="pl-PL"/>
            </w:rPr>
          </w:pPr>
          <w:hyperlink w:anchor="_Toc174689330" w:history="1">
            <w:r w:rsidR="0008340C" w:rsidRPr="00B717B9">
              <w:rPr>
                <w:rStyle w:val="Hipercze"/>
                <w:rFonts w:ascii="Times New Roman" w:hAnsi="Times New Roman" w:cs="Times New Roman"/>
                <w:b/>
                <w:bCs/>
                <w:noProof/>
              </w:rPr>
              <w:t>4.</w:t>
            </w:r>
            <w:r w:rsidR="0008340C">
              <w:rPr>
                <w:rFonts w:eastAsiaTheme="minorEastAsia"/>
                <w:noProof/>
                <w:sz w:val="24"/>
                <w:szCs w:val="24"/>
                <w:lang w:eastAsia="pl-PL"/>
              </w:rPr>
              <w:tab/>
            </w:r>
            <w:r w:rsidR="0008340C" w:rsidRPr="00B717B9">
              <w:rPr>
                <w:rStyle w:val="Hipercze"/>
                <w:rFonts w:ascii="Times New Roman" w:hAnsi="Times New Roman" w:cs="Times New Roman"/>
                <w:b/>
                <w:bCs/>
                <w:noProof/>
              </w:rPr>
              <w:t>Przepisy przejściowe i końcowe</w:t>
            </w:r>
            <w:r w:rsidR="0008340C">
              <w:rPr>
                <w:noProof/>
                <w:webHidden/>
              </w:rPr>
              <w:tab/>
            </w:r>
            <w:r w:rsidR="0008340C">
              <w:rPr>
                <w:noProof/>
                <w:webHidden/>
              </w:rPr>
              <w:fldChar w:fldCharType="begin"/>
            </w:r>
            <w:r w:rsidR="0008340C">
              <w:rPr>
                <w:noProof/>
                <w:webHidden/>
              </w:rPr>
              <w:instrText xml:space="preserve"> PAGEREF _Toc174689330 \h </w:instrText>
            </w:r>
            <w:r w:rsidR="0008340C">
              <w:rPr>
                <w:noProof/>
                <w:webHidden/>
              </w:rPr>
            </w:r>
            <w:r w:rsidR="0008340C">
              <w:rPr>
                <w:noProof/>
                <w:webHidden/>
              </w:rPr>
              <w:fldChar w:fldCharType="separate"/>
            </w:r>
            <w:r w:rsidR="0008340C">
              <w:rPr>
                <w:noProof/>
                <w:webHidden/>
              </w:rPr>
              <w:t>78</w:t>
            </w:r>
            <w:r w:rsidR="0008340C">
              <w:rPr>
                <w:noProof/>
                <w:webHidden/>
              </w:rPr>
              <w:fldChar w:fldCharType="end"/>
            </w:r>
          </w:hyperlink>
        </w:p>
        <w:p w14:paraId="14DCA31E" w14:textId="6EE34555" w:rsidR="0008340C" w:rsidRDefault="00000000">
          <w:pPr>
            <w:pStyle w:val="Spistreci1"/>
            <w:rPr>
              <w:rFonts w:eastAsiaTheme="minorEastAsia"/>
              <w:noProof/>
              <w:sz w:val="24"/>
              <w:szCs w:val="24"/>
              <w:lang w:eastAsia="pl-PL"/>
            </w:rPr>
          </w:pPr>
          <w:hyperlink w:anchor="_Toc174689331" w:history="1">
            <w:r w:rsidR="0008340C" w:rsidRPr="00B717B9">
              <w:rPr>
                <w:rStyle w:val="Hipercze"/>
                <w:rFonts w:ascii="Times New Roman" w:hAnsi="Times New Roman" w:cs="Times New Roman"/>
                <w:b/>
                <w:bCs/>
                <w:noProof/>
              </w:rPr>
              <w:t>5.</w:t>
            </w:r>
            <w:r w:rsidR="0008340C">
              <w:rPr>
                <w:rFonts w:eastAsiaTheme="minorEastAsia"/>
                <w:noProof/>
                <w:sz w:val="24"/>
                <w:szCs w:val="24"/>
                <w:lang w:eastAsia="pl-PL"/>
              </w:rPr>
              <w:tab/>
            </w:r>
            <w:r w:rsidR="0008340C" w:rsidRPr="00B717B9">
              <w:rPr>
                <w:rStyle w:val="Hipercze"/>
                <w:rFonts w:ascii="Times New Roman" w:hAnsi="Times New Roman" w:cs="Times New Roman"/>
                <w:b/>
                <w:bCs/>
                <w:noProof/>
              </w:rPr>
              <w:t>Pozostałe kwestie</w:t>
            </w:r>
            <w:r w:rsidR="0008340C">
              <w:rPr>
                <w:noProof/>
                <w:webHidden/>
              </w:rPr>
              <w:tab/>
            </w:r>
            <w:r w:rsidR="0008340C">
              <w:rPr>
                <w:noProof/>
                <w:webHidden/>
              </w:rPr>
              <w:fldChar w:fldCharType="begin"/>
            </w:r>
            <w:r w:rsidR="0008340C">
              <w:rPr>
                <w:noProof/>
                <w:webHidden/>
              </w:rPr>
              <w:instrText xml:space="preserve"> PAGEREF _Toc174689331 \h </w:instrText>
            </w:r>
            <w:r w:rsidR="0008340C">
              <w:rPr>
                <w:noProof/>
                <w:webHidden/>
              </w:rPr>
            </w:r>
            <w:r w:rsidR="0008340C">
              <w:rPr>
                <w:noProof/>
                <w:webHidden/>
              </w:rPr>
              <w:fldChar w:fldCharType="separate"/>
            </w:r>
            <w:r w:rsidR="0008340C">
              <w:rPr>
                <w:noProof/>
                <w:webHidden/>
              </w:rPr>
              <w:t>79</w:t>
            </w:r>
            <w:r w:rsidR="0008340C">
              <w:rPr>
                <w:noProof/>
                <w:webHidden/>
              </w:rPr>
              <w:fldChar w:fldCharType="end"/>
            </w:r>
          </w:hyperlink>
        </w:p>
        <w:p w14:paraId="65A137BF" w14:textId="7ABF7ED7" w:rsidR="006D600F" w:rsidRPr="00A555B6" w:rsidRDefault="006D600F" w:rsidP="004E6FE9">
          <w:pPr>
            <w:spacing w:before="120" w:after="120" w:line="360" w:lineRule="auto"/>
            <w:rPr>
              <w:rFonts w:ascii="Times New Roman" w:hAnsi="Times New Roman" w:cs="Times New Roman"/>
            </w:rPr>
          </w:pPr>
          <w:r w:rsidRPr="00A555B6">
            <w:rPr>
              <w:rFonts w:ascii="Times New Roman" w:hAnsi="Times New Roman" w:cs="Times New Roman"/>
              <w:b/>
              <w:bCs/>
            </w:rPr>
            <w:fldChar w:fldCharType="end"/>
          </w:r>
        </w:p>
      </w:sdtContent>
    </w:sdt>
    <w:p w14:paraId="64C5AF82" w14:textId="77777777" w:rsidR="00915CD0" w:rsidRPr="00A555B6" w:rsidRDefault="00915CD0" w:rsidP="004E6FE9">
      <w:pPr>
        <w:spacing w:before="120" w:after="120" w:line="360" w:lineRule="auto"/>
        <w:jc w:val="both"/>
        <w:rPr>
          <w:rFonts w:ascii="Times New Roman" w:hAnsi="Times New Roman" w:cs="Times New Roman"/>
          <w:b/>
          <w:bCs/>
        </w:rPr>
      </w:pPr>
    </w:p>
    <w:p w14:paraId="25968E05" w14:textId="0269AD09" w:rsidR="007050F8" w:rsidRPr="00A555B6" w:rsidRDefault="007050F8" w:rsidP="004E6FE9">
      <w:pPr>
        <w:spacing w:before="120" w:after="120" w:line="360" w:lineRule="auto"/>
        <w:rPr>
          <w:rFonts w:ascii="Times New Roman" w:hAnsi="Times New Roman" w:cs="Times New Roman"/>
          <w:b/>
          <w:bCs/>
        </w:rPr>
      </w:pPr>
      <w:r w:rsidRPr="00A555B6">
        <w:rPr>
          <w:rFonts w:ascii="Times New Roman" w:hAnsi="Times New Roman" w:cs="Times New Roman"/>
          <w:b/>
          <w:bCs/>
        </w:rPr>
        <w:br w:type="page"/>
      </w:r>
    </w:p>
    <w:p w14:paraId="4E281A58" w14:textId="606B5247" w:rsidR="00950267" w:rsidRPr="00A555B6" w:rsidRDefault="00950267" w:rsidP="004E6FE9">
      <w:pPr>
        <w:pStyle w:val="Nagwek1"/>
        <w:numPr>
          <w:ilvl w:val="0"/>
          <w:numId w:val="10"/>
        </w:numPr>
        <w:spacing w:before="120" w:after="120" w:line="360" w:lineRule="auto"/>
        <w:jc w:val="both"/>
        <w:rPr>
          <w:rFonts w:ascii="Times New Roman" w:hAnsi="Times New Roman" w:cs="Times New Roman"/>
          <w:b/>
          <w:bCs/>
          <w:color w:val="auto"/>
          <w:sz w:val="22"/>
          <w:szCs w:val="22"/>
        </w:rPr>
      </w:pPr>
      <w:bookmarkStart w:id="0" w:name="_Toc139627311"/>
      <w:bookmarkStart w:id="1" w:name="_Toc174689294"/>
      <w:r w:rsidRPr="00A555B6">
        <w:rPr>
          <w:rFonts w:ascii="Times New Roman" w:hAnsi="Times New Roman" w:cs="Times New Roman"/>
          <w:b/>
          <w:bCs/>
          <w:color w:val="auto"/>
          <w:sz w:val="22"/>
          <w:szCs w:val="22"/>
        </w:rPr>
        <w:lastRenderedPageBreak/>
        <w:t>Cel i potrzeba ustawy</w:t>
      </w:r>
      <w:bookmarkEnd w:id="0"/>
      <w:bookmarkEnd w:id="1"/>
    </w:p>
    <w:p w14:paraId="2A3868A3" w14:textId="7A66BAAF" w:rsidR="00943F44" w:rsidRPr="00A555B6" w:rsidRDefault="00943F44" w:rsidP="00943F44">
      <w:pPr>
        <w:spacing w:before="120" w:after="120" w:line="360" w:lineRule="auto"/>
        <w:jc w:val="both"/>
        <w:rPr>
          <w:rFonts w:ascii="Times New Roman" w:hAnsi="Times New Roman" w:cs="Times New Roman"/>
        </w:rPr>
      </w:pPr>
      <w:r w:rsidRPr="00A555B6">
        <w:rPr>
          <w:rFonts w:ascii="Times New Roman" w:hAnsi="Times New Roman" w:cs="Times New Roman"/>
        </w:rPr>
        <w:t>Projekt ustawy stanowi pierwszy krok w realizacji zapowiedzi polskiego rządu dotyczącej konieczności przeprowadzenia deregulacji w zakresie prawa gospodarczego i administracyjnego, w</w:t>
      </w:r>
      <w:r w:rsidR="00821E81" w:rsidRPr="00A555B6">
        <w:rPr>
          <w:rFonts w:ascii="Times New Roman" w:hAnsi="Times New Roman" w:cs="Times New Roman"/>
        </w:rPr>
        <w:t> </w:t>
      </w:r>
      <w:r w:rsidRPr="00A555B6">
        <w:rPr>
          <w:rFonts w:ascii="Times New Roman" w:hAnsi="Times New Roman" w:cs="Times New Roman"/>
        </w:rPr>
        <w:t>tym w</w:t>
      </w:r>
      <w:r w:rsidR="006A71D8" w:rsidRPr="00A555B6">
        <w:rPr>
          <w:rFonts w:ascii="Times New Roman" w:hAnsi="Times New Roman" w:cs="Times New Roman"/>
        </w:rPr>
        <w:t> </w:t>
      </w:r>
      <w:r w:rsidRPr="00A555B6">
        <w:rPr>
          <w:rFonts w:ascii="Times New Roman" w:hAnsi="Times New Roman" w:cs="Times New Roman"/>
        </w:rPr>
        <w:t xml:space="preserve">szczególności w kierunku poprawy środowiska prawnego i instytucjonalnego, w którym działają polskie firmy. Zidentyfikowano te obszary, w których można wprowadzić regulacje jeszcze skuteczniej broniące praw przedsiębiorców. </w:t>
      </w:r>
      <w:bookmarkStart w:id="2" w:name="_Hlk159396480"/>
    </w:p>
    <w:bookmarkEnd w:id="2"/>
    <w:p w14:paraId="09F029C9" w14:textId="3CEFC67B" w:rsidR="00943F44" w:rsidRPr="00A555B6" w:rsidRDefault="00943F44" w:rsidP="00943F44">
      <w:pPr>
        <w:spacing w:before="120" w:after="120" w:line="360" w:lineRule="auto"/>
        <w:jc w:val="both"/>
        <w:rPr>
          <w:rFonts w:ascii="Times New Roman" w:hAnsi="Times New Roman" w:cs="Times New Roman"/>
        </w:rPr>
      </w:pPr>
      <w:r w:rsidRPr="00A555B6">
        <w:rPr>
          <w:rFonts w:ascii="Times New Roman" w:hAnsi="Times New Roman" w:cs="Times New Roman"/>
        </w:rPr>
        <w:t xml:space="preserve">Celem projektowanej ustawy jest wprowadzenie uproszczeń odnoszących się </w:t>
      </w:r>
      <w:r w:rsidR="003B372D" w:rsidRPr="00A555B6">
        <w:rPr>
          <w:rFonts w:ascii="Times New Roman" w:hAnsi="Times New Roman" w:cs="Times New Roman"/>
        </w:rPr>
        <w:t xml:space="preserve">do </w:t>
      </w:r>
      <w:r w:rsidR="00444517" w:rsidRPr="00A555B6">
        <w:rPr>
          <w:rFonts w:ascii="Times New Roman" w:hAnsi="Times New Roman" w:cs="Times New Roman"/>
        </w:rPr>
        <w:t xml:space="preserve">działalności gospodarczej na </w:t>
      </w:r>
      <w:r w:rsidRPr="00A555B6">
        <w:rPr>
          <w:rFonts w:ascii="Times New Roman" w:hAnsi="Times New Roman" w:cs="Times New Roman"/>
        </w:rPr>
        <w:t>etap</w:t>
      </w:r>
      <w:r w:rsidR="00444517" w:rsidRPr="00A555B6">
        <w:rPr>
          <w:rFonts w:ascii="Times New Roman" w:hAnsi="Times New Roman" w:cs="Times New Roman"/>
        </w:rPr>
        <w:t>ie</w:t>
      </w:r>
      <w:r w:rsidRPr="00A555B6">
        <w:rPr>
          <w:rFonts w:ascii="Times New Roman" w:hAnsi="Times New Roman" w:cs="Times New Roman"/>
        </w:rPr>
        <w:t xml:space="preserve"> rozpoczynania działalności przez przedsiębiorcę oraz rozwoju jego przedsiębiorstwa w</w:t>
      </w:r>
      <w:r w:rsidR="00444517" w:rsidRPr="00A555B6">
        <w:rPr>
          <w:rFonts w:ascii="Times New Roman" w:hAnsi="Times New Roman" w:cs="Times New Roman"/>
        </w:rPr>
        <w:t> </w:t>
      </w:r>
      <w:r w:rsidRPr="00A555B6">
        <w:rPr>
          <w:rFonts w:ascii="Times New Roman" w:hAnsi="Times New Roman" w:cs="Times New Roman"/>
        </w:rPr>
        <w:t>kolejnych latach. Nowelizacja obejmie też przepisy dotyczące zasad stanowienia prawa gospodarczego i oceny jego funkcjonowania. W związku z tym, że przyczyną zidentyfikowanych problemów są konkretne przepisy prawne, które nakładają wymogi regulacyjne na obywateli i firmy, realizacja celu poprzez działania pozalegislacyjne w tym zakresie nie jest możliwa. Przeprowadzenie osobnej nowelizacji każdego z aktów prawnych, w</w:t>
      </w:r>
      <w:r w:rsidR="006A71D8" w:rsidRPr="00A555B6">
        <w:rPr>
          <w:rFonts w:ascii="Times New Roman" w:hAnsi="Times New Roman" w:cs="Times New Roman"/>
        </w:rPr>
        <w:t> </w:t>
      </w:r>
      <w:r w:rsidRPr="00A555B6">
        <w:rPr>
          <w:rFonts w:ascii="Times New Roman" w:hAnsi="Times New Roman" w:cs="Times New Roman"/>
        </w:rPr>
        <w:t xml:space="preserve">których zidentyfikowano problemy, wydaje się działaniem nadmiarowym. Z uwagi na liczbę takowych oraz mając na względzie ekonomikę procesu legislacyjnego rekomendowanym rozwiązaniem jest ograniczenie wymogów regulacyjnych w drodze jednej ustawy o charakterze przekrojowym. </w:t>
      </w:r>
    </w:p>
    <w:p w14:paraId="53677368" w14:textId="53B167A6" w:rsidR="00C52194" w:rsidRPr="00A555B6" w:rsidRDefault="00C52194" w:rsidP="00C52194">
      <w:pPr>
        <w:spacing w:before="120" w:after="120" w:line="360" w:lineRule="auto"/>
        <w:jc w:val="both"/>
        <w:rPr>
          <w:rFonts w:ascii="Times New Roman" w:hAnsi="Times New Roman" w:cs="Times New Roman"/>
        </w:rPr>
      </w:pPr>
      <w:r w:rsidRPr="00A555B6">
        <w:rPr>
          <w:rFonts w:ascii="Times New Roman" w:hAnsi="Times New Roman" w:cs="Times New Roman"/>
        </w:rPr>
        <w:t>Celem proponowanych w projekcie rozwiązań jest zmniejszenie liczby zbędnych i nadmiernych wymogów regulacyjnych, co w konsekwencji przyczyni się do zmniejszenia kosztów przedsiębiorców. Rezultatem będą szybsze i sprawniejsze procedury administracyjne, co przełoży się również na efektywność pracy administracji publicznej. Przewiduje się, że podjęte działania będą stanowić pozytywny impuls dla przedsiębiorców znacząco wpływając na poprawę warunków do podejmowania i wykonywania działalności gospodarczej.</w:t>
      </w:r>
    </w:p>
    <w:p w14:paraId="74AD95C6" w14:textId="4B9666B3" w:rsidR="00FF4C6A" w:rsidRPr="00A555B6" w:rsidRDefault="00FF4C6A" w:rsidP="00FF4C6A">
      <w:pPr>
        <w:spacing w:before="120" w:after="120" w:line="360" w:lineRule="auto"/>
        <w:jc w:val="both"/>
        <w:rPr>
          <w:rFonts w:ascii="Times New Roman" w:hAnsi="Times New Roman" w:cs="Times New Roman"/>
        </w:rPr>
      </w:pPr>
      <w:r w:rsidRPr="00A555B6">
        <w:rPr>
          <w:rFonts w:ascii="Times New Roman" w:hAnsi="Times New Roman" w:cs="Times New Roman"/>
        </w:rPr>
        <w:t>Przepisy zostały zgrupowane w ramach komponentów:</w:t>
      </w:r>
    </w:p>
    <w:p w14:paraId="4257D620" w14:textId="2DB9BE30" w:rsidR="00FF4C6A" w:rsidRPr="00A555B6" w:rsidRDefault="00FF4C6A" w:rsidP="00FF4C6A">
      <w:pPr>
        <w:pStyle w:val="Akapitzlist"/>
        <w:numPr>
          <w:ilvl w:val="0"/>
          <w:numId w:val="16"/>
        </w:numPr>
        <w:spacing w:before="120" w:after="120" w:line="360" w:lineRule="auto"/>
        <w:jc w:val="both"/>
        <w:rPr>
          <w:rFonts w:ascii="Times New Roman" w:hAnsi="Times New Roman" w:cs="Times New Roman"/>
        </w:rPr>
      </w:pPr>
      <w:r w:rsidRPr="00A555B6">
        <w:rPr>
          <w:rFonts w:ascii="Times New Roman" w:hAnsi="Times New Roman" w:cs="Times New Roman"/>
        </w:rPr>
        <w:t>ułatwienia przy podejmowaniu pierwszych kroków w biznesie;</w:t>
      </w:r>
    </w:p>
    <w:p w14:paraId="3EBE5394" w14:textId="34EFA489" w:rsidR="00FF4C6A" w:rsidRPr="00A555B6" w:rsidRDefault="00FF4C6A" w:rsidP="00FF4C6A">
      <w:pPr>
        <w:pStyle w:val="Akapitzlist"/>
        <w:numPr>
          <w:ilvl w:val="0"/>
          <w:numId w:val="16"/>
        </w:numPr>
        <w:spacing w:before="120" w:after="120" w:line="360" w:lineRule="auto"/>
        <w:jc w:val="both"/>
        <w:rPr>
          <w:rFonts w:ascii="Times New Roman" w:hAnsi="Times New Roman" w:cs="Times New Roman"/>
        </w:rPr>
      </w:pPr>
      <w:r w:rsidRPr="00A555B6">
        <w:rPr>
          <w:rFonts w:ascii="Times New Roman" w:hAnsi="Times New Roman" w:cs="Times New Roman"/>
        </w:rPr>
        <w:t>prostsze zasady wykonywania działalności gospodarczej;</w:t>
      </w:r>
    </w:p>
    <w:p w14:paraId="2489B751" w14:textId="413706BE" w:rsidR="00FF4C6A" w:rsidRPr="00A555B6" w:rsidRDefault="00FF4C6A" w:rsidP="00FF4C6A">
      <w:pPr>
        <w:pStyle w:val="Akapitzlist"/>
        <w:numPr>
          <w:ilvl w:val="0"/>
          <w:numId w:val="16"/>
        </w:numPr>
        <w:spacing w:before="120" w:after="120" w:line="360" w:lineRule="auto"/>
        <w:jc w:val="both"/>
        <w:rPr>
          <w:rFonts w:ascii="Times New Roman" w:hAnsi="Times New Roman" w:cs="Times New Roman"/>
        </w:rPr>
      </w:pPr>
      <w:r w:rsidRPr="00A555B6">
        <w:rPr>
          <w:rFonts w:ascii="Times New Roman" w:hAnsi="Times New Roman" w:cs="Times New Roman"/>
        </w:rPr>
        <w:t>prawo gospodarcze przyjazne przedsiębiorcom.</w:t>
      </w:r>
    </w:p>
    <w:p w14:paraId="3641645A" w14:textId="5298DF59" w:rsidR="00C52194" w:rsidRPr="00A555B6" w:rsidRDefault="00C52194" w:rsidP="00C52194">
      <w:pPr>
        <w:spacing w:before="120" w:after="120" w:line="360" w:lineRule="auto"/>
        <w:jc w:val="both"/>
        <w:rPr>
          <w:rFonts w:ascii="Times New Roman" w:hAnsi="Times New Roman" w:cs="Times New Roman"/>
        </w:rPr>
      </w:pPr>
      <w:r w:rsidRPr="00A555B6">
        <w:rPr>
          <w:rFonts w:ascii="Times New Roman" w:hAnsi="Times New Roman" w:cs="Times New Roman"/>
        </w:rPr>
        <w:t>Zagadnienia będące przedmiotem projektu dotyczą kilku obszarów tematycznych, w tym: kontroli</w:t>
      </w:r>
      <w:r w:rsidR="009D4B4F" w:rsidRPr="00A555B6">
        <w:rPr>
          <w:rFonts w:ascii="Times New Roman" w:hAnsi="Times New Roman" w:cs="Times New Roman"/>
        </w:rPr>
        <w:t xml:space="preserve"> działalności gospodarczej</w:t>
      </w:r>
      <w:r w:rsidRPr="00A555B6">
        <w:rPr>
          <w:rFonts w:ascii="Times New Roman" w:hAnsi="Times New Roman" w:cs="Times New Roman"/>
        </w:rPr>
        <w:t xml:space="preserve">, rzemiosła, leasingu, </w:t>
      </w:r>
      <w:r w:rsidR="009D4B4F" w:rsidRPr="00A555B6">
        <w:rPr>
          <w:rFonts w:ascii="Times New Roman" w:hAnsi="Times New Roman" w:cs="Times New Roman"/>
        </w:rPr>
        <w:t>sprawniejszego funkcjonowania</w:t>
      </w:r>
      <w:r w:rsidRPr="00A555B6">
        <w:rPr>
          <w:rFonts w:ascii="Times New Roman" w:hAnsi="Times New Roman" w:cs="Times New Roman"/>
        </w:rPr>
        <w:t xml:space="preserve"> urzędów, „zielonej polityki”, zamówień publicznych, mediacji, ochrony i wsparcia przedsiębiorczości.</w:t>
      </w:r>
    </w:p>
    <w:p w14:paraId="216ECB07" w14:textId="77777777" w:rsidR="00FF4C6A" w:rsidRPr="00A555B6" w:rsidRDefault="00FF4C6A" w:rsidP="00FF4C6A">
      <w:pPr>
        <w:spacing w:before="120" w:after="120" w:line="360" w:lineRule="auto"/>
        <w:jc w:val="both"/>
        <w:rPr>
          <w:rFonts w:ascii="Times New Roman" w:hAnsi="Times New Roman" w:cs="Times New Roman"/>
        </w:rPr>
      </w:pPr>
    </w:p>
    <w:p w14:paraId="716A34F9" w14:textId="47CF8F56" w:rsidR="00950267" w:rsidRPr="00A555B6" w:rsidRDefault="006D600F" w:rsidP="004E6FE9">
      <w:pPr>
        <w:pStyle w:val="Nagwek1"/>
        <w:numPr>
          <w:ilvl w:val="0"/>
          <w:numId w:val="10"/>
        </w:numPr>
        <w:spacing w:before="120" w:after="120" w:line="360" w:lineRule="auto"/>
        <w:jc w:val="both"/>
        <w:rPr>
          <w:rFonts w:ascii="Times New Roman" w:hAnsi="Times New Roman" w:cs="Times New Roman"/>
          <w:b/>
          <w:bCs/>
          <w:color w:val="auto"/>
          <w:sz w:val="22"/>
          <w:szCs w:val="22"/>
        </w:rPr>
      </w:pPr>
      <w:bookmarkStart w:id="3" w:name="_Toc174689295"/>
      <w:r w:rsidRPr="00A555B6">
        <w:rPr>
          <w:rFonts w:ascii="Times New Roman" w:hAnsi="Times New Roman" w:cs="Times New Roman"/>
          <w:b/>
          <w:bCs/>
          <w:color w:val="auto"/>
          <w:sz w:val="22"/>
          <w:szCs w:val="22"/>
        </w:rPr>
        <w:t>Omówienie zmian zawartych w projekcie ustawy</w:t>
      </w:r>
      <w:bookmarkEnd w:id="3"/>
    </w:p>
    <w:p w14:paraId="02CB25C9" w14:textId="11AEE83A" w:rsidR="00950267" w:rsidRPr="00A555B6" w:rsidRDefault="00950267" w:rsidP="00F72AA8">
      <w:pPr>
        <w:pStyle w:val="Styl1"/>
      </w:pPr>
      <w:bookmarkStart w:id="4" w:name="_Toc139627313"/>
      <w:bookmarkStart w:id="5" w:name="_Toc174689296"/>
      <w:r w:rsidRPr="00A555B6">
        <w:t>Ustawa z dnia 14 czerwca 1960 r. – Kodeks postępowania administracyjnego</w:t>
      </w:r>
      <w:bookmarkEnd w:id="4"/>
      <w:bookmarkEnd w:id="5"/>
    </w:p>
    <w:p w14:paraId="18C4F62F" w14:textId="5913238A" w:rsidR="005C40BC" w:rsidRPr="00A555B6" w:rsidRDefault="003D2111"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D</w:t>
      </w:r>
      <w:r w:rsidR="005C40BC" w:rsidRPr="00A555B6">
        <w:rPr>
          <w:rFonts w:ascii="Times New Roman" w:hAnsi="Times New Roman" w:cs="Times New Roman"/>
        </w:rPr>
        <w:t>oręczenie zastępcze</w:t>
      </w:r>
      <w:r w:rsidR="002A6303" w:rsidRPr="00A555B6">
        <w:rPr>
          <w:rFonts w:ascii="Times New Roman" w:hAnsi="Times New Roman" w:cs="Times New Roman"/>
        </w:rPr>
        <w:t>.</w:t>
      </w:r>
      <w:r w:rsidR="005C40BC" w:rsidRPr="00A555B6">
        <w:rPr>
          <w:rFonts w:ascii="Times New Roman" w:hAnsi="Times New Roman" w:cs="Times New Roman"/>
        </w:rPr>
        <w:t xml:space="preserve"> </w:t>
      </w:r>
    </w:p>
    <w:p w14:paraId="5725271D"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Obecnie obowiązujące regulacje w zakresie doręczeń nie regulują w pełni sytuacji, gdy siedziba osoby prawnej lub jednostki organizacyjnej nieposiadającej osobowości prawnej nie istnieje lub z innego powodu nie jest możliwa do ustalenia. </w:t>
      </w:r>
    </w:p>
    <w:p w14:paraId="475A6CA9" w14:textId="40FCCD59"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Problem ten jest szczególnie widoczny w przypadku administracyjnych postępowań egzekucyjnych, do których odpowiednie stosowanie mają także przepisy K</w:t>
      </w:r>
      <w:r w:rsidR="00C2495E" w:rsidRPr="00A555B6">
        <w:rPr>
          <w:rFonts w:ascii="Times New Roman" w:hAnsi="Times New Roman" w:cs="Times New Roman"/>
        </w:rPr>
        <w:t>odeksu postępowania administracyjnego (dalej też: Kpa)</w:t>
      </w:r>
      <w:r w:rsidRPr="00A555B6">
        <w:rPr>
          <w:rFonts w:ascii="Times New Roman" w:hAnsi="Times New Roman" w:cs="Times New Roman"/>
        </w:rPr>
        <w:t xml:space="preserve">. Brak możliwości ustalenia adresu tych podmiotów może utrudniać, a niekiedy uniemożliwiać podejmowanie wobec nich czynności egzekucyjnych na skutek utrzymywania w odpowiednich rejestrach, w tym w Krajowym Rejestrze Sądowym nieaktualnych danych dotyczących adresu siedziby. </w:t>
      </w:r>
    </w:p>
    <w:p w14:paraId="73076329" w14:textId="72EF9FE5"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celu podniesienia skuteczności działania organów proponuje się wprowadzenie art. 45a Kpa przewidującego konstrukcję doręczenia pism osobom prawnym i jednostkom organizacyjnym nieposiadającym osobowości prawnej przez wykreowanie tzw. wtórnego adresata pisma oraz wykorzystanie fikcji prawnej doręczenia. Projektowane zasady będą miały zastosowanie jedynie w</w:t>
      </w:r>
      <w:r w:rsidR="00821E81" w:rsidRPr="00A555B6">
        <w:rPr>
          <w:rFonts w:ascii="Times New Roman" w:hAnsi="Times New Roman" w:cs="Times New Roman"/>
        </w:rPr>
        <w:t> </w:t>
      </w:r>
      <w:r w:rsidRPr="00A555B6">
        <w:rPr>
          <w:rFonts w:ascii="Times New Roman" w:hAnsi="Times New Roman" w:cs="Times New Roman"/>
        </w:rPr>
        <w:t>przypadkach, gdy adres ich siedziby nie istnieje, został wykreślony z rejestru lub jest niezgodny z</w:t>
      </w:r>
      <w:r w:rsidR="00821E81" w:rsidRPr="00A555B6">
        <w:rPr>
          <w:rFonts w:ascii="Times New Roman" w:hAnsi="Times New Roman" w:cs="Times New Roman"/>
        </w:rPr>
        <w:t> </w:t>
      </w:r>
      <w:r w:rsidRPr="00A555B6">
        <w:rPr>
          <w:rFonts w:ascii="Times New Roman" w:hAnsi="Times New Roman" w:cs="Times New Roman"/>
        </w:rPr>
        <w:t xml:space="preserve">odpowiednim rejestrem i nie można ustalić </w:t>
      </w:r>
      <w:r w:rsidR="003057CA" w:rsidRPr="00A555B6">
        <w:rPr>
          <w:rFonts w:ascii="Times New Roman" w:hAnsi="Times New Roman" w:cs="Times New Roman"/>
        </w:rPr>
        <w:t>adresu siedziby.</w:t>
      </w:r>
      <w:r w:rsidRPr="00A555B6">
        <w:rPr>
          <w:rFonts w:ascii="Times New Roman" w:hAnsi="Times New Roman" w:cs="Times New Roman"/>
        </w:rPr>
        <w:t xml:space="preserve">. </w:t>
      </w:r>
    </w:p>
    <w:p w14:paraId="7D741EF1" w14:textId="43A6183E"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zauważyć, że obecnie Kpa przewiduje już doręczenia zastępcze. W obecnym stanie prawnym obowiązuje zasada, że każde pismo kierowane do spółki (m.in. decyzje, postanowienia, pisma w toku postępowania) powinno zostać jej doręczone w lokalu siedziby do rąk osoby uprawnionej (art. 45 zdanie </w:t>
      </w:r>
      <w:r w:rsidR="008A4B55" w:rsidRPr="00A555B6">
        <w:rPr>
          <w:rFonts w:ascii="Times New Roman" w:hAnsi="Times New Roman" w:cs="Times New Roman"/>
        </w:rPr>
        <w:t>pierwsze</w:t>
      </w:r>
      <w:r w:rsidRPr="00A555B6">
        <w:rPr>
          <w:rFonts w:ascii="Times New Roman" w:hAnsi="Times New Roman" w:cs="Times New Roman"/>
        </w:rPr>
        <w:t xml:space="preserve"> Kpa). Zgodnie z art. 45 zdanie drugie Kpa przepis art. 44 Kpa stosuje się odpowiednio. W</w:t>
      </w:r>
      <w:r w:rsidR="004C765C" w:rsidRPr="00A555B6">
        <w:rPr>
          <w:rFonts w:ascii="Times New Roman" w:hAnsi="Times New Roman" w:cs="Times New Roman"/>
        </w:rPr>
        <w:t> </w:t>
      </w:r>
      <w:r w:rsidRPr="00A555B6">
        <w:rPr>
          <w:rFonts w:ascii="Times New Roman" w:hAnsi="Times New Roman" w:cs="Times New Roman"/>
        </w:rPr>
        <w:t>związku z tym w razie niemożności doręczenia spółce pisma w sposób opisany powyżej,</w:t>
      </w:r>
      <w:r w:rsidR="00C52194" w:rsidRPr="00A555B6">
        <w:rPr>
          <w:rFonts w:ascii="Times New Roman" w:hAnsi="Times New Roman" w:cs="Times New Roman"/>
        </w:rPr>
        <w:t xml:space="preserve"> doręczyciel </w:t>
      </w:r>
      <w:r w:rsidRPr="00A555B6">
        <w:rPr>
          <w:rFonts w:ascii="Times New Roman" w:hAnsi="Times New Roman" w:cs="Times New Roman"/>
        </w:rPr>
        <w:t>(z</w:t>
      </w:r>
      <w:r w:rsidR="00821E81" w:rsidRPr="00A555B6">
        <w:rPr>
          <w:rFonts w:ascii="Times New Roman" w:hAnsi="Times New Roman" w:cs="Times New Roman"/>
        </w:rPr>
        <w:t> </w:t>
      </w:r>
      <w:r w:rsidRPr="00A555B6">
        <w:rPr>
          <w:rFonts w:ascii="Times New Roman" w:hAnsi="Times New Roman" w:cs="Times New Roman"/>
        </w:rPr>
        <w:t>reguły jest nim operator pocztowy), obowiązany jest przechować pismo przez 14 dni w placówce pocztowej (art. 44 § 1 pkt. 1 Kpa stosowany odpowiednio) oraz pozostawić adresatowi, czyli spółce zawiadomienie z informacją o możliwości jego odbioru w placówce pocztowej w terminie 7 dni, licząc od daty pozostawienia zawiadomienia. Samo zawiadomienie zaś doręczyciel powinien umieścić w</w:t>
      </w:r>
      <w:r w:rsidR="00E6226B" w:rsidRPr="00A555B6">
        <w:rPr>
          <w:rFonts w:ascii="Times New Roman" w:hAnsi="Times New Roman" w:cs="Times New Roman"/>
        </w:rPr>
        <w:t> </w:t>
      </w:r>
      <w:r w:rsidRPr="00A555B6">
        <w:rPr>
          <w:rFonts w:ascii="Times New Roman" w:hAnsi="Times New Roman" w:cs="Times New Roman"/>
        </w:rPr>
        <w:t>skrzynce pocztowej spółki lub, gdy nie jest to możliwe, na drzwiach lokalu siedziby spółki lub w</w:t>
      </w:r>
      <w:r w:rsidR="00821E81" w:rsidRPr="00A555B6">
        <w:rPr>
          <w:rFonts w:ascii="Times New Roman" w:hAnsi="Times New Roman" w:cs="Times New Roman"/>
        </w:rPr>
        <w:t> </w:t>
      </w:r>
      <w:r w:rsidRPr="00A555B6">
        <w:rPr>
          <w:rFonts w:ascii="Times New Roman" w:hAnsi="Times New Roman" w:cs="Times New Roman"/>
        </w:rPr>
        <w:t xml:space="preserve">widocznym miejscu przy wejściu na teren, do którego spółka ma wyłączny tytuł prawny (art. 44 § 2 Kpa stosowany odpowiednio).  </w:t>
      </w:r>
    </w:p>
    <w:p w14:paraId="6AD3F7EA" w14:textId="6378C742"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Jeśli zaś spółka nie podejmie przesyłki w terminie, doręczyciel obowiązany jest pozostawić powtórne zawiadomienie o możliwości odbioru przesyłki, przy czym termin odbioru określa się wówczas jako nie dłuższy niż 14 dni od daty pierwszego zawiadomienia (art. 44 § 3 Kpa). Gdy spółka nie podejmie pisma po drugim zawiadomieniu, doręczenie pisma będzie uznane za dokonane z upływem czternastego dnia od daty pozostawienia przez pocztę pierwszego zawiadomienia o przesyłce (art. 44 § 4 Kpa), co innymi słowy oznaczać będzie przyjęcie w postępowaniu administracyjnym tzw. fikcji doręczenia. Należy podkreślić jednak, że ww. fikcja doręczenia odnosi się wyłącznie bezpośrednio do adresata pisma. W</w:t>
      </w:r>
      <w:r w:rsidR="00E6226B" w:rsidRPr="00A555B6">
        <w:rPr>
          <w:rFonts w:ascii="Times New Roman" w:hAnsi="Times New Roman" w:cs="Times New Roman"/>
        </w:rPr>
        <w:t> </w:t>
      </w:r>
      <w:r w:rsidRPr="00A555B6">
        <w:rPr>
          <w:rFonts w:ascii="Times New Roman" w:hAnsi="Times New Roman" w:cs="Times New Roman"/>
        </w:rPr>
        <w:t xml:space="preserve">postanowieniu z dnia 8 stycznia 2015 r. (sygn. akt II GSK 2769/14) NSA podkreślił przesłanki dopuszczalności fikcji doręczenia: „Zgodnie z art. 40 § 1 Kpa pisma doręcza się stronie. Zatem pismo </w:t>
      </w:r>
      <w:r w:rsidRPr="00A555B6">
        <w:rPr>
          <w:rFonts w:ascii="Times New Roman" w:hAnsi="Times New Roman" w:cs="Times New Roman"/>
        </w:rPr>
        <w:lastRenderedPageBreak/>
        <w:t>skierowane do osoby prawnej zawierające decyzję dotyczącą spółki z o.o. powinno być skierowane do tej spółki a nie do członka zarządu spółki. Zgodnie z art. 45 Kpa jednostkom organizacyjnym, a w tej grupie mieszczą się także osoby prawne, do których należą spółki z o.o., pisma doręcza się w lokalu ich siedziby do rąk osób uprawnionych do odbioru pism. Zatem pismo skierowane do spółki z o.o. powinno być doręczone na adres spółki.” W związku z tym, w celu podniesienia skuteczności działania organów administracji publicznej, dodatkowo, wprowadza się możliwość doręczenia pisma osobie fizycznej upoważnionej do reprezentowania adresata, będącego osobą prawną lub jednostką organizacyjną nieposiadającą osobowości prawnej, także wtedy, gdy reprezentacja ma charakter łączny z innymi osobami, gdy podany przez osobę prawną lub jednostkę organizacyjną niemającą osobowości prawnej adres jej siedziby nie istnieje, adres został wykreślony z</w:t>
      </w:r>
      <w:r w:rsidR="00821E81" w:rsidRPr="00A555B6">
        <w:rPr>
          <w:rFonts w:ascii="Times New Roman" w:hAnsi="Times New Roman" w:cs="Times New Roman"/>
        </w:rPr>
        <w:t> </w:t>
      </w:r>
      <w:r w:rsidRPr="00A555B6">
        <w:rPr>
          <w:rFonts w:ascii="Times New Roman" w:hAnsi="Times New Roman" w:cs="Times New Roman"/>
        </w:rPr>
        <w:t xml:space="preserve">rejestru lub jest niezgodny z odpowiednim rejestrem i nie można ustalić </w:t>
      </w:r>
      <w:r w:rsidR="003057CA" w:rsidRPr="00A555B6">
        <w:rPr>
          <w:rFonts w:ascii="Times New Roman" w:hAnsi="Times New Roman" w:cs="Times New Roman"/>
        </w:rPr>
        <w:t>adresu siedziby</w:t>
      </w:r>
      <w:r w:rsidRPr="00A555B6">
        <w:rPr>
          <w:rFonts w:ascii="Times New Roman" w:hAnsi="Times New Roman" w:cs="Times New Roman"/>
        </w:rPr>
        <w:t>. Należy zauważyć, że przepis ten będzie miał zastosowanie zarówno do postępowań wszczynanych na wniosek, jak i z urzędu.</w:t>
      </w:r>
      <w:r w:rsidR="003057CA" w:rsidRPr="00A555B6">
        <w:rPr>
          <w:rFonts w:ascii="Times New Roman" w:hAnsi="Times New Roman" w:cs="Times New Roman"/>
        </w:rPr>
        <w:t xml:space="preserve"> Przepis ten będzie miał zastosowanie tylko w razie braku skutecznego doręczenia pisma w sposób wskazany w art. 45 Kpa z powodów, o</w:t>
      </w:r>
      <w:r w:rsidR="00E6226B" w:rsidRPr="00A555B6">
        <w:rPr>
          <w:rFonts w:ascii="Times New Roman" w:hAnsi="Times New Roman" w:cs="Times New Roman"/>
        </w:rPr>
        <w:t> </w:t>
      </w:r>
      <w:r w:rsidR="003057CA" w:rsidRPr="00A555B6">
        <w:rPr>
          <w:rFonts w:ascii="Times New Roman" w:hAnsi="Times New Roman" w:cs="Times New Roman"/>
        </w:rPr>
        <w:t xml:space="preserve">których mowa w art. 45a § 1 Kpa. </w:t>
      </w:r>
      <w:r w:rsidRPr="00A555B6">
        <w:rPr>
          <w:rFonts w:ascii="Times New Roman" w:hAnsi="Times New Roman" w:cs="Times New Roman"/>
        </w:rPr>
        <w:t>Jednocześnie powyższy przepis może przyczynić się m.in. do skuteczności postępowań egzekucyjnych w administracji. Zgodnie z art. 26 § 1 ustawy z dnia 17 czerwca 1966 r. o postępowaniu egzekucyjnym w administracji postępowanie egzekucyjne wszczyna się na wniosek wierzyciela o wszczęcie egzekucji administracyjnej i na podstawie wystawionego przez niego tytułu wykonawczego, sporządzonego według ustalonego wzoru. Zgodnie natomiast z art. 18 ustawy o postępowaniu egzekucyjnym w administracji, jeżeli przepisy niniejszej ustawy nie stanowią inaczej, w postępowaniu egzekucyjnym mają odpowiednie zastosowanie przepisy Kodeksu postępowania administracyjnego. Kwestie doręczeń nie zostały uregulowane w ustawie o</w:t>
      </w:r>
      <w:r w:rsidR="00821E81" w:rsidRPr="00A555B6">
        <w:rPr>
          <w:rFonts w:ascii="Times New Roman" w:hAnsi="Times New Roman" w:cs="Times New Roman"/>
        </w:rPr>
        <w:t> </w:t>
      </w:r>
      <w:r w:rsidRPr="00A555B6">
        <w:rPr>
          <w:rFonts w:ascii="Times New Roman" w:hAnsi="Times New Roman" w:cs="Times New Roman"/>
        </w:rPr>
        <w:t>postępowaniu egzekucyjnym w administracji. W związku z tym uregulowanie w Kpa dodatkowej fikcji doręczenia spowoduje większą skuteczność organów administracji publicznej w dochodzeniu należności.</w:t>
      </w:r>
    </w:p>
    <w:p w14:paraId="7DECB267" w14:textId="12F68C2D" w:rsidR="003057CA" w:rsidRPr="00A555B6" w:rsidRDefault="003057CA"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art. 45a § 3 Kpa przyjęto, że pismo należy doręczyć na ustalony przez organ administracji publicznej adres do doręczeń osoby fizycznej upoważnionej do reprezentowania adresata. </w:t>
      </w:r>
      <w:r w:rsidR="005C40BC" w:rsidRPr="00A555B6">
        <w:rPr>
          <w:rFonts w:ascii="Times New Roman" w:hAnsi="Times New Roman" w:cs="Times New Roman"/>
        </w:rPr>
        <w:t xml:space="preserve">Adresy osób fizycznych upoważnionych do reprezentowania w/w podmiotów są dostępne w rejestrach, w tym w Krajowym Rejestrze Sądowym lub mogą być znane organowi administracji publicznej z urzędu. </w:t>
      </w:r>
      <w:r w:rsidRPr="00A555B6">
        <w:rPr>
          <w:rFonts w:ascii="Times New Roman" w:hAnsi="Times New Roman" w:cs="Times New Roman"/>
        </w:rPr>
        <w:t xml:space="preserve"> Zgodnie z art. 10 ust. 1 ustawy z dnia 20 sierpnia 1997 r. o Krajowym Rejestrze Sądowym każdy ma prawo przeglądania akt rejestrowych podmiotów wpisanych do Rejestru oraz zbioru dokumentów, o którym mowa w art. 9 akta rejestrowe ust. 6, chyba że ustawa stanowi inaczej. W myśl natomiast art. 19a ust. 5 ustawy o</w:t>
      </w:r>
      <w:r w:rsidR="00E6226B" w:rsidRPr="00A555B6">
        <w:rPr>
          <w:rFonts w:ascii="Times New Roman" w:hAnsi="Times New Roman" w:cs="Times New Roman"/>
        </w:rPr>
        <w:t> </w:t>
      </w:r>
      <w:r w:rsidRPr="00A555B6">
        <w:rPr>
          <w:rFonts w:ascii="Times New Roman" w:hAnsi="Times New Roman" w:cs="Times New Roman"/>
        </w:rPr>
        <w:t xml:space="preserve">Krajowym Rejestrze Sądowym do wniosku o wpis osób reprezentujących podmiot wpisany do Rejestru, likwidatorów i prokurentów należy dołączyć oświadczenia tych osób obejmujące zgodę na ich powołanie oraz ich adresy do doręczeń. Wymogu dołączenia oświadczenia obejmującego zgodę nie stosuje się, jeżeli wniosek o wpis jest podpisany przez osobę, która podlega wpisowi albo która udzieliła pełnomocnictwa do złożenia wniosku o wpis, albo której zgoda jest wyrażona w protokole z posiedzenia organu powołującego daną osobę lub w umowie spółki. Natomiast do zgłoszenia spółki kapitałowej do </w:t>
      </w:r>
      <w:r w:rsidRPr="00A555B6">
        <w:rPr>
          <w:rFonts w:ascii="Times New Roman" w:hAnsi="Times New Roman" w:cs="Times New Roman"/>
        </w:rPr>
        <w:lastRenderedPageBreak/>
        <w:t>Rejestru należy dołączyć listę obejmującą nazwisko i imię oraz adres do doręczeń albo firmę lub nazwę i siedzibę członków organów lub osób uprawnionych do powołania zarządu. W przypadku gdy wspólnikiem jest osoba prawna, należy podać imiona i nazwiska oraz adresy do doręczeń członków organu uprawnionego do reprezentowania tej osoby prawnej. Każdorazową zmianę tych osób oraz danych tych osób należy zgłosić sądowi rejestrowemu, przedkładając nową listę (art. 19a ust. 5d ustawy o Krajowym Rejestrze Sądowym).</w:t>
      </w:r>
    </w:p>
    <w:p w14:paraId="60DAA94B" w14:textId="3048D0F5"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Niemniej przepis w proponowanym art. 45a § </w:t>
      </w:r>
      <w:r w:rsidR="003057CA" w:rsidRPr="00A555B6">
        <w:rPr>
          <w:rFonts w:ascii="Times New Roman" w:hAnsi="Times New Roman" w:cs="Times New Roman"/>
        </w:rPr>
        <w:t>3</w:t>
      </w:r>
      <w:r w:rsidRPr="00A555B6">
        <w:rPr>
          <w:rFonts w:ascii="Times New Roman" w:hAnsi="Times New Roman" w:cs="Times New Roman"/>
        </w:rPr>
        <w:t xml:space="preserve"> Kpa przewiduje przyjęcie fikcji doręczenia, gdyby, z</w:t>
      </w:r>
      <w:r w:rsidR="00E6226B" w:rsidRPr="00A555B6">
        <w:rPr>
          <w:rFonts w:ascii="Times New Roman" w:hAnsi="Times New Roman" w:cs="Times New Roman"/>
        </w:rPr>
        <w:t> </w:t>
      </w:r>
      <w:r w:rsidRPr="00A555B6">
        <w:rPr>
          <w:rFonts w:ascii="Times New Roman" w:hAnsi="Times New Roman" w:cs="Times New Roman"/>
        </w:rPr>
        <w:t xml:space="preserve">jakiś powodów, adresy nie były możliwe do ustalenia. W przypadku gdy organ administracji publicznej nie będzie w stanie ustalić adresu </w:t>
      </w:r>
      <w:r w:rsidR="003057CA" w:rsidRPr="00A555B6">
        <w:rPr>
          <w:rFonts w:ascii="Times New Roman" w:hAnsi="Times New Roman" w:cs="Times New Roman"/>
        </w:rPr>
        <w:t xml:space="preserve">do doręczeń </w:t>
      </w:r>
      <w:r w:rsidRPr="00A555B6">
        <w:rPr>
          <w:rFonts w:ascii="Times New Roman" w:hAnsi="Times New Roman" w:cs="Times New Roman"/>
        </w:rPr>
        <w:t>osoby fizycznej upoważnionej do reprezentowania osoby prawnej czy też jednostki organizacyjnej nieposiadającej osobowości prawnej, tj. podjęte czynności w postaci sprawdzenia treści wpisów do odpowiednich rejestrów nie pozwoliły na ustalenie ww. danych a inny aktualny adres tej osoby fizycznej nie jest znany organowi, to w takiej sytuacji pismo pozostawia się w aktach sprawy wraz z odpowiednią adnotacją pracownika organu o</w:t>
      </w:r>
      <w:r w:rsidR="00821E81" w:rsidRPr="00A555B6">
        <w:rPr>
          <w:rFonts w:ascii="Times New Roman" w:hAnsi="Times New Roman" w:cs="Times New Roman"/>
        </w:rPr>
        <w:t> </w:t>
      </w:r>
      <w:r w:rsidRPr="00A555B6">
        <w:rPr>
          <w:rFonts w:ascii="Times New Roman" w:hAnsi="Times New Roman" w:cs="Times New Roman"/>
        </w:rPr>
        <w:t xml:space="preserve">poczynionych ustaleniach, a datę sporządzenia tej adnotacji uznaje się za datę doręczenia pisma tej osobie fizycznej. Dodatkowo, w ramach § </w:t>
      </w:r>
      <w:r w:rsidR="003057CA" w:rsidRPr="00A555B6">
        <w:rPr>
          <w:rFonts w:ascii="Times New Roman" w:hAnsi="Times New Roman" w:cs="Times New Roman"/>
        </w:rPr>
        <w:t>4</w:t>
      </w:r>
      <w:r w:rsidRPr="00A555B6">
        <w:rPr>
          <w:rFonts w:ascii="Times New Roman" w:hAnsi="Times New Roman" w:cs="Times New Roman"/>
        </w:rPr>
        <w:t>, doprecyzowany zosta</w:t>
      </w:r>
      <w:r w:rsidR="003057CA" w:rsidRPr="00A555B6">
        <w:rPr>
          <w:rFonts w:ascii="Times New Roman" w:hAnsi="Times New Roman" w:cs="Times New Roman"/>
        </w:rPr>
        <w:t>ł</w:t>
      </w:r>
      <w:r w:rsidRPr="00A555B6">
        <w:rPr>
          <w:rFonts w:ascii="Times New Roman" w:hAnsi="Times New Roman" w:cs="Times New Roman"/>
        </w:rPr>
        <w:t xml:space="preserve"> sposób ustalania daty, z którą uznaje się skutek doręczenia, tj. z dniem sporządzenia przez organ administracji publicznej adnotacji o</w:t>
      </w:r>
      <w:r w:rsidR="00821E81" w:rsidRPr="00A555B6">
        <w:rPr>
          <w:rFonts w:ascii="Times New Roman" w:hAnsi="Times New Roman" w:cs="Times New Roman"/>
        </w:rPr>
        <w:t> </w:t>
      </w:r>
      <w:r w:rsidRPr="00A555B6">
        <w:rPr>
          <w:rFonts w:ascii="Times New Roman" w:hAnsi="Times New Roman" w:cs="Times New Roman"/>
        </w:rPr>
        <w:t xml:space="preserve">niemożności ustalenia adresu </w:t>
      </w:r>
      <w:r w:rsidR="003057CA" w:rsidRPr="00A555B6">
        <w:rPr>
          <w:rFonts w:ascii="Times New Roman" w:hAnsi="Times New Roman" w:cs="Times New Roman"/>
        </w:rPr>
        <w:t xml:space="preserve">do doręczeń </w:t>
      </w:r>
      <w:r w:rsidRPr="00A555B6">
        <w:rPr>
          <w:rFonts w:ascii="Times New Roman" w:hAnsi="Times New Roman" w:cs="Times New Roman"/>
        </w:rPr>
        <w:t xml:space="preserve">osoby fizycznej upoważnionej do reprezentowania adresata. </w:t>
      </w:r>
    </w:p>
    <w:p w14:paraId="3F9D81A1"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Należy również wskazać, że do doręczeń pism osobie fizycznej upoważnionej do reprezentowania adresata zastosowanie będą miały ogólne przepisy Kpa dotyczące doręczeń, np. art. 42 Kpa.</w:t>
      </w:r>
    </w:p>
    <w:p w14:paraId="77962C90" w14:textId="716131F5" w:rsidR="003D2111"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Tożsame rozwiązanie zostało uregulowane w art. 151a Ordynacji podatkowej  i w obecnym brzmieniu obowiązuje od 2016 r.  </w:t>
      </w:r>
    </w:p>
    <w:p w14:paraId="5A0E3A7F" w14:textId="4FB9BDCE" w:rsidR="003D2111" w:rsidRPr="00A555B6" w:rsidRDefault="003D2111" w:rsidP="004E6FE9">
      <w:pPr>
        <w:pStyle w:val="PKTpunkt"/>
        <w:numPr>
          <w:ilvl w:val="0"/>
          <w:numId w:val="5"/>
        </w:numPr>
        <w:spacing w:before="120" w:after="120"/>
        <w:rPr>
          <w:rFonts w:ascii="Times New Roman" w:hAnsi="Times New Roman" w:cs="Times New Roman"/>
          <w:sz w:val="22"/>
          <w:szCs w:val="22"/>
        </w:rPr>
      </w:pPr>
      <w:r w:rsidRPr="00A555B6">
        <w:rPr>
          <w:rFonts w:ascii="Times New Roman" w:hAnsi="Times New Roman" w:cs="Times New Roman"/>
          <w:sz w:val="22"/>
          <w:szCs w:val="22"/>
        </w:rPr>
        <w:t>Zmiany w zakresie mediacji</w:t>
      </w:r>
      <w:r w:rsidR="002A6303" w:rsidRPr="00A555B6">
        <w:rPr>
          <w:rFonts w:ascii="Times New Roman" w:hAnsi="Times New Roman" w:cs="Times New Roman"/>
          <w:sz w:val="22"/>
          <w:szCs w:val="22"/>
        </w:rPr>
        <w:t>.</w:t>
      </w:r>
    </w:p>
    <w:p w14:paraId="02F83946" w14:textId="305DC074" w:rsidR="00680B6F" w:rsidRPr="00A555B6" w:rsidRDefault="00680B6F" w:rsidP="00680B6F">
      <w:pPr>
        <w:pStyle w:val="PKTpunkt"/>
        <w:spacing w:before="120" w:after="120"/>
        <w:ind w:left="0" w:firstLine="0"/>
        <w:rPr>
          <w:rFonts w:ascii="Times New Roman" w:hAnsi="Times New Roman" w:cs="Times New Roman"/>
          <w:sz w:val="22"/>
          <w:szCs w:val="22"/>
        </w:rPr>
      </w:pPr>
      <w:r w:rsidRPr="00A555B6">
        <w:rPr>
          <w:rFonts w:ascii="Times New Roman" w:hAnsi="Times New Roman" w:cs="Times New Roman"/>
          <w:sz w:val="22"/>
          <w:szCs w:val="22"/>
        </w:rPr>
        <w:t xml:space="preserve">W 2017 r. do Kpa wprowadzono możliwość prowadzenia mediacji w sprawach administracyjnych. Mediacja przyczynia się do budowania zaufania obywateli do organów administracji publicznej oraz profesjonalizacji załatwiania spraw. Stanowi przy tym wyraz nowoczesnych form współdziałania obywateli i aparatu administracyjnego. Z przeprowadzonej oceny skutków regulacji </w:t>
      </w:r>
      <w:r w:rsidR="009A2390" w:rsidRPr="00A555B6">
        <w:rPr>
          <w:rFonts w:ascii="Times New Roman" w:hAnsi="Times New Roman" w:cs="Times New Roman"/>
          <w:sz w:val="22"/>
          <w:szCs w:val="22"/>
        </w:rPr>
        <w:t xml:space="preserve">ex-post </w:t>
      </w:r>
      <w:r w:rsidRPr="00A555B6">
        <w:rPr>
          <w:rFonts w:ascii="Times New Roman" w:hAnsi="Times New Roman" w:cs="Times New Roman"/>
          <w:sz w:val="22"/>
          <w:szCs w:val="22"/>
        </w:rPr>
        <w:t>nowelizacji KPA z 2017 r.</w:t>
      </w:r>
      <w:r w:rsidR="009A2390" w:rsidRPr="00A555B6">
        <w:rPr>
          <w:rStyle w:val="Odwoanieprzypisudolnego"/>
          <w:rFonts w:ascii="Times New Roman" w:hAnsi="Times New Roman" w:cs="Times New Roman"/>
          <w:sz w:val="22"/>
          <w:szCs w:val="22"/>
        </w:rPr>
        <w:footnoteReference w:id="2"/>
      </w:r>
      <w:r w:rsidRPr="00A555B6">
        <w:rPr>
          <w:rFonts w:ascii="Times New Roman" w:hAnsi="Times New Roman" w:cs="Times New Roman"/>
          <w:sz w:val="22"/>
          <w:szCs w:val="22"/>
        </w:rPr>
        <w:t xml:space="preserve"> wynika, że mediacja, mimo jej zalet, nie stała się szeroko stosowanym narzędziem w sprawach administracyjnych. Organy często pomijają istotę mediacji w sprawach administracyjnych, tj. wyjaśnienie stanu faktycznego i stanu prawnego przy wykorzystaniu środków zapewniających bezpośrednią i szybką komunikację ze stronami postępowania, a nade wszystko załatwienie sprawy w sposób zmniejszający ryzyko odwołania i dalszego angażowania administracji publicznej lub sądów </w:t>
      </w:r>
      <w:r w:rsidRPr="00A555B6">
        <w:rPr>
          <w:rFonts w:ascii="Times New Roman" w:hAnsi="Times New Roman" w:cs="Times New Roman"/>
          <w:sz w:val="22"/>
          <w:szCs w:val="22"/>
        </w:rPr>
        <w:lastRenderedPageBreak/>
        <w:t>w rozpoznanie sprawy. Strony mają niewielką wiedzę o możliwości korzystania z mediacji w ramach postępowania administracyjnego oraz o zaletach tego instrumentu.</w:t>
      </w:r>
    </w:p>
    <w:p w14:paraId="07B9E7EF" w14:textId="77777777" w:rsidR="00680B6F" w:rsidRPr="00A555B6" w:rsidRDefault="00680B6F" w:rsidP="00680B6F">
      <w:pPr>
        <w:spacing w:line="360" w:lineRule="auto"/>
        <w:ind w:left="57" w:right="57"/>
        <w:jc w:val="both"/>
        <w:rPr>
          <w:rFonts w:ascii="Times New Roman" w:hAnsi="Times New Roman" w:cs="Times New Roman"/>
        </w:rPr>
      </w:pPr>
      <w:r w:rsidRPr="00A555B6">
        <w:rPr>
          <w:rFonts w:ascii="Times New Roman" w:eastAsiaTheme="minorEastAsia" w:hAnsi="Times New Roman" w:cs="Times New Roman"/>
          <w:bCs/>
          <w:kern w:val="0"/>
          <w:lang w:eastAsia="pl-PL"/>
          <w14:ligatures w14:val="none"/>
        </w:rPr>
        <w:t>Dlatego w art. 96a Kpa proponuje się doprecyzować, jakie sprawy w szczególności nadają się do prowadzenia mediacji administracyjnej. Po pierwsze, są to sprawy pozwalające organowi na działanie w ramach uznania administracyjnego. Pojęcie „uznania administracyjnego”, choć nie zostało zdefiniowanie w prawie, posiada ugruntowaną i uznawaną w orzecznictwie</w:t>
      </w:r>
      <w:r w:rsidRPr="00A555B6">
        <w:rPr>
          <w:rFonts w:ascii="Times New Roman" w:eastAsiaTheme="minorEastAsia" w:hAnsi="Times New Roman" w:cs="Times New Roman"/>
          <w:bCs/>
          <w:kern w:val="0"/>
          <w:vertAlign w:val="superscript"/>
          <w:lang w:eastAsia="pl-PL"/>
          <w14:ligatures w14:val="none"/>
        </w:rPr>
        <w:footnoteReference w:id="3"/>
      </w:r>
      <w:r w:rsidRPr="00A555B6">
        <w:rPr>
          <w:rFonts w:ascii="Times New Roman" w:eastAsiaTheme="minorEastAsia" w:hAnsi="Times New Roman" w:cs="Times New Roman"/>
          <w:bCs/>
          <w:kern w:val="0"/>
          <w:lang w:eastAsia="pl-PL"/>
          <w14:ligatures w14:val="none"/>
        </w:rPr>
        <w:t xml:space="preserve"> i doktrynie</w:t>
      </w:r>
      <w:r w:rsidRPr="00A555B6">
        <w:rPr>
          <w:rFonts w:ascii="Times New Roman" w:eastAsiaTheme="minorEastAsia" w:hAnsi="Times New Roman" w:cs="Times New Roman"/>
          <w:bCs/>
          <w:kern w:val="0"/>
          <w:vertAlign w:val="superscript"/>
          <w:lang w:eastAsia="pl-PL"/>
          <w14:ligatures w14:val="none"/>
        </w:rPr>
        <w:footnoteReference w:id="4"/>
      </w:r>
      <w:r w:rsidRPr="00A555B6">
        <w:rPr>
          <w:rFonts w:ascii="Times New Roman" w:eastAsiaTheme="minorEastAsia" w:hAnsi="Times New Roman" w:cs="Times New Roman"/>
          <w:bCs/>
          <w:kern w:val="0"/>
          <w:lang w:eastAsia="pl-PL"/>
          <w14:ligatures w14:val="none"/>
        </w:rPr>
        <w:t xml:space="preserve"> definicję. Przez uznanie administracyjne rozumie się uprawnienie organu do wyboru skutków prawnych, spośród kilku różnych wariantów mających zastosowanie do danego stanu faktycznego. Po drugie, katalog spraw, w których mediacja administracyjna może być prowadzona jest zawarty w rozporządzeniu Ministra Spraw Wewnętrznych i Administracji z dnia 2 czerwca 2017 roku w sprawie wysokości wynagrodzenia i podlegających zwrotowi wydatków mediatora w postępowaniu administracyjnym (Dz.U. poz. 1088) i proponuje się wskazanie tych spraw w treści przepisu ustawy, aby zwiększyć świadomość organów i stron o możliwościach prowadzenia mediacji administracyjnej w danych rodzajach spraw.</w:t>
      </w:r>
    </w:p>
    <w:p w14:paraId="02036378" w14:textId="77777777" w:rsidR="00680B6F" w:rsidRPr="00A555B6" w:rsidRDefault="00680B6F" w:rsidP="00680B6F">
      <w:pPr>
        <w:spacing w:line="360" w:lineRule="auto"/>
        <w:ind w:left="57" w:right="57"/>
        <w:jc w:val="both"/>
        <w:rPr>
          <w:rFonts w:ascii="Times New Roman" w:hAnsi="Times New Roman" w:cs="Times New Roman"/>
        </w:rPr>
      </w:pPr>
      <w:r w:rsidRPr="00A555B6">
        <w:rPr>
          <w:rFonts w:ascii="Times New Roman" w:eastAsiaTheme="minorEastAsia" w:hAnsi="Times New Roman" w:cs="Times New Roman"/>
          <w:bCs/>
          <w:kern w:val="0"/>
          <w:lang w:eastAsia="pl-PL"/>
          <w14:ligatures w14:val="none"/>
        </w:rPr>
        <w:t xml:space="preserve">Z uwagi na mnogość spraw administracyjnych regulowanych w szczegółowych ustawach nie jest możliwe wskazanie w Kpa zamkniętego katalogu spraw administracyjnych, w których mediacja administracyjna jest możliwa. Ponadto, niekiedy prowadzenie mediacji administracyjnej może okazać się niecelowe. Dlatego </w:t>
      </w:r>
      <w:r w:rsidRPr="00A555B6">
        <w:rPr>
          <w:rFonts w:ascii="Times New Roman" w:hAnsi="Times New Roman" w:cs="Times New Roman"/>
        </w:rPr>
        <w:t>o</w:t>
      </w:r>
      <w:r w:rsidRPr="00A555B6">
        <w:rPr>
          <w:rFonts w:ascii="Times New Roman" w:eastAsiaTheme="minorEastAsia" w:hAnsi="Times New Roman" w:cs="Times New Roman"/>
          <w:bCs/>
          <w:kern w:val="0"/>
          <w:lang w:eastAsia="pl-PL"/>
          <w14:ligatures w14:val="none"/>
        </w:rPr>
        <w:t xml:space="preserve">rgany administracji publicznej zostaną obowiązane do sporządzania i dołączania do akt, w drodze adnotacji, oceny, czy charakter sprawy pozwala na przeprowadzenie mediacji, a jeśli tak, czy zachodzą okoliczności odstąpienia od zawiadomienia o możliwości przeprowadzenia mediacji. Niecelowość mediacji administracyjnej zachodzi, gdy sprawę należy załatwić niezwłocznie, np. ze względu na ważny interes publiczny, lub gdy mediacja administracyjna przedłużałaby jedynie postępowanie. </w:t>
      </w:r>
    </w:p>
    <w:p w14:paraId="570B9A12" w14:textId="77777777" w:rsidR="00680B6F" w:rsidRPr="00A555B6" w:rsidRDefault="00680B6F" w:rsidP="00680B6F">
      <w:pPr>
        <w:pStyle w:val="PKTpunkt"/>
        <w:spacing w:before="120" w:after="120"/>
        <w:ind w:left="0" w:firstLine="0"/>
        <w:rPr>
          <w:rFonts w:ascii="Times New Roman" w:hAnsi="Times New Roman" w:cs="Times New Roman"/>
          <w:sz w:val="22"/>
          <w:szCs w:val="22"/>
        </w:rPr>
      </w:pPr>
      <w:r w:rsidRPr="00A555B6">
        <w:rPr>
          <w:rFonts w:ascii="Times New Roman" w:hAnsi="Times New Roman" w:cs="Times New Roman"/>
          <w:sz w:val="22"/>
          <w:szCs w:val="22"/>
        </w:rPr>
        <w:t>Ponadto, art. 96b Kpa proponuje się uzupełnić o wyraźne wskazanie, że zawiadomienie o możliwości mediacji może być ponawiane w toku sprawy, niezależnie od etapu postępowania, oraz wskazać przypadki, gdy zawiadomienia nie dokonuje się z uwagi na niecelowość mediacji. W pouczeniu o mediacji należy także poinformować o możliwości ponawiania zawiadomienia oraz o zaletach mediacji administracyjnej. Ma to na celu zwiększenie świadomości prawnej wśród stron o mediacji w postępowaniu administracyjnym.</w:t>
      </w:r>
    </w:p>
    <w:p w14:paraId="1223963C" w14:textId="6577DB5D" w:rsidR="002A6303" w:rsidRPr="00A555B6" w:rsidRDefault="00680B6F" w:rsidP="00166084">
      <w:pPr>
        <w:pStyle w:val="PKTpunkt"/>
        <w:spacing w:before="120" w:after="120"/>
        <w:ind w:left="0" w:firstLine="0"/>
        <w:rPr>
          <w:rFonts w:ascii="Times New Roman" w:hAnsi="Times New Roman" w:cs="Times New Roman"/>
          <w:sz w:val="22"/>
          <w:szCs w:val="22"/>
        </w:rPr>
      </w:pPr>
      <w:r w:rsidRPr="00A555B6">
        <w:rPr>
          <w:rFonts w:ascii="Times New Roman" w:hAnsi="Times New Roman" w:cs="Times New Roman"/>
          <w:sz w:val="22"/>
          <w:szCs w:val="22"/>
        </w:rPr>
        <w:t>Proponowana zmiana nie wpływa na dobrowolność udziału stron postępowania administracyjnego w mediacji.</w:t>
      </w:r>
    </w:p>
    <w:p w14:paraId="470065C1" w14:textId="579C44F1" w:rsidR="005C40BC" w:rsidRPr="00A555B6" w:rsidRDefault="005C40BC"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Umarzanie zawieszonych postępowań</w:t>
      </w:r>
      <w:r w:rsidR="002A6303" w:rsidRPr="00A555B6">
        <w:rPr>
          <w:rFonts w:ascii="Times New Roman" w:hAnsi="Times New Roman" w:cs="Times New Roman"/>
        </w:rPr>
        <w:t>.</w:t>
      </w:r>
    </w:p>
    <w:p w14:paraId="2F04F322"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W Kpa wprowadza się przepis określający termin, po upływie którego postępowanie zawieszone z przyczyn obligatoryjnych, w oparciu o podstawy wymienione w art. 97 § 1 Kpa, będzie mogło ulec umorzeniu, o ile nie będą sprzeciwiać się temu pozostałe strony oraz nie będzie zagrażało to interesowi społecznemu.</w:t>
      </w:r>
    </w:p>
    <w:p w14:paraId="6BF036F1"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Przyjęto, że umorzenie zawieszonego postępowania nastąpi, gdy zaistniałe przeszkody do kontynuowania postępowania nie zostaną usunięte w terminie trzech lat od daty zawieszenia postępowania. Termin ten jest tożsamy z terminem przyjętym w art. 98 § 2 Kpa.</w:t>
      </w:r>
    </w:p>
    <w:p w14:paraId="7978A259"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zauważyć, że obecnie Kpa przewiduje taki trzyletni termin jedynie w art. 98 § 2 Kpa </w:t>
      </w:r>
      <w:r w:rsidRPr="00A555B6">
        <w:rPr>
          <w:rFonts w:ascii="Times New Roman" w:hAnsi="Times New Roman" w:cs="Times New Roman"/>
        </w:rPr>
        <w:br/>
        <w:t>w przypadku fakultatywnego zawieszenia postępowania na wniosek strony. Wprowadzenie podobnego przepisu (proponowany art. 97 § 4 Kpa) również w odniesieniu do postępowań obligatoryjnie zawieszonych na podstawie przesłanek z art. 97 § 1 pkt 1–3a Kpa, ma charakter porządkujący system prawny i zapobiega sytuacji wieloletniego zawieszenia postępowania administracyjnego, w przypadku, np. gdy strony postępowania nie są już zainteresowane wydaniem danego rozstrzygnięcia i nie podejmują własnych działań lub nie współpracują z organem administracji publicznej, w celu usunięcia przeszkody do dalszego prowadzenia postępowania.</w:t>
      </w:r>
    </w:p>
    <w:p w14:paraId="23F938A1"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 xml:space="preserve">Przepis co do zasady odnosi się do zawieszenia postępowania w przypadku śmierci strony, przedstawiciela ustawowego albo śmierci jej pełnomocnika bądź utraty przez stronę lub przez jej ustawowego przedstawiciela zdolności do czynności prawnych, a więc brak jest możliwości wskazania, kto jest obecnie stroną po śmierci strony albo ustalenia adresu strony bądź niemożność działania strony w postępowania ze względu utratę przez stronę lub przez jej ustawowego przedstawiciela zdolności do czynności prawnych. Niemniej jednak należy mieć na uwadze, że w postępowaniu obok ww. stron mogą również uczestniczyć pozostałe strony, które powinny zgodzić się na umorzenie postępowania. W związku z tym w art. 97 </w:t>
      </w:r>
      <w:bookmarkStart w:id="6" w:name="_Hlk172209724"/>
      <w:r w:rsidRPr="00A555B6">
        <w:rPr>
          <w:rFonts w:ascii="Times New Roman" w:hAnsi="Times New Roman" w:cs="Times New Roman"/>
        </w:rPr>
        <w:t xml:space="preserve">§ </w:t>
      </w:r>
      <w:bookmarkEnd w:id="6"/>
      <w:r w:rsidRPr="00A555B6">
        <w:rPr>
          <w:rFonts w:ascii="Times New Roman" w:hAnsi="Times New Roman" w:cs="Times New Roman"/>
        </w:rPr>
        <w:t xml:space="preserve">4 i § 5 Kpa uzależniono umorzenie postępowania od braku wniesienia sprzeciwu pozostałych stron postępowania, innych niż wymienione w art. 97 § 1–3a Kpa. Jednocześnie, jeżeli w okresie trzech lat od daty zawieszenia postępowania nie zostały usunięte przeszkody do dalszego prowadzenia postępowania, o których mowa w art. 97 § 1 pkt 1–3a Kpa, organ administracji publicznej planujący wydanie decyzji o umorzeniu postępowania, przed jego wydaniem zobowiązany został zwrócić się w formie zwykłego pisma o stanowisko stron w przedmiocie planowanego umorzenia postępowania, wyznaczając stronom siedmiodniowy termin na wniesienie  sprzeciwu. </w:t>
      </w:r>
    </w:p>
    <w:p w14:paraId="2AFE3B8D" w14:textId="3B8D405E"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W art. 97 § 6 Kpa proponuje się, aby w przypadku umorzenia postępowania decyzja w tym zakresie dla stron, o których mowa w art. 97 § 1 pkt 1–3a Kpa, pozostawiana była w aktach sprawy ze względu na to, że strony te są już albo nieznane albo niezdolne do czynności prawnych. Jednocześnie decyzja w ww. zakresie będzie doręczana pozostałym stronom postępowania na zasadach ogólnych, wynikających z Kpa.</w:t>
      </w:r>
    </w:p>
    <w:p w14:paraId="763F5980"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Jednocześnie nie będzie możliwości umorzenia postępowania z ww. powodu w przypadku, gdy postępowanie administracyjne zostało wszczęte z urzędu. Należy zauważyć, że w takim przypadku postępowanie jest wszczynane zazwyczaj w związku  z nałożeniem obowiązku administracyjnego na stronę. Zatem organ administracji publicznej powinien w takim przypadku dążyć do usunięcia przeszkody do dalszego prowadzenia postępowania w celu wyegzekwowania należnych od strony zobowiązań. </w:t>
      </w:r>
    </w:p>
    <w:p w14:paraId="13105D97" w14:textId="30E6D68E" w:rsidR="003D2111" w:rsidRPr="00A555B6" w:rsidRDefault="003D2111"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Decyzje hybrydowe</w:t>
      </w:r>
      <w:r w:rsidR="002A6303" w:rsidRPr="00A555B6">
        <w:rPr>
          <w:rFonts w:ascii="Times New Roman" w:hAnsi="Times New Roman" w:cs="Times New Roman"/>
        </w:rPr>
        <w:t>.</w:t>
      </w:r>
    </w:p>
    <w:p w14:paraId="25E9DF1B" w14:textId="12DB7A2C" w:rsidR="003D2111" w:rsidRPr="00A555B6" w:rsidRDefault="003D2111"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Zgodnie z obecnie obowiązującym art. 109 Kpa decyzję doręcza się stronom na piśmie. Przy czym należy przez to rozumieć zarówno możliwość doręczenia decyzji w postaci papierowej, jak i elektronicznej (zgodnie z zasadą pisemności wyrażoną w art. 14 Kpa). Dotyczy to także wszystkich załączników do decyzji, które są wymagane prawem. Brak doręczenia załączników na piśmie może być uznawany za uchybienie mające wpływ na rozstrzygnięcie sprawy. Obecnie nie ma możliwości doręczenia przez organ załączników w innej postaci niż została doręczona decyzja. Oznacza to, że w przypadku doręczenia decyzji w postaci papierowej załączniki do niej również muszą zostać doręczone w postaci papierowej. Bywa to szczególnie kłopotliwe zarówno dla organów jak i stron w sytuacji dużej ilości załączników lub załączników wielkoformatowych. Organ administracji publicznej jest zobowiązany do sporządzenia, uwierzytelnienia, doręczenia i archiwizowania znacznej ilości papierowych </w:t>
      </w:r>
      <w:r w:rsidR="00C52194" w:rsidRPr="00A555B6">
        <w:rPr>
          <w:rFonts w:ascii="Times New Roman" w:hAnsi="Times New Roman" w:cs="Times New Roman"/>
        </w:rPr>
        <w:t>załączników</w:t>
      </w:r>
      <w:r w:rsidRPr="00A555B6">
        <w:rPr>
          <w:rFonts w:ascii="Times New Roman" w:hAnsi="Times New Roman" w:cs="Times New Roman"/>
        </w:rPr>
        <w:t>. Z kolei strona przechowuje znaczne ilości dokumentów w postaci papierowej.</w:t>
      </w:r>
    </w:p>
    <w:p w14:paraId="1820E009" w14:textId="0FD5A86D" w:rsidR="003D2111" w:rsidRPr="00A555B6" w:rsidRDefault="003D2111" w:rsidP="004E6FE9">
      <w:pPr>
        <w:spacing w:before="120" w:after="120" w:line="360" w:lineRule="auto"/>
        <w:jc w:val="both"/>
        <w:rPr>
          <w:rFonts w:ascii="Times New Roman" w:hAnsi="Times New Roman" w:cs="Times New Roman"/>
        </w:rPr>
      </w:pPr>
      <w:r w:rsidRPr="00A555B6">
        <w:rPr>
          <w:rFonts w:ascii="Times New Roman" w:hAnsi="Times New Roman" w:cs="Times New Roman"/>
        </w:rPr>
        <w:t>Mając powyższe na uwadze proponuje się wprowadzenie art. 109 § 3 Kpa, zgodnie z którym załączniki do decyzji wydanej w postaci papierowej mogą być doręczone na innym trwałym nośniku informacji, za zgodą strony wyrażoną na piśmie albo ustnie do protokołu. Przepis ten daje możliwość doręczenia załączników (w tym załączników znacznych rozmiarów</w:t>
      </w:r>
      <w:r w:rsidR="00807976" w:rsidRPr="00A555B6">
        <w:rPr>
          <w:rFonts w:ascii="Times New Roman" w:hAnsi="Times New Roman" w:cs="Times New Roman"/>
        </w:rPr>
        <w:t xml:space="preserve"> lub takich dla których odczytania konieczne jest dysponowanie specjalistycznym oprogramowaniem</w:t>
      </w:r>
      <w:r w:rsidRPr="00A555B6">
        <w:rPr>
          <w:rFonts w:ascii="Times New Roman" w:hAnsi="Times New Roman" w:cs="Times New Roman"/>
        </w:rPr>
        <w:t xml:space="preserve">) na trwałym nośniku innym niż papier. </w:t>
      </w:r>
      <w:r w:rsidR="00807976" w:rsidRPr="00A555B6">
        <w:rPr>
          <w:rFonts w:ascii="Times New Roman" w:hAnsi="Times New Roman" w:cs="Times New Roman"/>
        </w:rPr>
        <w:t xml:space="preserve">W takim przypadku organ, zamiast w postaci papierowej, będzie doręczał załączniki na innym trwałym nośniku.  </w:t>
      </w:r>
    </w:p>
    <w:p w14:paraId="04F3B4C1" w14:textId="4634EA1A" w:rsidR="003D2111" w:rsidRPr="00A555B6" w:rsidRDefault="003D2111"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Jednocześnie, wobec kilku funkcjonujących w polskim prawie definicji trwałego nośnika,  proponuje się wprowadzenie (w art. 109 § 4 Kpa) samoistnej definicji na potrzeby funkcjonowania Kodeksu. Proponuje się, aby przez trwały nośnik informacji rozumieć każdy nośnik informacji umożliwiający przechowywanie przez czas niezbędny, wynikający z charakteru informacji oraz celu ich sporządzenia lub przekazania, zawartych na nim informacji w sposób uniemożliwiający ich zmianę lub pozwalający na odtworzenie informacji w wersji i formie, w jakiej zostały sporządzone lub przekazane. Definicja ta jest wzorowana na rozwiązaniu przyjętym w ustawie z dnia 27 maja 2004 r. o funduszach inwestycyjnych </w:t>
      </w:r>
      <w:bookmarkStart w:id="7" w:name="highlightHit_13"/>
      <w:bookmarkEnd w:id="7"/>
      <w:r w:rsidRPr="00A555B6">
        <w:rPr>
          <w:rFonts w:ascii="Times New Roman" w:hAnsi="Times New Roman" w:cs="Times New Roman"/>
        </w:rPr>
        <w:t xml:space="preserve">i </w:t>
      </w:r>
      <w:bookmarkStart w:id="8" w:name="highlightHit_14"/>
      <w:bookmarkEnd w:id="8"/>
      <w:r w:rsidRPr="00A555B6">
        <w:rPr>
          <w:rFonts w:ascii="Times New Roman" w:hAnsi="Times New Roman" w:cs="Times New Roman"/>
        </w:rPr>
        <w:t xml:space="preserve">zarządzaniu </w:t>
      </w:r>
      <w:bookmarkStart w:id="9" w:name="highlightHit_15"/>
      <w:bookmarkEnd w:id="9"/>
      <w:r w:rsidRPr="00A555B6">
        <w:rPr>
          <w:rFonts w:ascii="Times New Roman" w:hAnsi="Times New Roman" w:cs="Times New Roman"/>
        </w:rPr>
        <w:t>alternatywnymi funduszami inwestycyjnymi.</w:t>
      </w:r>
    </w:p>
    <w:p w14:paraId="060D0DD1" w14:textId="717F2919" w:rsidR="005C40BC" w:rsidRPr="00A555B6" w:rsidRDefault="005C40BC"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Zmiany w zakresie pouczeń do postanowień</w:t>
      </w:r>
      <w:r w:rsidR="002A6303" w:rsidRPr="00A555B6">
        <w:rPr>
          <w:rFonts w:ascii="Times New Roman" w:hAnsi="Times New Roman" w:cs="Times New Roman"/>
        </w:rPr>
        <w:t>.</w:t>
      </w:r>
    </w:p>
    <w:p w14:paraId="1B67A53F" w14:textId="71CC7009" w:rsidR="003057CA" w:rsidRPr="00A555B6" w:rsidRDefault="005C40BC" w:rsidP="003057CA">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W związku ze zmianami przepisów ustawy z dnia 30 sierpnia 2002 r. – Prawo o postępowaniu przed sądami administracyjnymi wprowadzona została </w:t>
      </w:r>
      <w:r w:rsidR="00C52194" w:rsidRPr="00A555B6">
        <w:rPr>
          <w:rFonts w:ascii="Times New Roman" w:hAnsi="Times New Roman" w:cs="Times New Roman"/>
        </w:rPr>
        <w:t>zmiana</w:t>
      </w:r>
      <w:r w:rsidRPr="00A555B6">
        <w:rPr>
          <w:rFonts w:ascii="Times New Roman" w:hAnsi="Times New Roman" w:cs="Times New Roman"/>
        </w:rPr>
        <w:t xml:space="preserve"> </w:t>
      </w:r>
      <w:r w:rsidR="003057CA" w:rsidRPr="00A555B6">
        <w:rPr>
          <w:rFonts w:ascii="Times New Roman" w:hAnsi="Times New Roman" w:cs="Times New Roman"/>
        </w:rPr>
        <w:t xml:space="preserve">art. 124 § 1 i §  2, art. 125 </w:t>
      </w:r>
      <w:bookmarkStart w:id="10" w:name="_Hlk171415578"/>
      <w:r w:rsidR="003057CA" w:rsidRPr="00A555B6">
        <w:rPr>
          <w:rFonts w:ascii="Times New Roman" w:hAnsi="Times New Roman" w:cs="Times New Roman"/>
        </w:rPr>
        <w:t xml:space="preserve">§ </w:t>
      </w:r>
      <w:bookmarkEnd w:id="10"/>
      <w:r w:rsidR="003057CA" w:rsidRPr="00A555B6">
        <w:rPr>
          <w:rFonts w:ascii="Times New Roman" w:hAnsi="Times New Roman" w:cs="Times New Roman"/>
        </w:rPr>
        <w:t>1 i § 3 Kpa poprzez dodanie w tych regulacjach instytucji sprzeciwu od postanowienia.</w:t>
      </w:r>
    </w:p>
    <w:p w14:paraId="184E8B7D" w14:textId="0E057AA4" w:rsidR="005C40BC" w:rsidRPr="00A555B6" w:rsidRDefault="005C40BC" w:rsidP="009E1176">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Zmiany w zakresie decyzji autokontroli organu</w:t>
      </w:r>
      <w:r w:rsidR="002A6303" w:rsidRPr="00A555B6">
        <w:rPr>
          <w:rFonts w:ascii="Times New Roman" w:hAnsi="Times New Roman" w:cs="Times New Roman"/>
        </w:rPr>
        <w:t>.</w:t>
      </w:r>
      <w:r w:rsidRPr="00A555B6">
        <w:rPr>
          <w:rFonts w:ascii="Times New Roman" w:hAnsi="Times New Roman" w:cs="Times New Roman"/>
        </w:rPr>
        <w:t xml:space="preserve"> </w:t>
      </w:r>
    </w:p>
    <w:p w14:paraId="5881DB28" w14:textId="2DB12F09" w:rsidR="003057CA" w:rsidRPr="00A555B6" w:rsidRDefault="005C40BC" w:rsidP="003057CA">
      <w:pPr>
        <w:spacing w:before="120" w:after="120" w:line="360" w:lineRule="auto"/>
        <w:jc w:val="both"/>
        <w:rPr>
          <w:rFonts w:ascii="Times New Roman" w:hAnsi="Times New Roman" w:cs="Times New Roman"/>
        </w:rPr>
      </w:pPr>
      <w:r w:rsidRPr="00A555B6">
        <w:rPr>
          <w:rFonts w:ascii="Times New Roman" w:hAnsi="Times New Roman" w:cs="Times New Roman"/>
        </w:rPr>
        <w:t>Zgodnie z art. 132 § 1 Kpa, jeżeli odwołanie wniosły wszystkie strony, a organ administracji publicznej, który wydał decyzję, uzna, że to odwołanie zasługuje w całości na uwzględnienie, może wydać nową decyzję, w której uchyli lub zmieni zaskarżoną decyzję. Z literalnego brzmienia powyższego przepisu wynika, że organ może ograniczyć swoje rozstrzygnięcie jedynie do uchylenia decyzji</w:t>
      </w:r>
      <w:r w:rsidR="003057CA" w:rsidRPr="00A555B6">
        <w:rPr>
          <w:rFonts w:ascii="Times New Roman" w:hAnsi="Times New Roman" w:cs="Times New Roman"/>
        </w:rPr>
        <w:t xml:space="preserve">, z tym że przepis ten nie przewiduje dalszych konsekwencji podjęcia decyzji w ww. zakresie. </w:t>
      </w:r>
    </w:p>
    <w:p w14:paraId="184A0677" w14:textId="7BEA736B"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orzecznictwie ugruntowało się stanowisko, że organ, który podejmuje się weryfikacji decyzji własnej jest zobowiązany załatwić sprawę w sposób pełny, czyli nie tylko uchylić własne rozstrzygnięcie, ale w</w:t>
      </w:r>
      <w:r w:rsidR="00E6226B" w:rsidRPr="00A555B6">
        <w:rPr>
          <w:rFonts w:ascii="Times New Roman" w:hAnsi="Times New Roman" w:cs="Times New Roman"/>
        </w:rPr>
        <w:t> </w:t>
      </w:r>
      <w:r w:rsidRPr="00A555B6">
        <w:rPr>
          <w:rFonts w:ascii="Times New Roman" w:hAnsi="Times New Roman" w:cs="Times New Roman"/>
        </w:rPr>
        <w:t xml:space="preserve">to miejsce wydać decyzję taką, o którą wnioskuje strona. Może być to decyzja merytoryczna, </w:t>
      </w:r>
      <w:r w:rsidR="002A6303" w:rsidRPr="00A555B6">
        <w:rPr>
          <w:rFonts w:ascii="Times New Roman" w:hAnsi="Times New Roman" w:cs="Times New Roman"/>
        </w:rPr>
        <w:t xml:space="preserve">w tym </w:t>
      </w:r>
      <w:r w:rsidRPr="00A555B6">
        <w:rPr>
          <w:rFonts w:ascii="Times New Roman" w:hAnsi="Times New Roman" w:cs="Times New Roman"/>
        </w:rPr>
        <w:t>także umarzająca postępowanie, jeżeli o to wnioskowała strona (np. wyrok NSA z</w:t>
      </w:r>
      <w:r w:rsidR="00821E81" w:rsidRPr="00A555B6">
        <w:rPr>
          <w:rFonts w:ascii="Times New Roman" w:hAnsi="Times New Roman" w:cs="Times New Roman"/>
        </w:rPr>
        <w:t> </w:t>
      </w:r>
      <w:r w:rsidRPr="00A555B6">
        <w:rPr>
          <w:rFonts w:ascii="Times New Roman" w:hAnsi="Times New Roman" w:cs="Times New Roman"/>
        </w:rPr>
        <w:t xml:space="preserve">16 stycznia 2015 r., sygn. akt I OSK 2521/13; wyrok WSA w Poznaniu z 11 marca 2019 r., sygn. akt II SA/Po 36/19). Samo uchylenie decyzji nie załatwia sprawy administracyjnej w szczególności, że decyzja poddawana weryfikacji w trybie autokontroli jest decyzją nieostateczną co oznacza, że jej uchylenie wywołuje skutki prawne z datą wstecz. </w:t>
      </w:r>
    </w:p>
    <w:p w14:paraId="718E98A6" w14:textId="498E1096"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W związku z tym, w ramach autokontroli, organ administracji publicznej wydając nową decyzję, w</w:t>
      </w:r>
      <w:r w:rsidR="00E6226B" w:rsidRPr="00A555B6">
        <w:rPr>
          <w:rFonts w:ascii="Times New Roman" w:hAnsi="Times New Roman" w:cs="Times New Roman"/>
        </w:rPr>
        <w:t> </w:t>
      </w:r>
      <w:r w:rsidRPr="00A555B6">
        <w:rPr>
          <w:rFonts w:ascii="Times New Roman" w:hAnsi="Times New Roman" w:cs="Times New Roman"/>
        </w:rPr>
        <w:t xml:space="preserve">której uchyla zaskarżoną decyzję powinien również rozstrzygnąć sprawę albo uchylając tę decyzję – umorzyć postępowanie. </w:t>
      </w:r>
    </w:p>
    <w:p w14:paraId="068302C8" w14:textId="4C72BF51"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Jednocześnie z literalnego brzmienia obecnie obowiązującego art. 132 § 1 Kpa wynika, że organ administracji publicznej może uchylić decyzję w całości. Przepis ten nie umożliwia organowi administracji publicznej uchylić decyzji w części w przypadku gdy odwołanie zasługuje w całości na uwzględnienie</w:t>
      </w:r>
      <w:r w:rsidR="00D90BEB" w:rsidRPr="00A555B6">
        <w:rPr>
          <w:rFonts w:ascii="Times New Roman" w:hAnsi="Times New Roman" w:cs="Times New Roman"/>
        </w:rPr>
        <w:t>,</w:t>
      </w:r>
      <w:r w:rsidRPr="00A555B6">
        <w:rPr>
          <w:rFonts w:ascii="Times New Roman" w:hAnsi="Times New Roman" w:cs="Times New Roman"/>
        </w:rPr>
        <w:t xml:space="preserve"> ale dotyczy tylko części decyzji. Taka sama sytuacja dotyczy uchylenia decyzji i</w:t>
      </w:r>
      <w:r w:rsidR="00E6226B" w:rsidRPr="00A555B6">
        <w:rPr>
          <w:rFonts w:ascii="Times New Roman" w:hAnsi="Times New Roman" w:cs="Times New Roman"/>
        </w:rPr>
        <w:t> </w:t>
      </w:r>
      <w:r w:rsidRPr="00A555B6">
        <w:rPr>
          <w:rFonts w:ascii="Times New Roman" w:hAnsi="Times New Roman" w:cs="Times New Roman"/>
        </w:rPr>
        <w:t>umorzenia postępowania. W związku z tym zmiana przepisu polega również na umożliwieniu organowi administracji publicznej uchylenia zaskarżonej decyzji w całości lub w części albo uchyleniu decyzji i umorzeniu postępowania w całości lub w części.</w:t>
      </w:r>
    </w:p>
    <w:p w14:paraId="6B0E6A7A" w14:textId="62803C22"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Dodatkowo, biorąc pod uwagę, że uchylenie zaskarżonej decyzji i rozstrzygnięcie sprawy zawiera w</w:t>
      </w:r>
      <w:r w:rsidR="00E6226B" w:rsidRPr="00A555B6">
        <w:rPr>
          <w:rFonts w:ascii="Times New Roman" w:hAnsi="Times New Roman" w:cs="Times New Roman"/>
        </w:rPr>
        <w:t> </w:t>
      </w:r>
      <w:r w:rsidRPr="00A555B6">
        <w:rPr>
          <w:rFonts w:ascii="Times New Roman" w:hAnsi="Times New Roman" w:cs="Times New Roman"/>
        </w:rPr>
        <w:t>sobie zmianę zaskarżonej decyzji (zmiana decyzji następuje przez jej uchylenie i rozstrzygnięcie sprawy), zmiana zaskarżonej decyzji została wykreślona z  art. 132 § 1 Kpa.</w:t>
      </w:r>
    </w:p>
    <w:p w14:paraId="3215973E" w14:textId="6D4B62CE" w:rsidR="005C40BC" w:rsidRPr="00A555B6" w:rsidRDefault="005C40BC"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Wydłużenie terminu na wydanie decyzji w trybie autokontroli</w:t>
      </w:r>
      <w:r w:rsidR="002A6303" w:rsidRPr="00A555B6">
        <w:rPr>
          <w:rFonts w:ascii="Times New Roman" w:hAnsi="Times New Roman" w:cs="Times New Roman"/>
        </w:rPr>
        <w:t>.</w:t>
      </w:r>
    </w:p>
    <w:p w14:paraId="0157FB9F"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Zmiana brzmienia art. 133 Kpa ma na celu wydłużenie terminu na wydanie przez organ I instancji nowej decyzji w trybie autokontroli, o której mowa w art. 132 Kpa, do 14 dni. </w:t>
      </w:r>
    </w:p>
    <w:p w14:paraId="275CAAED"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Obecnie na podstawie art. 133 Kpa organ administracji publicznej będący organem I instancji ma obowiązek przekazać organowi II instancji odwołanie wraz z aktami sprawy w terminie 7 dni. Oznacza to, że organ I instancji na podstawie art. 132 Kpa ma 7-dniowy termin na autokontrolę.</w:t>
      </w:r>
    </w:p>
    <w:p w14:paraId="2916075D" w14:textId="7527C39B"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Autokontrola decyzji w terminie 7 dni jest terminem zbyt krótkim na dokonanie ponownej analizy zebranego materiału dowodowego w związku z wniesionym odwołaniem od decyzji organu pierwszej instancji. Mogą występować przypadki, że organ pierwszej instancji, w obawie </w:t>
      </w:r>
      <w:r w:rsidR="005F2F3D" w:rsidRPr="00A555B6">
        <w:rPr>
          <w:rFonts w:ascii="Times New Roman" w:hAnsi="Times New Roman" w:cs="Times New Roman"/>
        </w:rPr>
        <w:br/>
      </w:r>
      <w:r w:rsidRPr="00A555B6">
        <w:rPr>
          <w:rFonts w:ascii="Times New Roman" w:hAnsi="Times New Roman" w:cs="Times New Roman"/>
        </w:rPr>
        <w:t xml:space="preserve">o przekroczenie terminu zawitego przekazuje sprawę do instancji wyższego stopnia, bez dogłębnej analizy w trybie autokontroli, co wpływa na wydłużenie całościowego postępowania. </w:t>
      </w:r>
    </w:p>
    <w:p w14:paraId="29596053" w14:textId="068244FE"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podkreślić, że intencją tego przepisu jest skrócenie prowadzenia postępowania administracyjnego poprzez wydłużenie możliwości dokonania ponownej analizy sprawy – </w:t>
      </w:r>
      <w:r w:rsidR="005F2F3D" w:rsidRPr="00A555B6">
        <w:rPr>
          <w:rFonts w:ascii="Times New Roman" w:hAnsi="Times New Roman" w:cs="Times New Roman"/>
        </w:rPr>
        <w:br/>
      </w:r>
      <w:r w:rsidRPr="00A555B6">
        <w:rPr>
          <w:rFonts w:ascii="Times New Roman" w:hAnsi="Times New Roman" w:cs="Times New Roman"/>
        </w:rPr>
        <w:t xml:space="preserve">w ramach autokontroli – przez organ I instancji po wniesieniu przez stronę odwołania. Wydłużenie terminu do 14 dni na autokontrolę decyzji wydanej przez organ I instancji może spowodować, że po wniesieniu odwołania przez stronę, sprawa zakończy się już przed organem I instancji, gdy organ ten uzna, że odwołanie zasługuje na uwzględnienie w całości. Przepis ten spowoduje </w:t>
      </w:r>
      <w:r w:rsidR="005F2F3D" w:rsidRPr="00A555B6">
        <w:rPr>
          <w:rFonts w:ascii="Times New Roman" w:hAnsi="Times New Roman" w:cs="Times New Roman"/>
        </w:rPr>
        <w:br/>
      </w:r>
      <w:r w:rsidRPr="00A555B6">
        <w:rPr>
          <w:rFonts w:ascii="Times New Roman" w:hAnsi="Times New Roman" w:cs="Times New Roman"/>
        </w:rPr>
        <w:t>w takim przypadku, że strona nie będzie musiała oczekiwać na podjęcie rozstrzygnięcia przez organ II instancji, co znacznie wpłynie na skrócenie postępowania. W tej sytuacji uzasadnione jest wydłużenie wspomnianego terminu do 14 dni.</w:t>
      </w:r>
    </w:p>
    <w:p w14:paraId="200EF4A5" w14:textId="77777777" w:rsidR="003057CA" w:rsidRPr="00A555B6" w:rsidRDefault="005C40BC" w:rsidP="003057CA">
      <w:pPr>
        <w:spacing w:before="120" w:after="120" w:line="360" w:lineRule="auto"/>
        <w:jc w:val="both"/>
        <w:rPr>
          <w:rFonts w:ascii="Times New Roman" w:hAnsi="Times New Roman" w:cs="Times New Roman"/>
        </w:rPr>
      </w:pPr>
      <w:r w:rsidRPr="00A555B6">
        <w:rPr>
          <w:rFonts w:ascii="Times New Roman" w:hAnsi="Times New Roman" w:cs="Times New Roman"/>
        </w:rPr>
        <w:t>Niezależnie od powyższego w przepisie wskazano, że co do zasady organ I instancji powinien przekazać akta sprawy niezwłocznie jednak nie później niż w terminie 14 dni.</w:t>
      </w:r>
      <w:r w:rsidR="003057CA" w:rsidRPr="00A555B6">
        <w:rPr>
          <w:rFonts w:ascii="Times New Roman" w:hAnsi="Times New Roman" w:cs="Times New Roman"/>
        </w:rPr>
        <w:t xml:space="preserve"> Jednocześnie, na organ administracji publicznej, który wydał decyzję, nałożony został obowiązek przesłania odwołania wraz z odniesieniem się do zarzutów podniesionych w odwołaniu organowi odwoławczemu. Powyższe ma na celu zobowiązanie organu administracji publicznej do dokonania analizy odwołania i ewentualnie podjęcia decyzji o wydaniu nowej decyzji, co ma prowadzić do rzeczywistej rewizji własnej decyzji i skrócenia terminów postępowania administracyjnego.</w:t>
      </w:r>
    </w:p>
    <w:p w14:paraId="446D87AA" w14:textId="07DFFC41" w:rsidR="005C40BC" w:rsidRPr="00A555B6" w:rsidRDefault="005C40BC" w:rsidP="004E6FE9">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Związanie organu pierwszego stopnia wskazaniami organu odwoławczego</w:t>
      </w:r>
      <w:r w:rsidR="002A6303" w:rsidRPr="00A555B6">
        <w:rPr>
          <w:rFonts w:ascii="Times New Roman" w:hAnsi="Times New Roman" w:cs="Times New Roman"/>
        </w:rPr>
        <w:t>.</w:t>
      </w:r>
    </w:p>
    <w:p w14:paraId="38FA64F7"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art. 139a Kpa wprowadza się instrument, który będzie prowadził do stanowczego obowiązku organu I instancji zastosowania się do treści decyzji organu odwoławczego. Notowane jest dzisiaj zjawisko niewykonywania wytycznych organu odwoławczego przez organ I instancji. </w:t>
      </w:r>
    </w:p>
    <w:p w14:paraId="79003A42"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przypadku wydania decyzji, o której mowa w art. 138 § 2 Kpa, organ odwoławczy wskazuje:</w:t>
      </w:r>
    </w:p>
    <w:p w14:paraId="18C7F0B6" w14:textId="21291923"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t>
      </w:r>
      <w:r w:rsidR="000A5E88" w:rsidRPr="00A555B6">
        <w:rPr>
          <w:rFonts w:ascii="Times New Roman" w:hAnsi="Times New Roman" w:cs="Times New Roman"/>
        </w:rPr>
        <w:t xml:space="preserve"> </w:t>
      </w:r>
      <w:r w:rsidRPr="00A555B6">
        <w:rPr>
          <w:rFonts w:ascii="Times New Roman" w:hAnsi="Times New Roman" w:cs="Times New Roman"/>
        </w:rPr>
        <w:t>okoliczności, jakie organ pierwszej instancji obowiązany jest wziąć pod uwagę przy proponowanym rozpatrzeniu sprawy. Chodzi o okoliczności faktyczne, które mają znaczenie dla rozstrzygnięcia sprawy (§ 2);</w:t>
      </w:r>
    </w:p>
    <w:p w14:paraId="496A3DF9" w14:textId="25E20A93"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t>
      </w:r>
      <w:r w:rsidR="000A5E88" w:rsidRPr="00A555B6">
        <w:rPr>
          <w:rFonts w:ascii="Times New Roman" w:hAnsi="Times New Roman" w:cs="Times New Roman"/>
        </w:rPr>
        <w:t xml:space="preserve"> </w:t>
      </w:r>
      <w:r w:rsidRPr="00A555B6">
        <w:rPr>
          <w:rFonts w:ascii="Times New Roman" w:hAnsi="Times New Roman" w:cs="Times New Roman"/>
        </w:rPr>
        <w:t xml:space="preserve">wytyczne w zakresie wykładni przepisów prawa. Organ odwoławczy ma obowiązek, w razie przeprowadzenia przez organ pierwszej instancji błędnej wykładni przepisów prawa, które mają </w:t>
      </w:r>
      <w:r w:rsidRPr="00A555B6">
        <w:rPr>
          <w:rFonts w:ascii="Times New Roman" w:hAnsi="Times New Roman" w:cs="Times New Roman"/>
        </w:rPr>
        <w:lastRenderedPageBreak/>
        <w:t>zastosowanie przy proponowanym rozpoznaniu i rozstrzygnięciu sprawy, w decyzji określenia wytycznych w zakresie wykładni tych przepisów (§ 2a).</w:t>
      </w:r>
    </w:p>
    <w:p w14:paraId="0BD85AB8" w14:textId="73EE1BE3"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praktyce zdarza się, że organ I instancji nie przeprowadził postępowania wyjaśniającego. Podjęcie decyzji przez organ I instancji bez prowadzenia postępowania wyjaśniającego, jeżeli nie było podstaw do zastosowania uproszczonego postępowania wyjaśniającego (art. 35 § 2 Kpa), nie może być sanowane w postępowaniu odwoławczym, ponieważ naruszałoby to zasadę dwuinstancyjności, której istota polega na dwukrotnym rozpoznaniu i rozstrzygnięciu sprawy. W takim przypadku organ odwoławczy ma tylko kompetencje kasacyjne. Do takiego rodzaju naruszenia przepisów postępowania należy zaliczyć brak lub kwalifikowaną wadliwość środków dowodowych, które nie dają podstaw do ustalenia stanu faktycznego sprawy. Jednocześnie zdarza się, że pomimo wskazania przez organ II instancji okoliczności faktycznych, jakie powinien wziąć pod uwagę organ I instancji przy ponownym rozpatrywaniu sprawy, organ I instancji niekiedy uchyla się od podjęcia czynności, na które wskazywał organ II instancji. Nieustalenie istotnych okoliczności faktycznych ma zawsze istotny wpływ na wynik sprawy, co może prowadzić do uchylenia decyzji. Zatem przepis ten ma na celu zdyscyplinowanie organów I instancji do wykonywania zaleceń organu II instancji i tym samym nieprzedłużania postępowania administracyjnego. Przepis ten ma również na celu </w:t>
      </w:r>
      <w:r w:rsidR="00C52194" w:rsidRPr="00A555B6">
        <w:rPr>
          <w:rFonts w:ascii="Times New Roman" w:hAnsi="Times New Roman" w:cs="Times New Roman"/>
        </w:rPr>
        <w:t xml:space="preserve">zobligowanie </w:t>
      </w:r>
      <w:r w:rsidRPr="00A555B6">
        <w:rPr>
          <w:rFonts w:ascii="Times New Roman" w:hAnsi="Times New Roman" w:cs="Times New Roman"/>
        </w:rPr>
        <w:t>organu I instancji do analizy okoliczności wskazanych przez organ II instancji przy ponownym rozpatrywaniu sprawy.</w:t>
      </w:r>
    </w:p>
    <w:p w14:paraId="061CEF7B"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Te same sytuacje zdarzają się w odniesieniu do wytycznych organu odwoławczego w zakresie wykładni przepisów prawa.</w:t>
      </w:r>
    </w:p>
    <w:p w14:paraId="1F1C02B9" w14:textId="0A02F379"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Podkreślenia wymaga, że wprowadzenie tego instrumentu, mającego na celu zobowiązanie organu I</w:t>
      </w:r>
      <w:r w:rsidR="004C765C" w:rsidRPr="00A555B6">
        <w:rPr>
          <w:rFonts w:ascii="Times New Roman" w:hAnsi="Times New Roman" w:cs="Times New Roman"/>
        </w:rPr>
        <w:t> </w:t>
      </w:r>
      <w:r w:rsidRPr="00A555B6">
        <w:rPr>
          <w:rFonts w:ascii="Times New Roman" w:hAnsi="Times New Roman" w:cs="Times New Roman"/>
        </w:rPr>
        <w:t>instancji do zastosowania się do treści decyzji organu odwoławczego, będzie dotyczyło wyłącznie przypadku, o którym mowa w art. 138 § 2 lub 2a Kpa.</w:t>
      </w:r>
    </w:p>
    <w:p w14:paraId="10A14029" w14:textId="3AB17282"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Przepis ten znajdzie zastosowanie, gdy organ II instancji już raz wydał decyzję o przekazaniu sprawy do ponownego rozpatrzenia przez organ I instancji, a ten nie wykonał zaleceń organu II instancji i</w:t>
      </w:r>
      <w:r w:rsidR="00821E81" w:rsidRPr="00A555B6">
        <w:rPr>
          <w:rFonts w:ascii="Times New Roman" w:hAnsi="Times New Roman" w:cs="Times New Roman"/>
        </w:rPr>
        <w:t> </w:t>
      </w:r>
      <w:r w:rsidRPr="00A555B6">
        <w:rPr>
          <w:rFonts w:ascii="Times New Roman" w:hAnsi="Times New Roman" w:cs="Times New Roman"/>
        </w:rPr>
        <w:t>w</w:t>
      </w:r>
      <w:r w:rsidR="00821E81" w:rsidRPr="00A555B6">
        <w:rPr>
          <w:rFonts w:ascii="Times New Roman" w:hAnsi="Times New Roman" w:cs="Times New Roman"/>
        </w:rPr>
        <w:t> </w:t>
      </w:r>
      <w:r w:rsidRPr="00A555B6">
        <w:rPr>
          <w:rFonts w:ascii="Times New Roman" w:hAnsi="Times New Roman" w:cs="Times New Roman"/>
        </w:rPr>
        <w:t xml:space="preserve">wyniku tego ponownie zostało wniesione odwołanie. </w:t>
      </w:r>
    </w:p>
    <w:p w14:paraId="15272D47" w14:textId="38BDF125"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Zatem stwierdzenie uchybień w działaniu organu I instancji przy ponownym rozpatrywaniu sprawy, polegające na braku uwzględnienia przez ten organ okoliczności faktycznych lub wytycznych w</w:t>
      </w:r>
      <w:r w:rsidR="00821E81" w:rsidRPr="00A555B6">
        <w:rPr>
          <w:rFonts w:ascii="Times New Roman" w:hAnsi="Times New Roman" w:cs="Times New Roman"/>
        </w:rPr>
        <w:t> </w:t>
      </w:r>
      <w:r w:rsidRPr="00A555B6">
        <w:rPr>
          <w:rFonts w:ascii="Times New Roman" w:hAnsi="Times New Roman" w:cs="Times New Roman"/>
        </w:rPr>
        <w:t>zakresie wykładni przepisów prawa wskazanych przez organ odwoławczy, będzie następowało w</w:t>
      </w:r>
      <w:r w:rsidR="00821E81" w:rsidRPr="00A555B6">
        <w:rPr>
          <w:rFonts w:ascii="Times New Roman" w:hAnsi="Times New Roman" w:cs="Times New Roman"/>
        </w:rPr>
        <w:t> </w:t>
      </w:r>
      <w:r w:rsidRPr="00A555B6">
        <w:rPr>
          <w:rFonts w:ascii="Times New Roman" w:hAnsi="Times New Roman" w:cs="Times New Roman"/>
        </w:rPr>
        <w:t xml:space="preserve">ramach  prowadzonego postępowania odwoławczego, jeżeli strona skorzysta z prawa do wniesienia odwołania na decyzję organu I instancji wydaną po decyzji organu II instancji o przekazaniu sprawy do ponownego rozpatrzenia. </w:t>
      </w:r>
    </w:p>
    <w:p w14:paraId="1B00C21B" w14:textId="08A6F94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Jednocześnie należy mieć na uwadze, że zarządzenie przez organ odwoławczy ustalenia przyczyn naruszenia obowiązku wynikającego z art. 138 § 2 lub 2a Kpa będzie toczyło się obok (niezależnie od) prowadzonego postępowania odwoławczego – sprawa ta będzie wyjaśniana wyłącznie pomiędzy organem pierwszej i drugiej instancji. </w:t>
      </w:r>
    </w:p>
    <w:p w14:paraId="3EFED16A"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Przepis art. 139a §  1 Kpa przewiduje związanie organu pierwszej instancji, w przypadku o którym mowa w art. 138 § 2 lub 2a Kpa, wytycznymi organu odwoławczego wskazanymi w decyzji uchylającej zaskarżoną decyzję w całości i przekazującej sprawę do ponownego rozpatrzenia. Niemniej przepis ten przewiduje, że powyższe związanie nie będzie miało miejsca, gdy:</w:t>
      </w:r>
    </w:p>
    <w:p w14:paraId="50B4B82F" w14:textId="77777777" w:rsidR="003057CA" w:rsidRPr="00A555B6" w:rsidRDefault="003057CA" w:rsidP="009E1176">
      <w:pPr>
        <w:pStyle w:val="Akapitzlist"/>
        <w:numPr>
          <w:ilvl w:val="0"/>
          <w:numId w:val="40"/>
        </w:numPr>
        <w:tabs>
          <w:tab w:val="left" w:pos="426"/>
        </w:tabs>
        <w:spacing w:before="120" w:after="120" w:line="360" w:lineRule="auto"/>
        <w:ind w:left="0" w:hanging="11"/>
        <w:jc w:val="both"/>
        <w:rPr>
          <w:rFonts w:ascii="Times New Roman" w:hAnsi="Times New Roman" w:cs="Times New Roman"/>
        </w:rPr>
      </w:pPr>
      <w:r w:rsidRPr="00A555B6">
        <w:rPr>
          <w:rFonts w:ascii="Times New Roman" w:hAnsi="Times New Roman" w:cs="Times New Roman"/>
        </w:rPr>
        <w:t>przepisy prawa uległy zmianie lub</w:t>
      </w:r>
    </w:p>
    <w:p w14:paraId="400AB366" w14:textId="77777777" w:rsidR="003057CA" w:rsidRPr="00A555B6" w:rsidRDefault="003057CA" w:rsidP="009E1176">
      <w:pPr>
        <w:pStyle w:val="Akapitzlist"/>
        <w:numPr>
          <w:ilvl w:val="0"/>
          <w:numId w:val="40"/>
        </w:numPr>
        <w:tabs>
          <w:tab w:val="left" w:pos="426"/>
        </w:tabs>
        <w:spacing w:before="120" w:after="120" w:line="360" w:lineRule="auto"/>
        <w:ind w:left="0" w:hanging="11"/>
        <w:jc w:val="both"/>
        <w:rPr>
          <w:rFonts w:ascii="Times New Roman" w:hAnsi="Times New Roman" w:cs="Times New Roman"/>
        </w:rPr>
      </w:pPr>
      <w:r w:rsidRPr="00A555B6">
        <w:rPr>
          <w:rFonts w:ascii="Times New Roman" w:hAnsi="Times New Roman" w:cs="Times New Roman"/>
        </w:rPr>
        <w:t>organ pierwszej instancji uzasadnił przyczyny odstąpienia od wytycznych organu odwoławczego.</w:t>
      </w:r>
    </w:p>
    <w:p w14:paraId="072339F6" w14:textId="08B5CB4C"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Zgodnie z art. 139a § 1 Kpa procedura określona w tym przepisie wystąpi tylko w przypadku, gdy w decyzji organu pierwszej instancji nie zostały wskazane przyczyny odstąpienia od obowiązku polegającego na konieczności uwzględnienia:</w:t>
      </w:r>
    </w:p>
    <w:p w14:paraId="6D735606" w14:textId="35522941"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t>
      </w:r>
      <w:r w:rsidR="000A5E88" w:rsidRPr="00A555B6">
        <w:rPr>
          <w:rFonts w:ascii="Times New Roman" w:hAnsi="Times New Roman" w:cs="Times New Roman"/>
        </w:rPr>
        <w:t xml:space="preserve"> </w:t>
      </w:r>
      <w:r w:rsidRPr="00A555B6">
        <w:rPr>
          <w:rFonts w:ascii="Times New Roman" w:hAnsi="Times New Roman" w:cs="Times New Roman"/>
        </w:rPr>
        <w:t>wskazanych przez organ odwoławczy okoliczności, które należy wziąć pod uwagę przy ponownym rozpatrzeniu sprawy, o których mowa w art. 138 § 2 zdanie drugie Kpa, lub</w:t>
      </w:r>
    </w:p>
    <w:p w14:paraId="7CB82534" w14:textId="68E3470D"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t>
      </w:r>
      <w:r w:rsidR="000A5E88" w:rsidRPr="00A555B6">
        <w:rPr>
          <w:rFonts w:ascii="Times New Roman" w:hAnsi="Times New Roman" w:cs="Times New Roman"/>
        </w:rPr>
        <w:t xml:space="preserve"> </w:t>
      </w:r>
      <w:r w:rsidRPr="00A555B6">
        <w:rPr>
          <w:rFonts w:ascii="Times New Roman" w:hAnsi="Times New Roman" w:cs="Times New Roman"/>
        </w:rPr>
        <w:t>określonych przez organ odwoławczy wytycznych w zakresie wykładni przepisów prawa, które mogą znaleźć zastosowanie w sprawie, o których mowa w art. 138 § 2a Kpa.</w:t>
      </w:r>
    </w:p>
    <w:p w14:paraId="3F783400" w14:textId="4144E66B"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Zatem samo nieuwzględnienie przez organ I instancji wytycznych nie będzie powodować konsekwencji, o ile zostało wyjaśnione </w:t>
      </w:r>
      <w:r w:rsidR="003057CA" w:rsidRPr="00A555B6">
        <w:rPr>
          <w:rFonts w:ascii="Times New Roman" w:hAnsi="Times New Roman" w:cs="Times New Roman"/>
        </w:rPr>
        <w:t>przez organ I instancji w decyzji wydanej po ponownym rozpatrzeniu sprawy</w:t>
      </w:r>
      <w:r w:rsidRPr="00A555B6">
        <w:rPr>
          <w:rFonts w:ascii="Times New Roman" w:hAnsi="Times New Roman" w:cs="Times New Roman"/>
        </w:rPr>
        <w:t>. W związku z tym w przypadku nieuwzględniania przez organ I instancji wytycznych organu odwoławczego przy jednoczesnym wyjaśnieniu przez organ I instancji powodów ich nieuwzględnienia brak będzie podstaw do uruchomienia procedury przewidzianej w art. 139a Kpa.</w:t>
      </w:r>
    </w:p>
    <w:p w14:paraId="016FC470" w14:textId="10B79739"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Art. 139a § </w:t>
      </w:r>
      <w:r w:rsidR="003057CA" w:rsidRPr="00A555B6">
        <w:rPr>
          <w:rFonts w:ascii="Times New Roman" w:hAnsi="Times New Roman" w:cs="Times New Roman"/>
        </w:rPr>
        <w:t>3</w:t>
      </w:r>
      <w:r w:rsidRPr="00A555B6">
        <w:rPr>
          <w:rFonts w:ascii="Times New Roman" w:hAnsi="Times New Roman" w:cs="Times New Roman"/>
        </w:rPr>
        <w:t xml:space="preserve"> Kpa stanowi, że organ odwoławczy „zarządza” wyjaśnienie przyczyn. W tym zakresie należy wskazać, że organ odwoławczy będzie zarządzał wyjaśnienie przez organ pierwszej instancji wskazanych w art. 139a § </w:t>
      </w:r>
      <w:r w:rsidR="003057CA" w:rsidRPr="00A555B6">
        <w:rPr>
          <w:rFonts w:ascii="Times New Roman" w:hAnsi="Times New Roman" w:cs="Times New Roman"/>
        </w:rPr>
        <w:t>3</w:t>
      </w:r>
      <w:r w:rsidRPr="00A555B6">
        <w:rPr>
          <w:rFonts w:ascii="Times New Roman" w:hAnsi="Times New Roman" w:cs="Times New Roman"/>
        </w:rPr>
        <w:t xml:space="preserve"> Kpa kwestii w ramach odrębnego postępowania, które będzie całkowicie niezależne od postępowania odwoławczego (tj. głównego) i nie będzie miało na nie wpływu. </w:t>
      </w:r>
    </w:p>
    <w:p w14:paraId="37CFA766" w14:textId="6F6BB18B"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też wskazać, że „zarządzenie” </w:t>
      </w:r>
      <w:bookmarkStart w:id="11" w:name="_Hlk163120921"/>
      <w:r w:rsidR="00C52194" w:rsidRPr="00A555B6">
        <w:rPr>
          <w:rFonts w:ascii="Times New Roman" w:hAnsi="Times New Roman" w:cs="Times New Roman"/>
        </w:rPr>
        <w:t>wyjaśnienia</w:t>
      </w:r>
      <w:bookmarkEnd w:id="11"/>
      <w:r w:rsidRPr="00A555B6">
        <w:rPr>
          <w:rFonts w:ascii="Times New Roman" w:hAnsi="Times New Roman" w:cs="Times New Roman"/>
        </w:rPr>
        <w:t xml:space="preserve"> przyczyn nie będzie wydawane ani w formie decyzji ani w formie postanowienia. Zarządzenie, o którym mowa w art. art. 139a § </w:t>
      </w:r>
      <w:r w:rsidR="003057CA" w:rsidRPr="00A555B6">
        <w:rPr>
          <w:rFonts w:ascii="Times New Roman" w:hAnsi="Times New Roman" w:cs="Times New Roman"/>
        </w:rPr>
        <w:t>3</w:t>
      </w:r>
      <w:r w:rsidRPr="00A555B6">
        <w:rPr>
          <w:rFonts w:ascii="Times New Roman" w:hAnsi="Times New Roman" w:cs="Times New Roman"/>
        </w:rPr>
        <w:t xml:space="preserve"> Kpa, będzie miało formę zwykłego pisma skierowanego do organu pierwszej instancji. W tym zakresie należy wskazać, że strona nie będzie uczestnikiem „postępowania” zainicjowanego w związku z</w:t>
      </w:r>
      <w:r w:rsidR="00821E81" w:rsidRPr="00A555B6">
        <w:rPr>
          <w:rFonts w:ascii="Times New Roman" w:hAnsi="Times New Roman" w:cs="Times New Roman"/>
        </w:rPr>
        <w:t> </w:t>
      </w:r>
      <w:r w:rsidRPr="00A555B6">
        <w:rPr>
          <w:rFonts w:ascii="Times New Roman" w:hAnsi="Times New Roman" w:cs="Times New Roman"/>
        </w:rPr>
        <w:t xml:space="preserve">zarządzeniem wyjaśnienia kwestii wskazanych w art. art. 139a § </w:t>
      </w:r>
      <w:r w:rsidR="003057CA" w:rsidRPr="00A555B6">
        <w:rPr>
          <w:rFonts w:ascii="Times New Roman" w:hAnsi="Times New Roman" w:cs="Times New Roman"/>
        </w:rPr>
        <w:t>3</w:t>
      </w:r>
      <w:r w:rsidRPr="00A555B6">
        <w:rPr>
          <w:rFonts w:ascii="Times New Roman" w:hAnsi="Times New Roman" w:cs="Times New Roman"/>
        </w:rPr>
        <w:t xml:space="preserve"> Kpa. Zatem wprowadzenie regulacji, w zakresie wydania zarządzenia w formie postanowienia czy decyzji nie ma uzasadnienia ponieważ nie będzie podmiotu upoważnionego do zaskarżenia takiego rozstrzygnięcia. Kwestie związane z wyjaśnieniem okoliczności, o których mowa w art. 139a § 1 Kpa, będą należały wyłącznie do organu pierwszej instancji w związku z zarządzeniem organu odwoławczego a strona postępowania nie będzie uczestnikiem tego „postępowania”.</w:t>
      </w:r>
    </w:p>
    <w:p w14:paraId="3455BC10" w14:textId="77777777" w:rsidR="005C40BC"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Organem właściwym do wyjaśnienia przyczyn i ustalenia osób winnych naruszenia art. 138 § 2 lub 2a Kpa, będzie organ pierwszej instancji.</w:t>
      </w:r>
    </w:p>
    <w:p w14:paraId="50564226" w14:textId="48C46C9B" w:rsidR="00FE2A67" w:rsidRPr="00A555B6" w:rsidRDefault="00FE2A67" w:rsidP="004E6FE9">
      <w:pPr>
        <w:spacing w:before="120" w:after="120" w:line="360" w:lineRule="auto"/>
        <w:jc w:val="both"/>
        <w:rPr>
          <w:rFonts w:ascii="Times New Roman" w:hAnsi="Times New Roman" w:cs="Times New Roman"/>
        </w:rPr>
      </w:pPr>
      <w:r>
        <w:rPr>
          <w:rFonts w:ascii="Times New Roman" w:hAnsi="Times New Roman" w:cs="Times New Roman"/>
        </w:rPr>
        <w:lastRenderedPageBreak/>
        <w:t>Jednocześnie należy wskazać, że z</w:t>
      </w:r>
      <w:r w:rsidRPr="008F4446">
        <w:rPr>
          <w:rFonts w:ascii="Times New Roman" w:hAnsi="Times New Roman" w:cs="Times New Roman"/>
        </w:rPr>
        <w:t>godnie z art. 64e ppsa rozpoznając sprzeciw od decyzji, sąd ocenia jedynie istnienie przesłanek do wydania decyzji, o której mowa w art. 138 § 2 KPA. W związku z tym w ramach sprzeciwu sąd będzie oceniał wytyczne organu II instancji ponieważ to one będą stanowiły uzasadnioną podstawę uchylenia i przekazania sprawy do ponownego rozpatrzenia organowi I instancji. Nadmienić należy, że wytyczne organu II instancji będą zawarte w decyzji kasacyjnej.</w:t>
      </w:r>
    </w:p>
    <w:p w14:paraId="05D7D021" w14:textId="62F84517" w:rsidR="005C40BC" w:rsidRPr="00A555B6" w:rsidRDefault="005C40BC" w:rsidP="004E6FE9">
      <w:pPr>
        <w:spacing w:before="120" w:after="120" w:line="360" w:lineRule="auto"/>
        <w:jc w:val="both"/>
        <w:rPr>
          <w:rFonts w:ascii="Times New Roman" w:hAnsi="Times New Roman" w:cs="Times New Roman"/>
        </w:rPr>
      </w:pPr>
    </w:p>
    <w:p w14:paraId="20BAD68B" w14:textId="54DC6E52" w:rsidR="003057CA" w:rsidRPr="00A555B6" w:rsidRDefault="003057CA" w:rsidP="009E1176">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Zmiany dotyczące biegu terminu przedawnienia nałożenia administracyjnej kary pieniężnej</w:t>
      </w:r>
      <w:r w:rsidR="002A6303" w:rsidRPr="00A555B6">
        <w:rPr>
          <w:rFonts w:ascii="Times New Roman" w:hAnsi="Times New Roman" w:cs="Times New Roman"/>
        </w:rPr>
        <w:t>.</w:t>
      </w:r>
    </w:p>
    <w:p w14:paraId="3AC56837" w14:textId="0C900888"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Zgodnie z art. 189g § 1 K</w:t>
      </w:r>
      <w:r w:rsidR="00C2495E" w:rsidRPr="00A555B6">
        <w:rPr>
          <w:rFonts w:ascii="Times New Roman" w:hAnsi="Times New Roman" w:cs="Times New Roman"/>
        </w:rPr>
        <w:t>pa</w:t>
      </w:r>
      <w:r w:rsidRPr="00A555B6">
        <w:rPr>
          <w:rFonts w:ascii="Times New Roman" w:hAnsi="Times New Roman" w:cs="Times New Roman"/>
        </w:rPr>
        <w:t xml:space="preserve"> administracyjna kara pieniężna nie może zostać nałożona, jeżeli upłynęło pięć lat od dnia naruszenia prawa albo wystąpienia skutków naruszenia prawa.</w:t>
      </w:r>
    </w:p>
    <w:p w14:paraId="423BD807" w14:textId="0AF832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Przerwanie biegu terminu przedawnienia, o którym mowa w art. 189g § 1 K</w:t>
      </w:r>
      <w:r w:rsidR="00C2495E" w:rsidRPr="00A555B6">
        <w:rPr>
          <w:rFonts w:ascii="Times New Roman" w:hAnsi="Times New Roman" w:cs="Times New Roman"/>
        </w:rPr>
        <w:t>pa</w:t>
      </w:r>
      <w:r w:rsidRPr="00A555B6">
        <w:rPr>
          <w:rFonts w:ascii="Times New Roman" w:hAnsi="Times New Roman" w:cs="Times New Roman"/>
        </w:rPr>
        <w:t>, następuje wyłącznie w przypadkach, o których mowa w art. 189h K</w:t>
      </w:r>
      <w:r w:rsidR="00C2495E" w:rsidRPr="00A555B6">
        <w:rPr>
          <w:rFonts w:ascii="Times New Roman" w:hAnsi="Times New Roman" w:cs="Times New Roman"/>
        </w:rPr>
        <w:t>pa</w:t>
      </w:r>
      <w:r w:rsidRPr="00A555B6">
        <w:rPr>
          <w:rFonts w:ascii="Times New Roman" w:hAnsi="Times New Roman" w:cs="Times New Roman"/>
        </w:rPr>
        <w:t xml:space="preserve">. </w:t>
      </w:r>
    </w:p>
    <w:p w14:paraId="0CDB5A6A"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Zgodnie z obowiązującym art. 189h § 4 Kpa bieg terminu przedawnienia nałożenia administracyjnej kary pieniężnej nie rozpoczyna się, a rozpoczęty ulega zawieszeniu z dniem:</w:t>
      </w:r>
    </w:p>
    <w:p w14:paraId="56284E20" w14:textId="1F306E75"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1) wniesienia środka zaskarżenia od decyzji w przedmiocie administracyjnej kary pieniężnej do sądu administracyjnego albo sądu powszechnego, albo skargi kasacyjnej od prawomocnego orzeczenia w</w:t>
      </w:r>
      <w:r w:rsidR="00E6226B" w:rsidRPr="00A555B6">
        <w:rPr>
          <w:rFonts w:ascii="Times New Roman" w:hAnsi="Times New Roman" w:cs="Times New Roman"/>
        </w:rPr>
        <w:t> </w:t>
      </w:r>
      <w:r w:rsidRPr="00A555B6">
        <w:rPr>
          <w:rFonts w:ascii="Times New Roman" w:hAnsi="Times New Roman" w:cs="Times New Roman"/>
        </w:rPr>
        <w:t>przedmiocie administracyjnej kary pieniężnej;</w:t>
      </w:r>
    </w:p>
    <w:p w14:paraId="634A159D"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2) wniesienia żądania ustalenia przez sąd powszechny istnienia lub nieistnienia stosunku prawnego lub prawa;</w:t>
      </w:r>
    </w:p>
    <w:p w14:paraId="2C2C08C5" w14:textId="4728826F"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3) doręczenia zarządzenia zabezpieczenia w trybie przepisów o postępowaniu egzekucyjnym w</w:t>
      </w:r>
      <w:r w:rsidR="00E6226B" w:rsidRPr="00A555B6">
        <w:rPr>
          <w:rFonts w:ascii="Times New Roman" w:hAnsi="Times New Roman" w:cs="Times New Roman"/>
        </w:rPr>
        <w:t> </w:t>
      </w:r>
      <w:r w:rsidRPr="00A555B6">
        <w:rPr>
          <w:rFonts w:ascii="Times New Roman" w:hAnsi="Times New Roman" w:cs="Times New Roman"/>
        </w:rPr>
        <w:t>administracji, jeżeli przepisy odrębne przewidują możliwość zarządzenia zabezpieczenia.</w:t>
      </w:r>
    </w:p>
    <w:p w14:paraId="30593426"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Natomiast w myśl obecnego brzmienia art. 189h § 5 Kpa termin przedawnienia nałożenia administracyjnej kary pieniężnej rozpoczyna się, a po zawieszeniu biegnie dalej, od dnia następującego po dniu:</w:t>
      </w:r>
    </w:p>
    <w:p w14:paraId="693273B0"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1) uprawomocnienia się orzeczenia sądu administracyjnego albo sądu powszechnego właściwego do rozpoznania odwołania od decyzji w przedmiocie administracyjnej kary pieniężnej, albo odmowy przyjęcia skargi kasacyjnej do rozpoznania przez Sąd Najwyższy, oddalenia skargi kasacyjnej, albo uchylenia przez Sąd Najwyższy zaskarżonego wyroku i orzeczenia co do istoty sprawy;</w:t>
      </w:r>
    </w:p>
    <w:p w14:paraId="4F8D17A1" w14:textId="1BA86789"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2) uprawomocnienia się orzeczenia lub ogłoszenia prawomocnego orzeczenia sądu powszechnego w</w:t>
      </w:r>
      <w:r w:rsidR="00E6226B" w:rsidRPr="00A555B6">
        <w:rPr>
          <w:rFonts w:ascii="Times New Roman" w:hAnsi="Times New Roman" w:cs="Times New Roman"/>
        </w:rPr>
        <w:t> </w:t>
      </w:r>
      <w:r w:rsidRPr="00A555B6">
        <w:rPr>
          <w:rFonts w:ascii="Times New Roman" w:hAnsi="Times New Roman" w:cs="Times New Roman"/>
        </w:rPr>
        <w:t>sprawie ustalenia istnienia lub nieistnienia stosunku prawnego lub prawa;</w:t>
      </w:r>
    </w:p>
    <w:p w14:paraId="72D05C85" w14:textId="487698D6"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3) zakończenia postępowania zabezpieczającego w trybie przepisów o postępowaniu egzekucyjnym w</w:t>
      </w:r>
      <w:r w:rsidR="00E6226B" w:rsidRPr="00A555B6">
        <w:rPr>
          <w:rFonts w:ascii="Times New Roman" w:hAnsi="Times New Roman" w:cs="Times New Roman"/>
        </w:rPr>
        <w:t> </w:t>
      </w:r>
      <w:r w:rsidRPr="00A555B6">
        <w:rPr>
          <w:rFonts w:ascii="Times New Roman" w:hAnsi="Times New Roman" w:cs="Times New Roman"/>
        </w:rPr>
        <w:t>administracji.</w:t>
      </w:r>
    </w:p>
    <w:p w14:paraId="3E7A3CC6" w14:textId="7FE2A5DA"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katalogu przyczyn przerwania i zawieszenia biegu terminu przedawnienia nałożenia administracyjnej kary pieniężnej nie zostało uwzględnione obligatoryjne zawieszenie postępowania, o którym mowa </w:t>
      </w:r>
      <w:r w:rsidRPr="00A555B6">
        <w:rPr>
          <w:rFonts w:ascii="Times New Roman" w:hAnsi="Times New Roman" w:cs="Times New Roman"/>
        </w:rPr>
        <w:lastRenderedPageBreak/>
        <w:t>w</w:t>
      </w:r>
      <w:r w:rsidR="00E6226B" w:rsidRPr="00A555B6">
        <w:rPr>
          <w:rFonts w:ascii="Times New Roman" w:hAnsi="Times New Roman" w:cs="Times New Roman"/>
        </w:rPr>
        <w:t> </w:t>
      </w:r>
      <w:r w:rsidRPr="00A555B6">
        <w:rPr>
          <w:rFonts w:ascii="Times New Roman" w:hAnsi="Times New Roman" w:cs="Times New Roman"/>
        </w:rPr>
        <w:t>art. 97 § 1 pkt 2, 3, 4 Kpa. W związku z tym ww. katalog uzupełniony został o okres obligatoryjnego zawieszenia postępowania przez zmianę w tym zakresie art. 189h § 4 i § 5 Kpa.</w:t>
      </w:r>
    </w:p>
    <w:p w14:paraId="727A457A"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postępowaniach w sprawie zapłaty administracyjnej kary pieniężnej nierzadko występują sytuacje, które powodują obligatoryjne zawieszenie postępowania administracyjnego na podstawie art. 97 </w:t>
      </w:r>
      <w:bookmarkStart w:id="12" w:name="_Hlk171429183"/>
      <w:r w:rsidRPr="00A555B6">
        <w:rPr>
          <w:rFonts w:ascii="Times New Roman" w:hAnsi="Times New Roman" w:cs="Times New Roman"/>
        </w:rPr>
        <w:t xml:space="preserve">§ </w:t>
      </w:r>
      <w:bookmarkEnd w:id="12"/>
      <w:r w:rsidRPr="00A555B6">
        <w:rPr>
          <w:rFonts w:ascii="Times New Roman" w:hAnsi="Times New Roman" w:cs="Times New Roman"/>
        </w:rPr>
        <w:t>1 pkt 2, 3, 4 Kpa, np. w razie utraty przez stronę lub przez jej ustawowego przedstawiciela zdolności do czynności prawnych (art. 97 § 1 pkt 3 Kpa). Zgodnie z art. 102 Kpa w czasie zawieszenia postępowania organ administracji publicznej może podejmować jedynie czynności niezbędne w celu zapobieżenia niebezpieczeństwu dla życia lub zdrowia ludzkiego albo poważnym szkodom dla interesu społecznego. W tym czasie organ administracji publicznej nie ma możliwości podejmowania czynności zmierzających do wyjaśnienia stanu faktycznego danej sprawy, czy wydania decyzji o nałożeniu administracyjnej kary pieniężnej. W związku z tym skróceniu ulega czas, w którym możliwe jest nałożenie administracyjnej kary pieniężnej na dany podmiot. Dodatkowo brak możliwości w czasie obligatoryjnego zawieszenia postępowania prowadzenia postępowania dowodowego i następnie ustąpienie przesłanki tego zawieszenia mogą powodować zbyt mało czasu na przeprowadzenie takiego postępowania, które może okazać się skomplikowane i czasochłonne. Powyższe może prowadzić do przedawnienia administracyjnej kary pieniężnej. Dodatkowo należy mieć na uwadze, że niektóre naruszenia mogą ujawnić się z pewnym opóźnieniem, co powoduje skrócenie terminu dochodzenia administracyjnej kary pieniężnej, a co w połączeniu z obligatoryjnym zawieszeniem postępowania tym bardziej może przyczynić się do przedawnienia ww. sankcji.</w:t>
      </w:r>
    </w:p>
    <w:p w14:paraId="0ADDB75D" w14:textId="17056765" w:rsidR="00375C2A" w:rsidRPr="00A555B6" w:rsidRDefault="003057CA" w:rsidP="00375C2A">
      <w:pPr>
        <w:spacing w:before="120" w:after="120" w:line="360" w:lineRule="auto"/>
        <w:jc w:val="both"/>
        <w:rPr>
          <w:rFonts w:ascii="Times New Roman" w:hAnsi="Times New Roman" w:cs="Times New Roman"/>
        </w:rPr>
      </w:pPr>
      <w:r w:rsidRPr="00A555B6">
        <w:rPr>
          <w:rFonts w:ascii="Times New Roman" w:hAnsi="Times New Roman" w:cs="Times New Roman"/>
        </w:rPr>
        <w:t>Jednocześnie ze względu na to, że administracyjna kara pieniężna nie przechodzi na spadkobierców w</w:t>
      </w:r>
      <w:r w:rsidR="00E6226B" w:rsidRPr="00A555B6">
        <w:rPr>
          <w:rFonts w:ascii="Times New Roman" w:hAnsi="Times New Roman" w:cs="Times New Roman"/>
        </w:rPr>
        <w:t> </w:t>
      </w:r>
      <w:r w:rsidRPr="00A555B6">
        <w:rPr>
          <w:rFonts w:ascii="Times New Roman" w:hAnsi="Times New Roman" w:cs="Times New Roman"/>
        </w:rPr>
        <w:t>przepisie nie została uwzględniona przesłanka obligatoryjnego zawieszenia postępowania uregulowana w art. 97 § 1 pkt 1 i 3a Kpa.</w:t>
      </w:r>
    </w:p>
    <w:p w14:paraId="43582ECC" w14:textId="267A953D" w:rsidR="005C40BC" w:rsidRPr="00A555B6" w:rsidRDefault="005C40BC" w:rsidP="009E1176">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Zmiany w zakresie definicji zaległej administracyjnej kary pieniężnej</w:t>
      </w:r>
    </w:p>
    <w:p w14:paraId="1B300DEC" w14:textId="1058C9B5" w:rsidR="003057CA" w:rsidRPr="00A555B6" w:rsidRDefault="003057CA" w:rsidP="009E1176">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art. 189i § 1 Kpa wskazano, że zaległą administracyjną karą pieniężna jest kara niezapłacona </w:t>
      </w:r>
      <w:r w:rsidRPr="00A555B6">
        <w:rPr>
          <w:rFonts w:ascii="Times New Roman" w:hAnsi="Times New Roman" w:cs="Times New Roman"/>
        </w:rPr>
        <w:br/>
        <w:t xml:space="preserve">w terminie 14 dni od dnia, w którym decyzja w sprawie administracyjnej kary pieniężnej stała się ostateczna, chyba że przepisy szczególne wskazują inny termin jej zapłaty. </w:t>
      </w:r>
    </w:p>
    <w:p w14:paraId="35DD920A" w14:textId="7777777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Obecnie przepis ten nie zawiera określenia terminu, do którego administracyjna kara pieniężna może zostać uregulowana.</w:t>
      </w:r>
    </w:p>
    <w:p w14:paraId="10385CE2" w14:textId="13FFA262"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związku z tym, w przypadku gdy przepisy szczególne stanowiące podstawę nałożenia kary pieniężnej nie określają terminu jej zapłaty, organy administracji publicznej muszą ustalać termin jej zapłaty w</w:t>
      </w:r>
      <w:r w:rsidR="00E6226B" w:rsidRPr="00A555B6">
        <w:rPr>
          <w:rFonts w:ascii="Times New Roman" w:hAnsi="Times New Roman" w:cs="Times New Roman"/>
        </w:rPr>
        <w:t> </w:t>
      </w:r>
      <w:r w:rsidRPr="00A555B6">
        <w:rPr>
          <w:rFonts w:ascii="Times New Roman" w:hAnsi="Times New Roman" w:cs="Times New Roman"/>
        </w:rPr>
        <w:t>drodze wykładni przepisów Kpa. Zgodnie z art. 130 § 1 Kpa przed upływem terminu do wniesienia odwołania decyzja nie ulega wykonaniu. Tym samym – w celu równego traktowania sytuacji obłożenia strony administracyjną karą pieniężną, tj. zarówno w ramach postępowania w</w:t>
      </w:r>
      <w:r w:rsidR="00B4401E" w:rsidRPr="00A555B6">
        <w:rPr>
          <w:rFonts w:ascii="Times New Roman" w:hAnsi="Times New Roman" w:cs="Times New Roman"/>
        </w:rPr>
        <w:t> </w:t>
      </w:r>
      <w:r w:rsidRPr="00A555B6">
        <w:rPr>
          <w:rFonts w:ascii="Times New Roman" w:hAnsi="Times New Roman" w:cs="Times New Roman"/>
        </w:rPr>
        <w:t>I</w:t>
      </w:r>
      <w:r w:rsidR="00B4401E" w:rsidRPr="00A555B6">
        <w:rPr>
          <w:rFonts w:ascii="Times New Roman" w:hAnsi="Times New Roman" w:cs="Times New Roman"/>
        </w:rPr>
        <w:t> </w:t>
      </w:r>
      <w:r w:rsidRPr="00A555B6">
        <w:rPr>
          <w:rFonts w:ascii="Times New Roman" w:hAnsi="Times New Roman" w:cs="Times New Roman"/>
        </w:rPr>
        <w:t>instancji, jak i w II instancji – słusznym wydaje się przyjęcie, że kara ta powinna być zapłacona w</w:t>
      </w:r>
      <w:r w:rsidR="00B4401E" w:rsidRPr="00A555B6">
        <w:rPr>
          <w:rFonts w:ascii="Times New Roman" w:hAnsi="Times New Roman" w:cs="Times New Roman"/>
        </w:rPr>
        <w:t> </w:t>
      </w:r>
      <w:r w:rsidRPr="00A555B6">
        <w:rPr>
          <w:rFonts w:ascii="Times New Roman" w:hAnsi="Times New Roman" w:cs="Times New Roman"/>
        </w:rPr>
        <w:t xml:space="preserve">terminie 14 dni od doręczenia stronie decyzji w tej sprawie, jednak tylko pod warunkiem, że decyzja nabędzie przymiot </w:t>
      </w:r>
      <w:r w:rsidRPr="00A555B6">
        <w:rPr>
          <w:rFonts w:ascii="Times New Roman" w:hAnsi="Times New Roman" w:cs="Times New Roman"/>
        </w:rPr>
        <w:lastRenderedPageBreak/>
        <w:t>ostateczności – tj. upłynie termin do wniesienia odwołania lub zostanie wydana przez organ odwoławczy. Niemniej jednak zgodnie z art. 110 § 1 Kpa organ administracji publicznej, który wydał decyzję, jest nią związany od chwili jej doręczenia lub ogłoszenia, o ile kodeks nie stanowi inaczej.  W</w:t>
      </w:r>
      <w:r w:rsidR="00E6226B" w:rsidRPr="00A555B6">
        <w:rPr>
          <w:rFonts w:ascii="Times New Roman" w:hAnsi="Times New Roman" w:cs="Times New Roman"/>
        </w:rPr>
        <w:t> </w:t>
      </w:r>
      <w:r w:rsidRPr="00A555B6">
        <w:rPr>
          <w:rFonts w:ascii="Times New Roman" w:hAnsi="Times New Roman" w:cs="Times New Roman"/>
        </w:rPr>
        <w:t>orzecznictwie sądów administracyjnych przyjmuje się, że decyzja administracyjna zaczyna funkcjonować w obrocie prawnym od momentu jej skutecznego doręczenia. Brak jednoznacznego uregulowania w przepisach Kpa terminu zapłaty kary pieniężnej powoduje wątpliwości po stronie organów odnośnie chwili, w której ukarany podmiot ma zapłacić karę, a</w:t>
      </w:r>
      <w:r w:rsidR="00821E81" w:rsidRPr="00A555B6">
        <w:rPr>
          <w:rFonts w:ascii="Times New Roman" w:hAnsi="Times New Roman" w:cs="Times New Roman"/>
        </w:rPr>
        <w:t> </w:t>
      </w:r>
      <w:r w:rsidRPr="00A555B6">
        <w:rPr>
          <w:rFonts w:ascii="Times New Roman" w:hAnsi="Times New Roman" w:cs="Times New Roman"/>
        </w:rPr>
        <w:t>w</w:t>
      </w:r>
      <w:r w:rsidR="00821E81" w:rsidRPr="00A555B6">
        <w:rPr>
          <w:rFonts w:ascii="Times New Roman" w:hAnsi="Times New Roman" w:cs="Times New Roman"/>
        </w:rPr>
        <w:t> </w:t>
      </w:r>
      <w:r w:rsidRPr="00A555B6">
        <w:rPr>
          <w:rFonts w:ascii="Times New Roman" w:hAnsi="Times New Roman" w:cs="Times New Roman"/>
        </w:rPr>
        <w:t xml:space="preserve">konsekwencji określenia daty, w której kara pieniężna staje się zaległą karą pieniężną skutkującą koniecznością naliczenia odsetek. Ponadto nakładane przez organy administracji publicznej kary pieniężne mogą stanowić istotne obciążenie finansowe dla ukaranego podmiotu. Przyjęcie, że karę pieniężną uiszcza się w określonym w powyższy sposób terminie, pozwoli na zgromadzenie odpowiednich środków na dokonanie zapłaty kary pieniężnej. Ponadto </w:t>
      </w:r>
      <w:r w:rsidR="00A7393F" w:rsidRPr="00A555B6">
        <w:rPr>
          <w:rFonts w:ascii="Times New Roman" w:hAnsi="Times New Roman" w:cs="Times New Roman"/>
        </w:rPr>
        <w:t>jednoznaczne</w:t>
      </w:r>
      <w:r w:rsidRPr="00A555B6">
        <w:rPr>
          <w:rFonts w:ascii="Times New Roman" w:hAnsi="Times New Roman" w:cs="Times New Roman"/>
        </w:rPr>
        <w:t xml:space="preserve"> określenie terminu uiszczenia kary pieniężnej wyeliminuje wątpliwości w tym zakresie po stronie organów odpowiedzialnych za ich nakładanie i egzekucję.</w:t>
      </w:r>
    </w:p>
    <w:p w14:paraId="5D4FF602" w14:textId="77088557" w:rsidR="005C40BC" w:rsidRPr="00A555B6" w:rsidRDefault="005C40BC" w:rsidP="009E1176">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Zmiany w zakresie wykonania kar administracyjnych oraz zaległych kar administracyjnych</w:t>
      </w:r>
      <w:r w:rsidR="002A6303" w:rsidRPr="00A555B6">
        <w:rPr>
          <w:rFonts w:ascii="Times New Roman" w:hAnsi="Times New Roman" w:cs="Times New Roman"/>
        </w:rPr>
        <w:t>.</w:t>
      </w:r>
    </w:p>
    <w:p w14:paraId="3F122F98"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1) Zgodnie z obowiązującym art. 189k § 1 pkt 2 Kpa organ administracji publicznej może odroczyć termin wykonania zaległej administracyjnej kary pieniężnej lub rozłożyć ją na raty. Jednocześnie przepis ten nie przewiduje możliwości zastosowania ww. ulg do odsetek za zwłokę.</w:t>
      </w:r>
    </w:p>
    <w:p w14:paraId="37B89F3B"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Dlatego zasadnym jest dokonanie zmian w art. 189k § 1 pkt 2 Kpa przez dodanie w tym przepisie wyrazów „wraz z odsetkami za zwłokę”, analogicznie jak ma to miejsce w art. 67a § 1 pkt 2 Ordynacji podatkowej, na którym regulacja dotycząca ulg w spłacie administracyjnych kar pieniężnych była wzorowana. Zgodnie z art. 67a § 1 pkt 2 Ordynacji podatkowej organ podatkowy może odroczyć lub rozłożyć na raty zapłatę zaległości podatkowej wraz z odsetkami za zwłokę lub odsetki od nieuregulowanych w terminie zaliczek na podatek.</w:t>
      </w:r>
    </w:p>
    <w:p w14:paraId="40C15913"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 xml:space="preserve">Pominięcie w art. 189k § 1 pkt 2 Kpa odsetek za zwłokę nie ma żadnego uzasadnienia i stwarza problemy przy udzielaniu ulg w spłacie zaległych administracyjnych kar pieniężnych. W obecnym stanie prawnym zapłata odsetek za zwłokę nie może być bowiem odroczona lub rozłożona na raty, a jedyną ulgą, jaką można w stosunku do nich zastosować, jest umorzenie. W związku z tym zasadne jest ujednolicenie katalogu ulg, które mogą być zastosowane wobec zaległej administracyjnej kary pieniężnej oraz naliczonych od niej odsetek za zwłokę. </w:t>
      </w:r>
    </w:p>
    <w:p w14:paraId="5483020C"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2) Dodatkowo uregulowana zostanie kwestia naliczania odsetek za zwłokę w przypadku odroczenia lub rozłożenia na raty zapłaty zaległej administracyjnej kary pieniężnej.</w:t>
      </w:r>
      <w:r w:rsidRPr="00A555B6" w:rsidDel="000A1C61">
        <w:rPr>
          <w:rFonts w:ascii="Times New Roman" w:hAnsi="Times New Roman" w:cs="Times New Roman"/>
        </w:rPr>
        <w:t xml:space="preserve"> </w:t>
      </w:r>
      <w:r w:rsidRPr="00A555B6">
        <w:rPr>
          <w:rFonts w:ascii="Times New Roman" w:hAnsi="Times New Roman" w:cs="Times New Roman"/>
        </w:rPr>
        <w:t xml:space="preserve">W przypadku zaległej administracyjnej kary pieniężnej mamy do czynienia z koniecznością naliczenia odsetek za zwłokę. W związku z tym w przypadku odroczenia lub rozłożenia na raty zaległej administracyjnej kary pieniężnej, w związku ze złożonym wnioskiem przez stronę w ww. zakresie, konieczne jest uregulowanie momentu, do którego będą naliczane odsetki za zwłokę. W takim przypadku odsetki za </w:t>
      </w:r>
      <w:r w:rsidRPr="00A555B6">
        <w:rPr>
          <w:rFonts w:ascii="Times New Roman" w:hAnsi="Times New Roman" w:cs="Times New Roman"/>
        </w:rPr>
        <w:lastRenderedPageBreak/>
        <w:t xml:space="preserve">zwłokę będzie naliczać się do dnia złożenia wniosku przez stronę o zastosowanie ww. ulgi, włącznie z tym dniem (art. 189k § 2a Kpa) </w:t>
      </w:r>
    </w:p>
    <w:p w14:paraId="40F25F86"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Należy też zauważyć, że analogiczny przepis zawarty jest w rozporządzeniu Ministra Finansów z dnia 22 sierpnia 2005 r. w sprawie naliczania odsetek za zwłokę oraz opłaty prolongacyjnej, a także zakresu informacji, które muszą być zawarte w rachunkach.</w:t>
      </w:r>
    </w:p>
    <w:p w14:paraId="2D47775D"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art. 189k § 2a Kpa nie odniesiono się do odroczenia lub rozłożenia na raty administracyjnej kary pieniężnej „wraz z odsetkami za zwłokę”, ponieważ zastosowanie ww. ulgi wynika z art. 189k § 2 pkt 2 Kpa. Natomiast w art. 189 § 2a Kpa chodzi jedynie o określenie momentu, do którego naliczane są odsetki za zwłokę od zaległej administracyjnej kary pieniężnej w związku </w:t>
      </w:r>
      <w:r w:rsidRPr="00A555B6">
        <w:rPr>
          <w:rFonts w:ascii="Times New Roman" w:hAnsi="Times New Roman" w:cs="Times New Roman"/>
        </w:rPr>
        <w:br/>
        <w:t xml:space="preserve">z zastosowaniem ww. ulg. </w:t>
      </w:r>
    </w:p>
    <w:p w14:paraId="29BB02E7" w14:textId="77777777" w:rsidR="0011039C" w:rsidRPr="00A555B6" w:rsidRDefault="0011039C" w:rsidP="0011039C">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w:t>
      </w:r>
      <w:bookmarkStart w:id="13" w:name="_Hlk172210109"/>
      <w:r w:rsidRPr="00A555B6">
        <w:rPr>
          <w:rFonts w:ascii="Times New Roman" w:hAnsi="Times New Roman" w:cs="Times New Roman"/>
        </w:rPr>
        <w:t xml:space="preserve">art. 189k § 2b Kpa </w:t>
      </w:r>
      <w:bookmarkEnd w:id="13"/>
      <w:r w:rsidRPr="00A555B6">
        <w:rPr>
          <w:rFonts w:ascii="Times New Roman" w:hAnsi="Times New Roman" w:cs="Times New Roman"/>
        </w:rPr>
        <w:t>uregulowane zostały zasady naliczania odsetek za zwłokę w przypadku wydania decyzji odmawiającej odroczenie terminu płatności lub rozłożenia na raty zapłaty administracyjnej kary pieniężnej. Przepis ten będzie miał odpowiednie zastosowanie do odroczonej lub rozłożonej na raty zaległej administracyjnej kary pieniężnej (art. 189k § 2f Kpa). Jednocześnie odsetki za zwłokę będą naliczane począwszy od dnia następującego po upływie terminu płatności administracyjnej kary pieniężnej, gdy decyzja o odmowie odroczenia terminu płatności lub rozłożenia na raty administracyjnej kary pieniężnej została doręczona stronie przed upływem dwóch miesięcy od dnia wniesienia wniosku strony o udzielenie ww. ulgi (</w:t>
      </w:r>
      <w:bookmarkStart w:id="14" w:name="_Hlk172210249"/>
      <w:r w:rsidRPr="00A555B6">
        <w:rPr>
          <w:rFonts w:ascii="Times New Roman" w:hAnsi="Times New Roman" w:cs="Times New Roman"/>
        </w:rPr>
        <w:t xml:space="preserve">art. 189k § 2b pkt 1 Kpa). </w:t>
      </w:r>
      <w:bookmarkEnd w:id="14"/>
      <w:r w:rsidRPr="00A555B6">
        <w:rPr>
          <w:rFonts w:ascii="Times New Roman" w:hAnsi="Times New Roman" w:cs="Times New Roman"/>
        </w:rPr>
        <w:t>Natomiast po w przypadku, gdy ww. decyzja zostanie doręczona stronie po upływie dwóch miesięcy, wówczas odsetki będą naliczane z wyłączaniem okresu od dnia następującego po dniu wniesienia wniosku do dnia doręczenia ww. decyzji (art. 189k § 2b pkt 2 Kpa). Mając na uwadze, że organ administracji publicznej ma obowiązek wydać decyzję w terminie dwóch miesięcy od dnia złożenia wniosku przez stronę, konieczne jest ww. rozróżnienie w naliczaniu odsetek. Należy mieć na uwadze, że strona nie może ponosić konsekwencji prowadzenia postępowania administracyjnego przez organ administracji publicznej ponad terminy przewidziane w Kpa.</w:t>
      </w:r>
    </w:p>
    <w:p w14:paraId="66B75D3E" w14:textId="694B393F" w:rsidR="002A6303" w:rsidRPr="00A555B6" w:rsidRDefault="0011039C" w:rsidP="003057CA">
      <w:pPr>
        <w:spacing w:before="120" w:after="120" w:line="360" w:lineRule="auto"/>
        <w:jc w:val="both"/>
        <w:rPr>
          <w:rFonts w:ascii="Times New Roman" w:hAnsi="Times New Roman" w:cs="Times New Roman"/>
        </w:rPr>
      </w:pPr>
      <w:r w:rsidRPr="00A555B6">
        <w:rPr>
          <w:rFonts w:ascii="Times New Roman" w:hAnsi="Times New Roman" w:cs="Times New Roman"/>
        </w:rPr>
        <w:t>Dodawany natomiast art. 189k § 2c–2e Kpa ma na celu uregulowanie zasad postępowania w przypadku opóźnień w zapłacie odroczonej lub rozłożonej na raty administracyjnej kary pieniężnej. Przepisy te będą miały odpowiednie zastosowanie do odroczonej lub rozłożonej na raty zaległej administracyjnej kary pieniężnej (art. 189k § 2f Kpa).</w:t>
      </w:r>
      <w:r w:rsidRPr="00A555B6" w:rsidDel="009543F2">
        <w:rPr>
          <w:rFonts w:ascii="Times New Roman" w:hAnsi="Times New Roman" w:cs="Times New Roman"/>
        </w:rPr>
        <w:t xml:space="preserve"> </w:t>
      </w:r>
    </w:p>
    <w:p w14:paraId="1F6159ED" w14:textId="7B080EDD" w:rsidR="005C40BC" w:rsidRPr="00A555B6" w:rsidRDefault="005C40BC" w:rsidP="009E1176">
      <w:pPr>
        <w:pStyle w:val="Akapitzlist"/>
        <w:numPr>
          <w:ilvl w:val="0"/>
          <w:numId w:val="5"/>
        </w:numPr>
        <w:spacing w:before="120" w:after="120" w:line="360" w:lineRule="auto"/>
        <w:jc w:val="both"/>
        <w:rPr>
          <w:rFonts w:ascii="Times New Roman" w:hAnsi="Times New Roman" w:cs="Times New Roman"/>
        </w:rPr>
      </w:pPr>
      <w:r w:rsidRPr="00A555B6">
        <w:rPr>
          <w:rFonts w:ascii="Times New Roman" w:hAnsi="Times New Roman" w:cs="Times New Roman"/>
        </w:rPr>
        <w:t>Udzielanie ulg z urzędu w zakresie administracyjnych kar pieniężnych</w:t>
      </w:r>
      <w:r w:rsidR="002A6303" w:rsidRPr="00A555B6">
        <w:rPr>
          <w:rFonts w:ascii="Times New Roman" w:hAnsi="Times New Roman" w:cs="Times New Roman"/>
        </w:rPr>
        <w:t>.</w:t>
      </w:r>
      <w:r w:rsidRPr="00A555B6">
        <w:rPr>
          <w:rFonts w:ascii="Times New Roman" w:hAnsi="Times New Roman" w:cs="Times New Roman"/>
        </w:rPr>
        <w:t xml:space="preserve"> </w:t>
      </w:r>
    </w:p>
    <w:p w14:paraId="74C3AAEB" w14:textId="0278E823"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obowiązującym stanie prawnym ulga w wykonywaniu administracyjnej kary pieniężnej jest udzielana w formie decyzji administracyjnej w postępowaniu wszczynanym na wniosek. Zgodnie z</w:t>
      </w:r>
      <w:r w:rsidR="00821E81" w:rsidRPr="00A555B6">
        <w:rPr>
          <w:rFonts w:ascii="Times New Roman" w:hAnsi="Times New Roman" w:cs="Times New Roman"/>
        </w:rPr>
        <w:t> </w:t>
      </w:r>
      <w:r w:rsidRPr="00A555B6">
        <w:rPr>
          <w:rFonts w:ascii="Times New Roman" w:hAnsi="Times New Roman" w:cs="Times New Roman"/>
        </w:rPr>
        <w:t xml:space="preserve">art. 189k § 1 Kpa organ administracji publicznej, który nałożył administracyjną karę pieniężną, na wniosek strony, w przypadkach uzasadnionych ważnym interesem publicznym lub ważnym interesem strony, </w:t>
      </w:r>
      <w:r w:rsidRPr="00A555B6">
        <w:rPr>
          <w:rFonts w:ascii="Times New Roman" w:hAnsi="Times New Roman" w:cs="Times New Roman"/>
        </w:rPr>
        <w:lastRenderedPageBreak/>
        <w:t>może udzielić ulg w wykonaniu administracyjnej kary pieniężnej. Obecnie nie jest więc dopuszczalne prowadzenie ww. postępowania przez organ z urzędu.</w:t>
      </w:r>
    </w:p>
    <w:p w14:paraId="1180E0B3" w14:textId="12ADE9D6"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 związku z tym proponuje się wprowadzenie możliwości wszczęcia postępowania o udzielenie ulgi w</w:t>
      </w:r>
      <w:r w:rsidR="00E6226B" w:rsidRPr="00A555B6">
        <w:rPr>
          <w:rFonts w:ascii="Times New Roman" w:hAnsi="Times New Roman" w:cs="Times New Roman"/>
        </w:rPr>
        <w:t> </w:t>
      </w:r>
      <w:r w:rsidRPr="00A555B6">
        <w:rPr>
          <w:rFonts w:ascii="Times New Roman" w:hAnsi="Times New Roman" w:cs="Times New Roman"/>
        </w:rPr>
        <w:t>wykonaniu administracyjnej kary pieniężnej z urzędu (art. 189</w:t>
      </w:r>
      <w:r w:rsidR="00272935" w:rsidRPr="00A555B6">
        <w:rPr>
          <w:rFonts w:ascii="Times New Roman" w:hAnsi="Times New Roman" w:cs="Times New Roman"/>
        </w:rPr>
        <w:t>l</w:t>
      </w:r>
      <w:r w:rsidRPr="00A555B6">
        <w:rPr>
          <w:rFonts w:ascii="Times New Roman" w:hAnsi="Times New Roman" w:cs="Times New Roman"/>
        </w:rPr>
        <w:t xml:space="preserve"> Kpa). Rozstrzygnięcie w tym przedmiocie opiera się na uznaniu administracyjnym, gdyż nawet w przypadku zaistnienia enumeratywnie wymienionych przesłanek, organ podatkowy „może”, ale nie musi umorzyć zaległości.</w:t>
      </w:r>
    </w:p>
    <w:p w14:paraId="1838F917" w14:textId="24B193A6"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Wskazane w art. 189l § 1 Kpa przesłanki mają na celu wyeliminowanie tych administracyjnych kar pieniężnych m.in., w stosunku do których zachodzi uzasadnione przypuszczenie, że egzekucja administracyjna będzie bezskuteczna z powodu braku majątku lub źródła dochodu zobowiązanego, z</w:t>
      </w:r>
      <w:r w:rsidR="00821E81" w:rsidRPr="00A555B6">
        <w:rPr>
          <w:rFonts w:ascii="Times New Roman" w:hAnsi="Times New Roman" w:cs="Times New Roman"/>
        </w:rPr>
        <w:t> </w:t>
      </w:r>
      <w:r w:rsidRPr="00A555B6">
        <w:rPr>
          <w:rFonts w:ascii="Times New Roman" w:hAnsi="Times New Roman" w:cs="Times New Roman"/>
        </w:rPr>
        <w:t>których jest możliwe wyegzekwowanie środków pieniężnych przewyższających koszty egzekucyjne.</w:t>
      </w:r>
    </w:p>
    <w:p w14:paraId="533F423E" w14:textId="57FFD479" w:rsidR="003B31BC" w:rsidRPr="00A555B6" w:rsidRDefault="003B31BC" w:rsidP="003B31BC">
      <w:pPr>
        <w:spacing w:before="120" w:after="120" w:line="360" w:lineRule="auto"/>
        <w:jc w:val="both"/>
        <w:rPr>
          <w:rFonts w:ascii="Times New Roman" w:hAnsi="Times New Roman" w:cs="Times New Roman"/>
        </w:rPr>
      </w:pPr>
      <w:r w:rsidRPr="00A555B6">
        <w:rPr>
          <w:rFonts w:ascii="Times New Roman" w:hAnsi="Times New Roman" w:cs="Times New Roman"/>
        </w:rPr>
        <w:t>Jednocześnie w przypadku art. 189l § 1 pkt 3 Kpa organ administracji publicznej, który nałożył administracyjną karę pieniężną, może z urzędu udzielić ulg w wykonaniu administracyjnej kary pieniężnej, jeżeli zaległa wysokość administracyjnej kary pieniężnej nie przekracza pięciokrotnej wartości kosztów upomnienia, o którym mowa w art. 15 ustawy z dnia 17 czerwca 1966 r. o</w:t>
      </w:r>
      <w:r w:rsidR="002A6303" w:rsidRPr="00A555B6">
        <w:rPr>
          <w:rFonts w:ascii="Times New Roman" w:hAnsi="Times New Roman" w:cs="Times New Roman"/>
        </w:rPr>
        <w:t> </w:t>
      </w:r>
      <w:r w:rsidRPr="00A555B6">
        <w:rPr>
          <w:rFonts w:ascii="Times New Roman" w:hAnsi="Times New Roman" w:cs="Times New Roman"/>
        </w:rPr>
        <w:t>postępowaniu egzekucyjnym w administracji.</w:t>
      </w:r>
    </w:p>
    <w:p w14:paraId="5CB89476" w14:textId="2D226F97" w:rsidR="005C40BC" w:rsidRPr="00A555B6" w:rsidRDefault="005C40BC" w:rsidP="004E6FE9">
      <w:pPr>
        <w:spacing w:before="120" w:after="120" w:line="360" w:lineRule="auto"/>
        <w:jc w:val="both"/>
        <w:rPr>
          <w:rFonts w:ascii="Times New Roman" w:hAnsi="Times New Roman" w:cs="Times New Roman"/>
        </w:rPr>
      </w:pPr>
      <w:r w:rsidRPr="00A555B6">
        <w:rPr>
          <w:rFonts w:ascii="Times New Roman" w:hAnsi="Times New Roman" w:cs="Times New Roman"/>
        </w:rPr>
        <w:t>Wprowadzana instytucja jest wzorowana na regulacji art. 67d O</w:t>
      </w:r>
      <w:r w:rsidR="007E5F33" w:rsidRPr="00A555B6">
        <w:rPr>
          <w:rFonts w:ascii="Times New Roman" w:hAnsi="Times New Roman" w:cs="Times New Roman"/>
        </w:rPr>
        <w:t>rdynacji podatkowej</w:t>
      </w:r>
      <w:r w:rsidRPr="00A555B6">
        <w:rPr>
          <w:rFonts w:ascii="Times New Roman" w:hAnsi="Times New Roman" w:cs="Times New Roman"/>
        </w:rPr>
        <w:t xml:space="preserve"> oraz art. 64 ustawy z dnia 27 sierpnia 2009 r. o finansach publicznych.</w:t>
      </w:r>
    </w:p>
    <w:p w14:paraId="26AA8BFB" w14:textId="3199F53B" w:rsidR="00EB6BE4" w:rsidRPr="00A555B6" w:rsidRDefault="00EB6BE4" w:rsidP="004E6FE9">
      <w:pPr>
        <w:pStyle w:val="Styl1"/>
        <w:spacing w:before="120" w:after="120" w:line="360" w:lineRule="auto"/>
      </w:pPr>
      <w:bookmarkStart w:id="15" w:name="_Hlk162354247"/>
      <w:bookmarkStart w:id="16" w:name="_Toc174689297"/>
      <w:r w:rsidRPr="00A555B6">
        <w:t>Ustawa z dnia 23 kwietnia 1964 r. – Kodeks cywilny</w:t>
      </w:r>
      <w:bookmarkEnd w:id="15"/>
      <w:bookmarkEnd w:id="16"/>
    </w:p>
    <w:p w14:paraId="48ED966C" w14:textId="72BC11DF"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Obowiązujący aktualnie przepis art. 709</w:t>
      </w:r>
      <w:r w:rsidRPr="00A555B6">
        <w:rPr>
          <w:rFonts w:ascii="Times New Roman" w:hAnsi="Times New Roman" w:cs="Times New Roman"/>
          <w:vertAlign w:val="superscript"/>
        </w:rPr>
        <w:t>2</w:t>
      </w:r>
      <w:r w:rsidRPr="00A555B6">
        <w:rPr>
          <w:rFonts w:ascii="Times New Roman" w:hAnsi="Times New Roman" w:cs="Times New Roman"/>
        </w:rPr>
        <w:t xml:space="preserve"> K</w:t>
      </w:r>
      <w:r w:rsidR="00D75898" w:rsidRPr="00A555B6">
        <w:rPr>
          <w:rFonts w:ascii="Times New Roman" w:hAnsi="Times New Roman" w:cs="Times New Roman"/>
        </w:rPr>
        <w:t>odeksu cywilnego (dalej: Kc)</w:t>
      </w:r>
      <w:r w:rsidRPr="00A555B6">
        <w:rPr>
          <w:rFonts w:ascii="Times New Roman" w:hAnsi="Times New Roman" w:cs="Times New Roman"/>
        </w:rPr>
        <w:t xml:space="preserve"> zawiera wymóg zawarcia umowy leasingu w formie pisemnej ad solemnitatem. Skutkiem niezachowania formy pisemnej jest bezwzględna nieważność umowy leasingu (art. 73 § 1 Kc).</w:t>
      </w:r>
    </w:p>
    <w:p w14:paraId="5DB0819A" w14:textId="77777777"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 xml:space="preserve">Leasing jest instrumentem finansującym inwestycje polskich przedsiębiorców. Zastrzeżenie formy pisemnej pod rygorem nieważności przewidzianej dla umowy leasingu może wydłużać proces zawierania umów lub wprowadzania do nich zmian. </w:t>
      </w:r>
    </w:p>
    <w:p w14:paraId="5768DF04" w14:textId="0752AA92"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Zawieranie umów leasingu w formie dokumentowej, bez konieczności posiadania podpisu elektronicznego weryfikowanego za pomocą kwalifikowanego certyfikatu, pozwoli usprawnić i przyspieszyć zawieranie tego typu umów, a takie wpłynie pozytywnie na bezpieczeństwo stron obrotu. Ponadto znacznie ułatwi i przyspieszy efektywność i dynamikę udzielania finansowania w</w:t>
      </w:r>
      <w:r w:rsidR="00B4401E" w:rsidRPr="00A555B6">
        <w:rPr>
          <w:rFonts w:ascii="Times New Roman" w:hAnsi="Times New Roman" w:cs="Times New Roman"/>
        </w:rPr>
        <w:t> </w:t>
      </w:r>
      <w:r w:rsidRPr="00A555B6">
        <w:rPr>
          <w:rFonts w:ascii="Times New Roman" w:hAnsi="Times New Roman" w:cs="Times New Roman"/>
        </w:rPr>
        <w:t>formie leasingu tego typu przedsiębiorcom.</w:t>
      </w:r>
      <w:r w:rsidR="003B44D9" w:rsidRPr="00A555B6">
        <w:rPr>
          <w:rFonts w:ascii="Times New Roman" w:hAnsi="Times New Roman" w:cs="Times New Roman"/>
        </w:rPr>
        <w:t xml:space="preserve"> Mając jednak na względzie konieczność zapewnienia pewności w</w:t>
      </w:r>
      <w:r w:rsidR="00E6226B" w:rsidRPr="00A555B6">
        <w:rPr>
          <w:rFonts w:ascii="Times New Roman" w:hAnsi="Times New Roman" w:cs="Times New Roman"/>
        </w:rPr>
        <w:t> </w:t>
      </w:r>
      <w:r w:rsidR="003B44D9" w:rsidRPr="00A555B6">
        <w:rPr>
          <w:rFonts w:ascii="Times New Roman" w:hAnsi="Times New Roman" w:cs="Times New Roman"/>
        </w:rPr>
        <w:t>relacjach gospodarczych, projektodawca proponuje, by w odniesieniu do nowej formy umowy leasingu obowiązywał rygor ad solemnitatem.</w:t>
      </w:r>
    </w:p>
    <w:p w14:paraId="6D406FC5" w14:textId="77777777"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 xml:space="preserve">Zliberalizowana forma prawna w postaci dokumentu znajdzie zastosowanie we wszystkich relacjach podmiotowych obrotu cywilnoprawnego, w tym gospodarczego. </w:t>
      </w:r>
    </w:p>
    <w:p w14:paraId="305FF666" w14:textId="418A991E" w:rsidR="00EA3D25" w:rsidRPr="00A555B6" w:rsidRDefault="00E97B8A" w:rsidP="00D30249">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Dodatkowo, w związku z powyższą zmianą proponuje się wprowadzenie dodatkowych modyfikacji w</w:t>
      </w:r>
      <w:r w:rsidR="00B4401E" w:rsidRPr="00A555B6">
        <w:rPr>
          <w:rFonts w:ascii="Times New Roman" w:hAnsi="Times New Roman" w:cs="Times New Roman"/>
        </w:rPr>
        <w:t> </w:t>
      </w:r>
      <w:r w:rsidRPr="00A555B6">
        <w:rPr>
          <w:rFonts w:ascii="Times New Roman" w:hAnsi="Times New Roman" w:cs="Times New Roman"/>
        </w:rPr>
        <w:t>art. 709</w:t>
      </w:r>
      <w:r w:rsidRPr="00A555B6">
        <w:rPr>
          <w:rFonts w:ascii="Times New Roman" w:hAnsi="Times New Roman" w:cs="Times New Roman"/>
          <w:vertAlign w:val="superscript"/>
        </w:rPr>
        <w:t>11</w:t>
      </w:r>
      <w:r w:rsidRPr="00A555B6">
        <w:rPr>
          <w:rFonts w:ascii="Times New Roman" w:hAnsi="Times New Roman" w:cs="Times New Roman"/>
        </w:rPr>
        <w:t xml:space="preserve"> oraz w art. 709</w:t>
      </w:r>
      <w:r w:rsidRPr="00A555B6">
        <w:rPr>
          <w:rFonts w:ascii="Times New Roman" w:hAnsi="Times New Roman" w:cs="Times New Roman"/>
          <w:vertAlign w:val="superscript"/>
        </w:rPr>
        <w:t>13</w:t>
      </w:r>
      <w:r w:rsidRPr="00A555B6">
        <w:rPr>
          <w:rFonts w:ascii="Times New Roman" w:hAnsi="Times New Roman" w:cs="Times New Roman"/>
        </w:rPr>
        <w:t xml:space="preserve"> § 2 Kc. Przepisy te przewidują obecnie konieczność dokonania na piśmie – odpowiednio – upomnienia bądź wyznaczenia dodatkowego terminu przez finansującego korzystającemu. Jeżeli liberalizacji ulec ma sama forma prawna zawarcia umowy leasingu, to nie widać istotnych przeszkód, by także i wspomniane czynności nie mogły zostać dokonane w inny sposób. Z</w:t>
      </w:r>
      <w:r w:rsidR="00E6226B" w:rsidRPr="00A555B6">
        <w:rPr>
          <w:rFonts w:ascii="Times New Roman" w:hAnsi="Times New Roman" w:cs="Times New Roman"/>
        </w:rPr>
        <w:t> </w:t>
      </w:r>
      <w:r w:rsidRPr="00A555B6">
        <w:rPr>
          <w:rFonts w:ascii="Times New Roman" w:hAnsi="Times New Roman" w:cs="Times New Roman"/>
        </w:rPr>
        <w:t>tego powodu proponuje się, by możliwe to było także w formie dokumentowej lub elektronicznej. Projektodawca nie przewiduje, by w</w:t>
      </w:r>
      <w:r w:rsidR="00821E81" w:rsidRPr="00A555B6">
        <w:rPr>
          <w:rFonts w:ascii="Times New Roman" w:hAnsi="Times New Roman" w:cs="Times New Roman"/>
        </w:rPr>
        <w:t> </w:t>
      </w:r>
      <w:r w:rsidRPr="00A555B6">
        <w:rPr>
          <w:rFonts w:ascii="Times New Roman" w:hAnsi="Times New Roman" w:cs="Times New Roman"/>
        </w:rPr>
        <w:t>negatywny sposób mogło to wpływać na pewność i</w:t>
      </w:r>
      <w:r w:rsidR="00E6226B" w:rsidRPr="00A555B6">
        <w:rPr>
          <w:rFonts w:ascii="Times New Roman" w:hAnsi="Times New Roman" w:cs="Times New Roman"/>
        </w:rPr>
        <w:t> </w:t>
      </w:r>
      <w:r w:rsidRPr="00A555B6">
        <w:rPr>
          <w:rFonts w:ascii="Times New Roman" w:hAnsi="Times New Roman" w:cs="Times New Roman"/>
        </w:rPr>
        <w:t>bezpieczeństwo obrotu gospodarczego, w tym także na kwestie praw stron umowy. Przyczyni się to natomiast do usprawnienia procesu dochodzenia ewentualnych uzasadnionych roszczeń.</w:t>
      </w:r>
    </w:p>
    <w:p w14:paraId="38688B2F" w14:textId="6D12F9D8" w:rsidR="00EB6BE4" w:rsidRPr="00A555B6" w:rsidRDefault="00EB6BE4" w:rsidP="004E6FE9">
      <w:pPr>
        <w:pStyle w:val="Styl1"/>
        <w:spacing w:before="120" w:after="120" w:line="360" w:lineRule="auto"/>
      </w:pPr>
      <w:bookmarkStart w:id="17" w:name="_Toc174689298"/>
      <w:bookmarkStart w:id="18" w:name="_Hlk163205109"/>
      <w:r w:rsidRPr="00A555B6">
        <w:t>Ustawa z dnia 17 listopada 1964 r. – Kodeks postępowania cywilnego</w:t>
      </w:r>
      <w:bookmarkEnd w:id="17"/>
    </w:p>
    <w:p w14:paraId="336F30EE" w14:textId="1FEE110F" w:rsidR="007F7CB5" w:rsidRPr="00A555B6" w:rsidRDefault="00B20442" w:rsidP="007F7CB5">
      <w:pPr>
        <w:pStyle w:val="Akapitzlist"/>
        <w:numPr>
          <w:ilvl w:val="0"/>
          <w:numId w:val="44"/>
        </w:numPr>
        <w:spacing w:before="120" w:after="120" w:line="360" w:lineRule="auto"/>
        <w:jc w:val="both"/>
        <w:rPr>
          <w:rFonts w:ascii="Times New Roman" w:hAnsi="Times New Roman" w:cs="Times New Roman"/>
        </w:rPr>
      </w:pPr>
      <w:r w:rsidRPr="00A555B6">
        <w:rPr>
          <w:rFonts w:ascii="Times New Roman" w:hAnsi="Times New Roman" w:cs="Times New Roman"/>
        </w:rPr>
        <w:t>Wzmocnienie mediacji w postępowaniu cywilnym</w:t>
      </w:r>
      <w:bookmarkEnd w:id="18"/>
    </w:p>
    <w:p w14:paraId="4BB4F8F2" w14:textId="251B7C64"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t xml:space="preserve">Kodeks postępowania cywilnego (dalej: Kpc) przewiduje obowiązek poinformowania w pozwie, czy strony podjęły próbę mediacji lub innego pozasądowego sposobu rozwiązania sporu, a w przypadku gdy takich prób nie podjęto, wyjaśnienia przyczyn niepodjęcia takiej próby (art. 187 § 1 pkt 3 Kpc). Proponowane zmiany polegają na doprecyzowaniu zakresu informacji, jakie powinny być podane w pozwie. Przede wszystkim pojawi się wymóg wskazania, </w:t>
      </w:r>
      <w:r w:rsidRPr="00A555B6">
        <w:rPr>
          <w:rFonts w:ascii="Times New Roman" w:hAnsi="Times New Roman" w:cs="Times New Roman"/>
          <w:bCs/>
        </w:rPr>
        <w:t>kiedy i w jaki sposób strony podjęły próbę mediacji lub innego pozasądowego sposobu rozwiązania sporu. Dodatkowo zostanie rozstrzygnięte, że próby pozasądowego rozwiązania sporu to także postępowania w sprawie pozasądowego rozwiązywania sporów konsumenckich, o których mowa w art. 3 ustawy z dnia 23 września 2016 r. o pozasądowym rozwiązywaniu sporów konsumenckich (Dz. U. poz. 1823), a także  mediacj</w:t>
      </w:r>
      <w:r w:rsidR="006E5E7C">
        <w:rPr>
          <w:rFonts w:ascii="Times New Roman" w:hAnsi="Times New Roman" w:cs="Times New Roman"/>
          <w:bCs/>
        </w:rPr>
        <w:t>a</w:t>
      </w:r>
      <w:r w:rsidRPr="00A555B6">
        <w:rPr>
          <w:rFonts w:ascii="Times New Roman" w:hAnsi="Times New Roman" w:cs="Times New Roman"/>
          <w:bCs/>
        </w:rPr>
        <w:t xml:space="preserve"> lub inne polubowne rozwiązania sporu, o których mowa w art. 591 ustawy z dnia 11 września 2019 r. </w:t>
      </w:r>
      <w:r w:rsidRPr="00A555B6">
        <w:rPr>
          <w:rFonts w:ascii="Times New Roman" w:hAnsi="Times New Roman" w:cs="Times New Roman"/>
        </w:rPr>
        <w:t xml:space="preserve">– </w:t>
      </w:r>
      <w:r w:rsidRPr="00A555B6">
        <w:rPr>
          <w:rFonts w:ascii="Times New Roman" w:hAnsi="Times New Roman" w:cs="Times New Roman"/>
          <w:bCs/>
        </w:rPr>
        <w:t>Prawo zamówień publicznych (Dz. U. z 2023 r. poz. 1605 i 1720).</w:t>
      </w:r>
      <w:r w:rsidRPr="00A555B6">
        <w:rPr>
          <w:rFonts w:ascii="Times New Roman" w:hAnsi="Times New Roman" w:cs="Times New Roman"/>
        </w:rPr>
        <w:t xml:space="preserve"> Przesądzone ponadto zostanie, że brak informacji o pozasądowych próbach rozwiązania sporu nie stanowi braku formalnego uniemożliwiającego nadanie sprawie biegu, co jest zgodne z założeniami nowelizacji Kpc z 2015 r. w zakresie mediacji.</w:t>
      </w:r>
    </w:p>
    <w:p w14:paraId="78BF37A0" w14:textId="77777777"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t>Niedopełnienie ww. wymogu nie obliguje expressis verbis do podjęcia przez sąd konkretnych działań. Tymczasem, przed przystąpieniem sądu do rozpoznania sprawy, strony powinny wykorzystać wszelkie środki umożliwiające pozasądowe rozwiązanie sporu. Strony mogą np. wziąć udział w mediacji lub udział w spotkaniu informacyjnym, podczas którego przekazywane są informacje o pozasądowych metodach rozwiązywania sporów (ADR). Przybliżenie wiedzy o ADR, w szczególności o mediacji, może przyczynić się do podjęcia przez strony decyzji o skorzystaniu z alternatywnych rozwiązań niż prowadzenie sporu sądowego. Obecnie decyzja o skierowaniu stron do mediacji i do udziału w takim spotkaniu jest fakultatywna (art. 183</w:t>
      </w:r>
      <w:r w:rsidRPr="00A555B6">
        <w:rPr>
          <w:rFonts w:ascii="Times New Roman" w:hAnsi="Times New Roman" w:cs="Times New Roman"/>
          <w:vertAlign w:val="superscript"/>
        </w:rPr>
        <w:t>8</w:t>
      </w:r>
      <w:r w:rsidRPr="00A555B6">
        <w:rPr>
          <w:rFonts w:ascii="Times New Roman" w:hAnsi="Times New Roman" w:cs="Times New Roman"/>
        </w:rPr>
        <w:t xml:space="preserve"> § 1 i 4 Kpc). Spotkanie informacyjne może prowadzić sędzia, referendarz sądowy, urzędnik sądowy, asystent sędziego lub stały mediator. Spotkania </w:t>
      </w:r>
      <w:r w:rsidRPr="00A555B6">
        <w:rPr>
          <w:rFonts w:ascii="Times New Roman" w:hAnsi="Times New Roman" w:cs="Times New Roman"/>
        </w:rPr>
        <w:lastRenderedPageBreak/>
        <w:t xml:space="preserve">informacyjne mogą być prowadzone od 2016 r. Sądy dysponują więc osobami, które mogą prowadzić spotkania, i miejscami organizacji spotkań. </w:t>
      </w:r>
    </w:p>
    <w:p w14:paraId="5AC5DB8D" w14:textId="0673648A"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t>Analiza wzrostu liczby skierowań spraw do mediacji w sprawach gospodarczych oraz w sprawach z</w:t>
      </w:r>
      <w:r w:rsidR="002A6303" w:rsidRPr="00A555B6">
        <w:rPr>
          <w:rFonts w:ascii="Times New Roman" w:hAnsi="Times New Roman" w:cs="Times New Roman"/>
        </w:rPr>
        <w:t> </w:t>
      </w:r>
      <w:r w:rsidRPr="00A555B6">
        <w:rPr>
          <w:rFonts w:ascii="Times New Roman" w:hAnsi="Times New Roman" w:cs="Times New Roman"/>
        </w:rPr>
        <w:t xml:space="preserve">zakresu prawa pracy, przyczynia się </w:t>
      </w:r>
      <w:r w:rsidR="00162023" w:rsidRPr="00A555B6">
        <w:rPr>
          <w:rFonts w:ascii="Times New Roman" w:hAnsi="Times New Roman" w:cs="Times New Roman"/>
        </w:rPr>
        <w:t xml:space="preserve">do </w:t>
      </w:r>
      <w:r w:rsidRPr="00A555B6">
        <w:rPr>
          <w:rFonts w:ascii="Times New Roman" w:hAnsi="Times New Roman" w:cs="Times New Roman"/>
        </w:rPr>
        <w:t xml:space="preserve">wzrostu liczby zawieranych ugód i tym samym odciążania sądów. Obrazują to poniże statystyki. </w:t>
      </w:r>
      <w:r w:rsidR="00162023" w:rsidRPr="00A555B6">
        <w:rPr>
          <w:rFonts w:ascii="Times New Roman" w:hAnsi="Times New Roman" w:cs="Times New Roman"/>
        </w:rPr>
        <w:t>Po 2017 r. nastąpił wzrost spraw kierowanych przez sądy do mediacji, czego efektem jest wyraźny wzrost protokołów składanych przed mediatorów w sądzie rozpoznającym sprawę, zarówno w sprawach gospodarczych rozpoznawanych w sądach okręgowych, jak i rejonowych (na podstawie art. 183</w:t>
      </w:r>
      <w:r w:rsidR="00162023" w:rsidRPr="003C1662">
        <w:rPr>
          <w:rFonts w:ascii="Times New Roman" w:hAnsi="Times New Roman" w:cs="Times New Roman"/>
          <w:vertAlign w:val="superscript"/>
        </w:rPr>
        <w:t>13</w:t>
      </w:r>
      <w:r w:rsidR="00162023" w:rsidRPr="00A555B6">
        <w:rPr>
          <w:rFonts w:ascii="Times New Roman" w:hAnsi="Times New Roman" w:cs="Times New Roman"/>
        </w:rPr>
        <w:t xml:space="preserve"> §2 kpc). Biorąc pod uwagę, że wciąż jednak liczba spraw kierowanych do mediacji w porównaniu do liczby spraw rozpatrywanych w sądach jest nieznaczna, istnieje pole do dalszego wzrostu wykorzystania mediacji w postępowaniach.</w:t>
      </w:r>
      <w:r w:rsidR="00162023" w:rsidRPr="00A555B6">
        <w:rPr>
          <w:rStyle w:val="Odwoanieprzypisudolnego"/>
          <w:rFonts w:ascii="Times New Roman" w:hAnsi="Times New Roman" w:cs="Times New Roman"/>
        </w:rPr>
        <w:footnoteReference w:id="5"/>
      </w:r>
      <w:r w:rsidR="00162023" w:rsidRPr="00A555B6">
        <w:rPr>
          <w:rFonts w:ascii="Times New Roman" w:hAnsi="Times New Roman" w:cs="Times New Roman"/>
        </w:rPr>
        <w:t xml:space="preserve">    </w:t>
      </w:r>
    </w:p>
    <w:p w14:paraId="738495BF" w14:textId="20E0680A" w:rsidR="006D3101" w:rsidRPr="00A555B6" w:rsidRDefault="007F7CB5" w:rsidP="007F7CB5">
      <w:pPr>
        <w:spacing w:before="120" w:after="120" w:line="360" w:lineRule="auto"/>
        <w:jc w:val="both"/>
        <w:rPr>
          <w:rFonts w:ascii="Times New Roman" w:hAnsi="Times New Roman" w:cs="Times New Roman"/>
        </w:rPr>
      </w:pPr>
      <w:bookmarkStart w:id="19" w:name="_Hlk172017829"/>
      <w:r w:rsidRPr="00A555B6">
        <w:rPr>
          <w:rFonts w:ascii="Times New Roman" w:hAnsi="Times New Roman" w:cs="Times New Roman"/>
        </w:rPr>
        <w:t>Sprawy gospodarcze, sądy okręgowe.</w:t>
      </w:r>
      <w:r w:rsidRPr="00A555B6">
        <w:rPr>
          <w:rFonts w:ascii="Times New Roman" w:hAnsi="Times New Roman" w:cs="Times New Roman"/>
          <w:vertAlign w:val="superscript"/>
        </w:rPr>
        <w:footnoteReference w:id="6"/>
      </w:r>
    </w:p>
    <w:p w14:paraId="5C041688" w14:textId="77777777" w:rsidR="006D3101" w:rsidRPr="00A555B6" w:rsidRDefault="006D3101">
      <w:pPr>
        <w:rPr>
          <w:rFonts w:ascii="Times New Roman" w:hAnsi="Times New Roman" w:cs="Times New Roman"/>
        </w:rPr>
      </w:pPr>
      <w:r w:rsidRPr="00A555B6">
        <w:rPr>
          <w:rFonts w:ascii="Times New Roman" w:hAnsi="Times New Roman" w:cs="Times New Roman"/>
        </w:rPr>
        <w:br w:type="page"/>
      </w:r>
    </w:p>
    <w:p w14:paraId="23FC4B45" w14:textId="77777777" w:rsidR="007F7CB5" w:rsidRPr="00A555B6" w:rsidRDefault="007F7CB5" w:rsidP="007F7CB5">
      <w:pPr>
        <w:spacing w:before="120" w:after="120" w:line="360" w:lineRule="auto"/>
        <w:jc w:val="both"/>
        <w:rPr>
          <w:rFonts w:ascii="Times New Roman" w:hAnsi="Times New Roman" w:cs="Times New Roman"/>
        </w:rPr>
      </w:pPr>
    </w:p>
    <w:tbl>
      <w:tblPr>
        <w:tblW w:w="9556" w:type="dxa"/>
        <w:tblCellMar>
          <w:top w:w="15" w:type="dxa"/>
          <w:left w:w="70" w:type="dxa"/>
          <w:right w:w="70" w:type="dxa"/>
        </w:tblCellMar>
        <w:tblLook w:val="04A0" w:firstRow="1" w:lastRow="0" w:firstColumn="1" w:lastColumn="0" w:noHBand="0" w:noVBand="1"/>
      </w:tblPr>
      <w:tblGrid>
        <w:gridCol w:w="993"/>
        <w:gridCol w:w="1711"/>
        <w:gridCol w:w="1895"/>
        <w:gridCol w:w="1490"/>
        <w:gridCol w:w="1766"/>
        <w:gridCol w:w="1493"/>
        <w:gridCol w:w="208"/>
      </w:tblGrid>
      <w:tr w:rsidR="007F7CB5" w:rsidRPr="00A555B6" w14:paraId="31570D49" w14:textId="77777777" w:rsidTr="00C64713">
        <w:trPr>
          <w:gridAfter w:val="1"/>
          <w:wAfter w:w="206" w:type="dxa"/>
          <w:trHeight w:val="352"/>
        </w:trPr>
        <w:tc>
          <w:tcPr>
            <w:tcW w:w="994" w:type="dxa"/>
            <w:vMerge w:val="restart"/>
            <w:tcBorders>
              <w:top w:val="single" w:sz="4" w:space="0" w:color="auto"/>
              <w:left w:val="single" w:sz="4" w:space="0" w:color="auto"/>
              <w:bottom w:val="single" w:sz="4" w:space="0" w:color="auto"/>
              <w:right w:val="single" w:sz="4" w:space="0" w:color="auto"/>
            </w:tcBorders>
            <w:shd w:val="clear" w:color="000000" w:fill="E4DFEC"/>
            <w:vAlign w:val="center"/>
            <w:hideMark/>
          </w:tcPr>
          <w:p w14:paraId="4071C54F" w14:textId="77777777" w:rsidR="007F7CB5" w:rsidRPr="00A555B6" w:rsidRDefault="007F7CB5" w:rsidP="007F7CB5">
            <w:pPr>
              <w:spacing w:before="120" w:after="120" w:line="240" w:lineRule="auto"/>
              <w:jc w:val="both"/>
              <w:rPr>
                <w:rFonts w:ascii="Times New Roman" w:hAnsi="Times New Roman" w:cs="Times New Roman"/>
                <w:i/>
                <w:iCs/>
              </w:rPr>
            </w:pPr>
            <w:bookmarkStart w:id="20" w:name="_Hlk172017848"/>
            <w:bookmarkEnd w:id="19"/>
            <w:r w:rsidRPr="00A555B6">
              <w:rPr>
                <w:rFonts w:ascii="Times New Roman" w:hAnsi="Times New Roman" w:cs="Times New Roman"/>
                <w:i/>
                <w:iCs/>
              </w:rPr>
              <w:t>Lata</w:t>
            </w:r>
          </w:p>
        </w:tc>
        <w:tc>
          <w:tcPr>
            <w:tcW w:w="8356" w:type="dxa"/>
            <w:gridSpan w:val="5"/>
            <w:tcBorders>
              <w:top w:val="single" w:sz="4" w:space="0" w:color="auto"/>
              <w:left w:val="nil"/>
              <w:bottom w:val="single" w:sz="4" w:space="0" w:color="auto"/>
              <w:right w:val="single" w:sz="4" w:space="0" w:color="auto"/>
            </w:tcBorders>
            <w:shd w:val="clear" w:color="000000" w:fill="E4DFEC"/>
            <w:vAlign w:val="center"/>
            <w:hideMark/>
          </w:tcPr>
          <w:p w14:paraId="67AB4A87" w14:textId="77777777" w:rsidR="007F7CB5" w:rsidRPr="00A555B6" w:rsidRDefault="007F7CB5" w:rsidP="007F7CB5">
            <w:pPr>
              <w:spacing w:before="120" w:after="120" w:line="240" w:lineRule="auto"/>
              <w:jc w:val="center"/>
              <w:rPr>
                <w:rFonts w:ascii="Times New Roman" w:hAnsi="Times New Roman" w:cs="Times New Roman"/>
              </w:rPr>
            </w:pPr>
            <w:r w:rsidRPr="00A555B6">
              <w:rPr>
                <w:rFonts w:ascii="Times New Roman" w:hAnsi="Times New Roman" w:cs="Times New Roman"/>
              </w:rPr>
              <w:t>POSTĘPOWANIE SĄDOWE</w:t>
            </w:r>
          </w:p>
        </w:tc>
      </w:tr>
      <w:tr w:rsidR="007F7CB5" w:rsidRPr="00A555B6" w14:paraId="0A9123F5" w14:textId="77777777" w:rsidTr="00C64713">
        <w:trPr>
          <w:gridAfter w:val="1"/>
          <w:wAfter w:w="208" w:type="dxa"/>
          <w:trHeight w:val="450"/>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73A5871A" w14:textId="77777777" w:rsidR="007F7CB5" w:rsidRPr="00A555B6" w:rsidRDefault="007F7CB5" w:rsidP="007F7CB5">
            <w:pPr>
              <w:spacing w:before="120" w:after="120" w:line="240" w:lineRule="auto"/>
              <w:jc w:val="both"/>
              <w:rPr>
                <w:rFonts w:ascii="Times New Roman" w:hAnsi="Times New Roman" w:cs="Times New Roman"/>
                <w:i/>
                <w:iCs/>
              </w:rPr>
            </w:pPr>
          </w:p>
        </w:tc>
        <w:tc>
          <w:tcPr>
            <w:tcW w:w="1711" w:type="dxa"/>
            <w:vMerge w:val="restart"/>
            <w:tcBorders>
              <w:top w:val="nil"/>
              <w:left w:val="single" w:sz="4" w:space="0" w:color="auto"/>
              <w:bottom w:val="single" w:sz="4" w:space="0" w:color="auto"/>
              <w:right w:val="single" w:sz="4" w:space="0" w:color="auto"/>
            </w:tcBorders>
            <w:shd w:val="clear" w:color="000000" w:fill="E4DFEC"/>
            <w:vAlign w:val="center"/>
            <w:hideMark/>
          </w:tcPr>
          <w:p w14:paraId="303CEBA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Liczba spraw, w których strony skierowano do mediacji na podstawie postanowienia sądu (art. 183 </w:t>
            </w:r>
            <w:r w:rsidRPr="00A555B6">
              <w:rPr>
                <w:rFonts w:ascii="Times New Roman" w:hAnsi="Times New Roman" w:cs="Times New Roman"/>
                <w:vertAlign w:val="superscript"/>
              </w:rPr>
              <w:t>8</w:t>
            </w:r>
            <w:r w:rsidRPr="00A555B6">
              <w:rPr>
                <w:rFonts w:ascii="Times New Roman" w:hAnsi="Times New Roman" w:cs="Times New Roman"/>
              </w:rPr>
              <w:t xml:space="preserve"> </w:t>
            </w:r>
            <w:r w:rsidRPr="00A555B6">
              <w:rPr>
                <w:rFonts w:ascii="Times New Roman" w:hAnsi="Times New Roman" w:cs="Times New Roman"/>
              </w:rPr>
              <w:br/>
              <w:t>§ 1 kpc)</w:t>
            </w:r>
          </w:p>
        </w:tc>
        <w:tc>
          <w:tcPr>
            <w:tcW w:w="1896" w:type="dxa"/>
            <w:vMerge w:val="restart"/>
            <w:tcBorders>
              <w:top w:val="nil"/>
              <w:left w:val="single" w:sz="4" w:space="0" w:color="auto"/>
              <w:bottom w:val="single" w:sz="4" w:space="0" w:color="auto"/>
              <w:right w:val="single" w:sz="4" w:space="0" w:color="auto"/>
            </w:tcBorders>
            <w:shd w:val="clear" w:color="000000" w:fill="E4DFEC"/>
            <w:vAlign w:val="center"/>
            <w:hideMark/>
          </w:tcPr>
          <w:p w14:paraId="2C284AA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Liczba mediacji ogółem</w:t>
            </w:r>
          </w:p>
        </w:tc>
        <w:tc>
          <w:tcPr>
            <w:tcW w:w="1490" w:type="dxa"/>
            <w:vMerge w:val="restart"/>
            <w:tcBorders>
              <w:top w:val="nil"/>
              <w:left w:val="single" w:sz="4" w:space="0" w:color="auto"/>
              <w:bottom w:val="single" w:sz="4" w:space="0" w:color="auto"/>
              <w:right w:val="single" w:sz="4" w:space="0" w:color="auto"/>
            </w:tcBorders>
            <w:shd w:val="clear" w:color="000000" w:fill="E4DFEC"/>
            <w:vAlign w:val="center"/>
            <w:hideMark/>
          </w:tcPr>
          <w:p w14:paraId="20C4568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Liczba protokołów złożonych przez mediatorów (art. 183 </w:t>
            </w:r>
            <w:r w:rsidRPr="00A555B6">
              <w:rPr>
                <w:rFonts w:ascii="Times New Roman" w:hAnsi="Times New Roman" w:cs="Times New Roman"/>
                <w:vertAlign w:val="superscript"/>
              </w:rPr>
              <w:t>1</w:t>
            </w:r>
            <w:r w:rsidRPr="00A555B6">
              <w:rPr>
                <w:rFonts w:ascii="Times New Roman" w:hAnsi="Times New Roman" w:cs="Times New Roman"/>
              </w:rPr>
              <w:t xml:space="preserve"> </w:t>
            </w:r>
            <w:r w:rsidRPr="00A555B6">
              <w:rPr>
                <w:rFonts w:ascii="Times New Roman" w:hAnsi="Times New Roman" w:cs="Times New Roman"/>
                <w:vertAlign w:val="superscript"/>
              </w:rPr>
              <w:t>3</w:t>
            </w:r>
            <w:r w:rsidRPr="00A555B6">
              <w:rPr>
                <w:rFonts w:ascii="Times New Roman" w:hAnsi="Times New Roman" w:cs="Times New Roman"/>
              </w:rPr>
              <w:t xml:space="preserve"> </w:t>
            </w:r>
            <w:r w:rsidRPr="00A555B6">
              <w:rPr>
                <w:rFonts w:ascii="Times New Roman" w:hAnsi="Times New Roman" w:cs="Times New Roman"/>
              </w:rPr>
              <w:br/>
              <w:t>§ 2 kpc)</w:t>
            </w:r>
          </w:p>
        </w:tc>
        <w:tc>
          <w:tcPr>
            <w:tcW w:w="1766" w:type="dxa"/>
            <w:vMerge w:val="restart"/>
            <w:tcBorders>
              <w:top w:val="nil"/>
              <w:left w:val="single" w:sz="4" w:space="0" w:color="auto"/>
              <w:bottom w:val="single" w:sz="4" w:space="0" w:color="auto"/>
              <w:right w:val="single" w:sz="4" w:space="0" w:color="auto"/>
            </w:tcBorders>
            <w:shd w:val="clear" w:color="000000" w:fill="E4DFEC"/>
            <w:vAlign w:val="center"/>
            <w:hideMark/>
          </w:tcPr>
          <w:p w14:paraId="2738A142"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Umorzono postępowanie w wyniku zatwierdzenia ugody zawartej przed mediatorem (art. 183 </w:t>
            </w:r>
            <w:r w:rsidRPr="00A555B6">
              <w:rPr>
                <w:rFonts w:ascii="Times New Roman" w:hAnsi="Times New Roman" w:cs="Times New Roman"/>
                <w:vertAlign w:val="superscript"/>
              </w:rPr>
              <w:t>14</w:t>
            </w:r>
            <w:r w:rsidRPr="00A555B6">
              <w:rPr>
                <w:rFonts w:ascii="Times New Roman" w:hAnsi="Times New Roman" w:cs="Times New Roman"/>
              </w:rPr>
              <w:t xml:space="preserve"> § 1 i 2 kpc)</w:t>
            </w:r>
          </w:p>
        </w:tc>
        <w:tc>
          <w:tcPr>
            <w:tcW w:w="1491" w:type="dxa"/>
            <w:vMerge w:val="restart"/>
            <w:tcBorders>
              <w:top w:val="nil"/>
              <w:left w:val="single" w:sz="4" w:space="0" w:color="auto"/>
              <w:bottom w:val="single" w:sz="4" w:space="0" w:color="auto"/>
              <w:right w:val="single" w:sz="4" w:space="0" w:color="auto"/>
            </w:tcBorders>
            <w:shd w:val="clear" w:color="000000" w:fill="E4DFEC"/>
            <w:vAlign w:val="center"/>
            <w:hideMark/>
          </w:tcPr>
          <w:p w14:paraId="428F328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Odmówiono zatwierdzenia ugody w trybie art. 183 </w:t>
            </w:r>
            <w:r w:rsidRPr="00A555B6">
              <w:rPr>
                <w:rFonts w:ascii="Times New Roman" w:hAnsi="Times New Roman" w:cs="Times New Roman"/>
                <w:vertAlign w:val="superscript"/>
              </w:rPr>
              <w:t>1</w:t>
            </w:r>
            <w:r w:rsidRPr="00A555B6">
              <w:rPr>
                <w:rFonts w:ascii="Times New Roman" w:hAnsi="Times New Roman" w:cs="Times New Roman"/>
              </w:rPr>
              <w:t xml:space="preserve"> </w:t>
            </w:r>
            <w:r w:rsidRPr="00A555B6">
              <w:rPr>
                <w:rFonts w:ascii="Times New Roman" w:hAnsi="Times New Roman" w:cs="Times New Roman"/>
                <w:vertAlign w:val="superscript"/>
              </w:rPr>
              <w:t>4</w:t>
            </w:r>
            <w:r w:rsidRPr="00A555B6">
              <w:rPr>
                <w:rFonts w:ascii="Times New Roman" w:hAnsi="Times New Roman" w:cs="Times New Roman"/>
              </w:rPr>
              <w:t xml:space="preserve"> § 3 kpc</w:t>
            </w:r>
          </w:p>
        </w:tc>
      </w:tr>
      <w:bookmarkEnd w:id="20"/>
      <w:tr w:rsidR="007F7CB5" w:rsidRPr="00A555B6" w14:paraId="21CDBEDD" w14:textId="77777777" w:rsidTr="006D3101">
        <w:trPr>
          <w:trHeight w:val="1891"/>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7D1D1E1B" w14:textId="77777777" w:rsidR="007F7CB5" w:rsidRPr="00A555B6" w:rsidRDefault="007F7CB5" w:rsidP="007F7CB5">
            <w:pPr>
              <w:spacing w:before="120" w:after="120" w:line="240" w:lineRule="auto"/>
              <w:jc w:val="both"/>
              <w:rPr>
                <w:rFonts w:ascii="Times New Roman" w:hAnsi="Times New Roman" w:cs="Times New Roman"/>
                <w:i/>
                <w:iCs/>
              </w:rPr>
            </w:pPr>
          </w:p>
        </w:tc>
        <w:tc>
          <w:tcPr>
            <w:tcW w:w="1711" w:type="dxa"/>
            <w:vMerge/>
            <w:tcBorders>
              <w:top w:val="nil"/>
              <w:left w:val="single" w:sz="4" w:space="0" w:color="auto"/>
              <w:bottom w:val="single" w:sz="4" w:space="0" w:color="auto"/>
              <w:right w:val="single" w:sz="4" w:space="0" w:color="auto"/>
            </w:tcBorders>
            <w:vAlign w:val="center"/>
            <w:hideMark/>
          </w:tcPr>
          <w:p w14:paraId="6118E32C" w14:textId="77777777" w:rsidR="007F7CB5" w:rsidRPr="00A555B6" w:rsidRDefault="007F7CB5" w:rsidP="007F7CB5">
            <w:pPr>
              <w:spacing w:before="120" w:after="120" w:line="240" w:lineRule="auto"/>
              <w:jc w:val="both"/>
              <w:rPr>
                <w:rFonts w:ascii="Times New Roman" w:hAnsi="Times New Roman" w:cs="Times New Roman"/>
              </w:rPr>
            </w:pPr>
          </w:p>
        </w:tc>
        <w:tc>
          <w:tcPr>
            <w:tcW w:w="1896" w:type="dxa"/>
            <w:vMerge/>
            <w:tcBorders>
              <w:top w:val="nil"/>
              <w:left w:val="single" w:sz="4" w:space="0" w:color="auto"/>
              <w:bottom w:val="single" w:sz="4" w:space="0" w:color="auto"/>
              <w:right w:val="single" w:sz="4" w:space="0" w:color="auto"/>
            </w:tcBorders>
            <w:vAlign w:val="center"/>
            <w:hideMark/>
          </w:tcPr>
          <w:p w14:paraId="12D00872" w14:textId="77777777" w:rsidR="007F7CB5" w:rsidRPr="00A555B6" w:rsidRDefault="007F7CB5" w:rsidP="007F7CB5">
            <w:pPr>
              <w:spacing w:before="120" w:after="120" w:line="240" w:lineRule="auto"/>
              <w:jc w:val="both"/>
              <w:rPr>
                <w:rFonts w:ascii="Times New Roman" w:hAnsi="Times New Roman" w:cs="Times New Roman"/>
              </w:rPr>
            </w:pPr>
          </w:p>
        </w:tc>
        <w:tc>
          <w:tcPr>
            <w:tcW w:w="1490" w:type="dxa"/>
            <w:vMerge/>
            <w:tcBorders>
              <w:top w:val="nil"/>
              <w:left w:val="single" w:sz="4" w:space="0" w:color="auto"/>
              <w:bottom w:val="single" w:sz="4" w:space="0" w:color="auto"/>
              <w:right w:val="single" w:sz="4" w:space="0" w:color="auto"/>
            </w:tcBorders>
            <w:vAlign w:val="center"/>
            <w:hideMark/>
          </w:tcPr>
          <w:p w14:paraId="51E0C1BF" w14:textId="77777777" w:rsidR="007F7CB5" w:rsidRPr="00A555B6" w:rsidRDefault="007F7CB5" w:rsidP="007F7CB5">
            <w:pPr>
              <w:spacing w:before="120" w:after="120" w:line="240" w:lineRule="auto"/>
              <w:jc w:val="both"/>
              <w:rPr>
                <w:rFonts w:ascii="Times New Roman" w:hAnsi="Times New Roman" w:cs="Times New Roman"/>
              </w:rPr>
            </w:pPr>
          </w:p>
        </w:tc>
        <w:tc>
          <w:tcPr>
            <w:tcW w:w="1766" w:type="dxa"/>
            <w:vMerge/>
            <w:tcBorders>
              <w:top w:val="nil"/>
              <w:left w:val="single" w:sz="4" w:space="0" w:color="auto"/>
              <w:bottom w:val="single" w:sz="4" w:space="0" w:color="auto"/>
              <w:right w:val="single" w:sz="4" w:space="0" w:color="auto"/>
            </w:tcBorders>
            <w:vAlign w:val="center"/>
            <w:hideMark/>
          </w:tcPr>
          <w:p w14:paraId="3675AF67" w14:textId="77777777" w:rsidR="007F7CB5" w:rsidRPr="00A555B6" w:rsidRDefault="007F7CB5" w:rsidP="007F7CB5">
            <w:pPr>
              <w:spacing w:before="120" w:after="120" w:line="240" w:lineRule="auto"/>
              <w:jc w:val="both"/>
              <w:rPr>
                <w:rFonts w:ascii="Times New Roman" w:hAnsi="Times New Roman" w:cs="Times New Roman"/>
              </w:rPr>
            </w:pPr>
          </w:p>
        </w:tc>
        <w:tc>
          <w:tcPr>
            <w:tcW w:w="1491" w:type="dxa"/>
            <w:vMerge/>
            <w:tcBorders>
              <w:top w:val="nil"/>
              <w:left w:val="single" w:sz="4" w:space="0" w:color="auto"/>
              <w:bottom w:val="single" w:sz="4" w:space="0" w:color="auto"/>
              <w:right w:val="single" w:sz="4" w:space="0" w:color="auto"/>
            </w:tcBorders>
            <w:vAlign w:val="center"/>
            <w:hideMark/>
          </w:tcPr>
          <w:p w14:paraId="5BD6D54A" w14:textId="77777777" w:rsidR="007F7CB5" w:rsidRPr="00A555B6" w:rsidRDefault="007F7CB5" w:rsidP="007F7CB5">
            <w:pPr>
              <w:spacing w:before="120" w:after="120" w:line="240" w:lineRule="auto"/>
              <w:jc w:val="both"/>
              <w:rPr>
                <w:rFonts w:ascii="Times New Roman" w:hAnsi="Times New Roman" w:cs="Times New Roman"/>
              </w:rPr>
            </w:pPr>
          </w:p>
        </w:tc>
        <w:tc>
          <w:tcPr>
            <w:tcW w:w="208" w:type="dxa"/>
            <w:tcBorders>
              <w:top w:val="nil"/>
              <w:left w:val="nil"/>
              <w:bottom w:val="nil"/>
              <w:right w:val="nil"/>
            </w:tcBorders>
            <w:shd w:val="clear" w:color="auto" w:fill="auto"/>
            <w:noWrap/>
            <w:vAlign w:val="bottom"/>
            <w:hideMark/>
          </w:tcPr>
          <w:p w14:paraId="5BC14DAD" w14:textId="77777777" w:rsidR="007F7CB5" w:rsidRPr="00A555B6" w:rsidRDefault="007F7CB5" w:rsidP="007F7CB5">
            <w:pPr>
              <w:spacing w:before="120" w:after="120" w:line="360" w:lineRule="auto"/>
              <w:jc w:val="both"/>
              <w:rPr>
                <w:rFonts w:ascii="Times New Roman" w:hAnsi="Times New Roman" w:cs="Times New Roman"/>
              </w:rPr>
            </w:pPr>
          </w:p>
        </w:tc>
      </w:tr>
      <w:tr w:rsidR="007F7CB5" w:rsidRPr="00A555B6" w14:paraId="7CD9C7B4" w14:textId="77777777" w:rsidTr="00C64713">
        <w:tblPrEx>
          <w:tblCellMar>
            <w:top w:w="0" w:type="dxa"/>
          </w:tblCellMar>
        </w:tblPrEx>
        <w:trPr>
          <w:gridAfter w:val="1"/>
          <w:wAfter w:w="208" w:type="dxa"/>
          <w:trHeight w:val="378"/>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FF608"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2006</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14:paraId="7E2E714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116</w:t>
            </w:r>
          </w:p>
        </w:tc>
        <w:tc>
          <w:tcPr>
            <w:tcW w:w="1896" w:type="dxa"/>
            <w:vMerge w:val="restar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hideMark/>
          </w:tcPr>
          <w:p w14:paraId="56BC07F5"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 xml:space="preserve">      </w:t>
            </w:r>
          </w:p>
        </w:tc>
        <w:tc>
          <w:tcPr>
            <w:tcW w:w="1490" w:type="dxa"/>
            <w:tcBorders>
              <w:top w:val="single" w:sz="4" w:space="0" w:color="auto"/>
              <w:left w:val="nil"/>
              <w:bottom w:val="single" w:sz="4" w:space="0" w:color="auto"/>
              <w:right w:val="single" w:sz="4" w:space="0" w:color="auto"/>
            </w:tcBorders>
            <w:shd w:val="clear" w:color="auto" w:fill="auto"/>
            <w:vAlign w:val="center"/>
            <w:hideMark/>
          </w:tcPr>
          <w:p w14:paraId="068A1C2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44</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14:paraId="7B667E9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23</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14:paraId="2614890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 </w:t>
            </w:r>
          </w:p>
        </w:tc>
      </w:tr>
      <w:tr w:rsidR="007F7CB5" w:rsidRPr="00A555B6" w14:paraId="7BD3CF60"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49CF2F63"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2007</w:t>
            </w:r>
          </w:p>
        </w:tc>
        <w:tc>
          <w:tcPr>
            <w:tcW w:w="1711" w:type="dxa"/>
            <w:tcBorders>
              <w:top w:val="nil"/>
              <w:left w:val="nil"/>
              <w:bottom w:val="single" w:sz="4" w:space="0" w:color="auto"/>
              <w:right w:val="single" w:sz="4" w:space="0" w:color="auto"/>
            </w:tcBorders>
            <w:shd w:val="clear" w:color="auto" w:fill="auto"/>
            <w:vAlign w:val="center"/>
            <w:hideMark/>
          </w:tcPr>
          <w:p w14:paraId="2C59D17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101</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0CC6912A"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38BBA93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61</w:t>
            </w:r>
          </w:p>
        </w:tc>
        <w:tc>
          <w:tcPr>
            <w:tcW w:w="1766" w:type="dxa"/>
            <w:tcBorders>
              <w:top w:val="nil"/>
              <w:left w:val="nil"/>
              <w:bottom w:val="single" w:sz="4" w:space="0" w:color="auto"/>
              <w:right w:val="single" w:sz="4" w:space="0" w:color="auto"/>
            </w:tcBorders>
            <w:shd w:val="clear" w:color="auto" w:fill="auto"/>
            <w:vAlign w:val="center"/>
            <w:hideMark/>
          </w:tcPr>
          <w:p w14:paraId="1256615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24</w:t>
            </w:r>
          </w:p>
        </w:tc>
        <w:tc>
          <w:tcPr>
            <w:tcW w:w="1491" w:type="dxa"/>
            <w:tcBorders>
              <w:top w:val="nil"/>
              <w:left w:val="nil"/>
              <w:bottom w:val="single" w:sz="4" w:space="0" w:color="auto"/>
              <w:right w:val="single" w:sz="4" w:space="0" w:color="auto"/>
            </w:tcBorders>
            <w:shd w:val="clear" w:color="auto" w:fill="auto"/>
            <w:vAlign w:val="center"/>
            <w:hideMark/>
          </w:tcPr>
          <w:p w14:paraId="16E21F3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w:t>
            </w:r>
          </w:p>
        </w:tc>
      </w:tr>
      <w:tr w:rsidR="007F7CB5" w:rsidRPr="00A555B6" w14:paraId="34D49FA5"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07C78CA4"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2008</w:t>
            </w:r>
          </w:p>
        </w:tc>
        <w:tc>
          <w:tcPr>
            <w:tcW w:w="1711" w:type="dxa"/>
            <w:tcBorders>
              <w:top w:val="nil"/>
              <w:left w:val="nil"/>
              <w:bottom w:val="single" w:sz="4" w:space="0" w:color="auto"/>
              <w:right w:val="single" w:sz="4" w:space="0" w:color="auto"/>
            </w:tcBorders>
            <w:shd w:val="clear" w:color="auto" w:fill="auto"/>
            <w:vAlign w:val="center"/>
            <w:hideMark/>
          </w:tcPr>
          <w:p w14:paraId="0D6B1F5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77</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19CE839"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5B85BA5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40</w:t>
            </w:r>
          </w:p>
        </w:tc>
        <w:tc>
          <w:tcPr>
            <w:tcW w:w="1766" w:type="dxa"/>
            <w:tcBorders>
              <w:top w:val="nil"/>
              <w:left w:val="nil"/>
              <w:bottom w:val="single" w:sz="4" w:space="0" w:color="auto"/>
              <w:right w:val="single" w:sz="4" w:space="0" w:color="auto"/>
            </w:tcBorders>
            <w:shd w:val="clear" w:color="auto" w:fill="auto"/>
            <w:vAlign w:val="center"/>
            <w:hideMark/>
          </w:tcPr>
          <w:p w14:paraId="344A30B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w:t>
            </w:r>
          </w:p>
        </w:tc>
        <w:tc>
          <w:tcPr>
            <w:tcW w:w="1491" w:type="dxa"/>
            <w:tcBorders>
              <w:top w:val="nil"/>
              <w:left w:val="nil"/>
              <w:bottom w:val="single" w:sz="4" w:space="0" w:color="auto"/>
              <w:right w:val="single" w:sz="4" w:space="0" w:color="auto"/>
            </w:tcBorders>
            <w:shd w:val="clear" w:color="auto" w:fill="auto"/>
            <w:vAlign w:val="center"/>
            <w:hideMark/>
          </w:tcPr>
          <w:p w14:paraId="1D3C7EA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w:t>
            </w:r>
          </w:p>
        </w:tc>
      </w:tr>
      <w:tr w:rsidR="007F7CB5" w:rsidRPr="00A555B6" w14:paraId="7D47ED63"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5BFD4CE3"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2009</w:t>
            </w:r>
          </w:p>
        </w:tc>
        <w:tc>
          <w:tcPr>
            <w:tcW w:w="1711" w:type="dxa"/>
            <w:tcBorders>
              <w:top w:val="nil"/>
              <w:left w:val="nil"/>
              <w:bottom w:val="single" w:sz="4" w:space="0" w:color="auto"/>
              <w:right w:val="single" w:sz="4" w:space="0" w:color="auto"/>
            </w:tcBorders>
            <w:shd w:val="clear" w:color="auto" w:fill="auto"/>
            <w:vAlign w:val="center"/>
            <w:hideMark/>
          </w:tcPr>
          <w:p w14:paraId="1F7B996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141</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3B8BE56"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416AD2B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64</w:t>
            </w:r>
          </w:p>
        </w:tc>
        <w:tc>
          <w:tcPr>
            <w:tcW w:w="1766" w:type="dxa"/>
            <w:tcBorders>
              <w:top w:val="nil"/>
              <w:left w:val="nil"/>
              <w:bottom w:val="single" w:sz="4" w:space="0" w:color="auto"/>
              <w:right w:val="single" w:sz="4" w:space="0" w:color="auto"/>
            </w:tcBorders>
            <w:shd w:val="clear" w:color="auto" w:fill="auto"/>
            <w:vAlign w:val="center"/>
            <w:hideMark/>
          </w:tcPr>
          <w:p w14:paraId="3A23934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29</w:t>
            </w:r>
          </w:p>
        </w:tc>
        <w:tc>
          <w:tcPr>
            <w:tcW w:w="1491" w:type="dxa"/>
            <w:tcBorders>
              <w:top w:val="nil"/>
              <w:left w:val="nil"/>
              <w:bottom w:val="single" w:sz="4" w:space="0" w:color="auto"/>
              <w:right w:val="single" w:sz="4" w:space="0" w:color="auto"/>
            </w:tcBorders>
            <w:shd w:val="clear" w:color="auto" w:fill="auto"/>
            <w:vAlign w:val="center"/>
            <w:hideMark/>
          </w:tcPr>
          <w:p w14:paraId="01D5AC8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w:t>
            </w:r>
          </w:p>
        </w:tc>
      </w:tr>
      <w:tr w:rsidR="007F7CB5" w:rsidRPr="00A555B6" w14:paraId="7C0666EA"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4B6AD9F7"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2010</w:t>
            </w:r>
          </w:p>
        </w:tc>
        <w:tc>
          <w:tcPr>
            <w:tcW w:w="1711" w:type="dxa"/>
            <w:tcBorders>
              <w:top w:val="nil"/>
              <w:left w:val="nil"/>
              <w:bottom w:val="single" w:sz="4" w:space="0" w:color="auto"/>
              <w:right w:val="single" w:sz="4" w:space="0" w:color="auto"/>
            </w:tcBorders>
            <w:shd w:val="clear" w:color="auto" w:fill="auto"/>
            <w:vAlign w:val="center"/>
            <w:hideMark/>
          </w:tcPr>
          <w:p w14:paraId="5D38B1F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192</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3105DBE"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05E93C6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101</w:t>
            </w:r>
          </w:p>
        </w:tc>
        <w:tc>
          <w:tcPr>
            <w:tcW w:w="1766" w:type="dxa"/>
            <w:tcBorders>
              <w:top w:val="nil"/>
              <w:left w:val="nil"/>
              <w:bottom w:val="single" w:sz="4" w:space="0" w:color="auto"/>
              <w:right w:val="single" w:sz="4" w:space="0" w:color="auto"/>
            </w:tcBorders>
            <w:shd w:val="clear" w:color="auto" w:fill="auto"/>
            <w:vAlign w:val="center"/>
            <w:hideMark/>
          </w:tcPr>
          <w:p w14:paraId="5FBE46D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27</w:t>
            </w:r>
          </w:p>
        </w:tc>
        <w:tc>
          <w:tcPr>
            <w:tcW w:w="1491" w:type="dxa"/>
            <w:tcBorders>
              <w:top w:val="nil"/>
              <w:left w:val="nil"/>
              <w:bottom w:val="single" w:sz="4" w:space="0" w:color="auto"/>
              <w:right w:val="single" w:sz="4" w:space="0" w:color="auto"/>
            </w:tcBorders>
            <w:shd w:val="clear" w:color="auto" w:fill="auto"/>
            <w:vAlign w:val="center"/>
            <w:hideMark/>
          </w:tcPr>
          <w:p w14:paraId="21B01AF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w:t>
            </w:r>
          </w:p>
        </w:tc>
      </w:tr>
      <w:tr w:rsidR="007F7CB5" w:rsidRPr="00A555B6" w14:paraId="525DA70D"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1CA71745"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2011</w:t>
            </w:r>
          </w:p>
        </w:tc>
        <w:tc>
          <w:tcPr>
            <w:tcW w:w="1711" w:type="dxa"/>
            <w:tcBorders>
              <w:top w:val="nil"/>
              <w:left w:val="nil"/>
              <w:bottom w:val="single" w:sz="4" w:space="0" w:color="auto"/>
              <w:right w:val="single" w:sz="4" w:space="0" w:color="auto"/>
            </w:tcBorders>
            <w:shd w:val="clear" w:color="auto" w:fill="auto"/>
            <w:vAlign w:val="center"/>
            <w:hideMark/>
          </w:tcPr>
          <w:p w14:paraId="51347A12"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376</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53BF3BB"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48023C0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168</w:t>
            </w:r>
          </w:p>
        </w:tc>
        <w:tc>
          <w:tcPr>
            <w:tcW w:w="1766" w:type="dxa"/>
            <w:tcBorders>
              <w:top w:val="nil"/>
              <w:left w:val="nil"/>
              <w:bottom w:val="single" w:sz="4" w:space="0" w:color="auto"/>
              <w:right w:val="single" w:sz="4" w:space="0" w:color="auto"/>
            </w:tcBorders>
            <w:shd w:val="clear" w:color="auto" w:fill="auto"/>
            <w:vAlign w:val="center"/>
            <w:hideMark/>
          </w:tcPr>
          <w:p w14:paraId="18C6A6E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71</w:t>
            </w:r>
          </w:p>
        </w:tc>
        <w:tc>
          <w:tcPr>
            <w:tcW w:w="1491" w:type="dxa"/>
            <w:tcBorders>
              <w:top w:val="nil"/>
              <w:left w:val="nil"/>
              <w:bottom w:val="single" w:sz="4" w:space="0" w:color="auto"/>
              <w:right w:val="single" w:sz="4" w:space="0" w:color="auto"/>
            </w:tcBorders>
            <w:shd w:val="clear" w:color="auto" w:fill="auto"/>
            <w:vAlign w:val="center"/>
            <w:hideMark/>
          </w:tcPr>
          <w:p w14:paraId="17FCA54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10</w:t>
            </w:r>
          </w:p>
        </w:tc>
      </w:tr>
      <w:tr w:rsidR="007F7CB5" w:rsidRPr="00A555B6" w14:paraId="66A8644F"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6DDE8D23"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2012</w:t>
            </w:r>
          </w:p>
        </w:tc>
        <w:tc>
          <w:tcPr>
            <w:tcW w:w="1711" w:type="dxa"/>
            <w:tcBorders>
              <w:top w:val="nil"/>
              <w:left w:val="nil"/>
              <w:bottom w:val="single" w:sz="4" w:space="0" w:color="auto"/>
              <w:right w:val="single" w:sz="4" w:space="0" w:color="auto"/>
            </w:tcBorders>
            <w:shd w:val="clear" w:color="auto" w:fill="auto"/>
            <w:vAlign w:val="center"/>
            <w:hideMark/>
          </w:tcPr>
          <w:p w14:paraId="0DD97BB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717</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B6CDD98"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4A7E0B8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372</w:t>
            </w:r>
          </w:p>
        </w:tc>
        <w:tc>
          <w:tcPr>
            <w:tcW w:w="1766" w:type="dxa"/>
            <w:tcBorders>
              <w:top w:val="nil"/>
              <w:left w:val="nil"/>
              <w:bottom w:val="single" w:sz="4" w:space="0" w:color="auto"/>
              <w:right w:val="single" w:sz="4" w:space="0" w:color="auto"/>
            </w:tcBorders>
            <w:shd w:val="clear" w:color="auto" w:fill="auto"/>
            <w:vAlign w:val="center"/>
            <w:hideMark/>
          </w:tcPr>
          <w:p w14:paraId="608DF97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129</w:t>
            </w:r>
          </w:p>
        </w:tc>
        <w:tc>
          <w:tcPr>
            <w:tcW w:w="1491" w:type="dxa"/>
            <w:tcBorders>
              <w:top w:val="nil"/>
              <w:left w:val="nil"/>
              <w:bottom w:val="single" w:sz="4" w:space="0" w:color="auto"/>
              <w:right w:val="single" w:sz="4" w:space="0" w:color="auto"/>
            </w:tcBorders>
            <w:shd w:val="clear" w:color="auto" w:fill="auto"/>
            <w:vAlign w:val="center"/>
            <w:hideMark/>
          </w:tcPr>
          <w:p w14:paraId="41A80A8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15</w:t>
            </w:r>
          </w:p>
        </w:tc>
      </w:tr>
      <w:tr w:rsidR="007F7CB5" w:rsidRPr="00A555B6" w14:paraId="5BBC8AAF"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651D1C4A"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2013</w:t>
            </w:r>
          </w:p>
        </w:tc>
        <w:tc>
          <w:tcPr>
            <w:tcW w:w="1711" w:type="dxa"/>
            <w:tcBorders>
              <w:top w:val="nil"/>
              <w:left w:val="nil"/>
              <w:bottom w:val="single" w:sz="4" w:space="0" w:color="auto"/>
              <w:right w:val="single" w:sz="4" w:space="0" w:color="auto"/>
            </w:tcBorders>
            <w:shd w:val="clear" w:color="auto" w:fill="auto"/>
            <w:vAlign w:val="center"/>
            <w:hideMark/>
          </w:tcPr>
          <w:p w14:paraId="28D32AC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1 156</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481E1E91"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4687729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514</w:t>
            </w:r>
          </w:p>
        </w:tc>
        <w:tc>
          <w:tcPr>
            <w:tcW w:w="1766" w:type="dxa"/>
            <w:tcBorders>
              <w:top w:val="nil"/>
              <w:left w:val="nil"/>
              <w:bottom w:val="single" w:sz="4" w:space="0" w:color="auto"/>
              <w:right w:val="single" w:sz="4" w:space="0" w:color="auto"/>
            </w:tcBorders>
            <w:shd w:val="clear" w:color="auto" w:fill="auto"/>
            <w:vAlign w:val="center"/>
            <w:hideMark/>
          </w:tcPr>
          <w:p w14:paraId="5543395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195</w:t>
            </w:r>
          </w:p>
        </w:tc>
        <w:tc>
          <w:tcPr>
            <w:tcW w:w="1491" w:type="dxa"/>
            <w:tcBorders>
              <w:top w:val="nil"/>
              <w:left w:val="nil"/>
              <w:bottom w:val="single" w:sz="4" w:space="0" w:color="auto"/>
              <w:right w:val="single" w:sz="4" w:space="0" w:color="auto"/>
            </w:tcBorders>
            <w:shd w:val="clear" w:color="auto" w:fill="auto"/>
            <w:vAlign w:val="center"/>
            <w:hideMark/>
          </w:tcPr>
          <w:p w14:paraId="0EFB5A1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36</w:t>
            </w:r>
          </w:p>
        </w:tc>
      </w:tr>
      <w:tr w:rsidR="007F7CB5" w:rsidRPr="00A555B6" w14:paraId="495BC4D3"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6B214359"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2014</w:t>
            </w:r>
          </w:p>
        </w:tc>
        <w:tc>
          <w:tcPr>
            <w:tcW w:w="1711" w:type="dxa"/>
            <w:tcBorders>
              <w:top w:val="nil"/>
              <w:left w:val="nil"/>
              <w:bottom w:val="single" w:sz="4" w:space="0" w:color="auto"/>
              <w:right w:val="single" w:sz="4" w:space="0" w:color="auto"/>
            </w:tcBorders>
            <w:shd w:val="clear" w:color="auto" w:fill="auto"/>
            <w:vAlign w:val="center"/>
            <w:hideMark/>
          </w:tcPr>
          <w:p w14:paraId="76219D1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1 262</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0295AEC5"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435E5C7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527</w:t>
            </w:r>
          </w:p>
        </w:tc>
        <w:tc>
          <w:tcPr>
            <w:tcW w:w="1766" w:type="dxa"/>
            <w:tcBorders>
              <w:top w:val="nil"/>
              <w:left w:val="nil"/>
              <w:bottom w:val="single" w:sz="4" w:space="0" w:color="auto"/>
              <w:right w:val="single" w:sz="4" w:space="0" w:color="auto"/>
            </w:tcBorders>
            <w:shd w:val="clear" w:color="auto" w:fill="auto"/>
            <w:vAlign w:val="center"/>
            <w:hideMark/>
          </w:tcPr>
          <w:p w14:paraId="160DEAB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251</w:t>
            </w:r>
          </w:p>
        </w:tc>
        <w:tc>
          <w:tcPr>
            <w:tcW w:w="1491" w:type="dxa"/>
            <w:tcBorders>
              <w:top w:val="nil"/>
              <w:left w:val="nil"/>
              <w:bottom w:val="single" w:sz="4" w:space="0" w:color="auto"/>
              <w:right w:val="single" w:sz="4" w:space="0" w:color="auto"/>
            </w:tcBorders>
            <w:shd w:val="clear" w:color="auto" w:fill="auto"/>
            <w:vAlign w:val="center"/>
            <w:hideMark/>
          </w:tcPr>
          <w:p w14:paraId="2EF35DA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w:t>
            </w:r>
          </w:p>
        </w:tc>
      </w:tr>
      <w:tr w:rsidR="007F7CB5" w:rsidRPr="00A555B6" w14:paraId="2AF7A1C3"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609ABC99"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2015</w:t>
            </w:r>
          </w:p>
        </w:tc>
        <w:tc>
          <w:tcPr>
            <w:tcW w:w="1711" w:type="dxa"/>
            <w:tcBorders>
              <w:top w:val="nil"/>
              <w:left w:val="nil"/>
              <w:bottom w:val="single" w:sz="4" w:space="0" w:color="auto"/>
              <w:right w:val="single" w:sz="4" w:space="0" w:color="auto"/>
            </w:tcBorders>
            <w:shd w:val="clear" w:color="auto" w:fill="auto"/>
            <w:vAlign w:val="center"/>
            <w:hideMark/>
          </w:tcPr>
          <w:p w14:paraId="2B4233A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1 606</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25C3F04C" w14:textId="77777777" w:rsidR="007F7CB5" w:rsidRPr="00A555B6" w:rsidRDefault="007F7CB5" w:rsidP="007F7CB5">
            <w:pPr>
              <w:spacing w:before="120" w:after="120" w:line="240" w:lineRule="auto"/>
              <w:jc w:val="both"/>
              <w:rPr>
                <w:rFonts w:ascii="Times New Roman" w:hAnsi="Times New Roman" w:cs="Times New Roman"/>
                <w:b/>
                <w:bCs/>
              </w:rPr>
            </w:pPr>
          </w:p>
        </w:tc>
        <w:tc>
          <w:tcPr>
            <w:tcW w:w="1490" w:type="dxa"/>
            <w:tcBorders>
              <w:top w:val="nil"/>
              <w:left w:val="nil"/>
              <w:bottom w:val="single" w:sz="4" w:space="0" w:color="auto"/>
              <w:right w:val="single" w:sz="4" w:space="0" w:color="auto"/>
            </w:tcBorders>
            <w:shd w:val="clear" w:color="auto" w:fill="auto"/>
            <w:vAlign w:val="center"/>
            <w:hideMark/>
          </w:tcPr>
          <w:p w14:paraId="68E665A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796</w:t>
            </w:r>
          </w:p>
        </w:tc>
        <w:tc>
          <w:tcPr>
            <w:tcW w:w="1766" w:type="dxa"/>
            <w:tcBorders>
              <w:top w:val="nil"/>
              <w:left w:val="nil"/>
              <w:bottom w:val="single" w:sz="4" w:space="0" w:color="auto"/>
              <w:right w:val="single" w:sz="4" w:space="0" w:color="auto"/>
            </w:tcBorders>
            <w:shd w:val="clear" w:color="auto" w:fill="auto"/>
            <w:vAlign w:val="center"/>
            <w:hideMark/>
          </w:tcPr>
          <w:p w14:paraId="69D6B3E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302</w:t>
            </w:r>
          </w:p>
        </w:tc>
        <w:tc>
          <w:tcPr>
            <w:tcW w:w="1491" w:type="dxa"/>
            <w:tcBorders>
              <w:top w:val="nil"/>
              <w:left w:val="nil"/>
              <w:bottom w:val="single" w:sz="4" w:space="0" w:color="auto"/>
              <w:right w:val="single" w:sz="4" w:space="0" w:color="auto"/>
            </w:tcBorders>
            <w:shd w:val="clear" w:color="auto" w:fill="auto"/>
            <w:vAlign w:val="center"/>
            <w:hideMark/>
          </w:tcPr>
          <w:p w14:paraId="6CC05E8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64</w:t>
            </w:r>
          </w:p>
        </w:tc>
      </w:tr>
      <w:tr w:rsidR="007F7CB5" w:rsidRPr="00A555B6" w14:paraId="6EB7DE1A"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79057035"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2016</w:t>
            </w:r>
          </w:p>
        </w:tc>
        <w:tc>
          <w:tcPr>
            <w:tcW w:w="1711" w:type="dxa"/>
            <w:tcBorders>
              <w:top w:val="nil"/>
              <w:left w:val="nil"/>
              <w:bottom w:val="single" w:sz="4" w:space="0" w:color="auto"/>
              <w:right w:val="single" w:sz="4" w:space="0" w:color="auto"/>
            </w:tcBorders>
            <w:shd w:val="clear" w:color="auto" w:fill="auto"/>
            <w:vAlign w:val="center"/>
            <w:hideMark/>
          </w:tcPr>
          <w:p w14:paraId="60AE8E3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2 034</w:t>
            </w:r>
          </w:p>
        </w:tc>
        <w:tc>
          <w:tcPr>
            <w:tcW w:w="1896" w:type="dxa"/>
            <w:tcBorders>
              <w:top w:val="nil"/>
              <w:left w:val="nil"/>
              <w:bottom w:val="single" w:sz="4" w:space="0" w:color="auto"/>
              <w:right w:val="single" w:sz="4" w:space="0" w:color="auto"/>
            </w:tcBorders>
            <w:shd w:val="clear" w:color="auto" w:fill="auto"/>
            <w:vAlign w:val="center"/>
            <w:hideMark/>
          </w:tcPr>
          <w:p w14:paraId="2392189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2 062</w:t>
            </w:r>
          </w:p>
        </w:tc>
        <w:tc>
          <w:tcPr>
            <w:tcW w:w="1490" w:type="dxa"/>
            <w:tcBorders>
              <w:top w:val="nil"/>
              <w:left w:val="nil"/>
              <w:bottom w:val="single" w:sz="4" w:space="0" w:color="auto"/>
              <w:right w:val="single" w:sz="4" w:space="0" w:color="auto"/>
            </w:tcBorders>
            <w:shd w:val="clear" w:color="auto" w:fill="auto"/>
            <w:vAlign w:val="center"/>
            <w:hideMark/>
          </w:tcPr>
          <w:p w14:paraId="36C5249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855</w:t>
            </w:r>
          </w:p>
        </w:tc>
        <w:tc>
          <w:tcPr>
            <w:tcW w:w="1766" w:type="dxa"/>
            <w:tcBorders>
              <w:top w:val="nil"/>
              <w:left w:val="nil"/>
              <w:bottom w:val="single" w:sz="4" w:space="0" w:color="auto"/>
              <w:right w:val="single" w:sz="4" w:space="0" w:color="auto"/>
            </w:tcBorders>
            <w:shd w:val="clear" w:color="auto" w:fill="auto"/>
            <w:vAlign w:val="center"/>
            <w:hideMark/>
          </w:tcPr>
          <w:p w14:paraId="44191A8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383</w:t>
            </w:r>
          </w:p>
        </w:tc>
        <w:tc>
          <w:tcPr>
            <w:tcW w:w="1491" w:type="dxa"/>
            <w:tcBorders>
              <w:top w:val="nil"/>
              <w:left w:val="nil"/>
              <w:bottom w:val="single" w:sz="4" w:space="0" w:color="auto"/>
              <w:right w:val="single" w:sz="4" w:space="0" w:color="auto"/>
            </w:tcBorders>
            <w:shd w:val="clear" w:color="auto" w:fill="auto"/>
            <w:vAlign w:val="center"/>
            <w:hideMark/>
          </w:tcPr>
          <w:p w14:paraId="121C9CC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12</w:t>
            </w:r>
          </w:p>
        </w:tc>
      </w:tr>
      <w:tr w:rsidR="007F7CB5" w:rsidRPr="00A555B6" w14:paraId="5A2CFABA"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1ED07ACB"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2017</w:t>
            </w:r>
          </w:p>
        </w:tc>
        <w:tc>
          <w:tcPr>
            <w:tcW w:w="1711" w:type="dxa"/>
            <w:tcBorders>
              <w:top w:val="nil"/>
              <w:left w:val="nil"/>
              <w:bottom w:val="single" w:sz="4" w:space="0" w:color="auto"/>
              <w:right w:val="single" w:sz="4" w:space="0" w:color="auto"/>
            </w:tcBorders>
            <w:shd w:val="clear" w:color="auto" w:fill="auto"/>
            <w:vAlign w:val="center"/>
            <w:hideMark/>
          </w:tcPr>
          <w:p w14:paraId="3F036E3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1 960</w:t>
            </w:r>
          </w:p>
        </w:tc>
        <w:tc>
          <w:tcPr>
            <w:tcW w:w="1896" w:type="dxa"/>
            <w:tcBorders>
              <w:top w:val="nil"/>
              <w:left w:val="nil"/>
              <w:bottom w:val="single" w:sz="4" w:space="0" w:color="auto"/>
              <w:right w:val="single" w:sz="4" w:space="0" w:color="auto"/>
            </w:tcBorders>
            <w:shd w:val="clear" w:color="auto" w:fill="auto"/>
            <w:vAlign w:val="center"/>
            <w:hideMark/>
          </w:tcPr>
          <w:p w14:paraId="01A86E8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1 978</w:t>
            </w:r>
          </w:p>
        </w:tc>
        <w:tc>
          <w:tcPr>
            <w:tcW w:w="1490" w:type="dxa"/>
            <w:tcBorders>
              <w:top w:val="nil"/>
              <w:left w:val="nil"/>
              <w:bottom w:val="single" w:sz="4" w:space="0" w:color="auto"/>
              <w:right w:val="single" w:sz="4" w:space="0" w:color="auto"/>
            </w:tcBorders>
            <w:shd w:val="clear" w:color="auto" w:fill="auto"/>
            <w:vAlign w:val="center"/>
            <w:hideMark/>
          </w:tcPr>
          <w:p w14:paraId="35A5FC0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891</w:t>
            </w:r>
          </w:p>
        </w:tc>
        <w:tc>
          <w:tcPr>
            <w:tcW w:w="1766" w:type="dxa"/>
            <w:tcBorders>
              <w:top w:val="nil"/>
              <w:left w:val="nil"/>
              <w:bottom w:val="single" w:sz="4" w:space="0" w:color="auto"/>
              <w:right w:val="single" w:sz="4" w:space="0" w:color="auto"/>
            </w:tcBorders>
            <w:shd w:val="clear" w:color="auto" w:fill="auto"/>
            <w:vAlign w:val="center"/>
            <w:hideMark/>
          </w:tcPr>
          <w:p w14:paraId="3BC1719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466</w:t>
            </w:r>
          </w:p>
        </w:tc>
        <w:tc>
          <w:tcPr>
            <w:tcW w:w="1491" w:type="dxa"/>
            <w:tcBorders>
              <w:top w:val="nil"/>
              <w:left w:val="nil"/>
              <w:bottom w:val="single" w:sz="4" w:space="0" w:color="auto"/>
              <w:right w:val="single" w:sz="4" w:space="0" w:color="auto"/>
            </w:tcBorders>
            <w:shd w:val="clear" w:color="auto" w:fill="auto"/>
            <w:vAlign w:val="center"/>
            <w:hideMark/>
          </w:tcPr>
          <w:p w14:paraId="073011F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w:t>
            </w:r>
          </w:p>
        </w:tc>
      </w:tr>
      <w:tr w:rsidR="007F7CB5" w:rsidRPr="00A555B6" w14:paraId="5DD3745D"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0A9BA9E9"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2018</w:t>
            </w:r>
          </w:p>
        </w:tc>
        <w:tc>
          <w:tcPr>
            <w:tcW w:w="1711" w:type="dxa"/>
            <w:tcBorders>
              <w:top w:val="nil"/>
              <w:left w:val="nil"/>
              <w:bottom w:val="single" w:sz="4" w:space="0" w:color="auto"/>
              <w:right w:val="single" w:sz="4" w:space="0" w:color="auto"/>
            </w:tcBorders>
            <w:shd w:val="clear" w:color="auto" w:fill="auto"/>
            <w:vAlign w:val="center"/>
            <w:hideMark/>
          </w:tcPr>
          <w:p w14:paraId="10D1F82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2 128</w:t>
            </w:r>
          </w:p>
        </w:tc>
        <w:tc>
          <w:tcPr>
            <w:tcW w:w="1896" w:type="dxa"/>
            <w:tcBorders>
              <w:top w:val="nil"/>
              <w:left w:val="nil"/>
              <w:bottom w:val="single" w:sz="4" w:space="0" w:color="auto"/>
              <w:right w:val="single" w:sz="4" w:space="0" w:color="auto"/>
            </w:tcBorders>
            <w:shd w:val="clear" w:color="auto" w:fill="auto"/>
            <w:vAlign w:val="center"/>
            <w:hideMark/>
          </w:tcPr>
          <w:p w14:paraId="622AE0D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2 145</w:t>
            </w:r>
          </w:p>
        </w:tc>
        <w:tc>
          <w:tcPr>
            <w:tcW w:w="1490" w:type="dxa"/>
            <w:tcBorders>
              <w:top w:val="nil"/>
              <w:left w:val="nil"/>
              <w:bottom w:val="single" w:sz="4" w:space="0" w:color="auto"/>
              <w:right w:val="single" w:sz="4" w:space="0" w:color="auto"/>
            </w:tcBorders>
            <w:shd w:val="clear" w:color="auto" w:fill="auto"/>
            <w:vAlign w:val="center"/>
            <w:hideMark/>
          </w:tcPr>
          <w:p w14:paraId="21FF7F2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1 848</w:t>
            </w:r>
          </w:p>
        </w:tc>
        <w:tc>
          <w:tcPr>
            <w:tcW w:w="1766" w:type="dxa"/>
            <w:tcBorders>
              <w:top w:val="nil"/>
              <w:left w:val="nil"/>
              <w:bottom w:val="single" w:sz="4" w:space="0" w:color="auto"/>
              <w:right w:val="single" w:sz="4" w:space="0" w:color="auto"/>
            </w:tcBorders>
            <w:shd w:val="clear" w:color="auto" w:fill="auto"/>
            <w:vAlign w:val="center"/>
            <w:hideMark/>
          </w:tcPr>
          <w:p w14:paraId="61BEC59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393</w:t>
            </w:r>
          </w:p>
        </w:tc>
        <w:tc>
          <w:tcPr>
            <w:tcW w:w="1491" w:type="dxa"/>
            <w:tcBorders>
              <w:top w:val="nil"/>
              <w:left w:val="nil"/>
              <w:bottom w:val="single" w:sz="4" w:space="0" w:color="auto"/>
              <w:right w:val="single" w:sz="4" w:space="0" w:color="auto"/>
            </w:tcBorders>
            <w:shd w:val="clear" w:color="auto" w:fill="auto"/>
            <w:vAlign w:val="center"/>
            <w:hideMark/>
          </w:tcPr>
          <w:p w14:paraId="6EAF802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w:t>
            </w:r>
          </w:p>
        </w:tc>
      </w:tr>
      <w:tr w:rsidR="007F7CB5" w:rsidRPr="00A555B6" w14:paraId="3ECC4132"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1423EFBA"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2019</w:t>
            </w:r>
          </w:p>
        </w:tc>
        <w:tc>
          <w:tcPr>
            <w:tcW w:w="1711" w:type="dxa"/>
            <w:tcBorders>
              <w:top w:val="nil"/>
              <w:left w:val="nil"/>
              <w:bottom w:val="single" w:sz="4" w:space="0" w:color="auto"/>
              <w:right w:val="single" w:sz="4" w:space="0" w:color="auto"/>
            </w:tcBorders>
            <w:shd w:val="clear" w:color="auto" w:fill="auto"/>
            <w:vAlign w:val="center"/>
            <w:hideMark/>
          </w:tcPr>
          <w:p w14:paraId="41B0612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2 296</w:t>
            </w:r>
          </w:p>
        </w:tc>
        <w:tc>
          <w:tcPr>
            <w:tcW w:w="1896" w:type="dxa"/>
            <w:tcBorders>
              <w:top w:val="nil"/>
              <w:left w:val="nil"/>
              <w:bottom w:val="single" w:sz="4" w:space="0" w:color="auto"/>
              <w:right w:val="single" w:sz="4" w:space="0" w:color="auto"/>
            </w:tcBorders>
            <w:shd w:val="clear" w:color="auto" w:fill="auto"/>
            <w:vAlign w:val="center"/>
            <w:hideMark/>
          </w:tcPr>
          <w:p w14:paraId="268CD47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2 331</w:t>
            </w:r>
          </w:p>
        </w:tc>
        <w:tc>
          <w:tcPr>
            <w:tcW w:w="1490" w:type="dxa"/>
            <w:tcBorders>
              <w:top w:val="nil"/>
              <w:left w:val="nil"/>
              <w:bottom w:val="single" w:sz="4" w:space="0" w:color="auto"/>
              <w:right w:val="single" w:sz="4" w:space="0" w:color="auto"/>
            </w:tcBorders>
            <w:shd w:val="clear" w:color="auto" w:fill="auto"/>
            <w:vAlign w:val="center"/>
            <w:hideMark/>
          </w:tcPr>
          <w:p w14:paraId="03BEA56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1 957</w:t>
            </w:r>
          </w:p>
        </w:tc>
        <w:tc>
          <w:tcPr>
            <w:tcW w:w="1766" w:type="dxa"/>
            <w:tcBorders>
              <w:top w:val="nil"/>
              <w:left w:val="nil"/>
              <w:bottom w:val="single" w:sz="4" w:space="0" w:color="auto"/>
              <w:right w:val="single" w:sz="4" w:space="0" w:color="auto"/>
            </w:tcBorders>
            <w:shd w:val="clear" w:color="auto" w:fill="auto"/>
            <w:vAlign w:val="center"/>
            <w:hideMark/>
          </w:tcPr>
          <w:p w14:paraId="43DC3CA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508</w:t>
            </w:r>
          </w:p>
        </w:tc>
        <w:tc>
          <w:tcPr>
            <w:tcW w:w="1491" w:type="dxa"/>
            <w:tcBorders>
              <w:top w:val="nil"/>
              <w:left w:val="nil"/>
              <w:bottom w:val="single" w:sz="4" w:space="0" w:color="auto"/>
              <w:right w:val="single" w:sz="4" w:space="0" w:color="auto"/>
            </w:tcBorders>
            <w:shd w:val="clear" w:color="auto" w:fill="auto"/>
            <w:vAlign w:val="center"/>
            <w:hideMark/>
          </w:tcPr>
          <w:p w14:paraId="730FC382"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w:t>
            </w:r>
          </w:p>
        </w:tc>
      </w:tr>
      <w:tr w:rsidR="007F7CB5" w:rsidRPr="00A555B6" w14:paraId="6E252637" w14:textId="77777777" w:rsidTr="00C64713">
        <w:tblPrEx>
          <w:tblCellMar>
            <w:top w:w="0" w:type="dxa"/>
          </w:tblCellMar>
        </w:tblPrEx>
        <w:trPr>
          <w:gridAfter w:val="1"/>
          <w:wAfter w:w="208" w:type="dxa"/>
          <w:trHeight w:val="366"/>
        </w:trPr>
        <w:tc>
          <w:tcPr>
            <w:tcW w:w="994" w:type="dxa"/>
            <w:tcBorders>
              <w:top w:val="nil"/>
              <w:left w:val="single" w:sz="4" w:space="0" w:color="auto"/>
              <w:bottom w:val="single" w:sz="4" w:space="0" w:color="auto"/>
              <w:right w:val="nil"/>
            </w:tcBorders>
            <w:shd w:val="clear" w:color="auto" w:fill="auto"/>
            <w:vAlign w:val="center"/>
            <w:hideMark/>
          </w:tcPr>
          <w:p w14:paraId="3CEDF574"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2020</w:t>
            </w:r>
          </w:p>
        </w:tc>
        <w:tc>
          <w:tcPr>
            <w:tcW w:w="1711" w:type="dxa"/>
            <w:tcBorders>
              <w:top w:val="nil"/>
              <w:left w:val="single" w:sz="4" w:space="0" w:color="auto"/>
              <w:bottom w:val="single" w:sz="4" w:space="0" w:color="auto"/>
              <w:right w:val="single" w:sz="4" w:space="0" w:color="auto"/>
            </w:tcBorders>
            <w:shd w:val="clear" w:color="auto" w:fill="auto"/>
            <w:vAlign w:val="center"/>
            <w:hideMark/>
          </w:tcPr>
          <w:p w14:paraId="0FEE384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2 250</w:t>
            </w:r>
          </w:p>
        </w:tc>
        <w:tc>
          <w:tcPr>
            <w:tcW w:w="1896" w:type="dxa"/>
            <w:tcBorders>
              <w:top w:val="nil"/>
              <w:left w:val="nil"/>
              <w:bottom w:val="single" w:sz="4" w:space="0" w:color="auto"/>
              <w:right w:val="single" w:sz="4" w:space="0" w:color="auto"/>
            </w:tcBorders>
            <w:shd w:val="clear" w:color="auto" w:fill="auto"/>
            <w:vAlign w:val="center"/>
            <w:hideMark/>
          </w:tcPr>
          <w:p w14:paraId="40F1230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2 299</w:t>
            </w:r>
          </w:p>
        </w:tc>
        <w:tc>
          <w:tcPr>
            <w:tcW w:w="1490" w:type="dxa"/>
            <w:tcBorders>
              <w:top w:val="nil"/>
              <w:left w:val="nil"/>
              <w:bottom w:val="single" w:sz="4" w:space="0" w:color="auto"/>
              <w:right w:val="single" w:sz="4" w:space="0" w:color="auto"/>
            </w:tcBorders>
            <w:shd w:val="clear" w:color="auto" w:fill="auto"/>
            <w:vAlign w:val="center"/>
            <w:hideMark/>
          </w:tcPr>
          <w:p w14:paraId="7DD8ADD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1 807</w:t>
            </w:r>
          </w:p>
        </w:tc>
        <w:tc>
          <w:tcPr>
            <w:tcW w:w="1766" w:type="dxa"/>
            <w:tcBorders>
              <w:top w:val="nil"/>
              <w:left w:val="nil"/>
              <w:bottom w:val="single" w:sz="4" w:space="0" w:color="auto"/>
              <w:right w:val="nil"/>
            </w:tcBorders>
            <w:shd w:val="clear" w:color="auto" w:fill="auto"/>
            <w:vAlign w:val="center"/>
            <w:hideMark/>
          </w:tcPr>
          <w:p w14:paraId="7C91C7B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473</w:t>
            </w:r>
          </w:p>
        </w:tc>
        <w:tc>
          <w:tcPr>
            <w:tcW w:w="1491" w:type="dxa"/>
            <w:tcBorders>
              <w:top w:val="nil"/>
              <w:left w:val="single" w:sz="4" w:space="0" w:color="auto"/>
              <w:bottom w:val="single" w:sz="4" w:space="0" w:color="auto"/>
              <w:right w:val="single" w:sz="4" w:space="0" w:color="auto"/>
            </w:tcBorders>
            <w:shd w:val="clear" w:color="auto" w:fill="auto"/>
            <w:vAlign w:val="center"/>
            <w:hideMark/>
          </w:tcPr>
          <w:p w14:paraId="7FA8147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w:t>
            </w:r>
          </w:p>
        </w:tc>
      </w:tr>
      <w:tr w:rsidR="007F7CB5" w:rsidRPr="00A555B6" w14:paraId="2621EB2E"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nil"/>
            </w:tcBorders>
            <w:shd w:val="clear" w:color="auto" w:fill="auto"/>
            <w:vAlign w:val="center"/>
            <w:hideMark/>
          </w:tcPr>
          <w:p w14:paraId="2237ECDD"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2021</w:t>
            </w:r>
          </w:p>
        </w:tc>
        <w:tc>
          <w:tcPr>
            <w:tcW w:w="1711" w:type="dxa"/>
            <w:tcBorders>
              <w:top w:val="nil"/>
              <w:left w:val="single" w:sz="4" w:space="0" w:color="auto"/>
              <w:bottom w:val="single" w:sz="4" w:space="0" w:color="auto"/>
              <w:right w:val="single" w:sz="4" w:space="0" w:color="auto"/>
            </w:tcBorders>
            <w:shd w:val="clear" w:color="auto" w:fill="auto"/>
            <w:vAlign w:val="center"/>
            <w:hideMark/>
          </w:tcPr>
          <w:p w14:paraId="5686AEE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2 389</w:t>
            </w:r>
          </w:p>
        </w:tc>
        <w:tc>
          <w:tcPr>
            <w:tcW w:w="1896" w:type="dxa"/>
            <w:tcBorders>
              <w:top w:val="nil"/>
              <w:left w:val="nil"/>
              <w:bottom w:val="single" w:sz="4" w:space="0" w:color="auto"/>
              <w:right w:val="single" w:sz="4" w:space="0" w:color="auto"/>
            </w:tcBorders>
            <w:shd w:val="clear" w:color="auto" w:fill="auto"/>
            <w:vAlign w:val="center"/>
            <w:hideMark/>
          </w:tcPr>
          <w:p w14:paraId="07EFCA5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2 430</w:t>
            </w:r>
          </w:p>
        </w:tc>
        <w:tc>
          <w:tcPr>
            <w:tcW w:w="1490" w:type="dxa"/>
            <w:tcBorders>
              <w:top w:val="nil"/>
              <w:left w:val="nil"/>
              <w:bottom w:val="single" w:sz="4" w:space="0" w:color="auto"/>
              <w:right w:val="single" w:sz="4" w:space="0" w:color="auto"/>
            </w:tcBorders>
            <w:shd w:val="clear" w:color="auto" w:fill="auto"/>
            <w:vAlign w:val="center"/>
            <w:hideMark/>
          </w:tcPr>
          <w:p w14:paraId="1532A5A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1 768</w:t>
            </w:r>
          </w:p>
        </w:tc>
        <w:tc>
          <w:tcPr>
            <w:tcW w:w="1766" w:type="dxa"/>
            <w:tcBorders>
              <w:top w:val="nil"/>
              <w:left w:val="nil"/>
              <w:bottom w:val="single" w:sz="4" w:space="0" w:color="auto"/>
              <w:right w:val="nil"/>
            </w:tcBorders>
            <w:shd w:val="clear" w:color="auto" w:fill="auto"/>
            <w:vAlign w:val="center"/>
            <w:hideMark/>
          </w:tcPr>
          <w:p w14:paraId="5309D20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618</w:t>
            </w:r>
          </w:p>
        </w:tc>
        <w:tc>
          <w:tcPr>
            <w:tcW w:w="1491" w:type="dxa"/>
            <w:tcBorders>
              <w:top w:val="nil"/>
              <w:left w:val="single" w:sz="4" w:space="0" w:color="auto"/>
              <w:bottom w:val="single" w:sz="4" w:space="0" w:color="auto"/>
              <w:right w:val="single" w:sz="4" w:space="0" w:color="auto"/>
            </w:tcBorders>
            <w:shd w:val="clear" w:color="auto" w:fill="auto"/>
            <w:vAlign w:val="center"/>
            <w:hideMark/>
          </w:tcPr>
          <w:p w14:paraId="3ACB58F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w:t>
            </w:r>
          </w:p>
        </w:tc>
      </w:tr>
      <w:tr w:rsidR="007F7CB5" w:rsidRPr="00A555B6" w14:paraId="2AA91738"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nil"/>
            </w:tcBorders>
            <w:shd w:val="clear" w:color="auto" w:fill="auto"/>
            <w:vAlign w:val="center"/>
            <w:hideMark/>
          </w:tcPr>
          <w:p w14:paraId="7E48148E"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2022</w:t>
            </w:r>
          </w:p>
        </w:tc>
        <w:tc>
          <w:tcPr>
            <w:tcW w:w="1711" w:type="dxa"/>
            <w:tcBorders>
              <w:top w:val="nil"/>
              <w:left w:val="single" w:sz="4" w:space="0" w:color="auto"/>
              <w:bottom w:val="single" w:sz="4" w:space="0" w:color="auto"/>
              <w:right w:val="single" w:sz="4" w:space="0" w:color="auto"/>
            </w:tcBorders>
            <w:shd w:val="clear" w:color="auto" w:fill="auto"/>
            <w:vAlign w:val="center"/>
            <w:hideMark/>
          </w:tcPr>
          <w:p w14:paraId="2E498B6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2 398</w:t>
            </w:r>
          </w:p>
        </w:tc>
        <w:tc>
          <w:tcPr>
            <w:tcW w:w="1896" w:type="dxa"/>
            <w:tcBorders>
              <w:top w:val="nil"/>
              <w:left w:val="nil"/>
              <w:bottom w:val="single" w:sz="4" w:space="0" w:color="auto"/>
              <w:right w:val="single" w:sz="4" w:space="0" w:color="auto"/>
            </w:tcBorders>
            <w:shd w:val="clear" w:color="auto" w:fill="auto"/>
            <w:vAlign w:val="center"/>
            <w:hideMark/>
          </w:tcPr>
          <w:p w14:paraId="567636D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2 427</w:t>
            </w:r>
          </w:p>
        </w:tc>
        <w:tc>
          <w:tcPr>
            <w:tcW w:w="1490" w:type="dxa"/>
            <w:tcBorders>
              <w:top w:val="nil"/>
              <w:left w:val="nil"/>
              <w:bottom w:val="single" w:sz="4" w:space="0" w:color="auto"/>
              <w:right w:val="single" w:sz="4" w:space="0" w:color="auto"/>
            </w:tcBorders>
            <w:shd w:val="clear" w:color="auto" w:fill="auto"/>
            <w:vAlign w:val="center"/>
            <w:hideMark/>
          </w:tcPr>
          <w:p w14:paraId="10231EC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1 831</w:t>
            </w:r>
          </w:p>
        </w:tc>
        <w:tc>
          <w:tcPr>
            <w:tcW w:w="1766" w:type="dxa"/>
            <w:tcBorders>
              <w:top w:val="nil"/>
              <w:left w:val="nil"/>
              <w:bottom w:val="single" w:sz="4" w:space="0" w:color="auto"/>
              <w:right w:val="nil"/>
            </w:tcBorders>
            <w:shd w:val="clear" w:color="auto" w:fill="auto"/>
            <w:vAlign w:val="center"/>
            <w:hideMark/>
          </w:tcPr>
          <w:p w14:paraId="2E60095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614</w:t>
            </w:r>
          </w:p>
        </w:tc>
        <w:tc>
          <w:tcPr>
            <w:tcW w:w="1491" w:type="dxa"/>
            <w:tcBorders>
              <w:top w:val="nil"/>
              <w:left w:val="single" w:sz="4" w:space="0" w:color="auto"/>
              <w:bottom w:val="single" w:sz="4" w:space="0" w:color="auto"/>
              <w:right w:val="single" w:sz="4" w:space="0" w:color="auto"/>
            </w:tcBorders>
            <w:shd w:val="clear" w:color="auto" w:fill="auto"/>
            <w:vAlign w:val="center"/>
            <w:hideMark/>
          </w:tcPr>
          <w:p w14:paraId="3552202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w:t>
            </w:r>
          </w:p>
        </w:tc>
      </w:tr>
      <w:tr w:rsidR="007F7CB5" w:rsidRPr="00A555B6" w14:paraId="5737632D" w14:textId="77777777" w:rsidTr="00C64713">
        <w:tblPrEx>
          <w:tblCellMar>
            <w:top w:w="0" w:type="dxa"/>
          </w:tblCellMar>
        </w:tblPrEx>
        <w:trPr>
          <w:gridAfter w:val="1"/>
          <w:wAfter w:w="208" w:type="dxa"/>
          <w:trHeight w:val="378"/>
        </w:trPr>
        <w:tc>
          <w:tcPr>
            <w:tcW w:w="994" w:type="dxa"/>
            <w:tcBorders>
              <w:top w:val="nil"/>
              <w:left w:val="single" w:sz="4" w:space="0" w:color="auto"/>
              <w:bottom w:val="single" w:sz="4" w:space="0" w:color="auto"/>
              <w:right w:val="single" w:sz="4" w:space="0" w:color="auto"/>
            </w:tcBorders>
            <w:shd w:val="clear" w:color="auto" w:fill="auto"/>
            <w:vAlign w:val="center"/>
            <w:hideMark/>
          </w:tcPr>
          <w:p w14:paraId="33EC9404"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2023</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71AA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2 945</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6FB52"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2 989</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4538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2 416</w:t>
            </w:r>
          </w:p>
        </w:tc>
        <w:tc>
          <w:tcPr>
            <w:tcW w:w="1766" w:type="dxa"/>
            <w:tcBorders>
              <w:top w:val="nil"/>
              <w:left w:val="single" w:sz="4" w:space="0" w:color="auto"/>
              <w:bottom w:val="single" w:sz="4" w:space="0" w:color="auto"/>
              <w:right w:val="nil"/>
            </w:tcBorders>
            <w:shd w:val="clear" w:color="auto" w:fill="auto"/>
            <w:vAlign w:val="center"/>
            <w:hideMark/>
          </w:tcPr>
          <w:p w14:paraId="12253A9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734</w:t>
            </w:r>
          </w:p>
        </w:tc>
        <w:tc>
          <w:tcPr>
            <w:tcW w:w="1491" w:type="dxa"/>
            <w:tcBorders>
              <w:top w:val="nil"/>
              <w:left w:val="single" w:sz="4" w:space="0" w:color="auto"/>
              <w:bottom w:val="single" w:sz="4" w:space="0" w:color="auto"/>
              <w:right w:val="single" w:sz="4" w:space="0" w:color="auto"/>
            </w:tcBorders>
            <w:shd w:val="clear" w:color="auto" w:fill="auto"/>
            <w:vAlign w:val="center"/>
            <w:hideMark/>
          </w:tcPr>
          <w:p w14:paraId="394640F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w:t>
            </w:r>
          </w:p>
        </w:tc>
      </w:tr>
    </w:tbl>
    <w:p w14:paraId="02E4A392" w14:textId="77777777" w:rsidR="007F7CB5" w:rsidRPr="00A555B6" w:rsidRDefault="007F7CB5" w:rsidP="007F7CB5">
      <w:pPr>
        <w:spacing w:before="120" w:after="120" w:line="360" w:lineRule="auto"/>
        <w:jc w:val="both"/>
        <w:rPr>
          <w:rFonts w:ascii="Times New Roman" w:hAnsi="Times New Roman" w:cs="Times New Roman"/>
        </w:rPr>
      </w:pPr>
    </w:p>
    <w:p w14:paraId="1863D2EF" w14:textId="77777777"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Sprawy gospodarcze, sądy rejonowe.</w:t>
      </w:r>
      <w:r w:rsidRPr="00A555B6">
        <w:rPr>
          <w:rFonts w:ascii="Times New Roman" w:hAnsi="Times New Roman" w:cs="Times New Roman"/>
          <w:vertAlign w:val="superscript"/>
        </w:rPr>
        <w:footnoteReference w:id="7"/>
      </w:r>
    </w:p>
    <w:tbl>
      <w:tblPr>
        <w:tblW w:w="9209" w:type="dxa"/>
        <w:tblCellMar>
          <w:top w:w="15" w:type="dxa"/>
          <w:left w:w="70" w:type="dxa"/>
          <w:right w:w="70" w:type="dxa"/>
        </w:tblCellMar>
        <w:tblLook w:val="04A0" w:firstRow="1" w:lastRow="0" w:firstColumn="1" w:lastColumn="0" w:noHBand="0" w:noVBand="1"/>
      </w:tblPr>
      <w:tblGrid>
        <w:gridCol w:w="964"/>
        <w:gridCol w:w="20"/>
        <w:gridCol w:w="1800"/>
        <w:gridCol w:w="1735"/>
        <w:gridCol w:w="1564"/>
        <w:gridCol w:w="29"/>
        <w:gridCol w:w="1735"/>
        <w:gridCol w:w="1362"/>
      </w:tblGrid>
      <w:tr w:rsidR="007F7CB5" w:rsidRPr="00A555B6" w14:paraId="7EE0D18C" w14:textId="77777777" w:rsidTr="00471C03">
        <w:trPr>
          <w:trHeight w:val="375"/>
        </w:trPr>
        <w:tc>
          <w:tcPr>
            <w:tcW w:w="1063" w:type="dxa"/>
            <w:gridSpan w:val="2"/>
            <w:vMerge w:val="restart"/>
            <w:tcBorders>
              <w:top w:val="single" w:sz="4" w:space="0" w:color="auto"/>
              <w:left w:val="single" w:sz="4" w:space="0" w:color="auto"/>
              <w:bottom w:val="single" w:sz="4" w:space="0" w:color="auto"/>
              <w:right w:val="single" w:sz="4" w:space="0" w:color="auto"/>
            </w:tcBorders>
            <w:shd w:val="clear" w:color="000000" w:fill="E4DFEC"/>
            <w:vAlign w:val="center"/>
            <w:hideMark/>
          </w:tcPr>
          <w:p w14:paraId="489FEBD3" w14:textId="77777777" w:rsidR="007F7CB5" w:rsidRPr="00A555B6" w:rsidRDefault="007F7CB5" w:rsidP="007F7CB5">
            <w:pPr>
              <w:spacing w:before="120" w:after="120" w:line="240" w:lineRule="auto"/>
              <w:jc w:val="both"/>
              <w:rPr>
                <w:rFonts w:ascii="Times New Roman" w:hAnsi="Times New Roman" w:cs="Times New Roman"/>
                <w:i/>
                <w:iCs/>
              </w:rPr>
            </w:pPr>
            <w:r w:rsidRPr="00A555B6">
              <w:rPr>
                <w:rFonts w:ascii="Times New Roman" w:hAnsi="Times New Roman" w:cs="Times New Roman"/>
                <w:i/>
                <w:iCs/>
              </w:rPr>
              <w:t>Lata</w:t>
            </w:r>
          </w:p>
        </w:tc>
        <w:tc>
          <w:tcPr>
            <w:tcW w:w="8146" w:type="dxa"/>
            <w:gridSpan w:val="6"/>
            <w:tcBorders>
              <w:top w:val="single" w:sz="4" w:space="0" w:color="auto"/>
              <w:left w:val="nil"/>
              <w:bottom w:val="single" w:sz="4" w:space="0" w:color="auto"/>
              <w:right w:val="single" w:sz="4" w:space="0" w:color="auto"/>
            </w:tcBorders>
            <w:shd w:val="clear" w:color="000000" w:fill="E4DFEC"/>
            <w:vAlign w:val="center"/>
            <w:hideMark/>
          </w:tcPr>
          <w:p w14:paraId="3A26D5B2" w14:textId="77777777" w:rsidR="007F7CB5" w:rsidRPr="00A555B6" w:rsidRDefault="007F7CB5" w:rsidP="007F7CB5">
            <w:pPr>
              <w:spacing w:before="120" w:after="120" w:line="240" w:lineRule="auto"/>
              <w:jc w:val="center"/>
              <w:rPr>
                <w:rFonts w:ascii="Times New Roman" w:hAnsi="Times New Roman" w:cs="Times New Roman"/>
              </w:rPr>
            </w:pPr>
            <w:r w:rsidRPr="00A555B6">
              <w:rPr>
                <w:rFonts w:ascii="Times New Roman" w:hAnsi="Times New Roman" w:cs="Times New Roman"/>
              </w:rPr>
              <w:t>POSTĘPOWANIE SĄDOWE</w:t>
            </w:r>
          </w:p>
        </w:tc>
      </w:tr>
      <w:tr w:rsidR="007F7CB5" w:rsidRPr="00A555B6" w14:paraId="72C9526C" w14:textId="77777777" w:rsidTr="00471C03">
        <w:trPr>
          <w:trHeight w:val="619"/>
        </w:trPr>
        <w:tc>
          <w:tcPr>
            <w:tcW w:w="1063" w:type="dxa"/>
            <w:gridSpan w:val="2"/>
            <w:vMerge/>
            <w:tcBorders>
              <w:top w:val="single" w:sz="4" w:space="0" w:color="auto"/>
              <w:left w:val="single" w:sz="4" w:space="0" w:color="auto"/>
              <w:bottom w:val="single" w:sz="4" w:space="0" w:color="auto"/>
              <w:right w:val="single" w:sz="4" w:space="0" w:color="auto"/>
            </w:tcBorders>
            <w:vAlign w:val="center"/>
            <w:hideMark/>
          </w:tcPr>
          <w:p w14:paraId="11D3D76E" w14:textId="77777777" w:rsidR="007F7CB5" w:rsidRPr="00A555B6" w:rsidRDefault="007F7CB5" w:rsidP="007F7CB5">
            <w:pPr>
              <w:spacing w:before="120" w:after="120" w:line="240" w:lineRule="auto"/>
              <w:jc w:val="both"/>
              <w:rPr>
                <w:rFonts w:ascii="Times New Roman" w:hAnsi="Times New Roman" w:cs="Times New Roman"/>
                <w:i/>
                <w:iCs/>
              </w:rPr>
            </w:pPr>
          </w:p>
        </w:tc>
        <w:tc>
          <w:tcPr>
            <w:tcW w:w="1877" w:type="dxa"/>
            <w:vMerge w:val="restart"/>
            <w:tcBorders>
              <w:top w:val="nil"/>
              <w:left w:val="single" w:sz="4" w:space="0" w:color="auto"/>
              <w:bottom w:val="single" w:sz="4" w:space="0" w:color="auto"/>
              <w:right w:val="single" w:sz="4" w:space="0" w:color="auto"/>
            </w:tcBorders>
            <w:shd w:val="clear" w:color="000000" w:fill="E4DFEC"/>
            <w:vAlign w:val="center"/>
            <w:hideMark/>
          </w:tcPr>
          <w:p w14:paraId="06FC5C4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Liczba spraw, w których strony skierowano do mediacji na podstawie postanowienia sądu (art. 183 </w:t>
            </w:r>
            <w:r w:rsidRPr="00A555B6">
              <w:rPr>
                <w:rFonts w:ascii="Times New Roman" w:hAnsi="Times New Roman" w:cs="Times New Roman"/>
                <w:vertAlign w:val="superscript"/>
              </w:rPr>
              <w:t>8</w:t>
            </w:r>
            <w:r w:rsidRPr="00A555B6">
              <w:rPr>
                <w:rFonts w:ascii="Times New Roman" w:hAnsi="Times New Roman" w:cs="Times New Roman"/>
              </w:rPr>
              <w:t xml:space="preserve"> § 1 kpc)</w:t>
            </w:r>
          </w:p>
        </w:tc>
        <w:tc>
          <w:tcPr>
            <w:tcW w:w="1900" w:type="dxa"/>
            <w:vMerge w:val="restart"/>
            <w:tcBorders>
              <w:top w:val="nil"/>
              <w:left w:val="single" w:sz="4" w:space="0" w:color="auto"/>
              <w:bottom w:val="single" w:sz="4" w:space="0" w:color="auto"/>
              <w:right w:val="single" w:sz="4" w:space="0" w:color="auto"/>
            </w:tcBorders>
            <w:shd w:val="clear" w:color="000000" w:fill="E4DFEC"/>
            <w:vAlign w:val="center"/>
            <w:hideMark/>
          </w:tcPr>
          <w:p w14:paraId="1A6C9D9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Liczba mediacji ogółem</w:t>
            </w:r>
          </w:p>
        </w:tc>
        <w:tc>
          <w:tcPr>
            <w:tcW w:w="1672" w:type="dxa"/>
            <w:gridSpan w:val="2"/>
            <w:vMerge w:val="restart"/>
            <w:tcBorders>
              <w:top w:val="nil"/>
              <w:left w:val="single" w:sz="4" w:space="0" w:color="auto"/>
              <w:bottom w:val="single" w:sz="4" w:space="0" w:color="auto"/>
              <w:right w:val="single" w:sz="4" w:space="0" w:color="auto"/>
            </w:tcBorders>
            <w:shd w:val="clear" w:color="000000" w:fill="E4DFEC"/>
            <w:vAlign w:val="center"/>
            <w:hideMark/>
          </w:tcPr>
          <w:p w14:paraId="53E620C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Liczba protokołów złożonych przez mediatorów (art. 183 </w:t>
            </w:r>
            <w:r w:rsidRPr="00A555B6">
              <w:rPr>
                <w:rFonts w:ascii="Times New Roman" w:hAnsi="Times New Roman" w:cs="Times New Roman"/>
                <w:vertAlign w:val="superscript"/>
              </w:rPr>
              <w:t>13</w:t>
            </w:r>
            <w:r w:rsidRPr="00A555B6">
              <w:rPr>
                <w:rFonts w:ascii="Times New Roman" w:hAnsi="Times New Roman" w:cs="Times New Roman"/>
              </w:rPr>
              <w:t xml:space="preserve"> § 2 kpc)</w:t>
            </w:r>
          </w:p>
        </w:tc>
        <w:tc>
          <w:tcPr>
            <w:tcW w:w="1808" w:type="dxa"/>
            <w:vMerge w:val="restart"/>
            <w:tcBorders>
              <w:top w:val="nil"/>
              <w:left w:val="single" w:sz="4" w:space="0" w:color="auto"/>
              <w:bottom w:val="single" w:sz="4" w:space="0" w:color="auto"/>
              <w:right w:val="single" w:sz="4" w:space="0" w:color="auto"/>
            </w:tcBorders>
            <w:shd w:val="clear" w:color="000000" w:fill="E4DFEC"/>
            <w:vAlign w:val="center"/>
            <w:hideMark/>
          </w:tcPr>
          <w:p w14:paraId="3E84C00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Umorzono postępowanie w wyniku zatwierdzenia ugody zawartej przed mediatorem (art. 183 </w:t>
            </w:r>
            <w:r w:rsidRPr="00A555B6">
              <w:rPr>
                <w:rFonts w:ascii="Times New Roman" w:hAnsi="Times New Roman" w:cs="Times New Roman"/>
                <w:vertAlign w:val="superscript"/>
              </w:rPr>
              <w:t>14</w:t>
            </w:r>
            <w:r w:rsidRPr="00A555B6">
              <w:rPr>
                <w:rFonts w:ascii="Times New Roman" w:hAnsi="Times New Roman" w:cs="Times New Roman"/>
              </w:rPr>
              <w:t xml:space="preserve"> § 1 i 2 kpc)</w:t>
            </w:r>
          </w:p>
        </w:tc>
        <w:tc>
          <w:tcPr>
            <w:tcW w:w="889" w:type="dxa"/>
            <w:vMerge w:val="restart"/>
            <w:tcBorders>
              <w:top w:val="nil"/>
              <w:left w:val="single" w:sz="4" w:space="0" w:color="auto"/>
              <w:bottom w:val="single" w:sz="4" w:space="0" w:color="auto"/>
              <w:right w:val="single" w:sz="4" w:space="0" w:color="auto"/>
            </w:tcBorders>
            <w:shd w:val="clear" w:color="000000" w:fill="E4DFEC"/>
            <w:vAlign w:val="center"/>
            <w:hideMark/>
          </w:tcPr>
          <w:p w14:paraId="05C85DF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Odmówiono zatwierdzenia ugody w trybie art. 183 </w:t>
            </w:r>
            <w:r w:rsidRPr="00A555B6">
              <w:rPr>
                <w:rFonts w:ascii="Times New Roman" w:hAnsi="Times New Roman" w:cs="Times New Roman"/>
                <w:vertAlign w:val="superscript"/>
              </w:rPr>
              <w:t>14</w:t>
            </w:r>
            <w:r w:rsidRPr="00A555B6">
              <w:rPr>
                <w:rFonts w:ascii="Times New Roman" w:hAnsi="Times New Roman" w:cs="Times New Roman"/>
              </w:rPr>
              <w:t xml:space="preserve"> § 3 kpc</w:t>
            </w:r>
          </w:p>
        </w:tc>
      </w:tr>
      <w:tr w:rsidR="007F7CB5" w:rsidRPr="00A555B6" w14:paraId="2C8497B8" w14:textId="77777777" w:rsidTr="006D3101">
        <w:trPr>
          <w:trHeight w:val="1439"/>
        </w:trPr>
        <w:tc>
          <w:tcPr>
            <w:tcW w:w="1063" w:type="dxa"/>
            <w:gridSpan w:val="2"/>
            <w:vMerge/>
            <w:tcBorders>
              <w:top w:val="single" w:sz="4" w:space="0" w:color="auto"/>
              <w:left w:val="single" w:sz="4" w:space="0" w:color="auto"/>
              <w:bottom w:val="single" w:sz="4" w:space="0" w:color="auto"/>
              <w:right w:val="single" w:sz="4" w:space="0" w:color="auto"/>
            </w:tcBorders>
            <w:vAlign w:val="center"/>
            <w:hideMark/>
          </w:tcPr>
          <w:p w14:paraId="306BF1F2" w14:textId="77777777" w:rsidR="007F7CB5" w:rsidRPr="00A555B6" w:rsidRDefault="007F7CB5" w:rsidP="007F7CB5">
            <w:pPr>
              <w:spacing w:before="120" w:after="120" w:line="240" w:lineRule="auto"/>
              <w:jc w:val="both"/>
              <w:rPr>
                <w:rFonts w:ascii="Times New Roman" w:hAnsi="Times New Roman" w:cs="Times New Roman"/>
                <w:i/>
                <w:iCs/>
              </w:rPr>
            </w:pPr>
          </w:p>
        </w:tc>
        <w:tc>
          <w:tcPr>
            <w:tcW w:w="1877" w:type="dxa"/>
            <w:vMerge/>
            <w:tcBorders>
              <w:top w:val="nil"/>
              <w:left w:val="single" w:sz="4" w:space="0" w:color="auto"/>
              <w:bottom w:val="single" w:sz="4" w:space="0" w:color="auto"/>
              <w:right w:val="single" w:sz="4" w:space="0" w:color="auto"/>
            </w:tcBorders>
            <w:vAlign w:val="center"/>
            <w:hideMark/>
          </w:tcPr>
          <w:p w14:paraId="382D9C5E" w14:textId="77777777" w:rsidR="007F7CB5" w:rsidRPr="00A555B6" w:rsidRDefault="007F7CB5" w:rsidP="007F7CB5">
            <w:pPr>
              <w:spacing w:before="120" w:after="120" w:line="240" w:lineRule="auto"/>
              <w:jc w:val="both"/>
              <w:rPr>
                <w:rFonts w:ascii="Times New Roman" w:hAnsi="Times New Roman" w:cs="Times New Roman"/>
              </w:rPr>
            </w:pPr>
          </w:p>
        </w:tc>
        <w:tc>
          <w:tcPr>
            <w:tcW w:w="1900" w:type="dxa"/>
            <w:vMerge/>
            <w:tcBorders>
              <w:top w:val="nil"/>
              <w:left w:val="single" w:sz="4" w:space="0" w:color="auto"/>
              <w:bottom w:val="single" w:sz="4" w:space="0" w:color="auto"/>
              <w:right w:val="single" w:sz="4" w:space="0" w:color="auto"/>
            </w:tcBorders>
            <w:vAlign w:val="center"/>
            <w:hideMark/>
          </w:tcPr>
          <w:p w14:paraId="48D4989E" w14:textId="77777777" w:rsidR="007F7CB5" w:rsidRPr="00A555B6" w:rsidRDefault="007F7CB5" w:rsidP="007F7CB5">
            <w:pPr>
              <w:spacing w:before="120" w:after="120" w:line="240" w:lineRule="auto"/>
              <w:jc w:val="both"/>
              <w:rPr>
                <w:rFonts w:ascii="Times New Roman" w:hAnsi="Times New Roman" w:cs="Times New Roman"/>
              </w:rPr>
            </w:pPr>
          </w:p>
        </w:tc>
        <w:tc>
          <w:tcPr>
            <w:tcW w:w="1672" w:type="dxa"/>
            <w:gridSpan w:val="2"/>
            <w:vMerge/>
            <w:tcBorders>
              <w:top w:val="nil"/>
              <w:left w:val="single" w:sz="4" w:space="0" w:color="auto"/>
              <w:bottom w:val="single" w:sz="4" w:space="0" w:color="auto"/>
              <w:right w:val="single" w:sz="4" w:space="0" w:color="auto"/>
            </w:tcBorders>
            <w:vAlign w:val="center"/>
            <w:hideMark/>
          </w:tcPr>
          <w:p w14:paraId="1EEFB067" w14:textId="77777777" w:rsidR="007F7CB5" w:rsidRPr="00A555B6" w:rsidRDefault="007F7CB5" w:rsidP="007F7CB5">
            <w:pPr>
              <w:spacing w:before="120" w:after="120" w:line="240" w:lineRule="auto"/>
              <w:jc w:val="both"/>
              <w:rPr>
                <w:rFonts w:ascii="Times New Roman" w:hAnsi="Times New Roman" w:cs="Times New Roman"/>
              </w:rPr>
            </w:pPr>
          </w:p>
        </w:tc>
        <w:tc>
          <w:tcPr>
            <w:tcW w:w="1808" w:type="dxa"/>
            <w:vMerge/>
            <w:tcBorders>
              <w:top w:val="nil"/>
              <w:left w:val="single" w:sz="4" w:space="0" w:color="auto"/>
              <w:bottom w:val="single" w:sz="4" w:space="0" w:color="auto"/>
              <w:right w:val="single" w:sz="4" w:space="0" w:color="auto"/>
            </w:tcBorders>
            <w:vAlign w:val="center"/>
            <w:hideMark/>
          </w:tcPr>
          <w:p w14:paraId="6C4F3270" w14:textId="77777777" w:rsidR="007F7CB5" w:rsidRPr="00A555B6" w:rsidRDefault="007F7CB5" w:rsidP="007F7CB5">
            <w:pPr>
              <w:spacing w:before="120" w:after="120" w:line="240" w:lineRule="auto"/>
              <w:jc w:val="both"/>
              <w:rPr>
                <w:rFonts w:ascii="Times New Roman" w:hAnsi="Times New Roman" w:cs="Times New Roman"/>
              </w:rPr>
            </w:pPr>
          </w:p>
        </w:tc>
        <w:tc>
          <w:tcPr>
            <w:tcW w:w="889" w:type="dxa"/>
            <w:vMerge/>
            <w:tcBorders>
              <w:top w:val="nil"/>
              <w:left w:val="single" w:sz="4" w:space="0" w:color="auto"/>
              <w:bottom w:val="single" w:sz="4" w:space="0" w:color="auto"/>
              <w:right w:val="single" w:sz="4" w:space="0" w:color="auto"/>
            </w:tcBorders>
            <w:vAlign w:val="center"/>
            <w:hideMark/>
          </w:tcPr>
          <w:p w14:paraId="354ED66B" w14:textId="77777777" w:rsidR="007F7CB5" w:rsidRPr="00A555B6" w:rsidRDefault="007F7CB5" w:rsidP="007F7CB5">
            <w:pPr>
              <w:spacing w:before="120" w:after="120" w:line="240" w:lineRule="auto"/>
              <w:jc w:val="both"/>
              <w:rPr>
                <w:rFonts w:ascii="Times New Roman" w:hAnsi="Times New Roman" w:cs="Times New Roman"/>
              </w:rPr>
            </w:pPr>
          </w:p>
        </w:tc>
      </w:tr>
      <w:tr w:rsidR="00471C03" w:rsidRPr="00A555B6" w14:paraId="49FD9F22" w14:textId="77777777" w:rsidTr="00471C03">
        <w:tblPrEx>
          <w:tblCellMar>
            <w:top w:w="0" w:type="dxa"/>
          </w:tblCellMar>
        </w:tblPrEx>
        <w:trPr>
          <w:trHeight w:val="402"/>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D474E"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2006</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96576E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140</w:t>
            </w:r>
          </w:p>
        </w:tc>
        <w:tc>
          <w:tcPr>
            <w:tcW w:w="1900" w:type="dxa"/>
            <w:vMerge w:val="restar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hideMark/>
          </w:tcPr>
          <w:p w14:paraId="448EF6E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3BA2A8F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71</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14:paraId="6A38527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28</w:t>
            </w:r>
          </w:p>
        </w:tc>
        <w:tc>
          <w:tcPr>
            <w:tcW w:w="889" w:type="dxa"/>
            <w:tcBorders>
              <w:top w:val="single" w:sz="4" w:space="0" w:color="auto"/>
              <w:left w:val="nil"/>
              <w:bottom w:val="single" w:sz="4" w:space="0" w:color="auto"/>
              <w:right w:val="single" w:sz="4" w:space="0" w:color="auto"/>
            </w:tcBorders>
            <w:shd w:val="clear" w:color="auto" w:fill="auto"/>
            <w:vAlign w:val="center"/>
            <w:hideMark/>
          </w:tcPr>
          <w:p w14:paraId="0DC1419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 </w:t>
            </w:r>
          </w:p>
        </w:tc>
      </w:tr>
      <w:tr w:rsidR="007F7CB5" w:rsidRPr="00A555B6" w14:paraId="471F0784" w14:textId="77777777" w:rsidTr="00471C03">
        <w:tblPrEx>
          <w:tblCellMar>
            <w:top w:w="0" w:type="dxa"/>
          </w:tblCellMar>
        </w:tblPrEx>
        <w:trPr>
          <w:trHeight w:val="402"/>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1CEC96C"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2007</w:t>
            </w:r>
          </w:p>
        </w:tc>
        <w:tc>
          <w:tcPr>
            <w:tcW w:w="1900" w:type="dxa"/>
            <w:gridSpan w:val="2"/>
            <w:tcBorders>
              <w:top w:val="nil"/>
              <w:left w:val="nil"/>
              <w:bottom w:val="single" w:sz="4" w:space="0" w:color="auto"/>
              <w:right w:val="single" w:sz="4" w:space="0" w:color="auto"/>
            </w:tcBorders>
            <w:shd w:val="clear" w:color="auto" w:fill="auto"/>
            <w:vAlign w:val="center"/>
            <w:hideMark/>
          </w:tcPr>
          <w:p w14:paraId="1512078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157</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6FB8ABD3"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1AA4A44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105</w:t>
            </w:r>
          </w:p>
        </w:tc>
        <w:tc>
          <w:tcPr>
            <w:tcW w:w="1840" w:type="dxa"/>
            <w:gridSpan w:val="2"/>
            <w:tcBorders>
              <w:top w:val="nil"/>
              <w:left w:val="nil"/>
              <w:bottom w:val="single" w:sz="4" w:space="0" w:color="auto"/>
              <w:right w:val="single" w:sz="4" w:space="0" w:color="auto"/>
            </w:tcBorders>
            <w:shd w:val="clear" w:color="auto" w:fill="auto"/>
            <w:vAlign w:val="center"/>
            <w:hideMark/>
          </w:tcPr>
          <w:p w14:paraId="3940187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40</w:t>
            </w:r>
          </w:p>
        </w:tc>
        <w:tc>
          <w:tcPr>
            <w:tcW w:w="889" w:type="dxa"/>
            <w:tcBorders>
              <w:top w:val="nil"/>
              <w:left w:val="nil"/>
              <w:bottom w:val="single" w:sz="4" w:space="0" w:color="auto"/>
              <w:right w:val="single" w:sz="4" w:space="0" w:color="auto"/>
            </w:tcBorders>
            <w:shd w:val="clear" w:color="auto" w:fill="auto"/>
            <w:vAlign w:val="center"/>
            <w:hideMark/>
          </w:tcPr>
          <w:p w14:paraId="6AF7FFD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 </w:t>
            </w:r>
          </w:p>
        </w:tc>
      </w:tr>
      <w:tr w:rsidR="007F7CB5" w:rsidRPr="00A555B6" w14:paraId="7CDAD4AB" w14:textId="77777777" w:rsidTr="00471C03">
        <w:tblPrEx>
          <w:tblCellMar>
            <w:top w:w="0" w:type="dxa"/>
          </w:tblCellMar>
        </w:tblPrEx>
        <w:trPr>
          <w:trHeight w:val="402"/>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702B26"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2008</w:t>
            </w:r>
          </w:p>
        </w:tc>
        <w:tc>
          <w:tcPr>
            <w:tcW w:w="1900" w:type="dxa"/>
            <w:gridSpan w:val="2"/>
            <w:tcBorders>
              <w:top w:val="nil"/>
              <w:left w:val="nil"/>
              <w:bottom w:val="single" w:sz="4" w:space="0" w:color="auto"/>
              <w:right w:val="single" w:sz="4" w:space="0" w:color="auto"/>
            </w:tcBorders>
            <w:shd w:val="clear" w:color="auto" w:fill="auto"/>
            <w:vAlign w:val="center"/>
            <w:hideMark/>
          </w:tcPr>
          <w:p w14:paraId="4633FC4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133</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53617DAA"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5E1ECF1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54</w:t>
            </w:r>
          </w:p>
        </w:tc>
        <w:tc>
          <w:tcPr>
            <w:tcW w:w="1840" w:type="dxa"/>
            <w:gridSpan w:val="2"/>
            <w:tcBorders>
              <w:top w:val="nil"/>
              <w:left w:val="nil"/>
              <w:bottom w:val="single" w:sz="4" w:space="0" w:color="auto"/>
              <w:right w:val="single" w:sz="4" w:space="0" w:color="auto"/>
            </w:tcBorders>
            <w:shd w:val="clear" w:color="auto" w:fill="auto"/>
            <w:vAlign w:val="center"/>
            <w:hideMark/>
          </w:tcPr>
          <w:p w14:paraId="5EFC0B4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36</w:t>
            </w:r>
          </w:p>
        </w:tc>
        <w:tc>
          <w:tcPr>
            <w:tcW w:w="889" w:type="dxa"/>
            <w:tcBorders>
              <w:top w:val="nil"/>
              <w:left w:val="nil"/>
              <w:bottom w:val="single" w:sz="4" w:space="0" w:color="auto"/>
              <w:right w:val="single" w:sz="4" w:space="0" w:color="auto"/>
            </w:tcBorders>
            <w:shd w:val="clear" w:color="auto" w:fill="auto"/>
            <w:vAlign w:val="center"/>
            <w:hideMark/>
          </w:tcPr>
          <w:p w14:paraId="064AC10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 </w:t>
            </w:r>
          </w:p>
        </w:tc>
      </w:tr>
      <w:tr w:rsidR="007F7CB5" w:rsidRPr="00A555B6" w14:paraId="59A6D862" w14:textId="77777777" w:rsidTr="00471C03">
        <w:tblPrEx>
          <w:tblCellMar>
            <w:top w:w="0" w:type="dxa"/>
          </w:tblCellMar>
        </w:tblPrEx>
        <w:trPr>
          <w:trHeight w:val="402"/>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1DA2BF"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2009</w:t>
            </w:r>
          </w:p>
        </w:tc>
        <w:tc>
          <w:tcPr>
            <w:tcW w:w="1900" w:type="dxa"/>
            <w:gridSpan w:val="2"/>
            <w:tcBorders>
              <w:top w:val="nil"/>
              <w:left w:val="nil"/>
              <w:bottom w:val="single" w:sz="4" w:space="0" w:color="auto"/>
              <w:right w:val="single" w:sz="4" w:space="0" w:color="auto"/>
            </w:tcBorders>
            <w:shd w:val="clear" w:color="auto" w:fill="auto"/>
            <w:vAlign w:val="center"/>
            <w:hideMark/>
          </w:tcPr>
          <w:p w14:paraId="75F978B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399</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7E97E927"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24D868B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143</w:t>
            </w:r>
          </w:p>
        </w:tc>
        <w:tc>
          <w:tcPr>
            <w:tcW w:w="1840" w:type="dxa"/>
            <w:gridSpan w:val="2"/>
            <w:tcBorders>
              <w:top w:val="nil"/>
              <w:left w:val="nil"/>
              <w:bottom w:val="single" w:sz="4" w:space="0" w:color="auto"/>
              <w:right w:val="single" w:sz="4" w:space="0" w:color="auto"/>
            </w:tcBorders>
            <w:shd w:val="clear" w:color="auto" w:fill="auto"/>
            <w:vAlign w:val="center"/>
            <w:hideMark/>
          </w:tcPr>
          <w:p w14:paraId="1D351AF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69</w:t>
            </w:r>
          </w:p>
        </w:tc>
        <w:tc>
          <w:tcPr>
            <w:tcW w:w="889" w:type="dxa"/>
            <w:tcBorders>
              <w:top w:val="nil"/>
              <w:left w:val="nil"/>
              <w:bottom w:val="single" w:sz="4" w:space="0" w:color="auto"/>
              <w:right w:val="single" w:sz="4" w:space="0" w:color="auto"/>
            </w:tcBorders>
            <w:shd w:val="clear" w:color="auto" w:fill="auto"/>
            <w:vAlign w:val="center"/>
            <w:hideMark/>
          </w:tcPr>
          <w:p w14:paraId="1957D58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 xml:space="preserve"> - </w:t>
            </w:r>
          </w:p>
        </w:tc>
      </w:tr>
      <w:tr w:rsidR="007F7CB5" w:rsidRPr="00A555B6" w14:paraId="38F891F4" w14:textId="77777777" w:rsidTr="00471C03">
        <w:tblPrEx>
          <w:tblCellMar>
            <w:top w:w="0" w:type="dxa"/>
          </w:tblCellMar>
        </w:tblPrEx>
        <w:trPr>
          <w:trHeight w:val="402"/>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C8009D"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2010</w:t>
            </w:r>
          </w:p>
        </w:tc>
        <w:tc>
          <w:tcPr>
            <w:tcW w:w="1900" w:type="dxa"/>
            <w:gridSpan w:val="2"/>
            <w:tcBorders>
              <w:top w:val="nil"/>
              <w:left w:val="nil"/>
              <w:bottom w:val="single" w:sz="4" w:space="0" w:color="auto"/>
              <w:right w:val="single" w:sz="4" w:space="0" w:color="auto"/>
            </w:tcBorders>
            <w:shd w:val="clear" w:color="auto" w:fill="auto"/>
            <w:vAlign w:val="center"/>
            <w:hideMark/>
          </w:tcPr>
          <w:p w14:paraId="43CC7F2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656</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17368EE0"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2313F87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274</w:t>
            </w:r>
          </w:p>
        </w:tc>
        <w:tc>
          <w:tcPr>
            <w:tcW w:w="1840" w:type="dxa"/>
            <w:gridSpan w:val="2"/>
            <w:tcBorders>
              <w:top w:val="nil"/>
              <w:left w:val="nil"/>
              <w:bottom w:val="single" w:sz="4" w:space="0" w:color="auto"/>
              <w:right w:val="single" w:sz="4" w:space="0" w:color="auto"/>
            </w:tcBorders>
            <w:shd w:val="clear" w:color="auto" w:fill="auto"/>
            <w:vAlign w:val="center"/>
            <w:hideMark/>
          </w:tcPr>
          <w:p w14:paraId="502F1BC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142</w:t>
            </w:r>
          </w:p>
        </w:tc>
        <w:tc>
          <w:tcPr>
            <w:tcW w:w="889" w:type="dxa"/>
            <w:tcBorders>
              <w:top w:val="nil"/>
              <w:left w:val="nil"/>
              <w:bottom w:val="single" w:sz="4" w:space="0" w:color="auto"/>
              <w:right w:val="single" w:sz="4" w:space="0" w:color="auto"/>
            </w:tcBorders>
            <w:shd w:val="clear" w:color="auto" w:fill="auto"/>
            <w:vAlign w:val="center"/>
            <w:hideMark/>
          </w:tcPr>
          <w:p w14:paraId="3A49B6D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17</w:t>
            </w:r>
          </w:p>
        </w:tc>
      </w:tr>
      <w:tr w:rsidR="007F7CB5" w:rsidRPr="00A555B6" w14:paraId="5C2F68AE"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303FF6E"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2011</w:t>
            </w:r>
          </w:p>
        </w:tc>
        <w:tc>
          <w:tcPr>
            <w:tcW w:w="1900" w:type="dxa"/>
            <w:gridSpan w:val="2"/>
            <w:tcBorders>
              <w:top w:val="nil"/>
              <w:left w:val="nil"/>
              <w:bottom w:val="single" w:sz="4" w:space="0" w:color="auto"/>
              <w:right w:val="single" w:sz="4" w:space="0" w:color="auto"/>
            </w:tcBorders>
            <w:shd w:val="clear" w:color="auto" w:fill="auto"/>
            <w:vAlign w:val="center"/>
            <w:hideMark/>
          </w:tcPr>
          <w:p w14:paraId="3B6AE4D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1 053</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0EDB048C"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034A37E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411</w:t>
            </w:r>
          </w:p>
        </w:tc>
        <w:tc>
          <w:tcPr>
            <w:tcW w:w="1840" w:type="dxa"/>
            <w:gridSpan w:val="2"/>
            <w:tcBorders>
              <w:top w:val="nil"/>
              <w:left w:val="nil"/>
              <w:bottom w:val="single" w:sz="4" w:space="0" w:color="auto"/>
              <w:right w:val="single" w:sz="4" w:space="0" w:color="auto"/>
            </w:tcBorders>
            <w:shd w:val="clear" w:color="auto" w:fill="auto"/>
            <w:vAlign w:val="center"/>
            <w:hideMark/>
          </w:tcPr>
          <w:p w14:paraId="514FE9A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182</w:t>
            </w:r>
          </w:p>
        </w:tc>
        <w:tc>
          <w:tcPr>
            <w:tcW w:w="889" w:type="dxa"/>
            <w:tcBorders>
              <w:top w:val="nil"/>
              <w:left w:val="nil"/>
              <w:bottom w:val="single" w:sz="4" w:space="0" w:color="auto"/>
              <w:right w:val="single" w:sz="4" w:space="0" w:color="auto"/>
            </w:tcBorders>
            <w:shd w:val="clear" w:color="auto" w:fill="auto"/>
            <w:vAlign w:val="center"/>
            <w:hideMark/>
          </w:tcPr>
          <w:p w14:paraId="01C420E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w:t>
            </w:r>
          </w:p>
        </w:tc>
      </w:tr>
      <w:tr w:rsidR="007F7CB5" w:rsidRPr="00A555B6" w14:paraId="61E5BF8C"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1CFB37B"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2012</w:t>
            </w:r>
          </w:p>
        </w:tc>
        <w:tc>
          <w:tcPr>
            <w:tcW w:w="1900" w:type="dxa"/>
            <w:gridSpan w:val="2"/>
            <w:tcBorders>
              <w:top w:val="nil"/>
              <w:left w:val="nil"/>
              <w:bottom w:val="single" w:sz="4" w:space="0" w:color="auto"/>
              <w:right w:val="single" w:sz="4" w:space="0" w:color="auto"/>
            </w:tcBorders>
            <w:shd w:val="clear" w:color="auto" w:fill="auto"/>
            <w:vAlign w:val="center"/>
            <w:hideMark/>
          </w:tcPr>
          <w:p w14:paraId="38253F1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1 637</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07F315AD"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1393550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590</w:t>
            </w:r>
          </w:p>
        </w:tc>
        <w:tc>
          <w:tcPr>
            <w:tcW w:w="1840" w:type="dxa"/>
            <w:gridSpan w:val="2"/>
            <w:tcBorders>
              <w:top w:val="nil"/>
              <w:left w:val="nil"/>
              <w:bottom w:val="single" w:sz="4" w:space="0" w:color="auto"/>
              <w:right w:val="single" w:sz="4" w:space="0" w:color="auto"/>
            </w:tcBorders>
            <w:shd w:val="clear" w:color="auto" w:fill="auto"/>
            <w:vAlign w:val="center"/>
            <w:hideMark/>
          </w:tcPr>
          <w:p w14:paraId="1631DCD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293</w:t>
            </w:r>
          </w:p>
        </w:tc>
        <w:tc>
          <w:tcPr>
            <w:tcW w:w="889" w:type="dxa"/>
            <w:tcBorders>
              <w:top w:val="nil"/>
              <w:left w:val="nil"/>
              <w:bottom w:val="single" w:sz="4" w:space="0" w:color="auto"/>
              <w:right w:val="single" w:sz="4" w:space="0" w:color="auto"/>
            </w:tcBorders>
            <w:shd w:val="clear" w:color="auto" w:fill="auto"/>
            <w:vAlign w:val="center"/>
            <w:hideMark/>
          </w:tcPr>
          <w:p w14:paraId="11F0E74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37</w:t>
            </w:r>
          </w:p>
        </w:tc>
      </w:tr>
      <w:tr w:rsidR="007F7CB5" w:rsidRPr="00A555B6" w14:paraId="0F190F3D"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F24A81"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2013</w:t>
            </w:r>
          </w:p>
        </w:tc>
        <w:tc>
          <w:tcPr>
            <w:tcW w:w="1900" w:type="dxa"/>
            <w:gridSpan w:val="2"/>
            <w:tcBorders>
              <w:top w:val="nil"/>
              <w:left w:val="nil"/>
              <w:bottom w:val="single" w:sz="4" w:space="0" w:color="auto"/>
              <w:right w:val="single" w:sz="4" w:space="0" w:color="auto"/>
            </w:tcBorders>
            <w:shd w:val="clear" w:color="auto" w:fill="auto"/>
            <w:vAlign w:val="center"/>
            <w:hideMark/>
          </w:tcPr>
          <w:p w14:paraId="7B211F3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1 656</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40B841F9"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77C7CCF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492</w:t>
            </w:r>
          </w:p>
        </w:tc>
        <w:tc>
          <w:tcPr>
            <w:tcW w:w="1840" w:type="dxa"/>
            <w:gridSpan w:val="2"/>
            <w:tcBorders>
              <w:top w:val="nil"/>
              <w:left w:val="nil"/>
              <w:bottom w:val="single" w:sz="4" w:space="0" w:color="auto"/>
              <w:right w:val="single" w:sz="4" w:space="0" w:color="auto"/>
            </w:tcBorders>
            <w:shd w:val="clear" w:color="auto" w:fill="auto"/>
            <w:vAlign w:val="center"/>
            <w:hideMark/>
          </w:tcPr>
          <w:p w14:paraId="470FF67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340</w:t>
            </w:r>
          </w:p>
        </w:tc>
        <w:tc>
          <w:tcPr>
            <w:tcW w:w="889" w:type="dxa"/>
            <w:tcBorders>
              <w:top w:val="nil"/>
              <w:left w:val="nil"/>
              <w:bottom w:val="single" w:sz="4" w:space="0" w:color="auto"/>
              <w:right w:val="single" w:sz="4" w:space="0" w:color="auto"/>
            </w:tcBorders>
            <w:shd w:val="clear" w:color="auto" w:fill="auto"/>
            <w:vAlign w:val="center"/>
            <w:hideMark/>
          </w:tcPr>
          <w:p w14:paraId="4A6E936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40</w:t>
            </w:r>
          </w:p>
        </w:tc>
      </w:tr>
      <w:tr w:rsidR="007F7CB5" w:rsidRPr="00A555B6" w14:paraId="1CDC44F2"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6A5B92"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2014</w:t>
            </w:r>
          </w:p>
        </w:tc>
        <w:tc>
          <w:tcPr>
            <w:tcW w:w="1900" w:type="dxa"/>
            <w:gridSpan w:val="2"/>
            <w:tcBorders>
              <w:top w:val="nil"/>
              <w:left w:val="nil"/>
              <w:bottom w:val="single" w:sz="4" w:space="0" w:color="auto"/>
              <w:right w:val="single" w:sz="4" w:space="0" w:color="auto"/>
            </w:tcBorders>
            <w:shd w:val="clear" w:color="auto" w:fill="auto"/>
            <w:vAlign w:val="center"/>
            <w:hideMark/>
          </w:tcPr>
          <w:p w14:paraId="3E47C3A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1 834</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6229F924"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7F47D69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586</w:t>
            </w:r>
          </w:p>
        </w:tc>
        <w:tc>
          <w:tcPr>
            <w:tcW w:w="1840" w:type="dxa"/>
            <w:gridSpan w:val="2"/>
            <w:tcBorders>
              <w:top w:val="nil"/>
              <w:left w:val="nil"/>
              <w:bottom w:val="single" w:sz="4" w:space="0" w:color="auto"/>
              <w:right w:val="single" w:sz="4" w:space="0" w:color="auto"/>
            </w:tcBorders>
            <w:shd w:val="clear" w:color="auto" w:fill="auto"/>
            <w:vAlign w:val="center"/>
            <w:hideMark/>
          </w:tcPr>
          <w:p w14:paraId="0200F42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296</w:t>
            </w:r>
          </w:p>
        </w:tc>
        <w:tc>
          <w:tcPr>
            <w:tcW w:w="889" w:type="dxa"/>
            <w:tcBorders>
              <w:top w:val="nil"/>
              <w:left w:val="nil"/>
              <w:bottom w:val="single" w:sz="4" w:space="0" w:color="auto"/>
              <w:right w:val="single" w:sz="4" w:space="0" w:color="auto"/>
            </w:tcBorders>
            <w:shd w:val="clear" w:color="auto" w:fill="auto"/>
            <w:vAlign w:val="center"/>
            <w:hideMark/>
          </w:tcPr>
          <w:p w14:paraId="79A3D2D6"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8</w:t>
            </w:r>
          </w:p>
        </w:tc>
      </w:tr>
      <w:tr w:rsidR="007F7CB5" w:rsidRPr="00A555B6" w14:paraId="048E3671"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94DC35E"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2015</w:t>
            </w:r>
          </w:p>
        </w:tc>
        <w:tc>
          <w:tcPr>
            <w:tcW w:w="1900" w:type="dxa"/>
            <w:gridSpan w:val="2"/>
            <w:tcBorders>
              <w:top w:val="nil"/>
              <w:left w:val="nil"/>
              <w:bottom w:val="single" w:sz="4" w:space="0" w:color="auto"/>
              <w:right w:val="single" w:sz="4" w:space="0" w:color="auto"/>
            </w:tcBorders>
            <w:shd w:val="clear" w:color="auto" w:fill="auto"/>
            <w:vAlign w:val="center"/>
            <w:hideMark/>
          </w:tcPr>
          <w:p w14:paraId="474CC39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4 138</w:t>
            </w: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66F94F66" w14:textId="77777777" w:rsidR="007F7CB5" w:rsidRPr="00A555B6" w:rsidRDefault="007F7CB5" w:rsidP="007F7CB5">
            <w:pPr>
              <w:spacing w:before="120" w:after="120" w:line="240" w:lineRule="auto"/>
              <w:jc w:val="both"/>
              <w:rPr>
                <w:rFonts w:ascii="Times New Roman" w:hAnsi="Times New Roman" w:cs="Times New Roman"/>
              </w:rPr>
            </w:pPr>
          </w:p>
        </w:tc>
        <w:tc>
          <w:tcPr>
            <w:tcW w:w="1640" w:type="dxa"/>
            <w:tcBorders>
              <w:top w:val="nil"/>
              <w:left w:val="nil"/>
              <w:bottom w:val="single" w:sz="4" w:space="0" w:color="auto"/>
              <w:right w:val="single" w:sz="4" w:space="0" w:color="auto"/>
            </w:tcBorders>
            <w:shd w:val="clear" w:color="auto" w:fill="auto"/>
            <w:vAlign w:val="center"/>
            <w:hideMark/>
          </w:tcPr>
          <w:p w14:paraId="0567F57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1 105</w:t>
            </w:r>
          </w:p>
        </w:tc>
        <w:tc>
          <w:tcPr>
            <w:tcW w:w="1840" w:type="dxa"/>
            <w:gridSpan w:val="2"/>
            <w:tcBorders>
              <w:top w:val="nil"/>
              <w:left w:val="nil"/>
              <w:bottom w:val="single" w:sz="4" w:space="0" w:color="auto"/>
              <w:right w:val="single" w:sz="4" w:space="0" w:color="auto"/>
            </w:tcBorders>
            <w:shd w:val="clear" w:color="auto" w:fill="auto"/>
            <w:vAlign w:val="center"/>
            <w:hideMark/>
          </w:tcPr>
          <w:p w14:paraId="003FAD6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338</w:t>
            </w:r>
          </w:p>
        </w:tc>
        <w:tc>
          <w:tcPr>
            <w:tcW w:w="889" w:type="dxa"/>
            <w:tcBorders>
              <w:top w:val="nil"/>
              <w:left w:val="nil"/>
              <w:bottom w:val="single" w:sz="4" w:space="0" w:color="auto"/>
              <w:right w:val="single" w:sz="4" w:space="0" w:color="auto"/>
            </w:tcBorders>
            <w:shd w:val="clear" w:color="auto" w:fill="auto"/>
            <w:vAlign w:val="center"/>
            <w:hideMark/>
          </w:tcPr>
          <w:p w14:paraId="25ECB2A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15</w:t>
            </w:r>
          </w:p>
        </w:tc>
      </w:tr>
      <w:tr w:rsidR="007F7CB5" w:rsidRPr="00A555B6" w14:paraId="1E3BE202"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CB4E63"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2016</w:t>
            </w:r>
          </w:p>
        </w:tc>
        <w:tc>
          <w:tcPr>
            <w:tcW w:w="1900" w:type="dxa"/>
            <w:gridSpan w:val="2"/>
            <w:tcBorders>
              <w:top w:val="nil"/>
              <w:left w:val="nil"/>
              <w:bottom w:val="single" w:sz="4" w:space="0" w:color="auto"/>
              <w:right w:val="single" w:sz="4" w:space="0" w:color="auto"/>
            </w:tcBorders>
            <w:shd w:val="clear" w:color="auto" w:fill="auto"/>
            <w:vAlign w:val="center"/>
            <w:hideMark/>
          </w:tcPr>
          <w:p w14:paraId="388B14C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4 210</w:t>
            </w:r>
          </w:p>
        </w:tc>
        <w:tc>
          <w:tcPr>
            <w:tcW w:w="1900" w:type="dxa"/>
            <w:tcBorders>
              <w:top w:val="nil"/>
              <w:left w:val="nil"/>
              <w:bottom w:val="single" w:sz="4" w:space="0" w:color="auto"/>
              <w:right w:val="single" w:sz="4" w:space="0" w:color="auto"/>
            </w:tcBorders>
            <w:shd w:val="clear" w:color="auto" w:fill="auto"/>
            <w:vAlign w:val="center"/>
            <w:hideMark/>
          </w:tcPr>
          <w:p w14:paraId="4AA967A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4 265</w:t>
            </w:r>
          </w:p>
        </w:tc>
        <w:tc>
          <w:tcPr>
            <w:tcW w:w="1640" w:type="dxa"/>
            <w:tcBorders>
              <w:top w:val="nil"/>
              <w:left w:val="nil"/>
              <w:bottom w:val="single" w:sz="4" w:space="0" w:color="auto"/>
              <w:right w:val="single" w:sz="4" w:space="0" w:color="auto"/>
            </w:tcBorders>
            <w:shd w:val="clear" w:color="auto" w:fill="auto"/>
            <w:vAlign w:val="center"/>
            <w:hideMark/>
          </w:tcPr>
          <w:p w14:paraId="5FF9EBB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1 010</w:t>
            </w:r>
          </w:p>
        </w:tc>
        <w:tc>
          <w:tcPr>
            <w:tcW w:w="1840" w:type="dxa"/>
            <w:gridSpan w:val="2"/>
            <w:tcBorders>
              <w:top w:val="nil"/>
              <w:left w:val="nil"/>
              <w:bottom w:val="single" w:sz="4" w:space="0" w:color="auto"/>
              <w:right w:val="single" w:sz="4" w:space="0" w:color="auto"/>
            </w:tcBorders>
            <w:shd w:val="clear" w:color="auto" w:fill="auto"/>
            <w:vAlign w:val="center"/>
            <w:hideMark/>
          </w:tcPr>
          <w:p w14:paraId="11D5F12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452</w:t>
            </w:r>
          </w:p>
        </w:tc>
        <w:tc>
          <w:tcPr>
            <w:tcW w:w="889" w:type="dxa"/>
            <w:tcBorders>
              <w:top w:val="nil"/>
              <w:left w:val="nil"/>
              <w:bottom w:val="single" w:sz="4" w:space="0" w:color="auto"/>
              <w:right w:val="single" w:sz="4" w:space="0" w:color="auto"/>
            </w:tcBorders>
            <w:shd w:val="clear" w:color="auto" w:fill="auto"/>
            <w:vAlign w:val="center"/>
            <w:hideMark/>
          </w:tcPr>
          <w:p w14:paraId="57922FA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65</w:t>
            </w:r>
          </w:p>
        </w:tc>
      </w:tr>
      <w:tr w:rsidR="007F7CB5" w:rsidRPr="00A555B6" w14:paraId="641EA382"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5A1840"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2017</w:t>
            </w:r>
          </w:p>
        </w:tc>
        <w:tc>
          <w:tcPr>
            <w:tcW w:w="1900" w:type="dxa"/>
            <w:gridSpan w:val="2"/>
            <w:tcBorders>
              <w:top w:val="nil"/>
              <w:left w:val="nil"/>
              <w:bottom w:val="single" w:sz="4" w:space="0" w:color="auto"/>
              <w:right w:val="single" w:sz="4" w:space="0" w:color="auto"/>
            </w:tcBorders>
            <w:shd w:val="clear" w:color="auto" w:fill="auto"/>
            <w:vAlign w:val="center"/>
            <w:hideMark/>
          </w:tcPr>
          <w:p w14:paraId="6D6151E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3 542</w:t>
            </w:r>
          </w:p>
        </w:tc>
        <w:tc>
          <w:tcPr>
            <w:tcW w:w="1900" w:type="dxa"/>
            <w:tcBorders>
              <w:top w:val="nil"/>
              <w:left w:val="nil"/>
              <w:bottom w:val="single" w:sz="4" w:space="0" w:color="auto"/>
              <w:right w:val="single" w:sz="4" w:space="0" w:color="auto"/>
            </w:tcBorders>
            <w:shd w:val="clear" w:color="auto" w:fill="auto"/>
            <w:vAlign w:val="center"/>
            <w:hideMark/>
          </w:tcPr>
          <w:p w14:paraId="4990C28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3 567</w:t>
            </w:r>
          </w:p>
        </w:tc>
        <w:tc>
          <w:tcPr>
            <w:tcW w:w="1640" w:type="dxa"/>
            <w:tcBorders>
              <w:top w:val="nil"/>
              <w:left w:val="nil"/>
              <w:bottom w:val="single" w:sz="4" w:space="0" w:color="auto"/>
              <w:right w:val="single" w:sz="4" w:space="0" w:color="auto"/>
            </w:tcBorders>
            <w:shd w:val="clear" w:color="auto" w:fill="auto"/>
            <w:vAlign w:val="center"/>
            <w:hideMark/>
          </w:tcPr>
          <w:p w14:paraId="5184396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968</w:t>
            </w:r>
          </w:p>
        </w:tc>
        <w:tc>
          <w:tcPr>
            <w:tcW w:w="1840" w:type="dxa"/>
            <w:gridSpan w:val="2"/>
            <w:tcBorders>
              <w:top w:val="nil"/>
              <w:left w:val="nil"/>
              <w:bottom w:val="single" w:sz="4" w:space="0" w:color="auto"/>
              <w:right w:val="single" w:sz="4" w:space="0" w:color="auto"/>
            </w:tcBorders>
            <w:shd w:val="clear" w:color="auto" w:fill="auto"/>
            <w:vAlign w:val="center"/>
            <w:hideMark/>
          </w:tcPr>
          <w:p w14:paraId="589B9F6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530</w:t>
            </w:r>
          </w:p>
        </w:tc>
        <w:tc>
          <w:tcPr>
            <w:tcW w:w="889" w:type="dxa"/>
            <w:tcBorders>
              <w:top w:val="nil"/>
              <w:left w:val="nil"/>
              <w:bottom w:val="single" w:sz="4" w:space="0" w:color="auto"/>
              <w:right w:val="single" w:sz="4" w:space="0" w:color="auto"/>
            </w:tcBorders>
            <w:shd w:val="clear" w:color="auto" w:fill="auto"/>
            <w:vAlign w:val="center"/>
            <w:hideMark/>
          </w:tcPr>
          <w:p w14:paraId="6540057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9</w:t>
            </w:r>
          </w:p>
        </w:tc>
      </w:tr>
      <w:tr w:rsidR="007F7CB5" w:rsidRPr="00A555B6" w14:paraId="14ECBD83"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73A70B"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2018</w:t>
            </w:r>
          </w:p>
        </w:tc>
        <w:tc>
          <w:tcPr>
            <w:tcW w:w="1900" w:type="dxa"/>
            <w:gridSpan w:val="2"/>
            <w:tcBorders>
              <w:top w:val="nil"/>
              <w:left w:val="nil"/>
              <w:bottom w:val="single" w:sz="4" w:space="0" w:color="auto"/>
              <w:right w:val="single" w:sz="4" w:space="0" w:color="auto"/>
            </w:tcBorders>
            <w:shd w:val="clear" w:color="auto" w:fill="auto"/>
            <w:vAlign w:val="center"/>
            <w:hideMark/>
          </w:tcPr>
          <w:p w14:paraId="1DDC0B4B"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2 794</w:t>
            </w:r>
          </w:p>
        </w:tc>
        <w:tc>
          <w:tcPr>
            <w:tcW w:w="1900" w:type="dxa"/>
            <w:tcBorders>
              <w:top w:val="nil"/>
              <w:left w:val="nil"/>
              <w:bottom w:val="single" w:sz="4" w:space="0" w:color="auto"/>
              <w:right w:val="single" w:sz="4" w:space="0" w:color="auto"/>
            </w:tcBorders>
            <w:shd w:val="clear" w:color="auto" w:fill="auto"/>
            <w:vAlign w:val="center"/>
            <w:hideMark/>
          </w:tcPr>
          <w:p w14:paraId="1DA9FBD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2 799</w:t>
            </w:r>
          </w:p>
        </w:tc>
        <w:tc>
          <w:tcPr>
            <w:tcW w:w="1640" w:type="dxa"/>
            <w:tcBorders>
              <w:top w:val="nil"/>
              <w:left w:val="nil"/>
              <w:bottom w:val="single" w:sz="4" w:space="0" w:color="auto"/>
              <w:right w:val="single" w:sz="4" w:space="0" w:color="auto"/>
            </w:tcBorders>
            <w:shd w:val="clear" w:color="auto" w:fill="auto"/>
            <w:vAlign w:val="center"/>
            <w:hideMark/>
          </w:tcPr>
          <w:p w14:paraId="1D3008E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1 798</w:t>
            </w:r>
          </w:p>
        </w:tc>
        <w:tc>
          <w:tcPr>
            <w:tcW w:w="1840" w:type="dxa"/>
            <w:gridSpan w:val="2"/>
            <w:tcBorders>
              <w:top w:val="nil"/>
              <w:left w:val="nil"/>
              <w:bottom w:val="single" w:sz="4" w:space="0" w:color="auto"/>
              <w:right w:val="single" w:sz="4" w:space="0" w:color="auto"/>
            </w:tcBorders>
            <w:shd w:val="clear" w:color="auto" w:fill="auto"/>
            <w:vAlign w:val="center"/>
            <w:hideMark/>
          </w:tcPr>
          <w:p w14:paraId="56D35C6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451</w:t>
            </w:r>
          </w:p>
        </w:tc>
        <w:tc>
          <w:tcPr>
            <w:tcW w:w="889" w:type="dxa"/>
            <w:tcBorders>
              <w:top w:val="nil"/>
              <w:left w:val="nil"/>
              <w:bottom w:val="single" w:sz="4" w:space="0" w:color="auto"/>
              <w:right w:val="single" w:sz="4" w:space="0" w:color="auto"/>
            </w:tcBorders>
            <w:shd w:val="clear" w:color="auto" w:fill="auto"/>
            <w:vAlign w:val="center"/>
            <w:hideMark/>
          </w:tcPr>
          <w:p w14:paraId="058D331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w:t>
            </w:r>
          </w:p>
        </w:tc>
      </w:tr>
      <w:tr w:rsidR="007F7CB5" w:rsidRPr="00A555B6" w14:paraId="764A39E4" w14:textId="77777777" w:rsidTr="00471C03">
        <w:tblPrEx>
          <w:tblCellMar>
            <w:top w:w="0" w:type="dxa"/>
          </w:tblCellMar>
        </w:tblPrEx>
        <w:trPr>
          <w:trHeight w:val="39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92F161E"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2019</w:t>
            </w:r>
          </w:p>
        </w:tc>
        <w:tc>
          <w:tcPr>
            <w:tcW w:w="1900" w:type="dxa"/>
            <w:gridSpan w:val="2"/>
            <w:tcBorders>
              <w:top w:val="nil"/>
              <w:left w:val="nil"/>
              <w:bottom w:val="single" w:sz="4" w:space="0" w:color="auto"/>
              <w:right w:val="single" w:sz="4" w:space="0" w:color="auto"/>
            </w:tcBorders>
            <w:shd w:val="clear" w:color="auto" w:fill="auto"/>
            <w:vAlign w:val="center"/>
            <w:hideMark/>
          </w:tcPr>
          <w:p w14:paraId="7E705A5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3 442</w:t>
            </w:r>
          </w:p>
        </w:tc>
        <w:tc>
          <w:tcPr>
            <w:tcW w:w="1900" w:type="dxa"/>
            <w:tcBorders>
              <w:top w:val="nil"/>
              <w:left w:val="nil"/>
              <w:bottom w:val="single" w:sz="4" w:space="0" w:color="auto"/>
              <w:right w:val="single" w:sz="4" w:space="0" w:color="auto"/>
            </w:tcBorders>
            <w:shd w:val="clear" w:color="auto" w:fill="auto"/>
            <w:vAlign w:val="center"/>
            <w:hideMark/>
          </w:tcPr>
          <w:p w14:paraId="37465C2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3 499</w:t>
            </w:r>
          </w:p>
        </w:tc>
        <w:tc>
          <w:tcPr>
            <w:tcW w:w="1640" w:type="dxa"/>
            <w:tcBorders>
              <w:top w:val="nil"/>
              <w:left w:val="nil"/>
              <w:bottom w:val="single" w:sz="4" w:space="0" w:color="auto"/>
              <w:right w:val="single" w:sz="4" w:space="0" w:color="auto"/>
            </w:tcBorders>
            <w:shd w:val="clear" w:color="auto" w:fill="auto"/>
            <w:vAlign w:val="center"/>
            <w:hideMark/>
          </w:tcPr>
          <w:p w14:paraId="21490B2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2 134</w:t>
            </w:r>
          </w:p>
        </w:tc>
        <w:tc>
          <w:tcPr>
            <w:tcW w:w="1840" w:type="dxa"/>
            <w:gridSpan w:val="2"/>
            <w:tcBorders>
              <w:top w:val="nil"/>
              <w:left w:val="nil"/>
              <w:bottom w:val="single" w:sz="4" w:space="0" w:color="auto"/>
              <w:right w:val="single" w:sz="4" w:space="0" w:color="auto"/>
            </w:tcBorders>
            <w:shd w:val="clear" w:color="auto" w:fill="auto"/>
            <w:vAlign w:val="center"/>
            <w:hideMark/>
          </w:tcPr>
          <w:p w14:paraId="0A3E5EC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589</w:t>
            </w:r>
          </w:p>
        </w:tc>
        <w:tc>
          <w:tcPr>
            <w:tcW w:w="889" w:type="dxa"/>
            <w:tcBorders>
              <w:top w:val="nil"/>
              <w:left w:val="nil"/>
              <w:bottom w:val="single" w:sz="4" w:space="0" w:color="auto"/>
              <w:right w:val="single" w:sz="4" w:space="0" w:color="auto"/>
            </w:tcBorders>
            <w:shd w:val="clear" w:color="auto" w:fill="auto"/>
            <w:vAlign w:val="center"/>
            <w:hideMark/>
          </w:tcPr>
          <w:p w14:paraId="15C65F7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1</w:t>
            </w:r>
          </w:p>
        </w:tc>
      </w:tr>
      <w:tr w:rsidR="007F7CB5" w:rsidRPr="00A555B6" w14:paraId="3A647809" w14:textId="77777777" w:rsidTr="00471C03">
        <w:tblPrEx>
          <w:tblCellMar>
            <w:top w:w="0" w:type="dxa"/>
          </w:tblCellMar>
        </w:tblPrEx>
        <w:trPr>
          <w:trHeight w:val="390"/>
        </w:trPr>
        <w:tc>
          <w:tcPr>
            <w:tcW w:w="1040" w:type="dxa"/>
            <w:tcBorders>
              <w:top w:val="nil"/>
              <w:left w:val="single" w:sz="4" w:space="0" w:color="auto"/>
              <w:bottom w:val="nil"/>
              <w:right w:val="single" w:sz="4" w:space="0" w:color="auto"/>
            </w:tcBorders>
            <w:shd w:val="clear" w:color="auto" w:fill="auto"/>
            <w:vAlign w:val="center"/>
            <w:hideMark/>
          </w:tcPr>
          <w:p w14:paraId="189BC6DB"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2020</w:t>
            </w:r>
          </w:p>
        </w:tc>
        <w:tc>
          <w:tcPr>
            <w:tcW w:w="1900" w:type="dxa"/>
            <w:gridSpan w:val="2"/>
            <w:tcBorders>
              <w:top w:val="nil"/>
              <w:left w:val="nil"/>
              <w:bottom w:val="nil"/>
              <w:right w:val="single" w:sz="4" w:space="0" w:color="auto"/>
            </w:tcBorders>
            <w:shd w:val="clear" w:color="auto" w:fill="auto"/>
            <w:vAlign w:val="center"/>
            <w:hideMark/>
          </w:tcPr>
          <w:p w14:paraId="2B28901C"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3 950</w:t>
            </w:r>
          </w:p>
        </w:tc>
        <w:tc>
          <w:tcPr>
            <w:tcW w:w="1900" w:type="dxa"/>
            <w:tcBorders>
              <w:top w:val="nil"/>
              <w:left w:val="nil"/>
              <w:bottom w:val="nil"/>
              <w:right w:val="single" w:sz="4" w:space="0" w:color="auto"/>
            </w:tcBorders>
            <w:shd w:val="clear" w:color="auto" w:fill="auto"/>
            <w:vAlign w:val="center"/>
            <w:hideMark/>
          </w:tcPr>
          <w:p w14:paraId="4E2D3FC3"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3 929</w:t>
            </w:r>
          </w:p>
        </w:tc>
        <w:tc>
          <w:tcPr>
            <w:tcW w:w="1640" w:type="dxa"/>
            <w:tcBorders>
              <w:top w:val="nil"/>
              <w:left w:val="nil"/>
              <w:bottom w:val="nil"/>
              <w:right w:val="single" w:sz="4" w:space="0" w:color="auto"/>
            </w:tcBorders>
            <w:shd w:val="clear" w:color="auto" w:fill="auto"/>
            <w:vAlign w:val="center"/>
            <w:hideMark/>
          </w:tcPr>
          <w:p w14:paraId="38F40185"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2 694</w:t>
            </w:r>
          </w:p>
        </w:tc>
        <w:tc>
          <w:tcPr>
            <w:tcW w:w="1840" w:type="dxa"/>
            <w:gridSpan w:val="2"/>
            <w:tcBorders>
              <w:top w:val="nil"/>
              <w:left w:val="nil"/>
              <w:bottom w:val="nil"/>
              <w:right w:val="single" w:sz="4" w:space="0" w:color="auto"/>
            </w:tcBorders>
            <w:shd w:val="clear" w:color="auto" w:fill="auto"/>
            <w:vAlign w:val="center"/>
            <w:hideMark/>
          </w:tcPr>
          <w:p w14:paraId="03EB1174"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751</w:t>
            </w:r>
          </w:p>
        </w:tc>
        <w:tc>
          <w:tcPr>
            <w:tcW w:w="889" w:type="dxa"/>
            <w:tcBorders>
              <w:top w:val="nil"/>
              <w:left w:val="nil"/>
              <w:bottom w:val="nil"/>
              <w:right w:val="single" w:sz="4" w:space="0" w:color="auto"/>
            </w:tcBorders>
            <w:shd w:val="clear" w:color="auto" w:fill="auto"/>
            <w:vAlign w:val="center"/>
            <w:hideMark/>
          </w:tcPr>
          <w:p w14:paraId="6C09433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2</w:t>
            </w:r>
          </w:p>
        </w:tc>
      </w:tr>
      <w:tr w:rsidR="007F7CB5" w:rsidRPr="00A555B6" w14:paraId="3411A87C" w14:textId="77777777" w:rsidTr="00471C03">
        <w:tblPrEx>
          <w:tblCellMar>
            <w:top w:w="0" w:type="dxa"/>
          </w:tblCellMar>
        </w:tblPrEx>
        <w:trPr>
          <w:trHeight w:val="405"/>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DD034"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2021</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9093A0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4 235</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204D26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4 260</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5E0960EF"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3 365</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14:paraId="28D899A7"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946</w:t>
            </w:r>
          </w:p>
        </w:tc>
        <w:tc>
          <w:tcPr>
            <w:tcW w:w="889" w:type="dxa"/>
            <w:tcBorders>
              <w:top w:val="single" w:sz="4" w:space="0" w:color="auto"/>
              <w:left w:val="nil"/>
              <w:bottom w:val="single" w:sz="4" w:space="0" w:color="auto"/>
              <w:right w:val="single" w:sz="4" w:space="0" w:color="auto"/>
            </w:tcBorders>
            <w:shd w:val="clear" w:color="auto" w:fill="auto"/>
            <w:vAlign w:val="center"/>
            <w:hideMark/>
          </w:tcPr>
          <w:p w14:paraId="188B539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w:t>
            </w:r>
          </w:p>
        </w:tc>
      </w:tr>
      <w:tr w:rsidR="007F7CB5" w:rsidRPr="00A555B6" w14:paraId="04B4B8C5" w14:textId="77777777" w:rsidTr="00471C03">
        <w:tblPrEx>
          <w:tblCellMar>
            <w:top w:w="0" w:type="dxa"/>
          </w:tblCellMar>
        </w:tblPrEx>
        <w:trPr>
          <w:trHeight w:val="40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479697A"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2022</w:t>
            </w:r>
          </w:p>
        </w:tc>
        <w:tc>
          <w:tcPr>
            <w:tcW w:w="1900" w:type="dxa"/>
            <w:gridSpan w:val="2"/>
            <w:tcBorders>
              <w:top w:val="nil"/>
              <w:left w:val="nil"/>
              <w:bottom w:val="single" w:sz="4" w:space="0" w:color="auto"/>
              <w:right w:val="single" w:sz="4" w:space="0" w:color="auto"/>
            </w:tcBorders>
            <w:shd w:val="clear" w:color="auto" w:fill="auto"/>
            <w:vAlign w:val="center"/>
            <w:hideMark/>
          </w:tcPr>
          <w:p w14:paraId="60D02B4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3 668</w:t>
            </w:r>
          </w:p>
        </w:tc>
        <w:tc>
          <w:tcPr>
            <w:tcW w:w="1900" w:type="dxa"/>
            <w:tcBorders>
              <w:top w:val="nil"/>
              <w:left w:val="nil"/>
              <w:bottom w:val="single" w:sz="4" w:space="0" w:color="auto"/>
              <w:right w:val="single" w:sz="4" w:space="0" w:color="auto"/>
            </w:tcBorders>
            <w:shd w:val="clear" w:color="auto" w:fill="auto"/>
            <w:vAlign w:val="center"/>
            <w:hideMark/>
          </w:tcPr>
          <w:p w14:paraId="2D1971A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3 698</w:t>
            </w:r>
          </w:p>
        </w:tc>
        <w:tc>
          <w:tcPr>
            <w:tcW w:w="1640" w:type="dxa"/>
            <w:tcBorders>
              <w:top w:val="nil"/>
              <w:left w:val="nil"/>
              <w:bottom w:val="single" w:sz="4" w:space="0" w:color="auto"/>
              <w:right w:val="single" w:sz="4" w:space="0" w:color="auto"/>
            </w:tcBorders>
            <w:shd w:val="clear" w:color="auto" w:fill="auto"/>
            <w:vAlign w:val="center"/>
            <w:hideMark/>
          </w:tcPr>
          <w:p w14:paraId="442AD1BD"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3 340</w:t>
            </w:r>
          </w:p>
        </w:tc>
        <w:tc>
          <w:tcPr>
            <w:tcW w:w="1840" w:type="dxa"/>
            <w:gridSpan w:val="2"/>
            <w:tcBorders>
              <w:top w:val="nil"/>
              <w:left w:val="nil"/>
              <w:bottom w:val="single" w:sz="4" w:space="0" w:color="auto"/>
              <w:right w:val="single" w:sz="4" w:space="0" w:color="auto"/>
            </w:tcBorders>
            <w:shd w:val="clear" w:color="auto" w:fill="auto"/>
            <w:vAlign w:val="center"/>
            <w:hideMark/>
          </w:tcPr>
          <w:p w14:paraId="39BD1BF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861</w:t>
            </w:r>
          </w:p>
        </w:tc>
        <w:tc>
          <w:tcPr>
            <w:tcW w:w="889" w:type="dxa"/>
            <w:tcBorders>
              <w:top w:val="nil"/>
              <w:left w:val="nil"/>
              <w:bottom w:val="single" w:sz="4" w:space="0" w:color="auto"/>
              <w:right w:val="single" w:sz="4" w:space="0" w:color="auto"/>
            </w:tcBorders>
            <w:shd w:val="clear" w:color="auto" w:fill="auto"/>
            <w:vAlign w:val="center"/>
            <w:hideMark/>
          </w:tcPr>
          <w:p w14:paraId="26E6F0E8"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w:t>
            </w:r>
          </w:p>
        </w:tc>
      </w:tr>
      <w:tr w:rsidR="007F7CB5" w:rsidRPr="00A555B6" w14:paraId="7E6D23DC" w14:textId="77777777" w:rsidTr="00471C03">
        <w:tblPrEx>
          <w:tblCellMar>
            <w:top w:w="0" w:type="dxa"/>
          </w:tblCellMar>
        </w:tblPrEx>
        <w:trPr>
          <w:trHeight w:val="346"/>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42111CB" w14:textId="77777777" w:rsidR="007F7CB5" w:rsidRPr="00A555B6" w:rsidRDefault="007F7CB5" w:rsidP="007F7CB5">
            <w:pPr>
              <w:spacing w:before="120" w:after="120" w:line="240" w:lineRule="auto"/>
              <w:jc w:val="both"/>
              <w:rPr>
                <w:rFonts w:ascii="Times New Roman" w:hAnsi="Times New Roman" w:cs="Times New Roman"/>
                <w:b/>
                <w:bCs/>
              </w:rPr>
            </w:pPr>
            <w:r w:rsidRPr="00A555B6">
              <w:rPr>
                <w:rFonts w:ascii="Times New Roman" w:hAnsi="Times New Roman" w:cs="Times New Roman"/>
                <w:b/>
                <w:bCs/>
              </w:rPr>
              <w:t>2023</w:t>
            </w:r>
          </w:p>
        </w:tc>
        <w:tc>
          <w:tcPr>
            <w:tcW w:w="1900" w:type="dxa"/>
            <w:gridSpan w:val="2"/>
            <w:tcBorders>
              <w:top w:val="nil"/>
              <w:left w:val="nil"/>
              <w:bottom w:val="single" w:sz="4" w:space="0" w:color="auto"/>
              <w:right w:val="single" w:sz="4" w:space="0" w:color="auto"/>
            </w:tcBorders>
            <w:shd w:val="clear" w:color="auto" w:fill="auto"/>
            <w:vAlign w:val="center"/>
            <w:hideMark/>
          </w:tcPr>
          <w:p w14:paraId="23B46360"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4 009</w:t>
            </w:r>
          </w:p>
        </w:tc>
        <w:tc>
          <w:tcPr>
            <w:tcW w:w="1900" w:type="dxa"/>
            <w:tcBorders>
              <w:top w:val="nil"/>
              <w:left w:val="nil"/>
              <w:bottom w:val="single" w:sz="4" w:space="0" w:color="auto"/>
              <w:right w:val="single" w:sz="4" w:space="0" w:color="auto"/>
            </w:tcBorders>
            <w:shd w:val="clear" w:color="auto" w:fill="auto"/>
            <w:vAlign w:val="center"/>
            <w:hideMark/>
          </w:tcPr>
          <w:p w14:paraId="5A55306A"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4 038</w:t>
            </w:r>
          </w:p>
        </w:tc>
        <w:tc>
          <w:tcPr>
            <w:tcW w:w="1640" w:type="dxa"/>
            <w:tcBorders>
              <w:top w:val="nil"/>
              <w:left w:val="nil"/>
              <w:bottom w:val="single" w:sz="4" w:space="0" w:color="auto"/>
              <w:right w:val="single" w:sz="4" w:space="0" w:color="auto"/>
            </w:tcBorders>
            <w:shd w:val="clear" w:color="auto" w:fill="auto"/>
            <w:vAlign w:val="center"/>
            <w:hideMark/>
          </w:tcPr>
          <w:p w14:paraId="112F4AD9"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3 713</w:t>
            </w:r>
          </w:p>
        </w:tc>
        <w:tc>
          <w:tcPr>
            <w:tcW w:w="1840" w:type="dxa"/>
            <w:gridSpan w:val="2"/>
            <w:tcBorders>
              <w:top w:val="nil"/>
              <w:left w:val="nil"/>
              <w:bottom w:val="single" w:sz="4" w:space="0" w:color="auto"/>
              <w:right w:val="single" w:sz="4" w:space="0" w:color="auto"/>
            </w:tcBorders>
            <w:shd w:val="clear" w:color="auto" w:fill="auto"/>
            <w:vAlign w:val="center"/>
            <w:hideMark/>
          </w:tcPr>
          <w:p w14:paraId="5E570F5E"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835</w:t>
            </w:r>
          </w:p>
        </w:tc>
        <w:tc>
          <w:tcPr>
            <w:tcW w:w="889" w:type="dxa"/>
            <w:tcBorders>
              <w:top w:val="nil"/>
              <w:left w:val="nil"/>
              <w:bottom w:val="single" w:sz="4" w:space="0" w:color="auto"/>
              <w:right w:val="single" w:sz="4" w:space="0" w:color="auto"/>
            </w:tcBorders>
            <w:shd w:val="clear" w:color="auto" w:fill="auto"/>
            <w:vAlign w:val="center"/>
            <w:hideMark/>
          </w:tcPr>
          <w:p w14:paraId="4CF56D41" w14:textId="77777777" w:rsidR="007F7CB5" w:rsidRPr="00A555B6" w:rsidRDefault="007F7CB5" w:rsidP="007F7CB5">
            <w:pPr>
              <w:spacing w:before="120" w:after="120" w:line="240" w:lineRule="auto"/>
              <w:jc w:val="both"/>
              <w:rPr>
                <w:rFonts w:ascii="Times New Roman" w:hAnsi="Times New Roman" w:cs="Times New Roman"/>
              </w:rPr>
            </w:pPr>
            <w:r w:rsidRPr="00A555B6">
              <w:rPr>
                <w:rFonts w:ascii="Times New Roman" w:hAnsi="Times New Roman" w:cs="Times New Roman"/>
              </w:rPr>
              <w:t>-</w:t>
            </w:r>
          </w:p>
        </w:tc>
      </w:tr>
    </w:tbl>
    <w:p w14:paraId="3C05B98A" w14:textId="77777777" w:rsidR="007F7CB5" w:rsidRPr="00A555B6" w:rsidRDefault="007F7CB5" w:rsidP="007F7CB5">
      <w:pPr>
        <w:spacing w:before="120" w:after="120" w:line="360" w:lineRule="auto"/>
        <w:jc w:val="both"/>
        <w:rPr>
          <w:rFonts w:ascii="Times New Roman" w:hAnsi="Times New Roman" w:cs="Times New Roman"/>
        </w:rPr>
      </w:pPr>
    </w:p>
    <w:p w14:paraId="42ABBE78" w14:textId="77777777"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Sprawy z zakresu prawa pracy.</w:t>
      </w:r>
      <w:r w:rsidRPr="00A555B6">
        <w:rPr>
          <w:rFonts w:ascii="Times New Roman" w:hAnsi="Times New Roman" w:cs="Times New Roman"/>
          <w:vertAlign w:val="superscript"/>
        </w:rPr>
        <w:footnoteReference w:id="8"/>
      </w:r>
    </w:p>
    <w:p w14:paraId="51B6EB8B" w14:textId="77777777"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noProof/>
        </w:rPr>
        <w:drawing>
          <wp:inline distT="0" distB="0" distL="0" distR="0" wp14:anchorId="079DF943" wp14:editId="52702314">
            <wp:extent cx="5760720" cy="6054090"/>
            <wp:effectExtent l="0" t="0" r="0" b="3810"/>
            <wp:docPr id="19638519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054090"/>
                    </a:xfrm>
                    <a:prstGeom prst="rect">
                      <a:avLst/>
                    </a:prstGeom>
                    <a:noFill/>
                    <a:ln>
                      <a:noFill/>
                    </a:ln>
                  </pic:spPr>
                </pic:pic>
              </a:graphicData>
            </a:graphic>
          </wp:inline>
        </w:drawing>
      </w:r>
    </w:p>
    <w:p w14:paraId="71770730" w14:textId="77777777" w:rsidR="007F7CB5" w:rsidRPr="00A555B6" w:rsidRDefault="007F7CB5" w:rsidP="007F7CB5">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celu wzmocnienia instrumentów sądowych, skłaniających strony do mediacji, proponuje się wprowadzić katalog spraw, w których strony będą kierowane do mediacji lub będą musiałyby wziąć udział w spotkaniu informacyjnym poświęconym pozasądowym metodom rozwiązywania sporów, w przypadku niedopełniania ww. wymogu. Katalog powinien obejmować sprawy gospodarcze (za wyjątkiem spraw, w których mediacja jest niedopuszczalna z uwagi na charakter sprawy), inne niż sprawy gospodarcze, których stroną jest przedsiębiorca oraz sprawy z zakresu prawa pracy, z wyjątkiem spraw o uznanie bezskuteczności wypowiedzenia stosunku pracy, o przywrócenie do pracy i przywrócenie poprzednich warunków pracy lub płacy oraz łącznie z nimi dochodzone roszczenia </w:t>
      </w:r>
      <w:r w:rsidRPr="00A555B6">
        <w:rPr>
          <w:rFonts w:ascii="Times New Roman" w:hAnsi="Times New Roman" w:cs="Times New Roman"/>
        </w:rPr>
        <w:lastRenderedPageBreak/>
        <w:t>i odszkodowanie w przypadku nieuzasadnionego lub naruszającego przepisy wypowiedzenia oraz rozwiązania stosunku pracy. Charakter spraw gospodarczych, innych spraw, których stroną jest przedsiębiorca oraz spraw z zakresu prawa pracy przesądza, że strony sporu powinny być szczególnie zainteresowane szybkim i tańszym zakończeniem sporu niż otrzymanie rozstrzygnięcia po przeprowadzeniu postępowania sądowego, a ponadto utrzymaniem możliwości dalszej współpracy w ramach stosunków gospodarczych albo stosunku pracy. W odniesieniu do przedsiębiorców standardem w ich relacjach z innymi przedsiębiorcami, a także innymi osobami, np. konsumentami, powinno być pozasądowe rozwiązywanie sporów. Jest wskazane, aby pracodawcy i przedsiębiorcy mieli wypracowane w swoich przedsiębiorstwach procedury rozwiązywania konfliktów w sposób szybszy i tańszy niż prowadzenie sporu przed sądem. Przedsiębiorcom i pracodawcom stawia się wyższy standard działania, z uwagi na to, że są profesjonalistami. Oczekiwania te nie powinny ograniczać się jedynie do ich podstawowej działalności, ale także do rozwiązywania sporów. Kierowanie spraw do sądu co do zasady powinno być natomiast ostatecznością. Z uwagi na wprowadzaną nowelizację uporządkowaniu, z uwzględnieniem chronologii czynności, powinna ulec także regulacja w całym art. 183</w:t>
      </w:r>
      <w:r w:rsidRPr="00A555B6">
        <w:rPr>
          <w:rFonts w:ascii="Times New Roman" w:hAnsi="Times New Roman" w:cs="Times New Roman"/>
          <w:vertAlign w:val="superscript"/>
        </w:rPr>
        <w:t>8</w:t>
      </w:r>
      <w:r w:rsidRPr="00A555B6">
        <w:rPr>
          <w:rFonts w:ascii="Times New Roman" w:hAnsi="Times New Roman" w:cs="Times New Roman"/>
        </w:rPr>
        <w:t xml:space="preserve"> Kpc. </w:t>
      </w:r>
    </w:p>
    <w:p w14:paraId="7E5BB884" w14:textId="1C33A965" w:rsidR="007F7CB5" w:rsidRPr="00A555B6" w:rsidRDefault="007F7CB5" w:rsidP="007F7CB5">
      <w:pPr>
        <w:spacing w:before="120" w:after="120" w:line="360" w:lineRule="auto"/>
        <w:jc w:val="both"/>
        <w:rPr>
          <w:rFonts w:ascii="Times New Roman" w:hAnsi="Times New Roman" w:cs="Times New Roman"/>
          <w:bCs/>
        </w:rPr>
      </w:pPr>
      <w:r w:rsidRPr="00A555B6">
        <w:rPr>
          <w:rFonts w:ascii="Times New Roman" w:hAnsi="Times New Roman" w:cs="Times New Roman"/>
        </w:rPr>
        <w:t>Uzupełniająco proponuje się również, aby w art. 183</w:t>
      </w:r>
      <w:r w:rsidRPr="00A555B6">
        <w:rPr>
          <w:rFonts w:ascii="Times New Roman" w:hAnsi="Times New Roman" w:cs="Times New Roman"/>
          <w:vertAlign w:val="superscript"/>
        </w:rPr>
        <w:t xml:space="preserve">14 </w:t>
      </w:r>
      <w:r w:rsidRPr="00A555B6">
        <w:rPr>
          <w:rFonts w:ascii="Times New Roman" w:hAnsi="Times New Roman" w:cs="Times New Roman"/>
        </w:rPr>
        <w:t>§ 2</w:t>
      </w:r>
      <w:r w:rsidRPr="00A555B6">
        <w:rPr>
          <w:rFonts w:ascii="Times New Roman" w:hAnsi="Times New Roman" w:cs="Times New Roman"/>
          <w:vertAlign w:val="superscript"/>
        </w:rPr>
        <w:t xml:space="preserve">1 </w:t>
      </w:r>
      <w:r w:rsidRPr="00A555B6">
        <w:rPr>
          <w:rFonts w:ascii="Times New Roman" w:hAnsi="Times New Roman" w:cs="Times New Roman"/>
        </w:rPr>
        <w:t>Kpc przesądzić, że ugodą mogą być objęte także inne sprawy między stronami niż sprecyzowane już w pismach sądowych i objęte postępowaniami sądowymi</w:t>
      </w:r>
      <w:r w:rsidRPr="00A555B6">
        <w:rPr>
          <w:rFonts w:ascii="Times New Roman" w:hAnsi="Times New Roman" w:cs="Times New Roman"/>
          <w:vertAlign w:val="superscript"/>
        </w:rPr>
        <w:footnoteReference w:id="9"/>
      </w:r>
      <w:r w:rsidRPr="00A555B6">
        <w:rPr>
          <w:rFonts w:ascii="Times New Roman" w:hAnsi="Times New Roman" w:cs="Times New Roman"/>
        </w:rPr>
        <w:t xml:space="preserve">. </w:t>
      </w:r>
      <w:r w:rsidR="00D65CB5">
        <w:rPr>
          <w:rFonts w:ascii="Times New Roman" w:hAnsi="Times New Roman" w:cs="Times New Roman"/>
        </w:rPr>
        <w:t xml:space="preserve">Obecnie więc w przypadku spraw spornych, które trafiły już do sądu i które jeszcze nie trafiły do sądu, jest </w:t>
      </w:r>
      <w:r w:rsidR="00D65CB5" w:rsidRPr="00D65CB5">
        <w:rPr>
          <w:rFonts w:ascii="Times New Roman" w:hAnsi="Times New Roman" w:cs="Times New Roman"/>
        </w:rPr>
        <w:t>konieczn</w:t>
      </w:r>
      <w:r w:rsidR="00D65CB5">
        <w:rPr>
          <w:rFonts w:ascii="Times New Roman" w:hAnsi="Times New Roman" w:cs="Times New Roman"/>
        </w:rPr>
        <w:t>e</w:t>
      </w:r>
      <w:r w:rsidR="00D65CB5" w:rsidRPr="00D65CB5">
        <w:rPr>
          <w:rFonts w:ascii="Times New Roman" w:hAnsi="Times New Roman" w:cs="Times New Roman"/>
        </w:rPr>
        <w:t xml:space="preserve"> zawierani</w:t>
      </w:r>
      <w:r w:rsidR="00D65CB5">
        <w:rPr>
          <w:rFonts w:ascii="Times New Roman" w:hAnsi="Times New Roman" w:cs="Times New Roman"/>
        </w:rPr>
        <w:t>e</w:t>
      </w:r>
      <w:r w:rsidR="00D65CB5" w:rsidRPr="00D65CB5">
        <w:rPr>
          <w:rFonts w:ascii="Times New Roman" w:hAnsi="Times New Roman" w:cs="Times New Roman"/>
        </w:rPr>
        <w:t xml:space="preserve"> </w:t>
      </w:r>
      <w:r w:rsidR="00D65CB5">
        <w:rPr>
          <w:rFonts w:ascii="Times New Roman" w:hAnsi="Times New Roman" w:cs="Times New Roman"/>
        </w:rPr>
        <w:t>wielu</w:t>
      </w:r>
      <w:r w:rsidR="00D65CB5" w:rsidRPr="00D65CB5">
        <w:rPr>
          <w:rFonts w:ascii="Times New Roman" w:hAnsi="Times New Roman" w:cs="Times New Roman"/>
        </w:rPr>
        <w:t xml:space="preserve"> ug</w:t>
      </w:r>
      <w:r w:rsidR="00D65CB5">
        <w:rPr>
          <w:rFonts w:ascii="Times New Roman" w:hAnsi="Times New Roman" w:cs="Times New Roman"/>
        </w:rPr>
        <w:t>ód</w:t>
      </w:r>
      <w:r w:rsidR="00D65CB5" w:rsidRPr="00D65CB5">
        <w:rPr>
          <w:rFonts w:ascii="Times New Roman" w:hAnsi="Times New Roman" w:cs="Times New Roman"/>
        </w:rPr>
        <w:t xml:space="preserve"> i przedstawiani</w:t>
      </w:r>
      <w:r w:rsidR="00D65CB5">
        <w:rPr>
          <w:rFonts w:ascii="Times New Roman" w:hAnsi="Times New Roman" w:cs="Times New Roman"/>
        </w:rPr>
        <w:t>e</w:t>
      </w:r>
      <w:r w:rsidR="00D65CB5" w:rsidRPr="00D65CB5">
        <w:rPr>
          <w:rFonts w:ascii="Times New Roman" w:hAnsi="Times New Roman" w:cs="Times New Roman"/>
        </w:rPr>
        <w:t xml:space="preserve"> </w:t>
      </w:r>
      <w:r w:rsidR="00D65CB5">
        <w:rPr>
          <w:rFonts w:ascii="Times New Roman" w:hAnsi="Times New Roman" w:cs="Times New Roman"/>
        </w:rPr>
        <w:t>ich</w:t>
      </w:r>
      <w:r w:rsidR="00D65CB5" w:rsidRPr="00D65CB5">
        <w:rPr>
          <w:rFonts w:ascii="Times New Roman" w:hAnsi="Times New Roman" w:cs="Times New Roman"/>
        </w:rPr>
        <w:t xml:space="preserve"> do zatwier</w:t>
      </w:r>
      <w:r w:rsidR="00D65CB5">
        <w:rPr>
          <w:rFonts w:ascii="Times New Roman" w:hAnsi="Times New Roman" w:cs="Times New Roman"/>
        </w:rPr>
        <w:t>dzenia</w:t>
      </w:r>
      <w:r w:rsidR="00D65CB5" w:rsidRPr="00D65CB5">
        <w:rPr>
          <w:rFonts w:ascii="Times New Roman" w:hAnsi="Times New Roman" w:cs="Times New Roman"/>
        </w:rPr>
        <w:t>.</w:t>
      </w:r>
      <w:r w:rsidR="00D65CB5">
        <w:rPr>
          <w:rFonts w:ascii="Times New Roman" w:hAnsi="Times New Roman" w:cs="Times New Roman"/>
        </w:rPr>
        <w:t xml:space="preserve"> </w:t>
      </w:r>
      <w:r w:rsidRPr="00A555B6">
        <w:rPr>
          <w:rFonts w:ascii="Times New Roman" w:hAnsi="Times New Roman" w:cs="Times New Roman"/>
        </w:rPr>
        <w:t xml:space="preserve">Jak najszersze możliwości zakończenia wielu sporów między tymi samymi stronami </w:t>
      </w:r>
      <w:r w:rsidR="00D65CB5">
        <w:rPr>
          <w:rFonts w:ascii="Times New Roman" w:hAnsi="Times New Roman" w:cs="Times New Roman"/>
        </w:rPr>
        <w:t xml:space="preserve">w jednej ugodzie </w:t>
      </w:r>
      <w:r w:rsidRPr="00A555B6">
        <w:rPr>
          <w:rFonts w:ascii="Times New Roman" w:hAnsi="Times New Roman" w:cs="Times New Roman"/>
        </w:rPr>
        <w:t xml:space="preserve">powinny przyczynić się do zwiększenia efektywności i ekonomiki pracy sądu. </w:t>
      </w:r>
      <w:r w:rsidRPr="00A555B6">
        <w:rPr>
          <w:rFonts w:ascii="Times New Roman" w:hAnsi="Times New Roman" w:cs="Times New Roman"/>
          <w:bCs/>
        </w:rPr>
        <w:t>W konsekwencji tej zmiany w art. 183</w:t>
      </w:r>
      <w:r w:rsidRPr="00A555B6">
        <w:rPr>
          <w:rFonts w:ascii="Times New Roman" w:hAnsi="Times New Roman" w:cs="Times New Roman"/>
          <w:bCs/>
          <w:vertAlign w:val="superscript"/>
        </w:rPr>
        <w:t>1</w:t>
      </w:r>
      <w:r w:rsidRPr="00A555B6">
        <w:rPr>
          <w:rFonts w:ascii="Times New Roman" w:hAnsi="Times New Roman" w:cs="Times New Roman"/>
          <w:bCs/>
        </w:rPr>
        <w:t xml:space="preserve"> Kpc pojawi się przepis, który będzie wskazywał, że w przypadku gdy mediacja dotyczy roszczeń objętych różnymi postępowaniami sądowymi lub spraw nieobjętych postępowaniami sądowymi, mediację prowadzi się na podstawie umowy o mediację. Objęcie mediacją, a następnie ugodą większej liczby spraw, powinno być przedmiotem uzgodnienia między stronami.</w:t>
      </w:r>
    </w:p>
    <w:p w14:paraId="1FC2985D" w14:textId="12855616" w:rsidR="007F7CB5" w:rsidRPr="00A555B6" w:rsidRDefault="007F7CB5" w:rsidP="007F7CB5">
      <w:pPr>
        <w:spacing w:before="120" w:after="120" w:line="360" w:lineRule="auto"/>
        <w:jc w:val="both"/>
        <w:rPr>
          <w:rFonts w:ascii="Times New Roman" w:hAnsi="Times New Roman" w:cs="Times New Roman"/>
          <w:bCs/>
        </w:rPr>
      </w:pPr>
      <w:r w:rsidRPr="00A555B6">
        <w:rPr>
          <w:rFonts w:ascii="Times New Roman" w:hAnsi="Times New Roman" w:cs="Times New Roman"/>
          <w:bCs/>
        </w:rPr>
        <w:t>Kolejną zmianą doprecyzowującą jest wprowadzenie w art. 183</w:t>
      </w:r>
      <w:r w:rsidRPr="00A555B6">
        <w:rPr>
          <w:rFonts w:ascii="Times New Roman" w:hAnsi="Times New Roman" w:cs="Times New Roman"/>
          <w:bCs/>
          <w:vertAlign w:val="superscript"/>
        </w:rPr>
        <w:t>12</w:t>
      </w:r>
      <w:r w:rsidRPr="00A555B6">
        <w:rPr>
          <w:rFonts w:ascii="Times New Roman" w:hAnsi="Times New Roman" w:cs="Times New Roman"/>
          <w:bCs/>
        </w:rPr>
        <w:t xml:space="preserve"> Kpc rozwiązania, zgodnie z którym</w:t>
      </w:r>
      <w:r w:rsidRPr="00A555B6">
        <w:rPr>
          <w:rFonts w:ascii="Times New Roman" w:hAnsi="Times New Roman" w:cs="Times New Roman"/>
        </w:rPr>
        <w:t xml:space="preserve"> podpisanie ugody oznacza zgodę na wystąpienie do sądu </w:t>
      </w:r>
      <w:r w:rsidR="006E5E7C">
        <w:rPr>
          <w:rFonts w:ascii="Times New Roman" w:hAnsi="Times New Roman" w:cs="Times New Roman"/>
        </w:rPr>
        <w:t xml:space="preserve">przez każdą ze stron lub mediatora </w:t>
      </w:r>
      <w:r w:rsidRPr="00A555B6">
        <w:rPr>
          <w:rFonts w:ascii="Times New Roman" w:hAnsi="Times New Roman" w:cs="Times New Roman"/>
        </w:rPr>
        <w:t>z wnioskiem o jej zatwierdzenie. Strony będą o tym skutku zawarcia ugody informowane przez mediatora.</w:t>
      </w:r>
    </w:p>
    <w:p w14:paraId="7CAACE5D" w14:textId="744D43FF" w:rsidR="007F7CB5" w:rsidRPr="00A555B6" w:rsidRDefault="007F7CB5" w:rsidP="00B20442">
      <w:pPr>
        <w:spacing w:before="120" w:after="120" w:line="360" w:lineRule="auto"/>
        <w:jc w:val="both"/>
        <w:rPr>
          <w:rFonts w:ascii="Times New Roman" w:hAnsi="Times New Roman" w:cs="Times New Roman"/>
        </w:rPr>
      </w:pPr>
      <w:r w:rsidRPr="00A555B6">
        <w:rPr>
          <w:rFonts w:ascii="Times New Roman" w:hAnsi="Times New Roman" w:cs="Times New Roman"/>
        </w:rPr>
        <w:t xml:space="preserve">Wprowadzenie proponowanych zmiana pozytywnie wpłynie na stopień wykorzystania pozasądowych metod rozwiązywania sporów, szczególnie w przypadkach, gdy jedna ze stron w większym stopniu wpływa na treść łączącego strony stosunku prawnego i kształtowania relacji w trakcie sporu. </w:t>
      </w:r>
    </w:p>
    <w:p w14:paraId="35E3520E" w14:textId="6353DB66" w:rsidR="000B0C06" w:rsidRPr="00A555B6" w:rsidRDefault="000B0C06" w:rsidP="006D3101">
      <w:pPr>
        <w:pStyle w:val="Styl1"/>
        <w:spacing w:before="120" w:after="120" w:line="360" w:lineRule="auto"/>
        <w:jc w:val="both"/>
      </w:pPr>
      <w:bookmarkStart w:id="21" w:name="_Hlk162420065"/>
      <w:bookmarkStart w:id="22" w:name="_Toc174689299"/>
      <w:r w:rsidRPr="00A555B6">
        <w:lastRenderedPageBreak/>
        <w:t>Ustawa z dnia 9 kwietnia 1968 r. o dokonywaniu w księgach wieczystych wpisów na rzecz Skarbu Państwa w oparciu o międzynarodowe umowy o uregulowaniu roszczeń finansowych</w:t>
      </w:r>
      <w:bookmarkEnd w:id="21"/>
      <w:bookmarkEnd w:id="22"/>
    </w:p>
    <w:p w14:paraId="4C5B6235" w14:textId="0A46838A"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t>Na gruncie postępowań prowadzonych na podstawie przepisów tej ustawy proponuje się odstąpienie od zasady dwuinstancyjności. Za przyjęciem tego stanowiska przemawia fakt, iż wydawane w trybie przepisów ww. ustawy decyzje mają charakter deklaratoryjny i potwierdzają przejście w przeszłości nieruchomości na rzecz Skarbu Państwa w związku z zawarciem z państwami obcymi układów indemnizacyjnych. Nie zmieniają one istniejącego stosunku prawnego lecz potwierdzają przejście praw rzeczowych w dacie zastosowania przepisów nacjonalizacyjnych lub podobnych, w</w:t>
      </w:r>
      <w:r w:rsidR="008170ED" w:rsidRPr="00A555B6">
        <w:rPr>
          <w:rFonts w:ascii="Times New Roman" w:hAnsi="Times New Roman" w:cs="Times New Roman"/>
        </w:rPr>
        <w:t> </w:t>
      </w:r>
      <w:r w:rsidRPr="00A555B6">
        <w:rPr>
          <w:rFonts w:ascii="Times New Roman" w:hAnsi="Times New Roman" w:cs="Times New Roman"/>
        </w:rPr>
        <w:t>konsekwencji których nieruchomości zostały przejęte przez Skarb Państwa. Zakres deklaratoryjnego stwierdzenia w</w:t>
      </w:r>
      <w:r w:rsidR="00E6226B" w:rsidRPr="00A555B6">
        <w:rPr>
          <w:rFonts w:ascii="Times New Roman" w:hAnsi="Times New Roman" w:cs="Times New Roman"/>
        </w:rPr>
        <w:t> </w:t>
      </w:r>
      <w:r w:rsidRPr="00A555B6">
        <w:rPr>
          <w:rFonts w:ascii="Times New Roman" w:hAnsi="Times New Roman" w:cs="Times New Roman"/>
        </w:rPr>
        <w:t xml:space="preserve">decyzji o przejściu na rzecz Skarbu Państwa nieruchomości na podstawie umowy międzynarodowej ogranicza się wyłącznie do kwestii uzyskania przez Skarb Państwa tytułu własności jako podstawy wpisu do księgi wieczystej, a nie prawa własności. Po ustaleniu, że zostały spełnione określone przesłanki na podstawie art. 2 ustawy z </w:t>
      </w:r>
      <w:r w:rsidR="0037008D" w:rsidRPr="00A555B6">
        <w:rPr>
          <w:rFonts w:ascii="Times New Roman" w:hAnsi="Times New Roman" w:cs="Times New Roman"/>
        </w:rPr>
        <w:t>dnia 9 kwietnia 1968 r. o dokonywaniu w księgach wieczystych wpisów na rzecz Skarbu Państwa w oparciu o międzynarodowe umowy o uregulowaniu roszczeń finansowych</w:t>
      </w:r>
      <w:r w:rsidRPr="00A555B6">
        <w:rPr>
          <w:rFonts w:ascii="Times New Roman" w:hAnsi="Times New Roman" w:cs="Times New Roman"/>
        </w:rPr>
        <w:t xml:space="preserve"> zachodzi obowiązek wydania decyzji stwierdzającej przejście na rzecz Skarbu Państwa praw rzeczowych do nieruchomości, która następnie może stanowić podstawę wpisu do księgi wieczystej Skarbu Państwa jako właściciela tej nieruchomości.</w:t>
      </w:r>
    </w:p>
    <w:p w14:paraId="68D35E33" w14:textId="77777777"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Wskazać również należy, iż w postępowaniu prowadzonym przez Ministra Finansów nie mamy do czynienia z odwołaniem składanym do organu wyższego stopnia, lecz z wnioskiem o ponowne rozpatrzenie sprawy, który rozpatrywany jest przez ten sam organ. Jak pokazują statystyki dotyczące decyzji wydawanych w postępowaniach w wyniku wniosku o ponowne rozpatrzenie sprawy, decyzje te w zdecydowanej większości nie prowadzą do zmiany rozstrzygnięć wydawanych w pierwszej instancji, lecz do ponownej polemiki z twierdzeniami przywoływanymi w toku postępowania pierwszoinstancyjnego. </w:t>
      </w:r>
    </w:p>
    <w:p w14:paraId="0FD1A74B" w14:textId="6448BF6F"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Dodatkowo, obserwuje się coraz częściej rezygnowanie przez strony postępowania ze składania wniosku o ponowne rozpatrzenie sprawy i składanie od razu skargi do wojewódzkiego sądu administracyjnego po wydaniu decyzji w pierwszej instancji na podstawie art. 52 § 3 ustawy </w:t>
      </w:r>
      <w:r w:rsidR="00643D61" w:rsidRPr="00A555B6">
        <w:rPr>
          <w:rFonts w:ascii="Times New Roman" w:hAnsi="Times New Roman" w:cs="Times New Roman"/>
        </w:rPr>
        <w:t>z dnia 30 sierpnia 2002 r.</w:t>
      </w:r>
      <w:r w:rsidRPr="00A555B6">
        <w:rPr>
          <w:rFonts w:ascii="Times New Roman" w:hAnsi="Times New Roman" w:cs="Times New Roman"/>
        </w:rPr>
        <w:t xml:space="preserve"> </w:t>
      </w:r>
      <w:r w:rsidR="00CF2E89" w:rsidRPr="00A555B6">
        <w:rPr>
          <w:rFonts w:ascii="Times New Roman" w:hAnsi="Times New Roman" w:cs="Times New Roman"/>
        </w:rPr>
        <w:t>–</w:t>
      </w:r>
      <w:r w:rsidRPr="00A555B6">
        <w:rPr>
          <w:rFonts w:ascii="Times New Roman" w:hAnsi="Times New Roman" w:cs="Times New Roman"/>
        </w:rPr>
        <w:t xml:space="preserve"> Prawo </w:t>
      </w:r>
      <w:r w:rsidR="00C137C6" w:rsidRPr="00A555B6">
        <w:rPr>
          <w:rFonts w:ascii="Times New Roman" w:hAnsi="Times New Roman" w:cs="Times New Roman"/>
        </w:rPr>
        <w:t xml:space="preserve">o </w:t>
      </w:r>
      <w:r w:rsidRPr="00A555B6">
        <w:rPr>
          <w:rFonts w:ascii="Times New Roman" w:hAnsi="Times New Roman" w:cs="Times New Roman"/>
        </w:rPr>
        <w:t>post</w:t>
      </w:r>
      <w:r w:rsidR="00C137C6" w:rsidRPr="00A555B6">
        <w:rPr>
          <w:rFonts w:ascii="Times New Roman" w:hAnsi="Times New Roman" w:cs="Times New Roman"/>
        </w:rPr>
        <w:t>ę</w:t>
      </w:r>
      <w:r w:rsidRPr="00A555B6">
        <w:rPr>
          <w:rFonts w:ascii="Times New Roman" w:hAnsi="Times New Roman" w:cs="Times New Roman"/>
        </w:rPr>
        <w:t>powani</w:t>
      </w:r>
      <w:r w:rsidR="00C137C6" w:rsidRPr="00A555B6">
        <w:rPr>
          <w:rFonts w:ascii="Times New Roman" w:hAnsi="Times New Roman" w:cs="Times New Roman"/>
        </w:rPr>
        <w:t>u</w:t>
      </w:r>
      <w:r w:rsidRPr="00A555B6">
        <w:rPr>
          <w:rFonts w:ascii="Times New Roman" w:hAnsi="Times New Roman" w:cs="Times New Roman"/>
        </w:rPr>
        <w:t xml:space="preserve"> przed sądami administracyjnymi (dalej: Ppsa), co należy tłumaczyć potrzebą przyspieszenia prowadzenia postępowania. Strona postępowania będzie mogła szybciej ostatecznie uzyskać rozstrzygnięcie w sprawie. Z kolei wszelkie błędy, korekty których wymagałyby określone rozstrzygnięcia wydane w pierwszej i jedynej (w toku postępowania administracyjnego) instancji zawsze mogłyby podlegać rozpatrzeniu w trybie art. 54 § 3 Ppsa. Ponadto rozstrzygnięcia wydawane przez Ministra Finansów podlegają zaskarżeniu do sądu administracyjnego, a skargi w tych sprawach będą podlegały dwuinstancyjnemu postępowaniu sądowo-administracyjnemu. Powyższe oznacza, iż prawa stron postępowania przed Ministrem Finansów, do wnikliwego rozpatrzenia sprawy i sądowej kontroli rozstrzygnięć administracji zostaną zapewnione.</w:t>
      </w:r>
    </w:p>
    <w:p w14:paraId="790B96C6" w14:textId="2C2E45D1"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Ponadto przyspieszenie prowadzenia postępowania administracyjnego będzie miało pozytywny wpływ na uregulowanie stanu prawnego </w:t>
      </w:r>
      <w:r w:rsidR="00A7393F" w:rsidRPr="00A555B6">
        <w:rPr>
          <w:rFonts w:ascii="Times New Roman" w:hAnsi="Times New Roman" w:cs="Times New Roman"/>
        </w:rPr>
        <w:t xml:space="preserve">nieruchomości, będących </w:t>
      </w:r>
      <w:r w:rsidRPr="00A555B6">
        <w:rPr>
          <w:rFonts w:ascii="Times New Roman" w:hAnsi="Times New Roman" w:cs="Times New Roman"/>
        </w:rPr>
        <w:t>przedmiotem postępowania, a</w:t>
      </w:r>
      <w:r w:rsidR="00821E81" w:rsidRPr="00A555B6">
        <w:rPr>
          <w:rFonts w:ascii="Times New Roman" w:hAnsi="Times New Roman" w:cs="Times New Roman"/>
        </w:rPr>
        <w:t> </w:t>
      </w:r>
      <w:r w:rsidRPr="00A555B6">
        <w:rPr>
          <w:rFonts w:ascii="Times New Roman" w:hAnsi="Times New Roman" w:cs="Times New Roman"/>
        </w:rPr>
        <w:t>w</w:t>
      </w:r>
      <w:r w:rsidR="00821E81" w:rsidRPr="00A555B6">
        <w:rPr>
          <w:rFonts w:ascii="Times New Roman" w:hAnsi="Times New Roman" w:cs="Times New Roman"/>
        </w:rPr>
        <w:t> </w:t>
      </w:r>
      <w:r w:rsidRPr="00A555B6">
        <w:rPr>
          <w:rFonts w:ascii="Times New Roman" w:hAnsi="Times New Roman" w:cs="Times New Roman"/>
        </w:rPr>
        <w:t xml:space="preserve">konsekwencji może przyczynić się do podniesienia pewności obrotu prawnego nieruchomościami.  </w:t>
      </w:r>
    </w:p>
    <w:p w14:paraId="4CA4226A" w14:textId="77777777"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Zasadniczym więc celem przyjętych rozwiązań prawnych w projekcie ustawy jest przede wszystkim przyspieszenie i usprawnienie postępowań administracyjnych, co będzie możliwe m.in. poprzez zniesienie dwuinstancyjności w postępowaniach, których charakter na to pozwala. </w:t>
      </w:r>
    </w:p>
    <w:p w14:paraId="5017CF44" w14:textId="13E4B5C3" w:rsidR="002C5FB0" w:rsidRPr="00A555B6" w:rsidRDefault="002C5FB0"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Jednocześnie, po wprowadzeniu zasady, że od decyzji wydanych przez Ministra Finansów nie będzie przysługiwał wniosek o ponowne rozpatrzenie sprawy, podobne rozwiązanie powinno dotyczyć zaskarżalnych w toku postępowania administracyjnego postanowień. W tym zakresie proponuje się dodać </w:t>
      </w:r>
      <w:r w:rsidR="00CD7198" w:rsidRPr="00A555B6">
        <w:rPr>
          <w:rFonts w:ascii="Times New Roman" w:hAnsi="Times New Roman" w:cs="Times New Roman"/>
        </w:rPr>
        <w:t>art. 2</w:t>
      </w:r>
      <w:r w:rsidR="00CB3F1C">
        <w:rPr>
          <w:rFonts w:ascii="Times New Roman" w:hAnsi="Times New Roman" w:cs="Times New Roman"/>
        </w:rPr>
        <w:t>b</w:t>
      </w:r>
      <w:r w:rsidR="00CD7198" w:rsidRPr="00A555B6">
        <w:rPr>
          <w:rFonts w:ascii="Times New Roman" w:hAnsi="Times New Roman" w:cs="Times New Roman"/>
        </w:rPr>
        <w:t xml:space="preserve"> do</w:t>
      </w:r>
      <w:r w:rsidRPr="00A555B6">
        <w:rPr>
          <w:rFonts w:ascii="Times New Roman" w:hAnsi="Times New Roman" w:cs="Times New Roman"/>
        </w:rPr>
        <w:t xml:space="preserve"> ustawy z dnia 9 kwietnia 1968 r. o dokonywaniu w księgach wieczystych wpisów na rzecz Skarbu Państwa w oparciu o międzynarodowe umowy o uregulowaniu roszczeń finansowych.</w:t>
      </w:r>
    </w:p>
    <w:p w14:paraId="5AF9FEC6" w14:textId="2F127F3F" w:rsidR="00EB6BE4" w:rsidRPr="00A555B6" w:rsidRDefault="000B0C06" w:rsidP="004E6FE9">
      <w:pPr>
        <w:pStyle w:val="Styl1"/>
        <w:spacing w:before="120" w:after="120" w:line="360" w:lineRule="auto"/>
      </w:pPr>
      <w:bookmarkStart w:id="23" w:name="_Toc174689300"/>
      <w:r w:rsidRPr="00A555B6">
        <w:t>Ustawa z dnia 22 marca 1989 r. o rzemiośle</w:t>
      </w:r>
      <w:bookmarkEnd w:id="23"/>
    </w:p>
    <w:p w14:paraId="7648206E"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Ustawa o rzemiośle regulująca zasady jego funkcjonowania była wielokrotnie nowelizowana. Ostatnią modyfikację przeszła 1 stycznia 2020 r. w związku z wejściem w życie ustawy z dnia 31 lipca 2019 r. o zmianie niektórych ustaw w celu ograniczenia obciążeń regulacyjnych. Wówczas na nowo określono m.in. zakres podmiotowy (definicję rzemieślnika) i zakres przedmiotowy (definicję rzemiosła) ustawy o rzemiośle. </w:t>
      </w:r>
    </w:p>
    <w:p w14:paraId="481113FF" w14:textId="4AB24855"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Nowe regulacje okazały się pozytywne dla rzemiosła, jednak dynamiczne zmiany zachodzące w otoczeniu prawnym, gospodarczym i społecznym oraz dotychczasowa praktyka stosowania ustawy o</w:t>
      </w:r>
      <w:r w:rsidR="00E6226B" w:rsidRPr="00A555B6">
        <w:rPr>
          <w:rFonts w:ascii="Times New Roman" w:eastAsia="Aptos" w:hAnsi="Times New Roman" w:cs="Times New Roman"/>
          <w:kern w:val="0"/>
          <w14:ligatures w14:val="none"/>
        </w:rPr>
        <w:t> </w:t>
      </w:r>
      <w:r w:rsidRPr="00A555B6">
        <w:rPr>
          <w:rFonts w:ascii="Times New Roman" w:eastAsia="Aptos" w:hAnsi="Times New Roman" w:cs="Times New Roman"/>
          <w:kern w:val="0"/>
          <w14:ligatures w14:val="none"/>
        </w:rPr>
        <w:t xml:space="preserve">rzemiośle wymuszają potrzebę ich kolejnej nowelizacji poprzez dostosowanie definicji rzemiosła i rzemieślnika do obecnych realiów społeczno-gospodarczych. </w:t>
      </w:r>
    </w:p>
    <w:p w14:paraId="5238F72D"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Dynamika zmian i przekształceń form prowadzenia działalności gospodarczej przez mikro-, małych i średnich przedsiębiorców oraz sygnały płynące ze środowiska rzemiosła pokazują, że nowelizacja przepisów ustawy o rzemiośle definiujących rzemiosło i rzemieślnika winna obejmować następujące zagadnienia:   </w:t>
      </w:r>
    </w:p>
    <w:p w14:paraId="6E6F5582" w14:textId="77777777" w:rsidR="00D86F0D" w:rsidRPr="00A555B6" w:rsidRDefault="00D86F0D" w:rsidP="00D86F0D">
      <w:pPr>
        <w:numPr>
          <w:ilvl w:val="0"/>
          <w:numId w:val="18"/>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rozszerzenie katalogu prawnie dopuszczalnej formy prowadzenia działalności gospodarczej w zakresie rzemiosła;</w:t>
      </w:r>
    </w:p>
    <w:p w14:paraId="4030461A" w14:textId="77777777" w:rsidR="00D86F0D" w:rsidRPr="00A555B6" w:rsidRDefault="00D86F0D" w:rsidP="00D86F0D">
      <w:pPr>
        <w:numPr>
          <w:ilvl w:val="0"/>
          <w:numId w:val="18"/>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rozszerzenie definicji rzemiosła poprzez dopuszczenie wykorzystywania przez przedsiębiorców, niezależnie od formy prowadzenia przez nich działalności, wszystkich kwalifikacji zawodowych w rzemiośle, wymienionych w ustawie;</w:t>
      </w:r>
    </w:p>
    <w:p w14:paraId="16FE2040" w14:textId="77777777" w:rsidR="00D86F0D" w:rsidRPr="00A555B6" w:rsidRDefault="00D86F0D" w:rsidP="00D86F0D">
      <w:pPr>
        <w:numPr>
          <w:ilvl w:val="0"/>
          <w:numId w:val="18"/>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odejście od wymogu dotyczącego wykorzystywania w ramach działalności gospodarczej spółek kwalifikacji zawodowych w rzemiośle i pracy własnej wszystkich wspólników/akcjonariuszy;</w:t>
      </w:r>
    </w:p>
    <w:p w14:paraId="2E27F1B2" w14:textId="77777777" w:rsidR="00D86F0D" w:rsidRPr="00A555B6" w:rsidRDefault="00D86F0D" w:rsidP="00D86F0D">
      <w:pPr>
        <w:numPr>
          <w:ilvl w:val="0"/>
          <w:numId w:val="18"/>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włączenie do rzemiosła usług świadczonych przez optyka okularowego i protetyka słuchu;</w:t>
      </w:r>
    </w:p>
    <w:p w14:paraId="4D700737" w14:textId="77777777" w:rsidR="00D86F0D" w:rsidRPr="00A555B6" w:rsidRDefault="00D86F0D" w:rsidP="00D86F0D">
      <w:pPr>
        <w:numPr>
          <w:ilvl w:val="0"/>
          <w:numId w:val="18"/>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odejście od automatyzmu w kwestii nabywania statusu rzemieślnika przez niektóre spółki wykonujące rzemiosło. </w:t>
      </w:r>
    </w:p>
    <w:p w14:paraId="5DD1A2BE"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lastRenderedPageBreak/>
        <w:t>Aktualnie definicję rzemieślnika określają przepisy art. 2 ust. 1, 4 i 6 oraz art. 3 ust. 1 nowelizowanej ustawy o rzemiośle.</w:t>
      </w:r>
    </w:p>
    <w:p w14:paraId="4E5D4417"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W świetle wskazanych wyżej przepisów przedsiębiorca powinien spełniać łącznie następujące wymogi ustawowe określające status rzemieślnika: </w:t>
      </w:r>
    </w:p>
    <w:p w14:paraId="6B0A03DD" w14:textId="77777777" w:rsidR="00D86F0D" w:rsidRPr="00A555B6" w:rsidRDefault="00D86F0D" w:rsidP="00D86F0D">
      <w:pPr>
        <w:numPr>
          <w:ilvl w:val="0"/>
          <w:numId w:val="19"/>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posiadać status mikro-, małego lub średniego przedsiębiorcy w rozumieniu art. 7 ust. 1 pkt 1–3 ustawy z dnia 6 marca 2018 r. – Prawo przedsiębiorców;</w:t>
      </w:r>
    </w:p>
    <w:p w14:paraId="7A43297F" w14:textId="77777777" w:rsidR="00D86F0D" w:rsidRPr="00A555B6" w:rsidRDefault="00D86F0D" w:rsidP="00D86F0D">
      <w:pPr>
        <w:numPr>
          <w:ilvl w:val="0"/>
          <w:numId w:val="19"/>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prowadzić działalność gospodarczą w jednej z branż rzemieślniczych, tj. branży innej niż wyłączone w ustawie (art. 2 ust. 4 ustawy do rzemiosła nie zalicza działalności handlowej, usług hotelarskich, działalności transportowej, usług świadczonych w wykonywaniu wolnych zawodów, usług leczniczych oraz działalności wytwórczej i usługowej artystów plastyków i fotografików);</w:t>
      </w:r>
    </w:p>
    <w:p w14:paraId="7D9BE2D8" w14:textId="77777777" w:rsidR="00D86F0D" w:rsidRPr="00A555B6" w:rsidRDefault="00D86F0D" w:rsidP="00D86F0D">
      <w:pPr>
        <w:numPr>
          <w:ilvl w:val="0"/>
          <w:numId w:val="19"/>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prowadzić działalność w jednej z form wymienionych w ustawie, z wykorzystaniem kwalifikacji zawodowych i pracy własnej (zgodnie z art. 2 ust. 1 ustawy rzemiosło może być wykonywane przez: osobę fizyczną, wspólników spółki cywilnej osób fizycznych w zakresie wykonywanej przez nich wspólnie działalności gospodarczej, spółkę jawną, spółkę komandytową osób fizycznych, spółkę komandytowo-akcyjną osób fizycznych oraz jednoosobową spółkę kapitałową powstałą w wyniku przekształcenia przedsiębiorcy będącego osobą fizyczną);</w:t>
      </w:r>
    </w:p>
    <w:p w14:paraId="605A8675" w14:textId="77777777" w:rsidR="00D86F0D" w:rsidRPr="00A555B6" w:rsidRDefault="00D86F0D" w:rsidP="00D86F0D">
      <w:pPr>
        <w:numPr>
          <w:ilvl w:val="0"/>
          <w:numId w:val="19"/>
        </w:numPr>
        <w:spacing w:before="120" w:after="120" w:line="360" w:lineRule="auto"/>
        <w:contextualSpacing/>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posiadać odpowiednie kwalifikacje rzemieślnicze, potwierdzone dowodami kwalifikacji zawodowych w rzemiośle wymienionymi w art. 3 ust. 1 ustawy o rzemiośle, stosownie do formy prowadzonej działalności gospodarczej oraz stosunków między wspólnikami.</w:t>
      </w:r>
    </w:p>
    <w:p w14:paraId="0BE51870"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Zgodnie z art. 3 ust. 1 dowodami kwalifikacji zawodowych w rzemiośle są: a) dyplom lub świadectwo ukończenia wyższej, ponadgimnazjalnej lub ponadpodstawowej szkoły o profilu technicznym bądź artystycznym w zawodzie (kierunku) odpowiadającym dziedzinie  wykonywanego rzemiosła, b) dyplom mistrza w zawodzie odpowiadającym danemu rodzajowi rzemiosła, c) świadectwo czeladnicze albo tytuł robotnika wykwalifikowanego w zawodzie odpowiadającym danemu rodzajowi rzemiosła, d) zaświadczenie potwierdzające posiadanie wybranych kwalifikacji zawodowych w zakresie zawodu odpowiadającego danemu rodzajowi rzemiosła;</w:t>
      </w:r>
    </w:p>
    <w:p w14:paraId="6EE743AC"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W przypadku osoby fizycznej prowadzącej działalność gospodarczą oraz jednoosobowej spółki kapitałowej powstałej w wyniku przekształcenia przedsiębiorcy będącego osobą fizyczną wykonującego we własnym imieniu działalność gospodarczą uznawane są dowolne kwalifikacje rzemieślnicze wymienione w art. 3 ust. 1 ustawy o rzemiośle, wykorzystywane w działalności gospodarczej.</w:t>
      </w:r>
    </w:p>
    <w:p w14:paraId="391C0629"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W przypadku spółki cywilnej osób fizycznych w zakresie wykonywanej przez nich wspólnie działalności gospodarczej co do zasady konieczne jest, aby każdy ze wspólników posiadał </w:t>
      </w:r>
      <w:r w:rsidRPr="00A555B6">
        <w:rPr>
          <w:rFonts w:ascii="Times New Roman" w:eastAsia="Aptos" w:hAnsi="Times New Roman" w:cs="Times New Roman"/>
          <w:kern w:val="0"/>
          <w14:ligatures w14:val="none"/>
        </w:rPr>
        <w:lastRenderedPageBreak/>
        <w:t>i wykorzystywał dowolne kwalifikacje rzemieślnicze, potwierdzone dowodami kwalifikacji zawodowych w rzemiośle wymienionymi w art. 3 ust. 1 ustawy o rzemiośle. Wymóg dotyczący posiadania i wykorzystywania przez każdego ze wspólników kwalifikacji zawodowych w rzemiośle nie obowiązuje w odniesieniu do wspólników spółki cywilnej osób fizycznych, w której przynajmniej jeden wspólnik posiada i wykorzystuje kwalifikacje zawodowe w rzemiośle, pod warunkiem że pozostałymi wspólnikami takiej spółki są małżonek, wstępni lub zstępni wspólnika.</w:t>
      </w:r>
    </w:p>
    <w:p w14:paraId="0325234C"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W przypadku spółek: jawnej, komandytowej osób fizycznych oraz spółki komandytowo-akcyjnej co do zasady wymagane jest, aby każdy wspólnik posiadał i wykorzystywał wyłącznie kwalifikacje rzemieślnicze, potwierdzone dowodami kwalifikacji zawodowych w rzemiośle wymienione w art. 3 ust. 1 pkt 2 ustawy (tj. dyplom mistrza w zawodzie odpowiadającym danemu rodzajowi rzemiosła) lub w art. 3 ust. 1 pkt 3 ustawy (świadectwo czeladnicze albo tytuł robotnika wykwalifikowanego w zawodzie odpowiadającym danemu rodzaju rzemiosła). Wymóg dotyczący posiadania i wykorzystywania przez każdego ze wspólników wyżej wymienionych spółek kwalifikacji zawodowych w rzemiośle nie obowiązuje w odniesieniu do tych podmiotów, w których przynajmniej jeden wspólnik posiada i wykorzystuje wyżej wymienione kwalifikacje zawodowe, pod warunkiem, że pozostałymi wspólnikami takiej spółki są małżonek, wstępni lub zstępni wspólnika.</w:t>
      </w:r>
    </w:p>
    <w:p w14:paraId="42C7CA44"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Reasumując, zgodnie z obowiązującymi regulacjami rzemieślnikiem jest ten przedsiębiorca, który spełnia wszystkie wyżej wymienione wymogi.</w:t>
      </w:r>
    </w:p>
    <w:p w14:paraId="05A75A44"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Praktyka stosowania przepisów ustawy o rzemiośle pokazała, że przewidziane w niej rozwiązania w zakresie definicji rzemiosła i rzemieślnika są niewystarczające.</w:t>
      </w:r>
    </w:p>
    <w:p w14:paraId="003E98BB"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Środowisko rzemiosła wskazuje między innymi, że konieczna jest dalsza nowelizacja przepisów w zakresie definicji rzemiosła i rzemieślnika, polegająca na zastosowaniu bardziej uniwersalnych kryteriów zaliczania określonych podmiotów do rzemiosła. Problem ten dotyczy przede wszystkim spółek z ograniczoną odpowiedzialnością jako coraz powszechniejszej formy prowadzenia działalności gospodarczej. Ustawowe ograniczenie w zakresie możliwości zaliczenia do rzemiosła jedynie wskazanych w ustawie o rzemiośle spółek prawa handlowego − zdaniem środowiska rzemieślniczego − nie znajduje uzasadnienia. W opinii środowiska rzemiosła − zgodnie z zasadą wolności gospodarczej zawartą w art. 22 Konstytucji oraz wyrażoną w ustawie z dnia 6 marca 2018 r. – Prawo przedsiębiorców – rzemieślnicy powinni mieć prawo do prowadzenia działalności w dogodnej dla nich formie prawnej, zaś ich wyróżnikiem powinny być wyłącznie kwalifikacje zawodowe, potwierdzone dowodami kwalifikacji zawodowych w rzemiośle. </w:t>
      </w:r>
    </w:p>
    <w:p w14:paraId="7C75EFFB"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Proponowana obecnie nowelizacja obejmuje zmianę definicji rzemiosła i rzemieślnika poprzez rozszerzenie katalogu prawnie dopuszczalnej formy prowadzenia działalności gospodarczej w zakresie rzemiosła. Nowa definicja rzemieślnika obejmie dodatkowo spółki kapitałowe (inne niż jednoosobowe spółki kapitałowe powstałe w wyniku przekształcenia przedsiębiorcy będącego osobą fizyczną </w:t>
      </w:r>
      <w:r w:rsidRPr="00A555B6">
        <w:rPr>
          <w:rFonts w:ascii="Times New Roman" w:eastAsia="Aptos" w:hAnsi="Times New Roman" w:cs="Times New Roman"/>
          <w:kern w:val="0"/>
          <w14:ligatures w14:val="none"/>
        </w:rPr>
        <w:lastRenderedPageBreak/>
        <w:t xml:space="preserve">wykonującego we własnym imieniu działalność gospodarczą z wykorzystaniem zawodowych kwalifikacji i pracy własnej). W odniesieniu do spółki komandytowej i komandytowo-akcyjnej proponuje się odejście od wymogu, aby wspólnikami takiej spółki mogły być wyłącznie osoby fizyczne. </w:t>
      </w:r>
    </w:p>
    <w:p w14:paraId="53847D46"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Takie rozszerzenie definicji rzemiosła i rzemieślnika umożliwi przedsiębiorcom rzemieślnikom szeroki wybór prawnie dopuszczalnej formy prowadzenia działalności gospodarczej.</w:t>
      </w:r>
    </w:p>
    <w:p w14:paraId="1CC6CFDB"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Kolejną zmianą oczekiwaną przez środowisko rzemieślnicze jest odejście od wymogu, aby co do zasady wszyscy wspólnicy spółek musieli posiadać i wykorzystywać w ramach wspólnie prowadzonej działalności gospodarczej kwalifikacje zawodowe w rzemiośle, a do tego wyłącznie potwierdzone dowodami kwalifikacji zawodowych w rzemiośle w postaci dyplomu mistrza, świadectwa czeladniczego lub robotnika wykwalifikowanego w zawodzie odpowiadającym danemu rodzajowi rzemiosła.</w:t>
      </w:r>
    </w:p>
    <w:p w14:paraId="1220CDD7"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Wychodząc naprzeciw temu oczekiwaniu proponuje się zastąpienie ww. wymogu wymogiem wykorzystywania we wspólnie prowadzonej działalności gospodarczej spółki (osobowej czy kapitałowej, z wyłączeniem spółki partnerskiej) kwalifikacji zawodowych w rzemiośle, potwierdzonych którymikolwiek dowodami kwalifikacji zawodowych w rzemiośle, o których mowa w art. 3 ust. 1 nowelizowanej ustawy, co najmniej jednego wspólnika będącego osobą fizyczną oraz jego pracy własnej. Ww. wymóg uznaje się za spełniony także w sytuacji, gdy w ramach działalności gospodarczej prowadzonej przed przedsiębiorcę, którego jednym ze wspólników jest spółka, jest wykorzystywana praca własna oraz kwalifikacje zawodowe w rzemiośle, potwierdzone dowodami kwalifikacji zawodowych w rzemiośle, co najmniej jednej osoby fizycznej będącej wspólnikiem tej spółki.</w:t>
      </w:r>
      <w:r w:rsidRPr="00A555B6">
        <w:rPr>
          <w:rFonts w:ascii="Times New Roman" w:eastAsia="Calibri" w:hAnsi="Times New Roman" w:cs="Times New Roman"/>
          <w:kern w:val="0"/>
          <w14:ligatures w14:val="none"/>
        </w:rPr>
        <w:t>.</w:t>
      </w:r>
    </w:p>
    <w:p w14:paraId="0F857D50" w14:textId="3B565BFA"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Projektodawca nie znajduje również uzasadnienia, aby przedsiębiorca prowadzący zawodową działalność gospodarczą w rzemiośle w formie spółki akcyjnej, nie posiadał możliwości, tak jak pozostałe spółki, uzyskania statusu rzemieślnika.</w:t>
      </w:r>
      <w:r w:rsidRPr="00A555B6">
        <w:rPr>
          <w:rFonts w:ascii="Times New Roman" w:hAnsi="Times New Roman" w:cs="Times New Roman"/>
          <w:bCs/>
        </w:rPr>
        <w:t xml:space="preserve"> Z samej definicji rzemieślnika wynika bowiem, że spółka kapitałowa będzie posiadała status rzemieślnika, o ile działalność gospodarcza tej spółki będzie prowadzona z wykorzystaniem kwalifikacji zawodowych w rzemiośle co najmniej jednego wspólnika, potwierdzonych dowodami kwalifikacji zawodowych w rzemiośle i jego pracy własnej – jeżeli jest ona mikroprzedsiębiorcą, małym przedsiębiorcą albo średnim przedsiębiorcą w rozumieniu ustawy z dnia 6</w:t>
      </w:r>
      <w:r w:rsidR="00E6226B" w:rsidRPr="00A555B6">
        <w:rPr>
          <w:rFonts w:ascii="Times New Roman" w:hAnsi="Times New Roman" w:cs="Times New Roman"/>
          <w:bCs/>
        </w:rPr>
        <w:t> </w:t>
      </w:r>
      <w:r w:rsidRPr="00A555B6">
        <w:rPr>
          <w:rFonts w:ascii="Times New Roman" w:hAnsi="Times New Roman" w:cs="Times New Roman"/>
          <w:bCs/>
        </w:rPr>
        <w:t>marca 2018 r. – Prawo przedsiębiorców</w:t>
      </w:r>
      <w:r w:rsidRPr="00A555B6">
        <w:rPr>
          <w:rFonts w:ascii="Times New Roman" w:eastAsia="Aptos" w:hAnsi="Times New Roman" w:cs="Times New Roman"/>
          <w:kern w:val="0"/>
          <w14:ligatures w14:val="none"/>
        </w:rPr>
        <w:t xml:space="preserve">. </w:t>
      </w:r>
      <w:r w:rsidRPr="00A555B6">
        <w:rPr>
          <w:rFonts w:ascii="Times New Roman" w:hAnsi="Times New Roman" w:cs="Times New Roman"/>
          <w:bCs/>
        </w:rPr>
        <w:t>Nie będzie więc to wspólnik powiązany jedynie kapitałowo ze spółką.</w:t>
      </w:r>
    </w:p>
    <w:p w14:paraId="0F250F20"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Ponadto proponuje się zniesienie ograniczenia zawartego w art. 2 ust. 1 nowelizowanej ustawy, różnicującego wymogi dotyczące posiadania i wykorzystywania odpowiednich kwalifikacji rzemieślniczych w zależności od formy prowadzonej działalności gospodarczej oraz stosunków między wspólnikami. W ramach nowelizacji proponuje się, aby bez względu na formę prowadzonej działalności oraz niezależnie od stosunków między wspólnikami rzemiosło mogło być wykonywane przez </w:t>
      </w:r>
      <w:r w:rsidRPr="00A555B6">
        <w:rPr>
          <w:rFonts w:ascii="Times New Roman" w:eastAsia="Aptos" w:hAnsi="Times New Roman" w:cs="Times New Roman"/>
          <w:kern w:val="0"/>
          <w14:ligatures w14:val="none"/>
        </w:rPr>
        <w:lastRenderedPageBreak/>
        <w:t>przedsiębiorcę legitymującego się dowolnym dowodem kwalifikacji zawodowych w rzemiośle, wymienionym w art. 3 ust. 1 nowelizowanej ustawy.</w:t>
      </w:r>
    </w:p>
    <w:p w14:paraId="1BC206C9"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Ustawodawca nie znajduje bowiem uzasadnienia dla dalszego utrzymywania ograniczenia, zgodnie z którym w przypadku spółek handlowych rzemieślnikiem może być wyłącznie osoba, która legitymuje się dowodami kwalifikacji rzemieślniczych, wydanymi przez izby rzemieślnicze przeprowadzające egzaminy czeladnicze i egzaminy mistrzowskie.</w:t>
      </w:r>
    </w:p>
    <w:p w14:paraId="7D8AFD6B"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Zgodnie z obowiązującymi regulacjami, przedsiębiorca spełniający wszystkie wymogi określone w art. 2 ust. 1, 4 i 6 oraz art. 3 ust. 1 nowelizowanej ustawy, z mocy ustawy był rzemieślnikiem.</w:t>
      </w:r>
    </w:p>
    <w:p w14:paraId="5828FF1C"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Przedsiębiorcy, którzy na mocy obowiązujących przed niniejszą nowelizacją przepisów są rzemieślnikami utrzymają ten status po wejściu w życie znowelizowanych przepisów. </w:t>
      </w:r>
    </w:p>
    <w:p w14:paraId="37CFBE26"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Bezwarunkowy status rzemieślnika otrzymają także </w:t>
      </w:r>
      <w:r w:rsidRPr="00A555B6">
        <w:rPr>
          <w:rFonts w:ascii="Times New Roman" w:eastAsia="Times New Roman" w:hAnsi="Times New Roman" w:cs="Times New Roman"/>
          <w:kern w:val="0"/>
          <w14:ligatures w14:val="none"/>
        </w:rPr>
        <w:t>przedsiębiorcy, których działalność zostanie zarejestrowana po wejściu w życie nowelizacji ustawy o rzemiośle, których działalność wypełniałaby definicję rzemiosła w rozumieniu ustawy o rzemiośle w dotychczasowym brzmieniu.</w:t>
      </w:r>
    </w:p>
    <w:p w14:paraId="37BE7DA4" w14:textId="01CB9ABD"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Pozostali przedsiębiorcy wykonujący rzemiosło w rozumieniu nowelizacji ustawy o rzemiośle, tj. spółki zarówno działające już w dniu wejścia w życie znowelizowanych przepisów, a których zawodowo wykonywana działalność gospodarcza stała się rzemiosłem w związku z wejściem w życie ww. przepisów, jak również spółki, </w:t>
      </w:r>
      <w:r w:rsidRPr="00A555B6">
        <w:rPr>
          <w:rFonts w:ascii="Times New Roman" w:eastAsia="Times New Roman" w:hAnsi="Times New Roman" w:cs="Times New Roman"/>
          <w:kern w:val="0"/>
          <w14:ligatures w14:val="none"/>
        </w:rPr>
        <w:t>których działalność zostanie zarejestrowana dopiero po wejściu w życie nowelizacji ustawy o rzemiośle, a których działalność także będzie wypełniać zmienioną definicję rzemiosła w związku z jej  rozszerzeniem</w:t>
      </w:r>
      <w:r w:rsidRPr="00A555B6">
        <w:rPr>
          <w:rFonts w:ascii="Times New Roman" w:eastAsia="Aptos" w:hAnsi="Times New Roman" w:cs="Times New Roman"/>
          <w:kern w:val="0"/>
          <w14:ligatures w14:val="none"/>
        </w:rPr>
        <w:t xml:space="preserve">, zostaną uznane za rzemieślników, o ile zrzeszą się w cechu lub izbie rzemieślniczej. Spółki takie nabędą status rzemieślników z dniem </w:t>
      </w:r>
      <w:r w:rsidR="00EF786A" w:rsidRPr="00A555B6">
        <w:rPr>
          <w:rFonts w:ascii="Times New Roman" w:eastAsia="Aptos" w:hAnsi="Times New Roman" w:cs="Times New Roman"/>
          <w:kern w:val="0"/>
          <w14:ligatures w14:val="none"/>
        </w:rPr>
        <w:t xml:space="preserve">podjęcia </w:t>
      </w:r>
      <w:r w:rsidRPr="00A555B6">
        <w:rPr>
          <w:rFonts w:ascii="Times New Roman" w:eastAsia="Aptos" w:hAnsi="Times New Roman" w:cs="Times New Roman"/>
          <w:kern w:val="0"/>
          <w14:ligatures w14:val="none"/>
        </w:rPr>
        <w:t>uchwały przez właściwy organ statutowy organizacji samorządu gospodarczego rzemiosła o przyjęciu przedsiębiorcy.</w:t>
      </w:r>
    </w:p>
    <w:p w14:paraId="21E6BB25" w14:textId="77777777" w:rsidR="00D86F0D" w:rsidRPr="00A555B6" w:rsidRDefault="00D86F0D" w:rsidP="00D86F0D">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Podkreślić należy, że uzależnienie uzyskania statusu rzemieślnika przez ww. przedsiębiorców od członkostwa w cechu lub izbie rzemieślniczej nie narusza konstytucyjnej wolności zrzeszania się przewidzianej w art. 58 ust. 1 Konstytucji RP. Celem projektowanej regulacji nie jest nakładanie na przedsiębiorcę wykonującego rzemiosło jakichkolwiek ograniczeń naruszających jego prawa. Intencją projektodawcy jest, aby uzyskanie, w związku z wejściem w życie nowelizacji ustawy o rzemiośle,  ustawowego statusu rzemieślnika przez przedsiębiorców niespełniających dotychczasowej definicji rzemieślnika było konsekwencją ich świadomego wyboru. Decydującym kryterium kwalifikacji działalności przedsiębiorcy jako rzemieślniczej będzie nadal wykorzystywanie w niej zawodowych kwalifikacji w rzemiośle.</w:t>
      </w:r>
    </w:p>
    <w:p w14:paraId="2BA6479E" w14:textId="2E5B69D2" w:rsidR="00D86F0D" w:rsidRPr="00A555B6" w:rsidRDefault="00D86F0D" w:rsidP="009E1176">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Świadomość posiadania, bądź nieposiadania ustawowego statusu rzemieślnika jest niezwykle istotna z</w:t>
      </w:r>
      <w:r w:rsidR="00E6226B" w:rsidRPr="00A555B6">
        <w:rPr>
          <w:rFonts w:ascii="Times New Roman" w:eastAsia="Aptos" w:hAnsi="Times New Roman" w:cs="Times New Roman"/>
          <w:kern w:val="0"/>
          <w14:ligatures w14:val="none"/>
        </w:rPr>
        <w:t> </w:t>
      </w:r>
      <w:r w:rsidRPr="00A555B6">
        <w:rPr>
          <w:rFonts w:ascii="Times New Roman" w:eastAsia="Aptos" w:hAnsi="Times New Roman" w:cs="Times New Roman"/>
          <w:kern w:val="0"/>
          <w14:ligatures w14:val="none"/>
        </w:rPr>
        <w:t xml:space="preserve">uwagi na proces prowadzonego przez przedsiębiorców przygotowania zawodowego młodocianych pracowników w rzemiośle. Proces ten kończy się egzaminem składanym przez młodocianego przed Okręgową Komisją Egzaminacyjną (w przypadku przedsiębiorcy nieposiadającego statusu </w:t>
      </w:r>
      <w:r w:rsidRPr="00A555B6">
        <w:rPr>
          <w:rFonts w:ascii="Times New Roman" w:eastAsia="Aptos" w:hAnsi="Times New Roman" w:cs="Times New Roman"/>
          <w:kern w:val="0"/>
          <w14:ligatures w14:val="none"/>
        </w:rPr>
        <w:lastRenderedPageBreak/>
        <w:t>rzemieślnika) lub egzaminem przed komisją egzaminacyjną izby rzemieślniczej (w przypadku przedsiębiorcy posiadającego ustawowy status rzemieślnika).</w:t>
      </w:r>
    </w:p>
    <w:p w14:paraId="251655B0" w14:textId="2973BA16" w:rsidR="00D86F0D" w:rsidRPr="00A555B6" w:rsidRDefault="00D86F0D" w:rsidP="009E1176">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Biorąc pod uwagę, że proponowane zmiany w ustawie o rzemiośle poszerzają definicję rzemiosła, m.in. poprzez rozszerzenie katalogu prawnie dopuszczalnych form działalności rzemieślniczej o spółki kapitałowe, czy też rozszerzenie zakresu wykorzystywanych kwalifikacji zawodowych w rzemiośle istotne jest wprowadzenie rozwiązania, które zagwarantuje m.in., że przedsiębiorca po zakończeniu 3-letniego cyklu kształcenia młodocianego, skieruje go na egzamin przed właściwą komisję egzaminacyjną, co warunkuje otrzymanie dofinansowania kosztów przygotowania zawodowego (art. 122 ustawy - Prawo oświatowe). </w:t>
      </w:r>
    </w:p>
    <w:p w14:paraId="64E1F9E2" w14:textId="13F72340" w:rsidR="00D86F0D" w:rsidRPr="00A555B6" w:rsidRDefault="00D86F0D" w:rsidP="009E1176">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Niezależnie od powyższego należy wskazać, że obowiązkowa przynależność do organizacji samorządu gospodarczego rzemiosła nie jest nowym rozwiązaniem. Zgodnie bowiem z art. 3 ust. 5 ustawy o</w:t>
      </w:r>
      <w:r w:rsidR="00E6226B" w:rsidRPr="00A555B6">
        <w:rPr>
          <w:rFonts w:ascii="Times New Roman" w:eastAsia="Aptos" w:hAnsi="Times New Roman" w:cs="Times New Roman"/>
          <w:kern w:val="0"/>
          <w14:ligatures w14:val="none"/>
        </w:rPr>
        <w:t> </w:t>
      </w:r>
      <w:r w:rsidRPr="00A555B6">
        <w:rPr>
          <w:rFonts w:ascii="Times New Roman" w:eastAsia="Aptos" w:hAnsi="Times New Roman" w:cs="Times New Roman"/>
          <w:kern w:val="0"/>
          <w14:ligatures w14:val="none"/>
        </w:rPr>
        <w:t xml:space="preserve">rzemiośle rzemieślnicy zatrudniający pracowników w celu przygotowania zawodowego w rzemiośle obowiązani są być członkami cechu lub izby rzemieślniczej. </w:t>
      </w:r>
    </w:p>
    <w:p w14:paraId="31AAB079"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Znowelizowane przepisy przyznają wszystkim ww. podmiotom prawo zrzeszania się w cechach lub izbach rzemieślniczych na zasadach określonych w ustawie o rzemiośle. </w:t>
      </w:r>
    </w:p>
    <w:p w14:paraId="7C40E92C"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Przedsiębiorcy prowadzący działalność gospodarczą z wykorzystaniem kwalifikacji zawodowych w rzemiośle, których zawodowo wykonywana działalność gospodarcza stała się rzemiosłem w związku z wejściem w życie znowelizowanych przepisów, niezainteresowani statusem rzemieślnika, będą mogli kontynuować działalność rzemieślniczą bez posiadania ustawowego statusu rzemieślnika.</w:t>
      </w:r>
    </w:p>
    <w:p w14:paraId="613E274E"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Kolejną proponowaną zmianą, również postulowaną przez środowisko rzemieślnicze, jest modyfikacja obowiązującego aktualnie katalogu działalności i usług, których nie zalicza się do rzemiosła, poprzez wyłączenie usług optyków okularowych i protetyków słuchu z usług leczniczych wymienionych w tym katalogu.</w:t>
      </w:r>
    </w:p>
    <w:p w14:paraId="2876D1F3"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Zawody optyka okularowego oraz protetyka słuchu są zawodami rzemieślniczymi. W obu zawodach prowadzona jest zarówno szkolna, jak i praktyczna nauka zawodu oraz przeprowadzane są egzaminy czeladnicze i mistrzowskie.</w:t>
      </w:r>
    </w:p>
    <w:p w14:paraId="71611F5B"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Ograniczenie wielkości przedsiębiorcy rzemieślnika wykonującego rzemiosło w formie spółki kapitałowej do mikro-, małego i średniego przedsiębiorcy jest rozwiązaniem analogicznym do aktualnie obowiązującego.</w:t>
      </w:r>
    </w:p>
    <w:p w14:paraId="35FCDC39" w14:textId="77777777" w:rsidR="00D86F0D" w:rsidRPr="00A555B6" w:rsidRDefault="00D86F0D" w:rsidP="00853089">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t xml:space="preserve">Oczekuje się, że rozszerzenie definicji rzemieślnika i rzemiosła przyczyni się do włączenia do rzemiosła tych podmiotów rzemieślniczych, które były dotychczas z niego wykluczone. Przewiduje się, że zaproponowana nowelizacja wzmocni i zróżnicuje podmiotowo sektor rzemiosła, zwiększy efektywność operacyjną mikro-, małych i średnich przedsiębiorstw rzemieślniczych oraz poprawi rentowność i konkurencyjność tych podmiotów gospodarczych. </w:t>
      </w:r>
    </w:p>
    <w:p w14:paraId="067F1C77" w14:textId="2468A567" w:rsidR="00421BBB" w:rsidRPr="00A555B6" w:rsidRDefault="00D86F0D" w:rsidP="00821E81">
      <w:pPr>
        <w:spacing w:before="120" w:after="120" w:line="360" w:lineRule="auto"/>
        <w:jc w:val="both"/>
        <w:rPr>
          <w:rFonts w:ascii="Times New Roman" w:eastAsia="Aptos" w:hAnsi="Times New Roman" w:cs="Times New Roman"/>
          <w:kern w:val="0"/>
          <w14:ligatures w14:val="none"/>
        </w:rPr>
      </w:pPr>
      <w:r w:rsidRPr="00A555B6">
        <w:rPr>
          <w:rFonts w:ascii="Times New Roman" w:eastAsia="Aptos" w:hAnsi="Times New Roman" w:cs="Times New Roman"/>
          <w:kern w:val="0"/>
          <w14:ligatures w14:val="none"/>
        </w:rPr>
        <w:lastRenderedPageBreak/>
        <w:t>W przepisie przejściowym proponuje się, aby młodociani pracownicy odbywający w dniu wejścia w życie niniejszej nowelizacji przygotowanie zawodowe u pracodawcy, który w rozumieniu dotychczasowych przepisów nie był rzemieślnikiem, a po dniu wejścia w życie nowej definicji stanie się nim, kontynuowali to przygotowanie oraz zdawali egzaminy zgodnie z dotychczasowymi zasadami dotyczącymi młodocianych zatrudnionych u pracodawców niebędących rzemieślnikami. Art. 39 ma gwarantować młodocianym pracownikom realizację przygotowania zawodowego na niezmienionych warunkach, ustalonych w umowie o przygotowanie zawodowe (kończące się egzaminem czeladniczym lub egzaminem potwierdzającym kwalifikacje w zawodzie).</w:t>
      </w:r>
    </w:p>
    <w:p w14:paraId="582B0092" w14:textId="7CB32D15" w:rsidR="007868B6" w:rsidRPr="00A555B6" w:rsidRDefault="007868B6" w:rsidP="007868B6">
      <w:pPr>
        <w:pStyle w:val="Styl1"/>
      </w:pPr>
      <w:bookmarkStart w:id="24" w:name="_Toc174689301"/>
      <w:r w:rsidRPr="00A555B6">
        <w:t>Ustawa z dnia 12 stycznia 1991 r. o podatkach i opłatach lokalnych</w:t>
      </w:r>
      <w:bookmarkEnd w:id="24"/>
    </w:p>
    <w:p w14:paraId="37AD1CB2" w14:textId="2517DEB8" w:rsidR="009A127B" w:rsidRPr="00A555B6" w:rsidRDefault="009A127B" w:rsidP="009A127B">
      <w:pPr>
        <w:spacing w:before="120" w:after="120" w:line="360" w:lineRule="auto"/>
        <w:jc w:val="both"/>
        <w:rPr>
          <w:rFonts w:ascii="Times New Roman" w:hAnsi="Times New Roman" w:cs="Times New Roman"/>
        </w:rPr>
      </w:pPr>
      <w:r w:rsidRPr="00A555B6">
        <w:rPr>
          <w:rFonts w:ascii="Times New Roman" w:hAnsi="Times New Roman" w:cs="Times New Roman"/>
        </w:rPr>
        <w:t>Przedmiotowa zmiana ma charakter deregulacyjny i jest ściśle skorelowana ze zmianą w ustawie – Prawo o notariacie i zmianami w art. 165 § 7-8 oraz art. 200 § 2 pkt 3 Ordynacji podatkowej. Przewiduje ona, że przepisu art. 6 ust. 6, mówiącego o obowiązku składania przez osobę fizyczną właściwemu organowi podatkowemu informacji o nieruchomościach i obiektach budowlanych związanych z</w:t>
      </w:r>
      <w:r w:rsidR="00E6226B" w:rsidRPr="00A555B6">
        <w:rPr>
          <w:rFonts w:ascii="Times New Roman" w:hAnsi="Times New Roman" w:cs="Times New Roman"/>
        </w:rPr>
        <w:t> </w:t>
      </w:r>
      <w:r w:rsidRPr="00A555B6">
        <w:rPr>
          <w:rFonts w:ascii="Times New Roman" w:hAnsi="Times New Roman" w:cs="Times New Roman"/>
        </w:rPr>
        <w:t>powstaniem albo wygaśnięciem obowiązku podatkowego w zakresie podatku od nieruchomości, nie stosuje się w przypadkach gdy okoliczności te wynikają z przeniesienia własności nieruchomości zawartego w treści aktu notarialnego, pod warunkiem, że notariusz przesłał wypis tego aktu notarialnego właściwemu organowi podatkowemu</w:t>
      </w:r>
      <w:r w:rsidR="005D487A" w:rsidRPr="00A555B6">
        <w:rPr>
          <w:rFonts w:ascii="Times New Roman" w:hAnsi="Times New Roman" w:cs="Times New Roman"/>
        </w:rPr>
        <w:t xml:space="preserve"> – o ile samo przeniesienie pozostaje bez wpływu na wysokość opodatkowania (tj. podstawę opodatkowania, stawkę podatku i ewentualne zwolnienie przedmiotowe). W przypadku natomiast, gdy wspomniane okoliczności ulegają zmianie, notariusz może odebrać od podmiotu bądź podmiotów biorących udział w tym akcie odpowiednie oświadczenia (zob. zmiany w</w:t>
      </w:r>
      <w:r w:rsidR="00D90BEB" w:rsidRPr="00A555B6">
        <w:rPr>
          <w:rFonts w:ascii="Times New Roman" w:hAnsi="Times New Roman" w:cs="Times New Roman"/>
        </w:rPr>
        <w:t> </w:t>
      </w:r>
      <w:r w:rsidR="005D487A" w:rsidRPr="00A555B6">
        <w:rPr>
          <w:rFonts w:ascii="Times New Roman" w:hAnsi="Times New Roman" w:cs="Times New Roman"/>
        </w:rPr>
        <w:t>ustawie – Prawo o notariacie) i załączyć je do wypisu aktu notarialnego. Także i w takiej sytuacji zastosowania nie znajdzie przepis art. 6 ust. 6.</w:t>
      </w:r>
      <w:r w:rsidRPr="00A555B6">
        <w:rPr>
          <w:rFonts w:ascii="Times New Roman" w:hAnsi="Times New Roman" w:cs="Times New Roman"/>
        </w:rPr>
        <w:t xml:space="preserve"> Po otrzymaniu od notariusza wypisu</w:t>
      </w:r>
      <w:r w:rsidR="005D487A" w:rsidRPr="00A555B6">
        <w:rPr>
          <w:rFonts w:ascii="Times New Roman" w:hAnsi="Times New Roman" w:cs="Times New Roman"/>
        </w:rPr>
        <w:t xml:space="preserve"> (ewentualnie – z</w:t>
      </w:r>
      <w:r w:rsidR="00D90BEB" w:rsidRPr="00A555B6">
        <w:rPr>
          <w:rFonts w:ascii="Times New Roman" w:hAnsi="Times New Roman" w:cs="Times New Roman"/>
        </w:rPr>
        <w:t> </w:t>
      </w:r>
      <w:r w:rsidR="005D487A" w:rsidRPr="00A555B6">
        <w:rPr>
          <w:rFonts w:ascii="Times New Roman" w:hAnsi="Times New Roman" w:cs="Times New Roman"/>
        </w:rPr>
        <w:t xml:space="preserve">oświadczeniami) </w:t>
      </w:r>
      <w:r w:rsidRPr="00A555B6">
        <w:rPr>
          <w:rFonts w:ascii="Times New Roman" w:hAnsi="Times New Roman" w:cs="Times New Roman"/>
        </w:rPr>
        <w:t>organ podatkowy nie będzie zobowiązany do wydania postanowienia o wszczęciu postępowania w celu wydania decyzji wymiarowej. Notariusz, jako zawód zaufania publicznego, będzie składał, na wniosek podatnika, wypis aktu notarialnego</w:t>
      </w:r>
      <w:r w:rsidR="005D487A" w:rsidRPr="00A555B6">
        <w:rPr>
          <w:rFonts w:ascii="Times New Roman" w:hAnsi="Times New Roman" w:cs="Times New Roman"/>
        </w:rPr>
        <w:t xml:space="preserve"> (z ewentualnymi oświadczeniami)</w:t>
      </w:r>
      <w:r w:rsidRPr="00A555B6">
        <w:rPr>
          <w:rFonts w:ascii="Times New Roman" w:hAnsi="Times New Roman" w:cs="Times New Roman"/>
        </w:rPr>
        <w:t xml:space="preserve">, w którym będą zawarte dane i informacje potrzebne do wydania decyzji. Dlatego zbędne i zdecydowanie nadmiarowe stanie się przekazywanie ponownie tych samych danych przez osobę fizyczną, której sprawa dotyczy. </w:t>
      </w:r>
    </w:p>
    <w:p w14:paraId="0732997B" w14:textId="52DF4685" w:rsidR="009A127B" w:rsidRPr="00A555B6" w:rsidRDefault="009A127B" w:rsidP="009A127B">
      <w:pPr>
        <w:spacing w:before="120" w:after="120" w:line="360" w:lineRule="auto"/>
        <w:jc w:val="both"/>
        <w:rPr>
          <w:rFonts w:ascii="Times New Roman" w:hAnsi="Times New Roman" w:cs="Times New Roman"/>
        </w:rPr>
      </w:pPr>
      <w:r w:rsidRPr="00A555B6">
        <w:rPr>
          <w:rFonts w:ascii="Times New Roman" w:hAnsi="Times New Roman" w:cs="Times New Roman"/>
        </w:rPr>
        <w:t>Jednocześnie rozwiązanie to jest także korzystne dla organów podatkowych, które będą posiadały aktualną i pełną wiedzą na temat właścicieli nieruchomości. Obecnie zdarza się, szczególnie w dużych ośrodkach miejskich, gdzie powstaje wiele nieruchomości (lokali mieszkalnych), że podatnicy nie składają informacji IN-1 i organy podatkowe nie mogą wydać decyzji wymiarowych. Dlatego projektowane rozwiązanie przyczyni się do uszczelnienia systemu podatkowego i zwiększy wpływy z</w:t>
      </w:r>
      <w:r w:rsidR="00E6226B" w:rsidRPr="00A555B6">
        <w:rPr>
          <w:rFonts w:ascii="Times New Roman" w:hAnsi="Times New Roman" w:cs="Times New Roman"/>
        </w:rPr>
        <w:t> </w:t>
      </w:r>
      <w:r w:rsidRPr="00A555B6">
        <w:rPr>
          <w:rFonts w:ascii="Times New Roman" w:hAnsi="Times New Roman" w:cs="Times New Roman"/>
        </w:rPr>
        <w:t xml:space="preserve">podatku od nieruchomości. </w:t>
      </w:r>
    </w:p>
    <w:p w14:paraId="15865D9F" w14:textId="7A2A5B43" w:rsidR="009A127B" w:rsidRPr="00A555B6" w:rsidRDefault="009A127B" w:rsidP="00821E81">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Należy </w:t>
      </w:r>
      <w:r w:rsidR="005D487A" w:rsidRPr="00A555B6">
        <w:rPr>
          <w:rFonts w:ascii="Times New Roman" w:hAnsi="Times New Roman" w:cs="Times New Roman"/>
        </w:rPr>
        <w:t xml:space="preserve">także </w:t>
      </w:r>
      <w:r w:rsidRPr="00A555B6">
        <w:rPr>
          <w:rFonts w:ascii="Times New Roman" w:hAnsi="Times New Roman" w:cs="Times New Roman"/>
        </w:rPr>
        <w:t xml:space="preserve">podkreślić, że </w:t>
      </w:r>
      <w:r w:rsidR="005D487A" w:rsidRPr="00A555B6">
        <w:rPr>
          <w:rFonts w:ascii="Times New Roman" w:hAnsi="Times New Roman" w:cs="Times New Roman"/>
        </w:rPr>
        <w:t>uprawnienia/obowiązki organu do wszczęcia postępowania podatkowego nie ulegną zmianie. J</w:t>
      </w:r>
      <w:r w:rsidRPr="00A555B6">
        <w:rPr>
          <w:rFonts w:ascii="Times New Roman" w:hAnsi="Times New Roman" w:cs="Times New Roman"/>
        </w:rPr>
        <w:t>eżeli w toku postępowani</w:t>
      </w:r>
      <w:r w:rsidR="005D487A" w:rsidRPr="00A555B6">
        <w:rPr>
          <w:rFonts w:ascii="Times New Roman" w:hAnsi="Times New Roman" w:cs="Times New Roman"/>
        </w:rPr>
        <w:t>a</w:t>
      </w:r>
      <w:r w:rsidRPr="00A555B6">
        <w:rPr>
          <w:rFonts w:ascii="Times New Roman" w:hAnsi="Times New Roman" w:cs="Times New Roman"/>
        </w:rPr>
        <w:t xml:space="preserve"> okaże się to niezbędne, będzie </w:t>
      </w:r>
      <w:r w:rsidR="005D487A" w:rsidRPr="00A555B6">
        <w:rPr>
          <w:rFonts w:ascii="Times New Roman" w:hAnsi="Times New Roman" w:cs="Times New Roman"/>
        </w:rPr>
        <w:t xml:space="preserve">on </w:t>
      </w:r>
      <w:r w:rsidRPr="00A555B6">
        <w:rPr>
          <w:rFonts w:ascii="Times New Roman" w:hAnsi="Times New Roman" w:cs="Times New Roman"/>
        </w:rPr>
        <w:t>mógł zebrać inne dane i informacje</w:t>
      </w:r>
      <w:r w:rsidR="005D487A" w:rsidRPr="00A555B6">
        <w:rPr>
          <w:rFonts w:ascii="Times New Roman" w:hAnsi="Times New Roman" w:cs="Times New Roman"/>
        </w:rPr>
        <w:t xml:space="preserve"> niezbędne do prawidłowego wymiaru podatku</w:t>
      </w:r>
      <w:r w:rsidRPr="00A555B6">
        <w:rPr>
          <w:rFonts w:ascii="Times New Roman" w:hAnsi="Times New Roman" w:cs="Times New Roman"/>
        </w:rPr>
        <w:t xml:space="preserve">. </w:t>
      </w:r>
    </w:p>
    <w:p w14:paraId="3854B396" w14:textId="742B5F42" w:rsidR="000B0C06" w:rsidRPr="00A555B6" w:rsidRDefault="000B0C06" w:rsidP="004E6FE9">
      <w:pPr>
        <w:pStyle w:val="Styl1"/>
        <w:spacing w:before="120" w:after="120" w:line="360" w:lineRule="auto"/>
      </w:pPr>
      <w:bookmarkStart w:id="25" w:name="_Toc174689302"/>
      <w:bookmarkStart w:id="26" w:name="_Hlk162424908"/>
      <w:r w:rsidRPr="00A555B6">
        <w:t>Ustawa z dnia 14 lutego 1991 r. – Prawo o notariacie</w:t>
      </w:r>
      <w:bookmarkEnd w:id="25"/>
      <w:r w:rsidRPr="00A555B6">
        <w:t xml:space="preserve"> </w:t>
      </w:r>
      <w:bookmarkEnd w:id="26"/>
    </w:p>
    <w:p w14:paraId="5C0BF185" w14:textId="2E66205B" w:rsidR="009A127B" w:rsidRPr="00A555B6" w:rsidRDefault="00227C36" w:rsidP="009A127B">
      <w:pPr>
        <w:spacing w:before="120" w:after="120" w:line="360" w:lineRule="auto"/>
        <w:jc w:val="both"/>
        <w:rPr>
          <w:rFonts w:ascii="Times New Roman" w:hAnsi="Times New Roman" w:cs="Times New Roman"/>
        </w:rPr>
      </w:pPr>
      <w:r w:rsidRPr="00A555B6">
        <w:rPr>
          <w:rFonts w:ascii="Times New Roman" w:hAnsi="Times New Roman" w:cs="Times New Roman"/>
        </w:rPr>
        <w:t xml:space="preserve">Nowelizacja ustawy przewiduje, że </w:t>
      </w:r>
      <w:r w:rsidR="009A127B" w:rsidRPr="00A555B6">
        <w:rPr>
          <w:rFonts w:ascii="Times New Roman" w:hAnsi="Times New Roman" w:cs="Times New Roman"/>
        </w:rPr>
        <w:t>jeżeli akt notarialny w swej treści będzie zawierał przeniesienie własności nieruchomości a przynajmniej jednym z podmiotów biorących udział w tym akcie będzie osoba fizyczna,</w:t>
      </w:r>
      <w:r w:rsidR="005D487A" w:rsidRPr="00A555B6">
        <w:rPr>
          <w:rFonts w:ascii="Times New Roman" w:hAnsi="Times New Roman" w:cs="Times New Roman"/>
        </w:rPr>
        <w:t xml:space="preserve"> oraz gdy przy przeniesieniu własności tej nieruchomości zmianie nie ulegać będą okoliczności mające wpływ na wysokość opodatkowania podatkiem od nieruchomości,</w:t>
      </w:r>
      <w:r w:rsidR="009A127B" w:rsidRPr="00A555B6">
        <w:rPr>
          <w:rFonts w:ascii="Times New Roman" w:hAnsi="Times New Roman" w:cs="Times New Roman"/>
        </w:rPr>
        <w:t xml:space="preserve"> to notariusz będzie pouczał te osoby fizyczne o przysługującym im uprawnieniu do złożenia przez notariusza wniosku. Wniosek będzie dotyczył zobowiązania notariusza do złożenia, w</w:t>
      </w:r>
      <w:r w:rsidR="00E6226B" w:rsidRPr="00A555B6">
        <w:rPr>
          <w:rFonts w:ascii="Times New Roman" w:hAnsi="Times New Roman" w:cs="Times New Roman"/>
        </w:rPr>
        <w:t> </w:t>
      </w:r>
      <w:r w:rsidR="009A127B" w:rsidRPr="00A555B6">
        <w:rPr>
          <w:rFonts w:ascii="Times New Roman" w:hAnsi="Times New Roman" w:cs="Times New Roman"/>
        </w:rPr>
        <w:t xml:space="preserve">ciągu 14 dni od podpisania aktu, wypisu tego aktu organowi podatkowemu właściwemu miejscowo w sprawach podatku od nieruchomości. Takie rozwiązanie spowoduje, że osoba fizyczna nie będzie zobligowana do składania oddzielnej informacji w zakresie podatku od nieruchomości IN-1. </w:t>
      </w:r>
      <w:r w:rsidR="005D487A" w:rsidRPr="00A555B6">
        <w:rPr>
          <w:rFonts w:ascii="Times New Roman" w:hAnsi="Times New Roman" w:cs="Times New Roman"/>
        </w:rPr>
        <w:t>W przypadku natomiast, gdy okoliczności mające wpływ na wysokość opodatkowania będą podlegały zmianom, notariusz będzie mógł odebrać od podmiotu lub podmiotów biorących udział w tym akcie oświadczenia wskazujące okoliczności mające wpływ na wysokość opodatkowania, a następnie będzie składał je właściwemu organowi podatkowemu wraz z wypisem aktu notarialnego w ciągu 14 dni.</w:t>
      </w:r>
    </w:p>
    <w:p w14:paraId="636438A4" w14:textId="77777777" w:rsidR="00270BBA" w:rsidRPr="00A555B6" w:rsidRDefault="00270BBA" w:rsidP="00270BBA">
      <w:pPr>
        <w:pStyle w:val="Styl1"/>
        <w:spacing w:before="120" w:after="120" w:line="360" w:lineRule="auto"/>
      </w:pPr>
      <w:bookmarkStart w:id="27" w:name="_Toc174689303"/>
      <w:r w:rsidRPr="00E21D88">
        <w:t xml:space="preserve">Ustawa z dnia </w:t>
      </w:r>
      <w:r w:rsidRPr="00A555B6">
        <w:t>26 lipca 1991 r. o podatku dochodowym od osób fizycznych</w:t>
      </w:r>
      <w:bookmarkEnd w:id="27"/>
    </w:p>
    <w:p w14:paraId="16DDC51F" w14:textId="77777777" w:rsidR="00270BBA" w:rsidRPr="00A555B6" w:rsidRDefault="00270BBA" w:rsidP="00270BBA">
      <w:pPr>
        <w:spacing w:before="120" w:after="120" w:line="360" w:lineRule="auto"/>
        <w:jc w:val="both"/>
        <w:rPr>
          <w:rFonts w:ascii="Times New Roman" w:hAnsi="Times New Roman" w:cs="Times New Roman"/>
        </w:rPr>
      </w:pPr>
      <w:r w:rsidRPr="00A555B6">
        <w:rPr>
          <w:rFonts w:ascii="Times New Roman" w:hAnsi="Times New Roman" w:cs="Times New Roman"/>
        </w:rPr>
        <w:t>W art. 26e ust. 2 pkt 6 i 7 ustawy o PIT wprowadzone zostały analogiczne zmiany jak w art. 18d ust. 2 pkt 6 i 7 ustawy o CIT.</w:t>
      </w:r>
    </w:p>
    <w:p w14:paraId="57D363BF" w14:textId="282F0D5E" w:rsidR="000B0C06" w:rsidRPr="00A555B6" w:rsidRDefault="000B0C06" w:rsidP="004E6FE9">
      <w:pPr>
        <w:pStyle w:val="Styl1"/>
        <w:spacing w:before="120" w:after="120" w:line="360" w:lineRule="auto"/>
      </w:pPr>
      <w:bookmarkStart w:id="28" w:name="_Toc174689304"/>
      <w:r w:rsidRPr="00A555B6">
        <w:t>Ustawa z dnia 15 lutego 1992 r. o podatku dochodowym od osób prawnych</w:t>
      </w:r>
      <w:bookmarkEnd w:id="28"/>
    </w:p>
    <w:p w14:paraId="784A2ABB" w14:textId="78FF1C0F"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 W art. 18d ust. 2 ustawy </w:t>
      </w:r>
      <w:r w:rsidR="00853089" w:rsidRPr="00A555B6">
        <w:rPr>
          <w:rFonts w:ascii="Times New Roman" w:hAnsi="Times New Roman" w:cs="Times New Roman"/>
        </w:rPr>
        <w:t xml:space="preserve">o </w:t>
      </w:r>
      <w:r w:rsidRPr="00A555B6">
        <w:rPr>
          <w:rFonts w:ascii="Times New Roman" w:hAnsi="Times New Roman" w:cs="Times New Roman"/>
        </w:rPr>
        <w:t>CIT rozszerzona została możliwość zaliczenia do kosztów kwalifikowanych następujących kosztów związanych z działalnością badawczo-rozwojową:</w:t>
      </w:r>
    </w:p>
    <w:p w14:paraId="505636C0" w14:textId="738BF089" w:rsidR="003057CA" w:rsidRPr="00A555B6" w:rsidRDefault="00096D00" w:rsidP="003057CA">
      <w:pPr>
        <w:spacing w:before="120" w:after="120" w:line="360" w:lineRule="auto"/>
        <w:jc w:val="both"/>
        <w:rPr>
          <w:rFonts w:ascii="Times New Roman" w:hAnsi="Times New Roman" w:cs="Times New Roman"/>
        </w:rPr>
      </w:pPr>
      <w:r w:rsidRPr="00A555B6">
        <w:rPr>
          <w:rFonts w:ascii="Times New Roman" w:hAnsi="Times New Roman" w:cs="Times New Roman"/>
        </w:rPr>
        <w:t>1</w:t>
      </w:r>
      <w:r w:rsidR="003057CA" w:rsidRPr="00A555B6">
        <w:rPr>
          <w:rFonts w:ascii="Times New Roman" w:hAnsi="Times New Roman" w:cs="Times New Roman"/>
        </w:rPr>
        <w:t>) przeglądów, konserwacji oraz kalibracji aparatury naukowo-badawczej wykorzystywanej wyłącznie w prowadzonej działalności badawczo-rozwojowej, jeżeli zakup usługi nie wynika z umowy zawartej z</w:t>
      </w:r>
      <w:r w:rsidR="00E6226B" w:rsidRPr="00A555B6">
        <w:rPr>
          <w:rFonts w:ascii="Times New Roman" w:hAnsi="Times New Roman" w:cs="Times New Roman"/>
        </w:rPr>
        <w:t> </w:t>
      </w:r>
      <w:r w:rsidR="003057CA" w:rsidRPr="00A555B6">
        <w:rPr>
          <w:rFonts w:ascii="Times New Roman" w:hAnsi="Times New Roman" w:cs="Times New Roman"/>
        </w:rPr>
        <w:t>podmiotem powiązanym w rozumieniu art. 11a ust. 1 pkt 4 z podatnikiem.</w:t>
      </w:r>
    </w:p>
    <w:p w14:paraId="167F5678" w14:textId="79E1C33A"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wskazać, że wykorzystanie środków trwałych do prowadzenia działalności badawczo-rozwojowej wiąże się z zakupem wymiennych i zużywalnych części oraz serwisowania aparatów badawczych wykorzystywanych w prowadzonej działalności badawczo-rozwojowej. </w:t>
      </w:r>
    </w:p>
    <w:p w14:paraId="2E24F098" w14:textId="09D2B946" w:rsidR="003057CA" w:rsidRPr="00A555B6" w:rsidRDefault="00096D00" w:rsidP="003057CA">
      <w:pPr>
        <w:spacing w:before="120" w:after="120" w:line="360" w:lineRule="auto"/>
        <w:jc w:val="both"/>
        <w:rPr>
          <w:rFonts w:ascii="Times New Roman" w:hAnsi="Times New Roman" w:cs="Times New Roman"/>
        </w:rPr>
      </w:pPr>
      <w:r w:rsidRPr="00A555B6">
        <w:rPr>
          <w:rFonts w:ascii="Times New Roman" w:hAnsi="Times New Roman" w:cs="Times New Roman"/>
        </w:rPr>
        <w:t>2</w:t>
      </w:r>
      <w:r w:rsidR="003057CA" w:rsidRPr="00A555B6">
        <w:rPr>
          <w:rFonts w:ascii="Times New Roman" w:hAnsi="Times New Roman" w:cs="Times New Roman"/>
        </w:rPr>
        <w:t>) specjalistycznego transportu towarów wykorzystywanych wyłącznie w prowadzonej działalności badawczo-rozwojowej, jeżeli zakup usługi nie wynika z umowy zawartej z podmiotem powiązanym w</w:t>
      </w:r>
      <w:r w:rsidR="00E6226B" w:rsidRPr="00A555B6">
        <w:rPr>
          <w:rFonts w:ascii="Times New Roman" w:hAnsi="Times New Roman" w:cs="Times New Roman"/>
        </w:rPr>
        <w:t> </w:t>
      </w:r>
      <w:r w:rsidR="003057CA" w:rsidRPr="00A555B6">
        <w:rPr>
          <w:rFonts w:ascii="Times New Roman" w:hAnsi="Times New Roman" w:cs="Times New Roman"/>
        </w:rPr>
        <w:t xml:space="preserve">rozumieniu art. 11a ust. 1 pkt 4 z podatnikiem. </w:t>
      </w:r>
    </w:p>
    <w:p w14:paraId="5A2EB722" w14:textId="0CFA8521"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przepisie wskazano, że specjalistyczny transport towarów dotyczy w szczególności próbek krwi pobranych w trakcie badania klinicznego, próbek badawczych lub odczynników. Jednocześnie nie jest </w:t>
      </w:r>
      <w:r w:rsidRPr="00A555B6">
        <w:rPr>
          <w:rFonts w:ascii="Times New Roman" w:hAnsi="Times New Roman" w:cs="Times New Roman"/>
        </w:rPr>
        <w:lastRenderedPageBreak/>
        <w:t>możliwe wskazanie zamkniętego katalogu towarów wymagających specjalistycznego transportu ze względu na wielość dziedzin badawczych i ich potrzeby. Niemniej transport specjalistyczny jest nieodzownym kosztem prowadzonej działalności badawczo-rozwojowej. Transport specjalistyczny odbywa się w ściśle określonych, specjalnie przystosowanych do danego typu towaru warunkach, np. temperatury (jak przewóz w suchym lodzie), czy wilgotności itp.</w:t>
      </w:r>
    </w:p>
    <w:p w14:paraId="4C4B379C" w14:textId="0F010415" w:rsidR="00115575" w:rsidRPr="00A555B6" w:rsidRDefault="00115575" w:rsidP="00306E7D">
      <w:pPr>
        <w:pStyle w:val="Styl1"/>
        <w:spacing w:before="120" w:after="120" w:line="360" w:lineRule="auto"/>
        <w:jc w:val="both"/>
      </w:pPr>
      <w:bookmarkStart w:id="29" w:name="_Toc174689305"/>
      <w:r w:rsidRPr="00A555B6">
        <w:t>Ustawa z dnia 13 października 1995 r. o zasadach ewidencji i identyfikacji podatników i</w:t>
      </w:r>
      <w:r w:rsidR="00306E7D" w:rsidRPr="00A555B6">
        <w:t> </w:t>
      </w:r>
      <w:r w:rsidRPr="00A555B6">
        <w:t>płatników</w:t>
      </w:r>
      <w:bookmarkEnd w:id="29"/>
    </w:p>
    <w:p w14:paraId="61D6A81B" w14:textId="77777777"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W art. 3 ust. 1 pkt 1 ww. ustawy przewiduje się, że w przypadku podatników będących osobami fizycznymi niebędących zarejestrowanymi podatnikami podatku od towarów i usług lub nieprowadzących działalności gospodarczej, identyfikatorem podatkowym jest numer PESEL, natomiast z pkt 2 tego przepisu wynika, że w innych przypadkach jest to NIP.</w:t>
      </w:r>
    </w:p>
    <w:p w14:paraId="02FC0C72" w14:textId="58E83355"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Zgodnie z art. 5 ust. 1 ustawy z dnia 6 marca 2018 r. – Prawo przedsiębiorców (dalej też: Pp) działalność nierejestrowa nie jest uznawana za działalność gospodarczą w rozumieniu tej ustawy. Nie ma natomiast podstaw, by automatycznie odmówić jej tego przymiotu na gruncie O</w:t>
      </w:r>
      <w:r w:rsidR="007E5F33" w:rsidRPr="00A555B6">
        <w:rPr>
          <w:rFonts w:ascii="Times New Roman" w:hAnsi="Times New Roman" w:cs="Times New Roman"/>
        </w:rPr>
        <w:t>rdynacji podatkowej</w:t>
      </w:r>
      <w:r w:rsidRPr="00A555B6">
        <w:rPr>
          <w:rFonts w:ascii="Times New Roman" w:hAnsi="Times New Roman" w:cs="Times New Roman"/>
        </w:rPr>
        <w:t xml:space="preserve"> oraz ustawy o podatku od towarów i usług. Ustawy te posługują się bowiem swoimi własnymi definicjami działalności gospodarczej, niezależnymi od Pp, wyrażonymi odpowiednio w art. 3 pkt 9 oraz art. 15 ust. 2 tych ustaw.</w:t>
      </w:r>
    </w:p>
    <w:p w14:paraId="1A7635D4" w14:textId="33E3E588"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W zakresie pojęcia działalności gospodarczej ustawa o zasadach ewidencji i identyfikacji podatników i</w:t>
      </w:r>
      <w:r w:rsidR="00E6226B" w:rsidRPr="00A555B6">
        <w:rPr>
          <w:rFonts w:ascii="Times New Roman" w:hAnsi="Times New Roman" w:cs="Times New Roman"/>
        </w:rPr>
        <w:t> </w:t>
      </w:r>
      <w:r w:rsidRPr="00A555B6">
        <w:rPr>
          <w:rFonts w:ascii="Times New Roman" w:hAnsi="Times New Roman" w:cs="Times New Roman"/>
        </w:rPr>
        <w:t xml:space="preserve">płatników nie odwołuje się do żadnej innej regulacji, nie posiada też jego odrębnej legalnej definicji, co może prowadzić do wątpliwości co do dokładnego rozumienia tego terminu w myśl ustawy. </w:t>
      </w:r>
    </w:p>
    <w:p w14:paraId="43FBB346" w14:textId="1AB51709"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 xml:space="preserve">Działalność nierejestrowa może stanowić działalność gospodarczą, w rozumieniu ustawy o </w:t>
      </w:r>
      <w:r w:rsidR="000464F5" w:rsidRPr="00A555B6">
        <w:rPr>
          <w:rFonts w:ascii="Times New Roman" w:hAnsi="Times New Roman" w:cs="Times New Roman"/>
        </w:rPr>
        <w:t>podatku od towarów i usług (dalej: ustawy o VAT)</w:t>
      </w:r>
      <w:r w:rsidRPr="00A555B6">
        <w:rPr>
          <w:rFonts w:ascii="Times New Roman" w:hAnsi="Times New Roman" w:cs="Times New Roman"/>
        </w:rPr>
        <w:t>, jeżeli spełnia definicję działalności gospodarczej wynikającą z</w:t>
      </w:r>
      <w:r w:rsidR="008170ED" w:rsidRPr="00A555B6">
        <w:rPr>
          <w:rFonts w:ascii="Times New Roman" w:hAnsi="Times New Roman" w:cs="Times New Roman"/>
        </w:rPr>
        <w:t> </w:t>
      </w:r>
      <w:r w:rsidRPr="00A555B6">
        <w:rPr>
          <w:rFonts w:ascii="Times New Roman" w:hAnsi="Times New Roman" w:cs="Times New Roman"/>
        </w:rPr>
        <w:t xml:space="preserve">ustawy o VAT. Do podmiotów wykonujących działalność nierejestrową w świetle </w:t>
      </w:r>
      <w:r w:rsidR="006460D6" w:rsidRPr="00A555B6">
        <w:rPr>
          <w:rFonts w:ascii="Times New Roman" w:hAnsi="Times New Roman" w:cs="Times New Roman"/>
        </w:rPr>
        <w:t>Pp</w:t>
      </w:r>
      <w:r w:rsidRPr="00A555B6">
        <w:rPr>
          <w:rFonts w:ascii="Times New Roman" w:hAnsi="Times New Roman" w:cs="Times New Roman"/>
        </w:rPr>
        <w:t xml:space="preserve"> i uznanych za podatników w rozumieniu ustawy o VAT znajdą zatem zastosowanie ogólne zasady dotyczące podatku VAT. Oznacza to, że podmioty te mogą korzystać ze zwolnienia od podatku z uwagi na poziom obrotów na podst</w:t>
      </w:r>
      <w:r w:rsidR="000464F5" w:rsidRPr="00A555B6">
        <w:rPr>
          <w:rFonts w:ascii="Times New Roman" w:hAnsi="Times New Roman" w:cs="Times New Roman"/>
        </w:rPr>
        <w:t>awi</w:t>
      </w:r>
      <w:r w:rsidRPr="00A555B6">
        <w:rPr>
          <w:rFonts w:ascii="Times New Roman" w:hAnsi="Times New Roman" w:cs="Times New Roman"/>
        </w:rPr>
        <w:t xml:space="preserve">e art. 113 ust. 1 i 9 ustawy o VAT (tzw. zwolnienie podmiotowe). Korzystanie przez podatnika ze zwolnienia podmiotowego jest wyłączone w przypadku dokonywania niektórych dostaw towarów lub świadczenia usług. Katalog tych czynności </w:t>
      </w:r>
      <w:r w:rsidR="006460D6" w:rsidRPr="00A555B6">
        <w:rPr>
          <w:rFonts w:ascii="Times New Roman" w:hAnsi="Times New Roman" w:cs="Times New Roman"/>
        </w:rPr>
        <w:t>określa</w:t>
      </w:r>
      <w:r w:rsidRPr="00A555B6">
        <w:rPr>
          <w:rFonts w:ascii="Times New Roman" w:hAnsi="Times New Roman" w:cs="Times New Roman"/>
        </w:rPr>
        <w:t xml:space="preserve"> art. 113 ust. 13 ustawy o VAT.</w:t>
      </w:r>
    </w:p>
    <w:p w14:paraId="2A196A2F" w14:textId="470AAFDB"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 xml:space="preserve">Biorąc pod uwagę cel, który przyświecał powołaniu instytucji działalności nierejestrowej wskazane jest, by osoby ją prowadzące korzystały z PESEL jako identyfikatora podatkowego. Wyjątkiem byłyby sytuacje, w których osoby takie byłyby zarejestrowanymi podatnikami podatku od towarów i usług lub też nie będąc zarejestrowanymi jako podatnicy tego podatku prowadziłyby ewidencję sprzedaży przy zastosowaniu kas rejestrujących – korzystanie z tych ostatnich wymaga bowiem posiadania i posługiwania się NIP. </w:t>
      </w:r>
    </w:p>
    <w:p w14:paraId="2C0B5A2D" w14:textId="6C038B32" w:rsidR="00306E7D" w:rsidRPr="00A555B6" w:rsidRDefault="00306E7D" w:rsidP="00306E7D">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także zwrócić uwagę na zakres przetwarzania danych osobowych, który ograniczony został przez wymóg przestrzegania podstawowych zasad, do których zgodnie z rozporządzeniem Parlamentu </w:t>
      </w:r>
      <w:r w:rsidRPr="00A555B6">
        <w:rPr>
          <w:rFonts w:ascii="Times New Roman" w:hAnsi="Times New Roman" w:cs="Times New Roman"/>
        </w:rPr>
        <w:lastRenderedPageBreak/>
        <w:t>Europejskiego i Rady (UE) 2016/679 z dnia 27 kwietnia 2016 r. w sprawie ochrony osób fizycznych w</w:t>
      </w:r>
      <w:r w:rsidR="008170ED" w:rsidRPr="00A555B6">
        <w:rPr>
          <w:rFonts w:ascii="Times New Roman" w:hAnsi="Times New Roman" w:cs="Times New Roman"/>
        </w:rPr>
        <w:t> </w:t>
      </w:r>
      <w:r w:rsidRPr="00A555B6">
        <w:rPr>
          <w:rFonts w:ascii="Times New Roman" w:hAnsi="Times New Roman" w:cs="Times New Roman"/>
        </w:rPr>
        <w:t xml:space="preserve">związku z przetwarzaniem danych osobowych i w sprawie swobodnego przepływu takich danych oraz uchylenia dyrektywy 95/46/WE (ogólne rozporządzenie o ochronie danych) </w:t>
      </w:r>
      <w:r w:rsidR="00496011" w:rsidRPr="00A555B6">
        <w:rPr>
          <w:rFonts w:ascii="Times New Roman" w:hAnsi="Times New Roman" w:cs="Times New Roman"/>
        </w:rPr>
        <w:t>(</w:t>
      </w:r>
      <w:r w:rsidRPr="00A555B6">
        <w:rPr>
          <w:rFonts w:ascii="Times New Roman" w:hAnsi="Times New Roman" w:cs="Times New Roman"/>
        </w:rPr>
        <w:t>dalej: RODO</w:t>
      </w:r>
      <w:r w:rsidR="00496011" w:rsidRPr="00A555B6">
        <w:rPr>
          <w:rFonts w:ascii="Times New Roman" w:hAnsi="Times New Roman" w:cs="Times New Roman"/>
        </w:rPr>
        <w:t>)</w:t>
      </w:r>
      <w:r w:rsidRPr="00A555B6">
        <w:rPr>
          <w:rFonts w:ascii="Times New Roman" w:hAnsi="Times New Roman" w:cs="Times New Roman"/>
        </w:rPr>
        <w:t xml:space="preserve"> należą: legalność, celowość, adekwatność, prawidłowość, ograniczenie czasowe, integralność, poufność i rozliczalność. Zatem wszelkie czynności związane z pozyskiwaniem danych osobowych, a następnie z ich przetwarzaniem i przechowywaniem, należy oceniać z perspektywy wymienionych powyżej (tj. art. 5 RODO).</w:t>
      </w:r>
    </w:p>
    <w:p w14:paraId="7B83FA2F" w14:textId="78902976" w:rsidR="00306E7D" w:rsidRPr="00A555B6" w:rsidRDefault="00306E7D" w:rsidP="00FE4AC5">
      <w:pPr>
        <w:spacing w:before="120" w:after="120" w:line="360" w:lineRule="auto"/>
        <w:jc w:val="both"/>
        <w:rPr>
          <w:rFonts w:ascii="Times New Roman" w:hAnsi="Times New Roman" w:cs="Times New Roman"/>
        </w:rPr>
      </w:pPr>
      <w:r w:rsidRPr="00A555B6">
        <w:rPr>
          <w:rFonts w:ascii="Times New Roman" w:hAnsi="Times New Roman" w:cs="Times New Roman"/>
        </w:rPr>
        <w:t xml:space="preserve">Zaprojektowany przepis w niniejszym projekcie ustawy koresponduje przede wszystkim z zasadą </w:t>
      </w:r>
      <w:r w:rsidR="00491E87" w:rsidRPr="00A555B6">
        <w:rPr>
          <w:rFonts w:ascii="Times New Roman" w:hAnsi="Times New Roman" w:cs="Times New Roman"/>
        </w:rPr>
        <w:t>ade</w:t>
      </w:r>
      <w:r w:rsidRPr="00A555B6">
        <w:rPr>
          <w:rFonts w:ascii="Times New Roman" w:hAnsi="Times New Roman" w:cs="Times New Roman"/>
        </w:rPr>
        <w:t xml:space="preserve">kwatności (art. 5 ust. 1 lit. c RODO), która dopuszcza możliwość zbierania tylko danych niezbędnych do osiągnięcia celu przetwarzania. W omawianym przypadku celem tym jest umożliwienie prowadzenia drobnej aktywności ekonomicznej przez osoby fizyczne przy zachowaniu jak najmniejszych formalności i obowiązków publicznych oraz doprecyzowanie regulacji, które budzą obecnie wątpliwości. Efektem tej zmiany będzie wyeliminowanie najistotniejszych wątpliwości praktycznych funkcjonowania tej instytucji – z korzyścią zarówno dla obywateli, jak i dla organów. </w:t>
      </w:r>
    </w:p>
    <w:p w14:paraId="0A806251" w14:textId="39C79469" w:rsidR="00115575" w:rsidRPr="00A555B6" w:rsidRDefault="00115575" w:rsidP="004E6FE9">
      <w:pPr>
        <w:pStyle w:val="Styl1"/>
        <w:spacing w:before="120" w:after="120" w:line="360" w:lineRule="auto"/>
      </w:pPr>
      <w:bookmarkStart w:id="30" w:name="_Toc174689306"/>
      <w:r w:rsidRPr="00A555B6">
        <w:t>Ustawa z dnia 5 grudnia 1996 r. o zawodach lekarza i lekarza dentysty</w:t>
      </w:r>
      <w:bookmarkEnd w:id="30"/>
      <w:r w:rsidRPr="00A555B6">
        <w:t xml:space="preserve">  </w:t>
      </w:r>
    </w:p>
    <w:p w14:paraId="7C5073CD" w14:textId="5E0FE337" w:rsidR="00BD7EBA" w:rsidRPr="00A555B6" w:rsidRDefault="00BD7EBA" w:rsidP="004E6FE9">
      <w:pPr>
        <w:spacing w:before="120" w:after="120" w:line="360" w:lineRule="auto"/>
        <w:jc w:val="both"/>
        <w:rPr>
          <w:rFonts w:ascii="Times New Roman" w:hAnsi="Times New Roman" w:cs="Times New Roman"/>
        </w:rPr>
      </w:pPr>
      <w:bookmarkStart w:id="31" w:name="_Hlk117836220"/>
      <w:r w:rsidRPr="00A555B6">
        <w:rPr>
          <w:rFonts w:ascii="Times New Roman" w:hAnsi="Times New Roman" w:cs="Times New Roman"/>
        </w:rPr>
        <w:t>Zmiana w niniejszej ustawie dotyczy odstąpienia od zasady dwuinstancyjności. W ustawie o</w:t>
      </w:r>
      <w:r w:rsidR="00C74181" w:rsidRPr="00A555B6">
        <w:rPr>
          <w:rFonts w:ascii="Times New Roman" w:hAnsi="Times New Roman" w:cs="Times New Roman"/>
        </w:rPr>
        <w:t> </w:t>
      </w:r>
      <w:r w:rsidRPr="00A555B6">
        <w:rPr>
          <w:rFonts w:ascii="Times New Roman" w:hAnsi="Times New Roman" w:cs="Times New Roman"/>
        </w:rPr>
        <w:t xml:space="preserve">zawodach lekarza i </w:t>
      </w:r>
      <w:r w:rsidR="00911638" w:rsidRPr="00A555B6">
        <w:rPr>
          <w:rFonts w:ascii="Times New Roman" w:hAnsi="Times New Roman" w:cs="Times New Roman"/>
        </w:rPr>
        <w:t>lekarza</w:t>
      </w:r>
      <w:r w:rsidRPr="00A555B6">
        <w:rPr>
          <w:rFonts w:ascii="Times New Roman" w:hAnsi="Times New Roman" w:cs="Times New Roman"/>
        </w:rPr>
        <w:t xml:space="preserve"> dentysty</w:t>
      </w:r>
      <w:r w:rsidR="00911638" w:rsidRPr="00A555B6">
        <w:rPr>
          <w:rFonts w:ascii="Times New Roman" w:hAnsi="Times New Roman" w:cs="Times New Roman"/>
        </w:rPr>
        <w:t xml:space="preserve"> </w:t>
      </w:r>
      <w:r w:rsidRPr="00A555B6">
        <w:rPr>
          <w:rFonts w:ascii="Times New Roman" w:hAnsi="Times New Roman" w:cs="Times New Roman"/>
        </w:rPr>
        <w:t xml:space="preserve">art. 16o ust. 4 reguluje skreślenie lekarza pełniącego służbę lub zatrudnionego w podmiocie leczniczym utworzonym przez ministra właściwego do spraw wewnętrznych z rejestru lekarzy odbywających szkolenie specjalizacyjne </w:t>
      </w:r>
      <w:r w:rsidR="002A7638" w:rsidRPr="00A555B6">
        <w:rPr>
          <w:rFonts w:ascii="Times New Roman" w:hAnsi="Times New Roman" w:cs="Times New Roman"/>
        </w:rPr>
        <w:t>prowadzone</w:t>
      </w:r>
      <w:r w:rsidRPr="00A555B6">
        <w:rPr>
          <w:rFonts w:ascii="Times New Roman" w:hAnsi="Times New Roman" w:cs="Times New Roman"/>
        </w:rPr>
        <w:t xml:space="preserve"> przez Centrum Medyczne Kształcenia Podyplomowego. Katalog przyczyn uniemożliwiających realizację lub kontynuowanie szkolenia specjalizacyjnego ma charakter zamknięty. Skreślenie lekarza z rejestru lekarzy odbywających szkolenie specjalizacyjne następuje w drodze decyzji, do której zastosowanie mają przepisy Kpa. </w:t>
      </w:r>
    </w:p>
    <w:p w14:paraId="35778632" w14:textId="2EA829E1" w:rsidR="00BD7EBA" w:rsidRPr="00A555B6" w:rsidRDefault="00BD7EBA" w:rsidP="004E6FE9">
      <w:pPr>
        <w:spacing w:before="120" w:after="120" w:line="360" w:lineRule="auto"/>
        <w:jc w:val="both"/>
        <w:rPr>
          <w:rFonts w:ascii="Times New Roman" w:hAnsi="Times New Roman" w:cs="Times New Roman"/>
        </w:rPr>
      </w:pPr>
      <w:r w:rsidRPr="00A555B6">
        <w:rPr>
          <w:rFonts w:ascii="Times New Roman" w:hAnsi="Times New Roman" w:cs="Times New Roman"/>
        </w:rPr>
        <w:t>Należy wskazać, że decyzja w przedmiotowej sprawie ma charakter związany, co oznacza, że w</w:t>
      </w:r>
      <w:r w:rsidR="00C74181" w:rsidRPr="00A555B6">
        <w:rPr>
          <w:rFonts w:ascii="Times New Roman" w:hAnsi="Times New Roman" w:cs="Times New Roman"/>
        </w:rPr>
        <w:t> </w:t>
      </w:r>
      <w:r w:rsidRPr="00A555B6">
        <w:rPr>
          <w:rFonts w:ascii="Times New Roman" w:hAnsi="Times New Roman" w:cs="Times New Roman"/>
        </w:rPr>
        <w:t>przypadku zaistnienia przes</w:t>
      </w:r>
      <w:r w:rsidR="001529EA" w:rsidRPr="00A555B6">
        <w:rPr>
          <w:rFonts w:ascii="Times New Roman" w:hAnsi="Times New Roman" w:cs="Times New Roman"/>
        </w:rPr>
        <w:t>łan</w:t>
      </w:r>
      <w:r w:rsidRPr="00A555B6">
        <w:rPr>
          <w:rFonts w:ascii="Times New Roman" w:hAnsi="Times New Roman" w:cs="Times New Roman"/>
        </w:rPr>
        <w:t xml:space="preserve">ek określonych w art. 16o ust. 1 wskazujących na brak możliwości realizacji lub kontynuowania szkolenia specjalizacyjnego wojewoda, minister obrony narodowej albo minister właściwy do spraw wewnętrznych jest zobowiązany do wydania decyzji pozytywnej, tj. skreślenia lekarza pełniącego służbę lub zatrudnionego w podmiocie leczniczym utworzonym przez tego ministra z rejestru lekarzy odbywających szkolenie specjalizacyjne. </w:t>
      </w:r>
      <w:bookmarkStart w:id="32" w:name="mip42270576"/>
      <w:bookmarkEnd w:id="32"/>
    </w:p>
    <w:p w14:paraId="53429A62" w14:textId="648EA8AB" w:rsidR="00115575" w:rsidRPr="00A555B6" w:rsidRDefault="00115575" w:rsidP="004E6FE9">
      <w:pPr>
        <w:pStyle w:val="Styl1"/>
        <w:spacing w:before="120" w:after="120" w:line="360" w:lineRule="auto"/>
      </w:pPr>
      <w:bookmarkStart w:id="33" w:name="_Toc174689307"/>
      <w:bookmarkEnd w:id="31"/>
      <w:r w:rsidRPr="00A555B6">
        <w:t>Ustawa z dnia 29 sierpnia 1997 r. – Ordynacja podatkowa</w:t>
      </w:r>
      <w:bookmarkEnd w:id="33"/>
    </w:p>
    <w:p w14:paraId="3F0E0F63" w14:textId="366F293F" w:rsidR="00106DC1" w:rsidRPr="00A555B6" w:rsidRDefault="00106DC1" w:rsidP="00106DC1">
      <w:pPr>
        <w:pStyle w:val="Akapitzlist"/>
        <w:numPr>
          <w:ilvl w:val="0"/>
          <w:numId w:val="25"/>
        </w:numPr>
        <w:spacing w:before="120" w:after="120" w:line="360" w:lineRule="auto"/>
        <w:ind w:left="357" w:firstLine="357"/>
        <w:jc w:val="both"/>
        <w:rPr>
          <w:rFonts w:ascii="Times New Roman" w:hAnsi="Times New Roman" w:cs="Times New Roman"/>
        </w:rPr>
      </w:pPr>
      <w:r w:rsidRPr="00A555B6">
        <w:rPr>
          <w:rFonts w:ascii="Times New Roman" w:hAnsi="Times New Roman" w:cs="Times New Roman"/>
        </w:rPr>
        <w:t>Zmiany dotyczące biegu terminu przedawnienia zobowiązania podatkowego</w:t>
      </w:r>
      <w:r w:rsidR="00853089" w:rsidRPr="00A555B6">
        <w:rPr>
          <w:rFonts w:ascii="Times New Roman" w:hAnsi="Times New Roman" w:cs="Times New Roman"/>
        </w:rPr>
        <w:t>.</w:t>
      </w:r>
    </w:p>
    <w:p w14:paraId="19710F1A" w14:textId="2F5678DA" w:rsidR="00106DC1" w:rsidRPr="00A555B6" w:rsidRDefault="00106DC1" w:rsidP="00106DC1">
      <w:pPr>
        <w:pStyle w:val="pf0"/>
        <w:spacing w:before="120" w:beforeAutospacing="0" w:after="120" w:afterAutospacing="0" w:line="360" w:lineRule="auto"/>
        <w:jc w:val="both"/>
        <w:rPr>
          <w:rFonts w:eastAsiaTheme="minorHAnsi"/>
          <w:kern w:val="2"/>
          <w:sz w:val="22"/>
          <w:szCs w:val="22"/>
          <w:lang w:eastAsia="en-US"/>
        </w:rPr>
      </w:pPr>
      <w:r w:rsidRPr="00A555B6">
        <w:rPr>
          <w:rFonts w:eastAsiaTheme="minorHAnsi"/>
          <w:kern w:val="2"/>
          <w:sz w:val="22"/>
          <w:szCs w:val="22"/>
          <w:lang w:eastAsia="en-US"/>
        </w:rPr>
        <w:t xml:space="preserve">Zmiana </w:t>
      </w:r>
      <w:r w:rsidR="00853089" w:rsidRPr="00A555B6">
        <w:rPr>
          <w:rFonts w:eastAsiaTheme="minorHAnsi"/>
          <w:kern w:val="2"/>
          <w:sz w:val="22"/>
          <w:szCs w:val="22"/>
          <w:lang w:eastAsia="en-US"/>
        </w:rPr>
        <w:t>w art. 70 § 6 pkt 1 Ordynacji podatkowej</w:t>
      </w:r>
      <w:r w:rsidRPr="00A555B6">
        <w:rPr>
          <w:rFonts w:eastAsiaTheme="minorHAnsi"/>
          <w:kern w:val="2"/>
          <w:sz w:val="22"/>
          <w:szCs w:val="22"/>
          <w:lang w:eastAsia="en-US"/>
        </w:rPr>
        <w:t xml:space="preserve"> ma na celu wyeliminowanie nieprawidłowości polegających na tym, że organy Krajowej Administracji Skarbowej niekiedy inicjowały postępowania w sprawie o przestępstwo skarbowe lub wykroczenie skarbowe jedynie w celu zapobiegnięcia upływowi terminu przedawnienia zobowiązania podatkowego. Dotychczas, ilekroć zachodziło niebezpieczeństwo przedawnienia zobowiązania podatkowego, w praktyce organ mógł niemal w każdej chwili wszcząć </w:t>
      </w:r>
      <w:r w:rsidRPr="00A555B6">
        <w:rPr>
          <w:rFonts w:eastAsiaTheme="minorHAnsi"/>
          <w:kern w:val="2"/>
          <w:sz w:val="22"/>
          <w:szCs w:val="22"/>
          <w:lang w:eastAsia="en-US"/>
        </w:rPr>
        <w:lastRenderedPageBreak/>
        <w:t>postępowanie przygotowawcze w sprawie o przestępstwo lub wykroczenie skarbowe, w konsekwencji powodując zawieszenie biegu terminu przedawnienia zobowiązania podatkowego. Proponowana zmiana wyeliminuje takie praktyki.</w:t>
      </w:r>
    </w:p>
    <w:p w14:paraId="215D0C86" w14:textId="7B568B3C" w:rsidR="00106DC1" w:rsidRPr="00A555B6" w:rsidRDefault="00106DC1" w:rsidP="00106DC1">
      <w:pPr>
        <w:pStyle w:val="pf0"/>
        <w:spacing w:before="120" w:beforeAutospacing="0" w:after="120" w:afterAutospacing="0" w:line="360" w:lineRule="auto"/>
        <w:jc w:val="both"/>
        <w:rPr>
          <w:sz w:val="22"/>
          <w:szCs w:val="22"/>
        </w:rPr>
      </w:pPr>
      <w:r w:rsidRPr="00A555B6">
        <w:rPr>
          <w:rFonts w:eastAsiaTheme="minorHAnsi"/>
          <w:kern w:val="2"/>
          <w:sz w:val="22"/>
          <w:szCs w:val="22"/>
          <w:lang w:eastAsia="en-US"/>
        </w:rPr>
        <w:t>Zmiany w pkt 2-4 w art. 1</w:t>
      </w:r>
      <w:r w:rsidR="00853089" w:rsidRPr="00A555B6">
        <w:rPr>
          <w:rFonts w:eastAsiaTheme="minorHAnsi"/>
          <w:kern w:val="2"/>
          <w:sz w:val="22"/>
          <w:szCs w:val="22"/>
          <w:lang w:eastAsia="en-US"/>
        </w:rPr>
        <w:t>3 projektu</w:t>
      </w:r>
      <w:r w:rsidRPr="00A555B6">
        <w:rPr>
          <w:rFonts w:eastAsiaTheme="minorHAnsi"/>
          <w:kern w:val="2"/>
          <w:sz w:val="22"/>
          <w:szCs w:val="22"/>
          <w:lang w:eastAsia="en-US"/>
        </w:rPr>
        <w:t xml:space="preserve"> stanowią zmiany wynikowe, będące konsekwencją uchylenia pkt 1 w </w:t>
      </w:r>
      <w:r w:rsidRPr="00A555B6">
        <w:t xml:space="preserve">art. 70 w </w:t>
      </w:r>
      <w:r w:rsidRPr="00A555B6">
        <w:rPr>
          <w:sz w:val="22"/>
          <w:szCs w:val="22"/>
        </w:rPr>
        <w:t>§ 6 Ordynacji podatkowej.</w:t>
      </w:r>
    </w:p>
    <w:p w14:paraId="6B6EB102" w14:textId="475A59A3" w:rsidR="00A7379B" w:rsidRPr="00A555B6" w:rsidRDefault="00A7379B" w:rsidP="00A7379B">
      <w:pPr>
        <w:pStyle w:val="ARTartustawynprozporzdzenia"/>
        <w:numPr>
          <w:ilvl w:val="0"/>
          <w:numId w:val="42"/>
        </w:numPr>
        <w:rPr>
          <w:rFonts w:ascii="Times New Roman" w:hAnsi="Times New Roman" w:cs="Times New Roman"/>
          <w:sz w:val="22"/>
          <w:szCs w:val="22"/>
        </w:rPr>
      </w:pPr>
      <w:r w:rsidRPr="00A555B6">
        <w:rPr>
          <w:rFonts w:ascii="Times New Roman" w:hAnsi="Times New Roman" w:cs="Times New Roman"/>
          <w:sz w:val="22"/>
          <w:szCs w:val="22"/>
        </w:rPr>
        <w:t>Postępowanie w zakresie decyzji</w:t>
      </w:r>
      <w:r w:rsidR="00853089" w:rsidRPr="00A555B6">
        <w:rPr>
          <w:rFonts w:ascii="Times New Roman" w:hAnsi="Times New Roman" w:cs="Times New Roman"/>
          <w:sz w:val="22"/>
          <w:szCs w:val="22"/>
        </w:rPr>
        <w:t xml:space="preserve"> </w:t>
      </w:r>
      <w:r w:rsidRPr="00A555B6">
        <w:rPr>
          <w:rFonts w:ascii="Times New Roman" w:hAnsi="Times New Roman" w:cs="Times New Roman"/>
          <w:sz w:val="22"/>
          <w:szCs w:val="22"/>
        </w:rPr>
        <w:t>o podatku od nieruchomości.</w:t>
      </w:r>
    </w:p>
    <w:p w14:paraId="78DC94E9" w14:textId="39953A49" w:rsidR="0001097E" w:rsidRPr="00A555B6" w:rsidRDefault="00A7379B" w:rsidP="009E1176">
      <w:pPr>
        <w:pStyle w:val="ARTartustawynprozporzdzenia"/>
        <w:ind w:firstLine="0"/>
        <w:rPr>
          <w:rFonts w:ascii="Times New Roman" w:hAnsi="Times New Roman" w:cs="Times New Roman"/>
          <w:sz w:val="22"/>
          <w:szCs w:val="22"/>
        </w:rPr>
      </w:pPr>
      <w:r w:rsidRPr="00A555B6">
        <w:rPr>
          <w:rFonts w:ascii="Times New Roman" w:hAnsi="Times New Roman" w:cs="Times New Roman"/>
          <w:sz w:val="22"/>
          <w:szCs w:val="22"/>
        </w:rPr>
        <w:t xml:space="preserve">W projektowanym art. 165 § 7 pkt 2a Ordynacji podatkowej proponuje się, aby organ podatkowy nie wydawał postanowienia o wszczęciu postępowania, jeżeli notariusz złożył wypis aktu notarialnego na wniosek podatnik podatku od nieruchomości, wyrażony w akcie notarialnym przenoszącym własności nieruchomości. </w:t>
      </w:r>
      <w:r w:rsidR="0001097E" w:rsidRPr="00A555B6">
        <w:rPr>
          <w:rFonts w:ascii="Times New Roman" w:hAnsi="Times New Roman" w:cs="Times New Roman"/>
          <w:sz w:val="22"/>
          <w:szCs w:val="22"/>
        </w:rPr>
        <w:t xml:space="preserve">Dotyczyć to będzie także sytuacji złożenia wypisu aktu notarialnego </w:t>
      </w:r>
      <w:r w:rsidR="00B30A2A" w:rsidRPr="00A555B6">
        <w:rPr>
          <w:rFonts w:ascii="Times New Roman" w:hAnsi="Times New Roman" w:cs="Times New Roman"/>
          <w:sz w:val="22"/>
          <w:szCs w:val="22"/>
        </w:rPr>
        <w:t xml:space="preserve">łącznie </w:t>
      </w:r>
      <w:r w:rsidR="0001097E" w:rsidRPr="00A555B6">
        <w:rPr>
          <w:rFonts w:ascii="Times New Roman" w:hAnsi="Times New Roman" w:cs="Times New Roman"/>
          <w:sz w:val="22"/>
          <w:szCs w:val="22"/>
        </w:rPr>
        <w:t>z</w:t>
      </w:r>
      <w:r w:rsidR="002A6303" w:rsidRPr="00A555B6">
        <w:rPr>
          <w:rFonts w:ascii="Times New Roman" w:hAnsi="Times New Roman" w:cs="Times New Roman"/>
          <w:sz w:val="22"/>
          <w:szCs w:val="22"/>
        </w:rPr>
        <w:t> </w:t>
      </w:r>
      <w:r w:rsidR="0001097E" w:rsidRPr="00A555B6">
        <w:rPr>
          <w:rFonts w:ascii="Times New Roman" w:hAnsi="Times New Roman" w:cs="Times New Roman"/>
          <w:sz w:val="22"/>
          <w:szCs w:val="22"/>
        </w:rPr>
        <w:t xml:space="preserve">oświadczeniami podmiotów biorących dział w tym akcie wskazującymi na okoliczności mające wpływ na wysokość opodatkowania  podatkiem od nieruchomości. </w:t>
      </w:r>
    </w:p>
    <w:p w14:paraId="10898CD2" w14:textId="44EE93AB" w:rsidR="00A7379B" w:rsidRPr="00A555B6" w:rsidRDefault="00A7379B" w:rsidP="009E1176">
      <w:pPr>
        <w:pStyle w:val="ARTartustawynprozporzdzenia"/>
        <w:ind w:firstLine="0"/>
        <w:rPr>
          <w:rFonts w:ascii="Times New Roman" w:hAnsi="Times New Roman" w:cs="Times New Roman"/>
          <w:sz w:val="22"/>
          <w:szCs w:val="22"/>
        </w:rPr>
      </w:pPr>
      <w:r w:rsidRPr="00A555B6">
        <w:rPr>
          <w:rFonts w:ascii="Times New Roman" w:hAnsi="Times New Roman" w:cs="Times New Roman"/>
          <w:sz w:val="22"/>
          <w:szCs w:val="22"/>
        </w:rPr>
        <w:t xml:space="preserve">Jednocześnie zgodnie z zmienianym  art. 165 § 8 proponuje się aby za datę </w:t>
      </w:r>
      <w:r w:rsidRPr="00A555B6">
        <w:rPr>
          <w:rFonts w:ascii="Times New Roman" w:eastAsia="Times New Roman" w:hAnsi="Times New Roman" w:cs="Times New Roman"/>
          <w:sz w:val="22"/>
          <w:szCs w:val="22"/>
        </w:rPr>
        <w:t>za datę wszczęcia postępowania przyjmować datę złożenia wypisu</w:t>
      </w:r>
      <w:r w:rsidR="0001097E" w:rsidRPr="00A555B6">
        <w:rPr>
          <w:rFonts w:ascii="Times New Roman" w:eastAsia="Times New Roman" w:hAnsi="Times New Roman" w:cs="Times New Roman"/>
          <w:sz w:val="22"/>
          <w:szCs w:val="22"/>
        </w:rPr>
        <w:t xml:space="preserve"> (także wypisu </w:t>
      </w:r>
      <w:r w:rsidR="00B30A2A" w:rsidRPr="00A555B6">
        <w:rPr>
          <w:rFonts w:ascii="Times New Roman" w:eastAsia="Times New Roman" w:hAnsi="Times New Roman" w:cs="Times New Roman"/>
          <w:sz w:val="22"/>
          <w:szCs w:val="22"/>
        </w:rPr>
        <w:t xml:space="preserve">łącznie </w:t>
      </w:r>
      <w:r w:rsidR="0001097E" w:rsidRPr="00A555B6">
        <w:rPr>
          <w:rFonts w:ascii="Times New Roman" w:eastAsia="Times New Roman" w:hAnsi="Times New Roman" w:cs="Times New Roman"/>
          <w:sz w:val="22"/>
          <w:szCs w:val="22"/>
        </w:rPr>
        <w:t>z oświadczeniami)</w:t>
      </w:r>
      <w:r w:rsidRPr="00A555B6">
        <w:rPr>
          <w:rFonts w:ascii="Times New Roman" w:eastAsia="Times New Roman" w:hAnsi="Times New Roman" w:cs="Times New Roman"/>
          <w:sz w:val="22"/>
          <w:szCs w:val="22"/>
        </w:rPr>
        <w:t>.</w:t>
      </w:r>
    </w:p>
    <w:p w14:paraId="07EC07C5" w14:textId="06E0073A" w:rsidR="00A7379B" w:rsidRPr="00A555B6" w:rsidRDefault="00A7379B" w:rsidP="009E1176">
      <w:pPr>
        <w:pStyle w:val="ARTartustawynprozporzdzenia"/>
        <w:ind w:firstLine="0"/>
        <w:rPr>
          <w:rFonts w:ascii="Times New Roman" w:hAnsi="Times New Roman" w:cs="Times New Roman"/>
          <w:sz w:val="22"/>
          <w:szCs w:val="22"/>
        </w:rPr>
      </w:pPr>
      <w:r w:rsidRPr="00A555B6">
        <w:rPr>
          <w:rFonts w:ascii="Times New Roman" w:hAnsi="Times New Roman" w:cs="Times New Roman"/>
          <w:sz w:val="22"/>
          <w:szCs w:val="22"/>
        </w:rPr>
        <w:t>Proponuje się także zmianę w art. 200 § 2 pkt 3 Ordynacji podatkowej poprzez wskazanie, że jeżeli</w:t>
      </w:r>
      <w:r w:rsidRPr="00A555B6">
        <w:rPr>
          <w:rFonts w:ascii="Times New Roman" w:eastAsia="Times New Roman" w:hAnsi="Times New Roman" w:cs="Times New Roman"/>
          <w:sz w:val="22"/>
          <w:szCs w:val="22"/>
        </w:rPr>
        <w:t xml:space="preserve"> decyzja ma zostać wydana wyłącznie na podstawie danych zawartych w złożonym wypisie aktu notarialnego</w:t>
      </w:r>
      <w:r w:rsidR="0001097E" w:rsidRPr="00A555B6">
        <w:rPr>
          <w:rFonts w:ascii="Times New Roman" w:eastAsia="Times New Roman" w:hAnsi="Times New Roman" w:cs="Times New Roman"/>
          <w:sz w:val="22"/>
          <w:szCs w:val="22"/>
        </w:rPr>
        <w:t xml:space="preserve"> lub wypisie aktu notarialnego wraz z oświadczeniami</w:t>
      </w:r>
      <w:r w:rsidRPr="00A555B6">
        <w:rPr>
          <w:rFonts w:ascii="Times New Roman" w:eastAsia="Times New Roman" w:hAnsi="Times New Roman" w:cs="Times New Roman"/>
          <w:sz w:val="22"/>
          <w:szCs w:val="22"/>
        </w:rPr>
        <w:t>, to p</w:t>
      </w:r>
      <w:r w:rsidRPr="00A555B6">
        <w:rPr>
          <w:rFonts w:ascii="Times New Roman" w:hAnsi="Times New Roman" w:cs="Times New Roman"/>
          <w:sz w:val="22"/>
          <w:szCs w:val="22"/>
        </w:rPr>
        <w:t>rzed wydaniem decyzji organ podatkowy nie wyznacza stronie siedmiodniowy termin do wypowiedzenia się w sprawie zebranego materiału dowodowego.</w:t>
      </w:r>
    </w:p>
    <w:p w14:paraId="0AD6CA8D" w14:textId="2C0379C7" w:rsidR="00A7379B" w:rsidRPr="00A555B6" w:rsidRDefault="00A7379B" w:rsidP="009E1176">
      <w:pPr>
        <w:pStyle w:val="ARTartustawynprozporzdzenia"/>
        <w:ind w:firstLine="0"/>
        <w:rPr>
          <w:rFonts w:ascii="Times New Roman" w:hAnsi="Times New Roman" w:cs="Times New Roman"/>
          <w:sz w:val="22"/>
          <w:szCs w:val="22"/>
        </w:rPr>
      </w:pPr>
      <w:r w:rsidRPr="00A555B6">
        <w:rPr>
          <w:rFonts w:ascii="Times New Roman" w:hAnsi="Times New Roman" w:cs="Times New Roman"/>
          <w:sz w:val="22"/>
          <w:szCs w:val="22"/>
        </w:rPr>
        <w:t xml:space="preserve">Rozwiązanie to przyczyni się do wzrostu efektywności organów podatkowych, a jednocześnie odciąży podatników od konieczności składania dodatkowych dokumentów w postaci informacji podatkowej IN-1. </w:t>
      </w:r>
    </w:p>
    <w:p w14:paraId="1ABFA6D8" w14:textId="68CFAFB9" w:rsidR="003057CA" w:rsidRPr="00A555B6" w:rsidRDefault="003057CA" w:rsidP="006D4190">
      <w:pPr>
        <w:pStyle w:val="Akapitzlist"/>
        <w:numPr>
          <w:ilvl w:val="0"/>
          <w:numId w:val="42"/>
        </w:numPr>
        <w:spacing w:before="120" w:after="120" w:line="360" w:lineRule="auto"/>
        <w:jc w:val="both"/>
        <w:rPr>
          <w:rFonts w:ascii="Times New Roman" w:hAnsi="Times New Roman" w:cs="Times New Roman"/>
        </w:rPr>
      </w:pPr>
      <w:r w:rsidRPr="00A555B6">
        <w:rPr>
          <w:rFonts w:ascii="Times New Roman" w:hAnsi="Times New Roman" w:cs="Times New Roman"/>
        </w:rPr>
        <w:t>Umarzanie zawieszonych postępowań</w:t>
      </w:r>
    </w:p>
    <w:p w14:paraId="45705F1F"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W art. 201 § 5 Ordynacji podatkowej wprowadza się przepis określający termin, po upływie którego postępowanie zawieszone z przyczyn obligatoryjnych, w oparciu o podstawy wymienione w art. 201 § 1 pkt 1, 1a, 3 i 4 Ordynacji podatkowej, będzie mogło ulec umorzeniu, o ile nie będą sprzeciwiać się temu pozostałe strony oraz nie będzie zagrażało to interesowi społecznemu lub publicznemu.</w:t>
      </w:r>
    </w:p>
    <w:p w14:paraId="02FDFA03"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Przyjęto, że umorzenie zawieszonego postępowania nastąpi, gdy zaistniałe przeszkody do kontynuowania postępowania nie zostaną usunięte w terminie trzech lat od daty zawieszenia postępowania. </w:t>
      </w:r>
    </w:p>
    <w:p w14:paraId="646CFF15"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Wprowadzenie przepisu w odniesieniu do postępowań obligatoryjnie zawieszonych na podstawie przesłanek z art. 201 § 1 pkt 1, 1a, 3 i 4 Ordynacji podatkowej, ma charakter porządkujący system prawny i ma zapobiegać sytuacji wieloletniego zawieszenia postępowania podatkowego, w przypadku, </w:t>
      </w:r>
      <w:r w:rsidRPr="00A555B6">
        <w:rPr>
          <w:rFonts w:ascii="Times New Roman" w:hAnsi="Times New Roman" w:cs="Times New Roman"/>
        </w:rPr>
        <w:lastRenderedPageBreak/>
        <w:t>np. gdy strony postępowania nie są już zainteresowane wydaniem danego rozstrzygnięcia i nie podejmują własnych działań lub nie współpracują z organem administracji publicznej, w celu usunięcia przeszkody do dalszego prowadzenia postępowania.</w:t>
      </w:r>
    </w:p>
    <w:p w14:paraId="4482B919" w14:textId="3CD0CB3C"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Przepis co do zasady odnosi się do zawieszenia postępowania w przypadku śmierci strony, przedstawiciela ustawowego albo śmierci jej pełnomocnika bądź utraty przez stronę lub przez jej ustawowego przedstawiciela zdolności do czynności prawnych, a więc brak jest możliwości wskazania, kto jest obecnie stroną po śmierci strony albo ustalenia adresu strony bądź niemożność działania strony w postępowania ze względu utratę przez stronę lub przez jej ustawowego przedstawiciela zdolności do czynności prawnych. Niemniej jednak należy mieć na uwadze, że w postępowaniu obok ww. stron mogą również uczestniczyć pozostałe strony, które powinny zgodzić się na umorzenie postępowania. W</w:t>
      </w:r>
      <w:r w:rsidR="00E6226B" w:rsidRPr="00A555B6">
        <w:rPr>
          <w:rFonts w:ascii="Times New Roman" w:hAnsi="Times New Roman" w:cs="Times New Roman"/>
        </w:rPr>
        <w:t> </w:t>
      </w:r>
      <w:r w:rsidRPr="00A555B6">
        <w:rPr>
          <w:rFonts w:ascii="Times New Roman" w:hAnsi="Times New Roman" w:cs="Times New Roman"/>
        </w:rPr>
        <w:t xml:space="preserve">związku z tym w art. 201 § 5 Ordynacji podatkowej uzależniono umorzenie postępowania od braku wniesienia sprzeciwu pozostałych stron postępowania, innych niż wymienione w art. 201 § 1 pkt 1, 1a, 3 i 4 Ordynacji podatkowej. </w:t>
      </w:r>
    </w:p>
    <w:p w14:paraId="6603D736" w14:textId="0803DCF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Jednocześnie, jeżeli w okresie trzech lat od daty zawieszenia postępowania nie zostały usunięte przeszkody do dalszego prowadzenia postępowania, o których mowa w art. 201 § 1 pkt 1, 1a, 3 i 4 Ordynacji podatkowej, organ podatkowy planujący wydanie decyzji o umorzeniu postępowania, przed jej wydaniem, zobowiązany został zwrócić się w formie zwykłego pisma o stanowisko stron w</w:t>
      </w:r>
      <w:r w:rsidR="00E6226B" w:rsidRPr="00A555B6">
        <w:rPr>
          <w:rFonts w:ascii="Times New Roman" w:hAnsi="Times New Roman" w:cs="Times New Roman"/>
        </w:rPr>
        <w:t> </w:t>
      </w:r>
      <w:r w:rsidRPr="00A555B6">
        <w:rPr>
          <w:rFonts w:ascii="Times New Roman" w:hAnsi="Times New Roman" w:cs="Times New Roman"/>
        </w:rPr>
        <w:t xml:space="preserve">przedmiocie planowanego umorzenia postępowania, wyznaczając stronom siedmiodniowy termin na wniesienie sprzeciwu. </w:t>
      </w:r>
    </w:p>
    <w:p w14:paraId="3C64185F"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art. 201 § 7 Ordynacji podatkowej uregulowano, aby w przypadku umorzenia postępowania decyzja w tym zakresie dla stron, o których mowa w art. 201 § 1 pkt 1, 1a, 3 i 4 Ordynacji podatkowej, pozostawiana była w aktach sprawy ze względu na to, że strony te są już albo nieznane albo niezdolne do czynności prawnych. </w:t>
      </w:r>
    </w:p>
    <w:p w14:paraId="6707C19C" w14:textId="77777777" w:rsidR="003057CA" w:rsidRPr="00A555B6" w:rsidRDefault="003057CA" w:rsidP="003057CA">
      <w:pPr>
        <w:spacing w:before="120" w:after="120" w:line="360" w:lineRule="auto"/>
        <w:jc w:val="both"/>
        <w:rPr>
          <w:rFonts w:ascii="Times New Roman" w:hAnsi="Times New Roman" w:cs="Times New Roman"/>
        </w:rPr>
      </w:pPr>
      <w:r w:rsidRPr="00A555B6">
        <w:rPr>
          <w:rFonts w:ascii="Times New Roman" w:hAnsi="Times New Roman" w:cs="Times New Roman"/>
        </w:rPr>
        <w:t>Jednocześnie nie będzie możliwości umorzenia postępowania z ww. powodu w przypadku, gdy postępowanie administracyjne zostało wszczęte z urzędu. Należy zauważyć, że w takim przypadku postępowanie jest wszczynane zazwyczaj w związku z nałożeniem obowiązku podatkowego na stronę. Zatem organ podatkowy powinien w takim przypadku dążyć do usunięcia przeszkody do dalszego prowadzenia postępowania w celu wyegzekwowania należnych od strony zobowiązań.</w:t>
      </w:r>
    </w:p>
    <w:p w14:paraId="4053CDF2" w14:textId="77777777" w:rsidR="00853089" w:rsidRPr="00A555B6" w:rsidRDefault="00853089" w:rsidP="009E1176">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Zmiana w art. 81b § 2a Ordynacji podatkowej ma charakter dostosowawczy i polega na uzupełnieniu treści zdania pierwszego o przypadek, o którym mowa w art. 201 § 5.</w:t>
      </w:r>
    </w:p>
    <w:p w14:paraId="5E1B0CC8" w14:textId="77777777" w:rsidR="00C66BFB" w:rsidRPr="00A555B6" w:rsidRDefault="00C66BFB" w:rsidP="00C66BFB">
      <w:pPr>
        <w:pStyle w:val="Akapitzlist"/>
        <w:numPr>
          <w:ilvl w:val="0"/>
          <w:numId w:val="45"/>
        </w:numPr>
        <w:spacing w:before="120" w:after="120" w:line="360" w:lineRule="auto"/>
        <w:jc w:val="both"/>
        <w:rPr>
          <w:rFonts w:ascii="Times New Roman" w:hAnsi="Times New Roman" w:cs="Times New Roman"/>
        </w:rPr>
      </w:pPr>
      <w:r w:rsidRPr="00A555B6">
        <w:rPr>
          <w:rFonts w:ascii="Times New Roman" w:hAnsi="Times New Roman" w:cs="Times New Roman"/>
        </w:rPr>
        <w:t>Nowe elementy treści zawiadomienia o zamiarze wszczęcia kontroli podatkowej.</w:t>
      </w:r>
    </w:p>
    <w:p w14:paraId="23E71054" w14:textId="77777777" w:rsidR="00C66BFB" w:rsidRPr="00A555B6" w:rsidRDefault="00C66BFB" w:rsidP="00C66BFB">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W związku z uzupełnieniem w art. 48 ust. 3 ustawy – Prawo przedsiębiorców elementów treści zawiadomienia o zamiarze wszczęcia kontroli, konieczna jest zmiana dostosowawcza w art. 282b § 4 Ordynacji podatkowej dotyczącym zawiadomienia o zamiarze wszczęcia kontroli podatkowej.</w:t>
      </w:r>
    </w:p>
    <w:p w14:paraId="5183CE7B" w14:textId="3CADCC7E" w:rsidR="00115575" w:rsidRPr="00A555B6" w:rsidRDefault="00115575" w:rsidP="004E6FE9">
      <w:pPr>
        <w:pStyle w:val="Styl1"/>
        <w:spacing w:before="120" w:after="120" w:line="360" w:lineRule="auto"/>
      </w:pPr>
      <w:bookmarkStart w:id="34" w:name="_Toc174689308"/>
      <w:r w:rsidRPr="00A555B6">
        <w:lastRenderedPageBreak/>
        <w:t xml:space="preserve">Ustawa z </w:t>
      </w:r>
      <w:r w:rsidR="007E7B73" w:rsidRPr="00A555B6">
        <w:t>dnia</w:t>
      </w:r>
      <w:r w:rsidRPr="00A555B6">
        <w:t xml:space="preserve"> 29 sierpnia 1997 r. – Prawo bankowe</w:t>
      </w:r>
      <w:bookmarkEnd w:id="34"/>
      <w:r w:rsidRPr="00A555B6">
        <w:t xml:space="preserve">  </w:t>
      </w:r>
    </w:p>
    <w:p w14:paraId="1ABCD9B2" w14:textId="1590CDFF" w:rsidR="009B4497" w:rsidRPr="00A555B6" w:rsidRDefault="009B4497" w:rsidP="00D72972">
      <w:pPr>
        <w:spacing w:before="120" w:after="120" w:line="360" w:lineRule="auto"/>
        <w:ind w:firstLine="708"/>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1)</w:t>
      </w:r>
      <w:r w:rsidRPr="00A555B6">
        <w:rPr>
          <w:rFonts w:ascii="Times New Roman" w:eastAsia="Calibri" w:hAnsi="Times New Roman" w:cs="Times New Roman"/>
          <w:kern w:val="0"/>
          <w14:ligatures w14:val="none"/>
        </w:rPr>
        <w:tab/>
        <w:t>Prowadzenie rachunku wspólnego dla kilku funduszy inwestycyjnych</w:t>
      </w:r>
    </w:p>
    <w:p w14:paraId="59F851D6" w14:textId="239FD280"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Możliwość prowadzenia rachunku wspólnego dla kilku funduszy inwestycyjnych jest niezbędna w</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przypadku oferowania przez TFI produktów oszczędnościowych, w tym produktów emerytalnych, w</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ramach Pracowniczych Programów Emerytalnych (ustawa z dnia 20 kwietnia 2004 r. o</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pracowniczych programach emerytalnych</w:t>
      </w:r>
      <w:r w:rsidR="002A7638" w:rsidRPr="00A555B6">
        <w:rPr>
          <w:rFonts w:ascii="Times New Roman" w:eastAsia="Calibri" w:hAnsi="Times New Roman" w:cs="Times New Roman"/>
          <w:kern w:val="0"/>
          <w14:ligatures w14:val="none"/>
        </w:rPr>
        <w:t>)</w:t>
      </w:r>
      <w:r w:rsidRPr="00A555B6">
        <w:rPr>
          <w:rFonts w:ascii="Times New Roman" w:eastAsia="Calibri" w:hAnsi="Times New Roman" w:cs="Times New Roman"/>
          <w:kern w:val="0"/>
          <w14:ligatures w14:val="none"/>
        </w:rPr>
        <w:t xml:space="preserve"> oraz w ramach pozaustawowych programów oszczędnościowych opartych na ofercie produktowej TFI. Programy tego typu są dodatkowymi programami wynagradzania pracowników przez pracodawcę (klienta TFI), a więc muszą być atrakcyjne, posiadać szeroką gamę funduszy, powinny wymagać minimum obsługi ze strony pracodawcy, a także spełniać wymogi bezpieczeństwa wpłacanych środków. Wpłaty pracodawcy powinny odbywać się na jeden rachunek bankowy, należący do funduszy inwestycyjnych, a nie na rachunek TFI.</w:t>
      </w:r>
    </w:p>
    <w:p w14:paraId="26686638" w14:textId="77777777"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Nie bez znaczenia jest też fakt, że prowadzenie wspólnego rachunku dla funduszy inwestycyjnych będzie również niezbędne w przypadku oferowania przez TFI programów/produktów oszczędnościowych w ramach ogólnoeuropejskiego indywidualnego produktu emerytalnego.</w:t>
      </w:r>
    </w:p>
    <w:p w14:paraId="0E264644" w14:textId="4D72D136"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Możliwość wpłaty środków przez pracodawców na wspólny rachunek funduszy inwestycyjnych (w</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ramach tego samego TFI) zapewni bezpieczeństwo wpłacanych środków ‒ wpłaty bezpośrednio na rachunek funduszu oraz aktywa funduszy inwestycyjnych nie wchodzą do masy upadłości towarzystwa ani depozytariusza oraz nie mogą być objęte postępowaniem restrukturyzacyjnym.</w:t>
      </w:r>
    </w:p>
    <w:p w14:paraId="6D6262F6" w14:textId="77777777"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Możliwość prowadzenia rachunku wspólnego powinna obejmować fundusze inwestycyjne oferujące nie tylko ustawowe programy emerytalne (PPK, PPE, IKE, IKZE, OIPE) ale również pozaustawowe programy oszczędnościowe. Towarzystwa funduszy inwestycyjnych oferują szereg pozaustawowych pracowniczych programów oszczędnościowych (kierowanych do pracowników danego pracodawcy lub ich grup) lub wyspecjalizowanych programów inwestycyjnych (mających charakter planów systematycznego oszczędzania bez względu na cel  – emerytalny lub oszczędnościowy). Programy te mogą być oparte o ofertę kilku funduszy inwestycyjnych typu FIO i SFIO.</w:t>
      </w:r>
    </w:p>
    <w:p w14:paraId="727B6369" w14:textId="57FD4D1C"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Postulat ten wynika z chęci zapewnienia podmiotom finansującym wpłaty do ww. programów (</w:t>
      </w:r>
      <w:hyperlink r:id="rId9" w:history="1">
        <w:r w:rsidRPr="00A555B6">
          <w:rPr>
            <w:rFonts w:ascii="Times New Roman" w:eastAsia="Calibri" w:hAnsi="Times New Roman" w:cs="Times New Roman"/>
            <w:kern w:val="0"/>
            <w14:ligatures w14:val="none"/>
          </w:rPr>
          <w:t>m.in</w:t>
        </w:r>
      </w:hyperlink>
      <w:r w:rsidRPr="00A555B6">
        <w:rPr>
          <w:rFonts w:ascii="Times New Roman" w:eastAsia="Calibri" w:hAnsi="Times New Roman" w:cs="Times New Roman"/>
          <w:kern w:val="0"/>
          <w14:ligatures w14:val="none"/>
        </w:rPr>
        <w:t>. pracodawcy dla swoich pracowników lub też indywidualne osoby fizyczne), minimum obciążeń o</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charakterze technicznym, które związane są z dokonywaniem wpłat do tych programów. W</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przypadku odrębnie prowadzonych rachunków bankowych dla każdego funduszu, wpłacający (pracodawca) zobowiązany jest dokonywać odrębnych wpłat na te rachunki. Pracodawca nie ma wiedzy</w:t>
      </w:r>
      <w:r w:rsidR="00B62999" w:rsidRPr="00A555B6">
        <w:rPr>
          <w:rFonts w:ascii="Times New Roman" w:eastAsia="Calibri" w:hAnsi="Times New Roman" w:cs="Times New Roman"/>
          <w:kern w:val="0"/>
          <w14:ligatures w14:val="none"/>
        </w:rPr>
        <w:t>,</w:t>
      </w:r>
      <w:r w:rsidRPr="00A555B6">
        <w:rPr>
          <w:rFonts w:ascii="Times New Roman" w:eastAsia="Calibri" w:hAnsi="Times New Roman" w:cs="Times New Roman"/>
          <w:kern w:val="0"/>
          <w14:ligatures w14:val="none"/>
        </w:rPr>
        <w:t xml:space="preserve"> w jakie fundusze planuje inwestować jego pracownik, stąd pracodawca nie jest w stanie odpowiednio alokować środków na program oszczędnościowy. W przypadku zaś rachunków wspólnych funduszy inwestycyjnych, wpłacający dokonywałby jednej wpłaty, a TFI (lub agent transferowy) działające na zlecenie funduszy, rozdzielaliby wpłaty na poszczególne fundusze. Agenci transferowi mają możliwości </w:t>
      </w:r>
      <w:r w:rsidRPr="00A555B6">
        <w:rPr>
          <w:rFonts w:ascii="Times New Roman" w:eastAsia="Calibri" w:hAnsi="Times New Roman" w:cs="Times New Roman"/>
          <w:kern w:val="0"/>
          <w14:ligatures w14:val="none"/>
        </w:rPr>
        <w:lastRenderedPageBreak/>
        <w:t>operacyjne i techniczne przypisywania własności wpłacanych środków do poszczególnych funduszy, zgodnie z alokacją wskazaną przez klienta oraz zapewnienie odpowiedniego raportowania do TFI i</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depozytariusza. Czynności te dokonywane przez agentów transferowych niosą ze sobą niższe ryzyko błędów, co należy uznać za pozytywne z perspektywy klientów funduszy (uczestników programów/produktów oferowanych przez fundusze/TFI).</w:t>
      </w:r>
    </w:p>
    <w:p w14:paraId="02A1B0A7" w14:textId="77777777"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Proponowana zmiana uprości dokonywanie wpłat przez pracodawców – klientów TFI. Zlikwiduje bowiem konieczność wskazywania dwóch lub więcej rachunków do osobnych wpłat na każdy fundusz, a w konsekwencji nie będzie wymagane stosowanie odpowiednich systemów informatycznych i dodatkowe angażowanie działów księgowości pracodawców.</w:t>
      </w:r>
    </w:p>
    <w:p w14:paraId="22F2C592" w14:textId="6F3B5FF7" w:rsidR="009B4497" w:rsidRPr="00A555B6" w:rsidRDefault="009B4497" w:rsidP="009511E6">
      <w:pPr>
        <w:numPr>
          <w:ilvl w:val="0"/>
          <w:numId w:val="13"/>
        </w:numPr>
        <w:spacing w:before="120" w:after="120" w:line="360" w:lineRule="auto"/>
        <w:ind w:left="357" w:firstLine="357"/>
        <w:contextualSpacing/>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Wymiana informacji firm leasingowych i</w:t>
      </w:r>
      <w:r w:rsidR="007E7B73" w:rsidRPr="00A555B6">
        <w:rPr>
          <w:rFonts w:ascii="Times New Roman" w:eastAsia="Calibri" w:hAnsi="Times New Roman" w:cs="Times New Roman"/>
          <w:kern w:val="0"/>
          <w14:ligatures w14:val="none"/>
        </w:rPr>
        <w:t xml:space="preserve"> fa</w:t>
      </w:r>
      <w:r w:rsidRPr="00A555B6">
        <w:rPr>
          <w:rFonts w:ascii="Times New Roman" w:eastAsia="Calibri" w:hAnsi="Times New Roman" w:cs="Times New Roman"/>
          <w:kern w:val="0"/>
          <w14:ligatures w14:val="none"/>
        </w:rPr>
        <w:t>ktoringowych</w:t>
      </w:r>
    </w:p>
    <w:p w14:paraId="56924788" w14:textId="032E50DA"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 xml:space="preserve">Proponuje się zmianę w zakresie art. 105 Prawa bankowego. Zmiana stanowi naturalne „domknięcie” systemu wymiany informacji w sektorze finansowym, </w:t>
      </w:r>
      <w:r w:rsidR="002A7638" w:rsidRPr="00A555B6">
        <w:rPr>
          <w:rFonts w:ascii="Times New Roman" w:eastAsia="Calibri" w:hAnsi="Times New Roman" w:cs="Times New Roman"/>
          <w:kern w:val="0"/>
          <w14:ligatures w14:val="none"/>
        </w:rPr>
        <w:t>mające</w:t>
      </w:r>
      <w:r w:rsidRPr="00A555B6">
        <w:rPr>
          <w:rFonts w:ascii="Times New Roman" w:eastAsia="Calibri" w:hAnsi="Times New Roman" w:cs="Times New Roman"/>
          <w:kern w:val="0"/>
          <w14:ligatures w14:val="none"/>
        </w:rPr>
        <w:t xml:space="preserve"> na celu przede wszystkim rzetelną ocenę możliwości finansowych/kredytowych klientów (w szczególności konsumentów i</w:t>
      </w:r>
      <w:r w:rsidR="00C74181"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mikroprzedsiębiorców) ubiegających się o finansowanie. Wprowadzenie tej propozycji zapewni to, aby klienci nie ulegli „przekredytowaniu”, ale też aby instytucje finansowe udzielające finansowego wsparcia mogły to czynić bezpiecznie, nie doprowadzając do nieodpowiedzialnego kredytowania, co w</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konsekwencji mogłoby mieć bardzo negatywne skutki dla całej gospodarki państwa.</w:t>
      </w:r>
    </w:p>
    <w:p w14:paraId="3C0520AE" w14:textId="1678945E" w:rsidR="009B4497" w:rsidRPr="00A555B6" w:rsidRDefault="009B4497"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Przedstawioną propozycję legislacyjną dodatkowo uzasadnia fakt, że fir</w:t>
      </w:r>
      <w:r w:rsidR="007E7B73" w:rsidRPr="00A555B6">
        <w:rPr>
          <w:rFonts w:ascii="Times New Roman" w:eastAsia="Calibri" w:hAnsi="Times New Roman" w:cs="Times New Roman"/>
          <w:kern w:val="0"/>
          <w14:ligatures w14:val="none"/>
        </w:rPr>
        <w:t xml:space="preserve">my </w:t>
      </w:r>
      <w:r w:rsidRPr="00A555B6">
        <w:rPr>
          <w:rFonts w:ascii="Times New Roman" w:eastAsia="Calibri" w:hAnsi="Times New Roman" w:cs="Times New Roman"/>
          <w:kern w:val="0"/>
          <w14:ligatures w14:val="none"/>
        </w:rPr>
        <w:t>leasingowe i faktoringowe są już objęte zakresem art. 106d Prawa bankowego, co wskazuje w sposób jednoznaczny na to, że są elementem systemu wymiany informacji, który z punktu widzenia ustawodawcy wprost służy bankom, ale także innym instytucjom pozostającym w ścisłym związku z bankami. Zatem skoro dane z firm leasingowych i faktoringowych służą zapobieganiu fraudom w sektorze finansowym, to tym bardziej w</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celu uszczelnienia systemu i dostępności do informacji powinny mieć one możliwość przekazywania do instytucji takiej, jak BIK, informacji na temat zaciąganych</w:t>
      </w:r>
      <w:r w:rsidR="007E7B73" w:rsidRPr="00A555B6">
        <w:rPr>
          <w:rFonts w:ascii="Times New Roman" w:eastAsia="Calibri" w:hAnsi="Times New Roman" w:cs="Times New Roman"/>
          <w:kern w:val="0"/>
          <w14:ligatures w14:val="none"/>
        </w:rPr>
        <w:t xml:space="preserve"> w </w:t>
      </w:r>
      <w:r w:rsidRPr="00A555B6">
        <w:rPr>
          <w:rFonts w:ascii="Times New Roman" w:eastAsia="Calibri" w:hAnsi="Times New Roman" w:cs="Times New Roman"/>
          <w:kern w:val="0"/>
          <w14:ligatures w14:val="none"/>
        </w:rPr>
        <w:t>tych firmach zobowiązań i ich spłacalności. Obecnie art. 105 ust. 4 Prawa bankowego nie przewiduje w zawartym w tym artykule katalogu podmiotowym ani firm leasingowych, ani faktoringowych.</w:t>
      </w:r>
    </w:p>
    <w:p w14:paraId="35C881F8" w14:textId="568C855D" w:rsidR="00115575" w:rsidRPr="00A555B6" w:rsidRDefault="00115575" w:rsidP="004E6FE9">
      <w:pPr>
        <w:pStyle w:val="Styl1"/>
        <w:spacing w:before="120" w:after="120" w:line="360" w:lineRule="auto"/>
      </w:pPr>
      <w:bookmarkStart w:id="35" w:name="_Toc174689309"/>
      <w:r w:rsidRPr="00A555B6">
        <w:t>Ustawa z dnia 13 października 1998 r. o systemie ubezpieczeń społecznych</w:t>
      </w:r>
      <w:bookmarkEnd w:id="35"/>
      <w:r w:rsidRPr="00A555B6">
        <w:t xml:space="preserve">  </w:t>
      </w:r>
    </w:p>
    <w:p w14:paraId="2D46BFBA" w14:textId="6CB0AA61" w:rsidR="00227C36" w:rsidRPr="00A555B6" w:rsidRDefault="00227C36" w:rsidP="00D72972">
      <w:pPr>
        <w:spacing w:before="120" w:after="120" w:line="360" w:lineRule="auto"/>
        <w:jc w:val="both"/>
        <w:rPr>
          <w:rFonts w:ascii="Times New Roman" w:hAnsi="Times New Roman" w:cs="Times New Roman"/>
        </w:rPr>
      </w:pPr>
      <w:r w:rsidRPr="00A555B6">
        <w:rPr>
          <w:rFonts w:ascii="Times New Roman" w:hAnsi="Times New Roman" w:cs="Times New Roman"/>
        </w:rPr>
        <w:t>Przedmiotowa zmiana ma na celu doprecyzowanie przepisów odnoszących się do tzw. Małego ZUS Plus i umożliwienie realizacji pierwotnych intencji projektodawców tego rozwiązania. Zgodnie bowiem z założeni</w:t>
      </w:r>
      <w:r w:rsidR="007E7B73" w:rsidRPr="00A555B6">
        <w:rPr>
          <w:rFonts w:ascii="Times New Roman" w:hAnsi="Times New Roman" w:cs="Times New Roman"/>
        </w:rPr>
        <w:t>a</w:t>
      </w:r>
      <w:r w:rsidRPr="00A555B6">
        <w:rPr>
          <w:rFonts w:ascii="Times New Roman" w:hAnsi="Times New Roman" w:cs="Times New Roman"/>
        </w:rPr>
        <w:t>mi Małego ZUS Plus, po korzystaniu z obniżonych składek na ubezpieczenia społeczne przez 36 miesięcy, następuje okres swoistej „karencji” o długości 24 miesięcy prowadzenia działalności gospodarczej, w trakcie której przedsiębiorca</w:t>
      </w:r>
      <w:r w:rsidR="007E7B73" w:rsidRPr="00A555B6">
        <w:rPr>
          <w:rFonts w:ascii="Times New Roman" w:hAnsi="Times New Roman" w:cs="Times New Roman"/>
        </w:rPr>
        <w:t xml:space="preserve"> jest</w:t>
      </w:r>
      <w:r w:rsidRPr="00A555B6">
        <w:rPr>
          <w:rFonts w:ascii="Times New Roman" w:hAnsi="Times New Roman" w:cs="Times New Roman"/>
        </w:rPr>
        <w:t xml:space="preserve"> oskładkowany zgodnie z zasadami ogólnymi, określonym</w:t>
      </w:r>
      <w:r w:rsidR="007E7B73" w:rsidRPr="00A555B6">
        <w:rPr>
          <w:rFonts w:ascii="Times New Roman" w:hAnsi="Times New Roman" w:cs="Times New Roman"/>
        </w:rPr>
        <w:t>i w</w:t>
      </w:r>
      <w:r w:rsidRPr="00A555B6">
        <w:rPr>
          <w:rFonts w:ascii="Times New Roman" w:hAnsi="Times New Roman" w:cs="Times New Roman"/>
        </w:rPr>
        <w:t xml:space="preserve"> art. 18 ustawy o systemie ubezpieczeń społecznych. </w:t>
      </w:r>
      <w:r w:rsidR="005C2A48" w:rsidRPr="00A555B6">
        <w:rPr>
          <w:rFonts w:ascii="Times New Roman" w:hAnsi="Times New Roman" w:cs="Times New Roman"/>
        </w:rPr>
        <w:t xml:space="preserve">Uchylany </w:t>
      </w:r>
      <w:r w:rsidRPr="00A555B6">
        <w:rPr>
          <w:rFonts w:ascii="Times New Roman" w:hAnsi="Times New Roman" w:cs="Times New Roman"/>
        </w:rPr>
        <w:t>art. 18c ust. 11 pkt 6, stanowiący przesłankę negatywną do korzystania z Małego ZUS Plus, posługuje się pojęciem „ostatnich 60 miesięcy”. Tym samym, w</w:t>
      </w:r>
      <w:r w:rsidR="00B52991" w:rsidRPr="00A555B6">
        <w:rPr>
          <w:rFonts w:ascii="Times New Roman" w:hAnsi="Times New Roman" w:cs="Times New Roman"/>
        </w:rPr>
        <w:t> </w:t>
      </w:r>
      <w:r w:rsidRPr="00A555B6">
        <w:rPr>
          <w:rFonts w:ascii="Times New Roman" w:hAnsi="Times New Roman" w:cs="Times New Roman"/>
        </w:rPr>
        <w:t xml:space="preserve">przypadku gdy ustalenie </w:t>
      </w:r>
      <w:r w:rsidR="007E7B73" w:rsidRPr="00A555B6">
        <w:rPr>
          <w:rFonts w:ascii="Times New Roman" w:hAnsi="Times New Roman" w:cs="Times New Roman"/>
        </w:rPr>
        <w:t>pr</w:t>
      </w:r>
      <w:r w:rsidRPr="00A555B6">
        <w:rPr>
          <w:rFonts w:ascii="Times New Roman" w:hAnsi="Times New Roman" w:cs="Times New Roman"/>
        </w:rPr>
        <w:t xml:space="preserve">awa danego przedsiębiorcy do </w:t>
      </w:r>
      <w:r w:rsidRPr="00A555B6">
        <w:rPr>
          <w:rFonts w:ascii="Times New Roman" w:hAnsi="Times New Roman" w:cs="Times New Roman"/>
        </w:rPr>
        <w:lastRenderedPageBreak/>
        <w:t xml:space="preserve">przedmiotowego rozwiązania następuje np. w styczniu 2025 r., przy przyjęciu okresu od stycznia 2020 r. do grudnia 2024 r. (zakładając oczywiście, że wykorzystał on w ich trakcie pełnych 36 miesięcy ulgi) jako okresu referencyjnego, może powstać wątpliwość, czy przesłanka ta nie została spełniona. Przy takiej interpretacji, okres oczekiwania na ponowne skorzystanie z Małego ZUS Plus wydłużałby się de facto o rok. </w:t>
      </w:r>
      <w:r w:rsidR="00084C38" w:rsidRPr="00A555B6">
        <w:rPr>
          <w:rFonts w:ascii="Times New Roman" w:hAnsi="Times New Roman" w:cs="Times New Roman"/>
        </w:rPr>
        <w:t>Zaproponowana</w:t>
      </w:r>
      <w:r w:rsidR="00010D6D" w:rsidRPr="00A555B6">
        <w:rPr>
          <w:rFonts w:ascii="Times New Roman" w:hAnsi="Times New Roman" w:cs="Times New Roman"/>
        </w:rPr>
        <w:t xml:space="preserve"> redakcja </w:t>
      </w:r>
      <w:r w:rsidRPr="00A555B6">
        <w:rPr>
          <w:rFonts w:ascii="Times New Roman" w:hAnsi="Times New Roman" w:cs="Times New Roman"/>
        </w:rPr>
        <w:t xml:space="preserve">eliminuje ten problem, umożliwiając zainteresowanym, o ile spełniają oni pozostałe warunki ustawowe, powrót do rozwiązania po 24 miesiącach oczekiwania. </w:t>
      </w:r>
      <w:r w:rsidR="005C2A48" w:rsidRPr="00A555B6">
        <w:rPr>
          <w:rFonts w:ascii="Times New Roman" w:hAnsi="Times New Roman" w:cs="Times New Roman"/>
        </w:rPr>
        <w:t xml:space="preserve">Dlatego proponuje się dodanie </w:t>
      </w:r>
      <w:r w:rsidR="003F4F58" w:rsidRPr="00A555B6">
        <w:rPr>
          <w:rFonts w:ascii="Times New Roman" w:hAnsi="Times New Roman" w:cs="Times New Roman"/>
        </w:rPr>
        <w:t>ust. 11a</w:t>
      </w:r>
      <w:r w:rsidR="00D90BEB" w:rsidRPr="00A555B6">
        <w:rPr>
          <w:rFonts w:ascii="Times New Roman" w:hAnsi="Times New Roman" w:cs="Times New Roman"/>
        </w:rPr>
        <w:t>-11c</w:t>
      </w:r>
      <w:r w:rsidR="003F4F58" w:rsidRPr="00A555B6">
        <w:rPr>
          <w:rFonts w:ascii="Times New Roman" w:hAnsi="Times New Roman" w:cs="Times New Roman"/>
        </w:rPr>
        <w:t xml:space="preserve"> w </w:t>
      </w:r>
      <w:r w:rsidR="005C2A48" w:rsidRPr="00A555B6">
        <w:rPr>
          <w:rFonts w:ascii="Times New Roman" w:hAnsi="Times New Roman" w:cs="Times New Roman"/>
        </w:rPr>
        <w:t xml:space="preserve">art. 18c ustawy o systemie ubezpieczeń społecznych. </w:t>
      </w:r>
    </w:p>
    <w:p w14:paraId="5AE7E18C" w14:textId="33873AA2" w:rsidR="00115575" w:rsidRPr="00A555B6" w:rsidRDefault="00115575" w:rsidP="004E6FE9">
      <w:pPr>
        <w:pStyle w:val="Styl1"/>
        <w:spacing w:before="120" w:after="120" w:line="360" w:lineRule="auto"/>
      </w:pPr>
      <w:bookmarkStart w:id="36" w:name="_Toc174689310"/>
      <w:r w:rsidRPr="00A555B6">
        <w:t>Ustawa z dnia 17 grudnia 1998 r. o emeryturach i rentach z Funduszu Ubezpieczeń Społecz</w:t>
      </w:r>
      <w:r w:rsidR="007E7B73" w:rsidRPr="00A555B6">
        <w:t>nyc</w:t>
      </w:r>
      <w:r w:rsidRPr="00A555B6">
        <w:t>h</w:t>
      </w:r>
      <w:bookmarkEnd w:id="36"/>
      <w:r w:rsidRPr="00A555B6">
        <w:t xml:space="preserve">  </w:t>
      </w:r>
    </w:p>
    <w:p w14:paraId="32220438" w14:textId="77777777" w:rsidR="002D2C7D" w:rsidRPr="00A555B6" w:rsidRDefault="002D2C7D" w:rsidP="002D2C7D">
      <w:pPr>
        <w:spacing w:before="120" w:after="120" w:line="360" w:lineRule="auto"/>
        <w:jc w:val="both"/>
        <w:rPr>
          <w:rFonts w:ascii="Times New Roman" w:hAnsi="Times New Roman" w:cs="Times New Roman"/>
        </w:rPr>
      </w:pPr>
      <w:r w:rsidRPr="00A555B6">
        <w:rPr>
          <w:rFonts w:ascii="Times New Roman" w:hAnsi="Times New Roman" w:cs="Times New Roman"/>
        </w:rPr>
        <w:t xml:space="preserve">Decyzje podejmowane przez Prezesa Rady Ministrów na podstawie art. 82 ust. 1 ustawy o emeryturach i rentach z Funduszu Ubezpieczeń Społecznych są decyzjami w pełni uznaniowymi. Przed ich podjęciem przeprowadzane jest postępowanie mające na celu ustalenie, wyjaśnienie i udokumentowanie wszystkich istotnych okoliczności sprawy mogących mieć wpływ na rozstrzygnięcie w tym zakresie, jednakże postępowanie to nie jest skomplikowane i nie wymaga prowadzenia rozbudowanego postępowania wyjaśniającego oraz dowodowego (celem ustanowienia emerytury lub renty, o których mowa w art. 82 ust. 1 ustawy o emeryturach i rentach z FUS, jest uhonorowanie osób szczególnie zasłużonych, które znalazły się w trudnych sytuacjach życiowych, a także wsparcie w przypadku zaistnienia zdarzeń losowych, ale jedynie o charakterze nadzwyczajnym). W praktyce nie zdarza się zatem, aby strona, po otrzymaniu decyzji w pierwszej instancji, występując do Prezesa Rady Ministrów z wnioskiem o ponowne rozpatrzenie sprawy, wskazała nowe, istotne okoliczności mogące spowodować zmianę podjętej już decyzji w pierwszej instancji. Tak więc wydawane w tych sprawach, na podstawie tego samego materiału dowodowego, decyzje Prezesa Rady Ministrów w drugiej instancji, co do zasady utrzymują w mocy decyzje własne Prezesa Rady Ministrów wydane w pierwszej instancji i są niemal jednobrzmiące. Zatem zasada dwuinstancyjności postępowania administracyjnego w przypadku, gdy organem decydującym w danej sprawie w obu instancjach jest ten sam organ nie znajduje uzasadnienia w tego typu sprawach i daje jedynie stronie złudzenie możliwości zmiany oceny dokonanej w pierwszej instancji. Wniosek o ponowne rozpatrzenie sprawy zawsze jest prośbą o zmianę stanowiska organu w oparciu o ten sam stan faktyczny, co w konsekwencji wpływa na powtórzenie postępowania. Tym samym zasada dwuinstancyjności w kategorii spraw, w których nie ma możliwości ujawnienia nowych okoliczności istotnych dla zmiany dokonanej już oceny, zdecydowanie wydłuża czas ostatecznego rozstrzygnięcia sprawy i nie jest zgodna ze słusznym interesem strony. Zauważyć ponadto należy, że wydanie decyzji ostatecznej w postępowaniu jednoinstancyjnym nie uniemożliwia stronie podjęcia w przyszłości działań zmierzających do zmiany tej decyzji. Nie tylko ma bowiem możliwość wzruszenia takiej decyzji w  jednym  z trybów nadzwyczajnych przewidzianych w Kpa, ale w sytuacji, gdy zaistnieją nowe  okoliczności, które nie były brane pod uwagę przy wydaniu ostatecznej decyzji w przedmiocie przyznania świadczenia specjalnego, w każdym czasie może wystąpić z kolejnym, nowym wnioskiem o przyznanie tego świadczenia. Wówczas postępowanie administracyjne toczy się od nowa </w:t>
      </w:r>
      <w:r w:rsidRPr="00A555B6">
        <w:rPr>
          <w:rFonts w:ascii="Times New Roman" w:hAnsi="Times New Roman" w:cs="Times New Roman"/>
        </w:rPr>
        <w:lastRenderedPageBreak/>
        <w:t>i jeżeli okaże się to uzasadnione w świetle nowych okoliczności sprawy, może być wydana inna w swej istocie decyzja, niż poprzednio wydana decyzja ostateczna. Tak więc odstąpienie od zasady dwuinstancyjności postępowania nie zamyka stronie możliwości otrzymania w tych sprawach ponownej korzystnej dla niej decyzji. Ponadto pomimo odstąpienia od zasady dwuinstancyjności postępowania administracyjnego strona nie zostanie pozbawiona możliwości weryfikacji zgodności z prawem decyzji, gdyż w dalszym ciągu będzie miała możliwość wniesienia, na zasadach ogólnych, skargi na decyzję do sądu administracyjnego.</w:t>
      </w:r>
    </w:p>
    <w:p w14:paraId="664781C5" w14:textId="3CA3800D" w:rsidR="00885DD8" w:rsidRPr="00A555B6" w:rsidRDefault="00885DD8" w:rsidP="00C74181">
      <w:pPr>
        <w:pStyle w:val="Styl1"/>
        <w:spacing w:before="120" w:after="120" w:line="360" w:lineRule="auto"/>
        <w:jc w:val="both"/>
      </w:pPr>
      <w:bookmarkStart w:id="37" w:name="_Toc174689311"/>
      <w:r w:rsidRPr="00A555B6">
        <w:t>Ustawa z dnia 2 marca 2001 r. o wyrobie alkoholu etylowego oraz wytwarzaniu wyrobów tytoniowych</w:t>
      </w:r>
      <w:bookmarkEnd w:id="37"/>
    </w:p>
    <w:p w14:paraId="0F0290C5" w14:textId="170BB5A5" w:rsidR="00F02B15" w:rsidRPr="00A555B6" w:rsidRDefault="00F02B15" w:rsidP="004E6FE9">
      <w:pPr>
        <w:tabs>
          <w:tab w:val="left" w:pos="284"/>
        </w:tabs>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 xml:space="preserve">Zmiany w niniejszej ustawie dotyczą odstąpienia od zasady dwuinstancyjności. </w:t>
      </w:r>
      <w:r w:rsidR="00CC4FB4" w:rsidRPr="00A555B6">
        <w:rPr>
          <w:rFonts w:ascii="Times New Roman" w:eastAsia="Calibri" w:hAnsi="Times New Roman" w:cs="Times New Roman"/>
          <w:kern w:val="0"/>
          <w14:ligatures w14:val="none"/>
        </w:rPr>
        <w:t>Wykreślenie przedsiębiorcy z rejestru podmiotów wykonujących działalność w zakresie wyrobu i przetwarzania alkoholu etylowego lub rejestru producentów wyrobów tytoniowych na jego wniosek powinno być jednoinstancyjne i odbywać się w drodze czynności materialno-technicznej, gdyż ma ono na celu spełnienie w całości żądania przedsiębiorcy (projektowany</w:t>
      </w:r>
      <w:r w:rsidR="00CC4FB4" w:rsidRPr="00A555B6">
        <w:rPr>
          <w:rFonts w:ascii="Times New Roman" w:eastAsia="Calibri" w:hAnsi="Times New Roman" w:cs="Times New Roman"/>
          <w:b/>
          <w:bCs/>
          <w:kern w:val="0"/>
          <w14:ligatures w14:val="none"/>
        </w:rPr>
        <w:t xml:space="preserve"> </w:t>
      </w:r>
      <w:r w:rsidR="00CC4FB4" w:rsidRPr="00A555B6">
        <w:rPr>
          <w:rFonts w:ascii="Times New Roman" w:eastAsia="Calibri" w:hAnsi="Times New Roman" w:cs="Times New Roman"/>
          <w:kern w:val="0"/>
          <w14:ligatures w14:val="none"/>
        </w:rPr>
        <w:t xml:space="preserve">art. 7c ust. 2 ustawy o wyrobie alkoholu etylowego oraz wytwarzaniu wyrobów tytoniowych). </w:t>
      </w:r>
    </w:p>
    <w:p w14:paraId="015192B1" w14:textId="72DE022B" w:rsidR="00885DD8" w:rsidRPr="00A555B6" w:rsidRDefault="00885DD8" w:rsidP="004E6FE9">
      <w:pPr>
        <w:pStyle w:val="Styl1"/>
        <w:spacing w:before="120" w:after="120" w:line="360" w:lineRule="auto"/>
      </w:pPr>
      <w:bookmarkStart w:id="38" w:name="_Toc174689312"/>
      <w:r w:rsidRPr="00A555B6">
        <w:t>Ustawa z dnia 3 lipca 2002 r. – Prawo lotnicze</w:t>
      </w:r>
      <w:bookmarkEnd w:id="38"/>
    </w:p>
    <w:p w14:paraId="76CA9FA1" w14:textId="37443EC1" w:rsidR="00BD7EBA" w:rsidRPr="00A555B6" w:rsidRDefault="00BD7EBA" w:rsidP="004E6FE9">
      <w:pPr>
        <w:spacing w:before="120" w:after="120" w:line="360" w:lineRule="auto"/>
        <w:jc w:val="both"/>
        <w:rPr>
          <w:rFonts w:ascii="Times New Roman" w:hAnsi="Times New Roman" w:cs="Times New Roman"/>
        </w:rPr>
      </w:pPr>
      <w:r w:rsidRPr="00A555B6">
        <w:rPr>
          <w:rFonts w:ascii="Times New Roman" w:hAnsi="Times New Roman" w:cs="Times New Roman"/>
        </w:rPr>
        <w:t>Zmiany w niniejszej ustawie dotyczą odstąpienia od z</w:t>
      </w:r>
      <w:r w:rsidR="007E7B73" w:rsidRPr="00A555B6">
        <w:rPr>
          <w:rFonts w:ascii="Times New Roman" w:hAnsi="Times New Roman" w:cs="Times New Roman"/>
        </w:rPr>
        <w:t>asady</w:t>
      </w:r>
      <w:r w:rsidRPr="00A555B6">
        <w:rPr>
          <w:rFonts w:ascii="Times New Roman" w:hAnsi="Times New Roman" w:cs="Times New Roman"/>
        </w:rPr>
        <w:t xml:space="preserve"> dwuinstancyjności. Proponuje się od</w:t>
      </w:r>
      <w:r w:rsidR="007E7B73" w:rsidRPr="00A555B6">
        <w:rPr>
          <w:rFonts w:ascii="Times New Roman" w:hAnsi="Times New Roman" w:cs="Times New Roman"/>
        </w:rPr>
        <w:t>stą</w:t>
      </w:r>
      <w:r w:rsidRPr="00A555B6">
        <w:rPr>
          <w:rFonts w:ascii="Times New Roman" w:hAnsi="Times New Roman" w:cs="Times New Roman"/>
        </w:rPr>
        <w:t>pienie od dwuinstancyjności w zakresie art. 186b, 186c, 186d oraz 186e. W</w:t>
      </w:r>
      <w:r w:rsidR="00C74181" w:rsidRPr="00A555B6">
        <w:rPr>
          <w:rFonts w:ascii="Times New Roman" w:hAnsi="Times New Roman" w:cs="Times New Roman"/>
        </w:rPr>
        <w:t> </w:t>
      </w:r>
      <w:r w:rsidRPr="00A555B6">
        <w:rPr>
          <w:rFonts w:ascii="Times New Roman" w:hAnsi="Times New Roman" w:cs="Times New Roman"/>
        </w:rPr>
        <w:t>przypadku art. 186b ust. 20 związanego z wydaniem certyfikatu operatora kontroli bezpieczeństwa wydanie certyfikatu operatora kontroli bezpieczeństwa w drodze decyzji administracyjnej stanowi potwierdzenie pozytywnego wyniku egzaminu certyfikacyjnego. Egzamin może być powtarzany. Oczywiste jest, że niezaliczenie egzaminu certyfikacyjnego blokuje możliwość uzyskania certyfikatu. Nie zdar</w:t>
      </w:r>
      <w:r w:rsidR="007E7B73" w:rsidRPr="00A555B6">
        <w:rPr>
          <w:rFonts w:ascii="Times New Roman" w:hAnsi="Times New Roman" w:cs="Times New Roman"/>
        </w:rPr>
        <w:t>zaj</w:t>
      </w:r>
      <w:r w:rsidRPr="00A555B6">
        <w:rPr>
          <w:rFonts w:ascii="Times New Roman" w:hAnsi="Times New Roman" w:cs="Times New Roman"/>
        </w:rPr>
        <w:t xml:space="preserve">ą się zatem wnioski o wydanie certyfikatu bez spełnienia warunku zaliczenia egzaminu. </w:t>
      </w:r>
    </w:p>
    <w:p w14:paraId="6145369D" w14:textId="335DE520" w:rsidR="00BD7EBA" w:rsidRPr="00A555B6" w:rsidRDefault="00BD7EBA" w:rsidP="004E6FE9">
      <w:pPr>
        <w:spacing w:before="120" w:after="120" w:line="360" w:lineRule="auto"/>
        <w:jc w:val="both"/>
        <w:rPr>
          <w:rFonts w:ascii="Times New Roman" w:hAnsi="Times New Roman" w:cs="Times New Roman"/>
        </w:rPr>
      </w:pPr>
      <w:r w:rsidRPr="00A555B6">
        <w:rPr>
          <w:rFonts w:ascii="Times New Roman" w:hAnsi="Times New Roman" w:cs="Times New Roman"/>
        </w:rPr>
        <w:t>Art. 186c, 186d oraz 186e ustaw</w:t>
      </w:r>
      <w:r w:rsidR="0009233A" w:rsidRPr="00A555B6">
        <w:rPr>
          <w:rFonts w:ascii="Times New Roman" w:hAnsi="Times New Roman" w:cs="Times New Roman"/>
        </w:rPr>
        <w:t>y</w:t>
      </w:r>
      <w:r w:rsidRPr="00A555B6">
        <w:rPr>
          <w:rFonts w:ascii="Times New Roman" w:hAnsi="Times New Roman" w:cs="Times New Roman"/>
        </w:rPr>
        <w:t xml:space="preserve"> – Prawo lotnicze </w:t>
      </w:r>
      <w:r w:rsidR="002A7638" w:rsidRPr="00A555B6">
        <w:rPr>
          <w:rFonts w:ascii="Times New Roman" w:hAnsi="Times New Roman" w:cs="Times New Roman"/>
        </w:rPr>
        <w:t>dotyczą</w:t>
      </w:r>
      <w:r w:rsidRPr="00A555B6">
        <w:rPr>
          <w:rFonts w:ascii="Times New Roman" w:hAnsi="Times New Roman" w:cs="Times New Roman"/>
        </w:rPr>
        <w:t xml:space="preserve"> odpowiednio wyznaczenia zarejestrowanego agenta, dostawcy oraz nadawcy. Przesłanki wydania decyzji są jednoznacznie określone w przepisach. W przypadku decyzji negatywnej strona może złożyć wniosek o ponowne rozpatrzenie sprawy, jednak oczywistość niespełnienia wymogów przesądza o utrzymaniu decyzji w mocy. Wniosek o ponowne rozpatrzenie, może jedynie wydłużyć czas ostatecznego załatwienia sprawy. Stąd też proponuje się zniesienie dwuinstancyjności t</w:t>
      </w:r>
      <w:r w:rsidR="0009233A" w:rsidRPr="00A555B6">
        <w:rPr>
          <w:rFonts w:ascii="Times New Roman" w:hAnsi="Times New Roman" w:cs="Times New Roman"/>
        </w:rPr>
        <w:t>ych</w:t>
      </w:r>
      <w:r w:rsidRPr="00A555B6">
        <w:rPr>
          <w:rFonts w:ascii="Times New Roman" w:hAnsi="Times New Roman" w:cs="Times New Roman"/>
        </w:rPr>
        <w:t xml:space="preserve"> postępowa</w:t>
      </w:r>
      <w:r w:rsidR="0009233A" w:rsidRPr="00A555B6">
        <w:rPr>
          <w:rFonts w:ascii="Times New Roman" w:hAnsi="Times New Roman" w:cs="Times New Roman"/>
        </w:rPr>
        <w:t>ń</w:t>
      </w:r>
      <w:r w:rsidRPr="00A555B6">
        <w:rPr>
          <w:rFonts w:ascii="Times New Roman" w:hAnsi="Times New Roman" w:cs="Times New Roman"/>
        </w:rPr>
        <w:t xml:space="preserve"> administracyjn</w:t>
      </w:r>
      <w:r w:rsidR="0009233A" w:rsidRPr="00A555B6">
        <w:rPr>
          <w:rFonts w:ascii="Times New Roman" w:hAnsi="Times New Roman" w:cs="Times New Roman"/>
        </w:rPr>
        <w:t>ych</w:t>
      </w:r>
      <w:r w:rsidRPr="00A555B6">
        <w:rPr>
          <w:rFonts w:ascii="Times New Roman" w:hAnsi="Times New Roman" w:cs="Times New Roman"/>
        </w:rPr>
        <w:t>.</w:t>
      </w:r>
    </w:p>
    <w:p w14:paraId="0BEBFE49" w14:textId="45D19EEB" w:rsidR="000C5164" w:rsidRPr="00A555B6" w:rsidRDefault="000C5164" w:rsidP="00C74181">
      <w:pPr>
        <w:pStyle w:val="Styl1"/>
        <w:spacing w:before="120" w:after="120" w:line="360" w:lineRule="auto"/>
        <w:jc w:val="both"/>
      </w:pPr>
      <w:bookmarkStart w:id="39" w:name="_Toc174689313"/>
      <w:r w:rsidRPr="00A555B6">
        <w:t>Ustawa z d</w:t>
      </w:r>
      <w:r w:rsidR="007E7B73" w:rsidRPr="00A555B6">
        <w:t>nia</w:t>
      </w:r>
      <w:r w:rsidRPr="00A555B6">
        <w:t xml:space="preserve"> 30 sie</w:t>
      </w:r>
      <w:r w:rsidR="000464F5" w:rsidRPr="00A555B6">
        <w:t>r</w:t>
      </w:r>
      <w:r w:rsidR="007E7B73" w:rsidRPr="00A555B6">
        <w:t>pnia</w:t>
      </w:r>
      <w:r w:rsidRPr="00A555B6">
        <w:t xml:space="preserve"> 2002 r. – Prawo o postępowaniu przed sądami administracyjnymi</w:t>
      </w:r>
      <w:bookmarkEnd w:id="39"/>
    </w:p>
    <w:p w14:paraId="4AEBD1D2" w14:textId="43F307E5"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xml:space="preserve">1) Zmiana art. 52 § 3 Ppsa ma na celu uzupełnienie tej regulacji o możliwość wniesienie skargi do wojewódzkiego sądu administracyjnego bez składania wniosku o ponowne rozpatrzenie sprawy także postanowień. </w:t>
      </w:r>
    </w:p>
    <w:p w14:paraId="53DD31DD"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Obecnie literalne brzmienie art. 52 § 3 Ppsa pomija postanowienia, na które również może przysługiwać wniosek o ponowne rozpatrzenie sprawy. Jednocześnie powyższe potwierdza stanowisko Naczelnego Sądu Administracyjnego (postanowienie Naczelnego Sądu Administracyjnego z dnia 11 maja 2018 r., sygn. akt I OSK 1269/18, Postanowienie Naczelnego Sądu Administracyjnego z dnia 23 listopada 2018 r., sygn. akt I OSK 3975/18, a także Postanowienia Naczelnego Sądu Administracyjnego: z dnia 5 lutego 2019 r., sygn. akt I OSK 4439/18; z dnia 12 kwietnia 2019 r., sygn. akt II OSK 1018/19; z dnia 11 października 2019 r., sygn. akt I OSK 3522/18; z dnia 26 marca 2019 r., sygn. akt II OSK 577/19; z dnia 20 kwietnia 2021 r., sygn. akt I OSK 2725/20; z dnia 12 kwietnia 2022 r., sygn. akt I OSK 539/22).</w:t>
      </w:r>
    </w:p>
    <w:p w14:paraId="67CEDD8C"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Biorąc pod uwagę powyższe należy dokonać zmian w ww. zakresie w art. 52 § 3 Ppsa.</w:t>
      </w:r>
    </w:p>
    <w:p w14:paraId="340D2190" w14:textId="0264D3E9" w:rsidR="000C5164" w:rsidRPr="00A555B6" w:rsidRDefault="00FB11B8" w:rsidP="007E7B73">
      <w:pPr>
        <w:spacing w:before="120" w:after="120" w:line="360" w:lineRule="auto"/>
        <w:jc w:val="both"/>
        <w:rPr>
          <w:rFonts w:ascii="Times New Roman" w:hAnsi="Times New Roman" w:cs="Times New Roman"/>
        </w:rPr>
      </w:pPr>
      <w:r w:rsidRPr="00A555B6">
        <w:rPr>
          <w:rFonts w:ascii="Times New Roman" w:hAnsi="Times New Roman" w:cs="Times New Roman"/>
        </w:rPr>
        <w:t xml:space="preserve">2) </w:t>
      </w:r>
      <w:r w:rsidR="000C5164" w:rsidRPr="00A555B6">
        <w:rPr>
          <w:rFonts w:ascii="Times New Roman" w:hAnsi="Times New Roman" w:cs="Times New Roman"/>
        </w:rPr>
        <w:t>Zaproponowano dodanie do ww. ustawy art. 64f. Ma to na celu objęcie regulacją umożliwiającą wniesienie sprzeciw</w:t>
      </w:r>
      <w:r w:rsidR="007E7B73" w:rsidRPr="00A555B6">
        <w:rPr>
          <w:rFonts w:ascii="Times New Roman" w:hAnsi="Times New Roman" w:cs="Times New Roman"/>
        </w:rPr>
        <w:t>u nie</w:t>
      </w:r>
      <w:r w:rsidR="000C5164" w:rsidRPr="00A555B6">
        <w:rPr>
          <w:rFonts w:ascii="Times New Roman" w:hAnsi="Times New Roman" w:cs="Times New Roman"/>
        </w:rPr>
        <w:t xml:space="preserve"> tylko od decyzji kasa</w:t>
      </w:r>
      <w:r w:rsidR="007E7B73" w:rsidRPr="00A555B6">
        <w:rPr>
          <w:rFonts w:ascii="Times New Roman" w:hAnsi="Times New Roman" w:cs="Times New Roman"/>
        </w:rPr>
        <w:t>toryjnych</w:t>
      </w:r>
      <w:r w:rsidR="000C5164" w:rsidRPr="00A555B6">
        <w:rPr>
          <w:rFonts w:ascii="Times New Roman" w:hAnsi="Times New Roman" w:cs="Times New Roman"/>
        </w:rPr>
        <w:t>, ale także od postanowień wydanych poprzez odpowiednie zastosowanie art. 138 § 2 Kpa, w związku z art. 144 Kpa. Przepisy rozdziału 3a Ppsa („Sprzeciw od decyzji”), w obecnym brzmieniu, mają zastosowanie tylko do decyzji administracyjnyc</w:t>
      </w:r>
      <w:r w:rsidR="007E7B73" w:rsidRPr="00A555B6">
        <w:rPr>
          <w:rFonts w:ascii="Times New Roman" w:hAnsi="Times New Roman" w:cs="Times New Roman"/>
        </w:rPr>
        <w:t xml:space="preserve">h. </w:t>
      </w:r>
      <w:r w:rsidR="000C5164" w:rsidRPr="00A555B6">
        <w:rPr>
          <w:rFonts w:ascii="Times New Roman" w:hAnsi="Times New Roman" w:cs="Times New Roman"/>
        </w:rPr>
        <w:t>Jednocześnie</w:t>
      </w:r>
      <w:r w:rsidR="007E7B73" w:rsidRPr="00A555B6">
        <w:rPr>
          <w:rFonts w:ascii="Times New Roman" w:hAnsi="Times New Roman" w:cs="Times New Roman"/>
        </w:rPr>
        <w:t xml:space="preserve"> stron</w:t>
      </w:r>
      <w:r w:rsidR="000C5164" w:rsidRPr="00A555B6">
        <w:rPr>
          <w:rFonts w:ascii="Times New Roman" w:hAnsi="Times New Roman" w:cs="Times New Roman"/>
        </w:rPr>
        <w:t>ie powinno przysługiwać prawo wniesienia sprzeciwu od postanowi</w:t>
      </w:r>
      <w:r w:rsidR="007E7B73" w:rsidRPr="00A555B6">
        <w:rPr>
          <w:rFonts w:ascii="Times New Roman" w:hAnsi="Times New Roman" w:cs="Times New Roman"/>
        </w:rPr>
        <w:t>enia</w:t>
      </w:r>
      <w:r w:rsidR="000C5164" w:rsidRPr="00A555B6">
        <w:rPr>
          <w:rFonts w:ascii="Times New Roman" w:hAnsi="Times New Roman" w:cs="Times New Roman"/>
        </w:rPr>
        <w:t xml:space="preserve"> wydanego na podst</w:t>
      </w:r>
      <w:r w:rsidR="007E7B73" w:rsidRPr="00A555B6">
        <w:rPr>
          <w:rFonts w:ascii="Times New Roman" w:hAnsi="Times New Roman" w:cs="Times New Roman"/>
        </w:rPr>
        <w:t>awi</w:t>
      </w:r>
      <w:r w:rsidR="000C5164" w:rsidRPr="00A555B6">
        <w:rPr>
          <w:rFonts w:ascii="Times New Roman" w:hAnsi="Times New Roman" w:cs="Times New Roman"/>
        </w:rPr>
        <w:t>e art. 144 w związku z art. 138 § 2 Kpa – analogicznie jak w</w:t>
      </w:r>
      <w:r w:rsidR="00C74181" w:rsidRPr="00A555B6">
        <w:rPr>
          <w:rFonts w:ascii="Times New Roman" w:hAnsi="Times New Roman" w:cs="Times New Roman"/>
        </w:rPr>
        <w:t> </w:t>
      </w:r>
      <w:r w:rsidR="000C5164" w:rsidRPr="00A555B6">
        <w:rPr>
          <w:rFonts w:ascii="Times New Roman" w:hAnsi="Times New Roman" w:cs="Times New Roman"/>
        </w:rPr>
        <w:t>przypadku decyzji na podstawie art. 64a Ppsa.</w:t>
      </w:r>
    </w:p>
    <w:p w14:paraId="0B6B8FFD" w14:textId="3EA85CFB" w:rsidR="006D4190" w:rsidRPr="00A555B6" w:rsidRDefault="000C5164" w:rsidP="004E6FE9">
      <w:pPr>
        <w:spacing w:before="120" w:after="120" w:line="360" w:lineRule="auto"/>
        <w:jc w:val="both"/>
        <w:rPr>
          <w:rFonts w:ascii="Times New Roman" w:hAnsi="Times New Roman" w:cs="Times New Roman"/>
        </w:rPr>
      </w:pPr>
      <w:r w:rsidRPr="00A555B6">
        <w:rPr>
          <w:rFonts w:ascii="Times New Roman" w:hAnsi="Times New Roman" w:cs="Times New Roman"/>
        </w:rPr>
        <w:t>Zgodnie z art. 144 Kpa w sprawach dotyczących zażaleń w dużej mierze znajdują zastosowanie przepisy dotyczące odwołań od decyzji. W lite</w:t>
      </w:r>
      <w:r w:rsidR="007E7B73" w:rsidRPr="00A555B6">
        <w:rPr>
          <w:rFonts w:ascii="Times New Roman" w:hAnsi="Times New Roman" w:cs="Times New Roman"/>
        </w:rPr>
        <w:t>ratu</w:t>
      </w:r>
      <w:r w:rsidRPr="00A555B6">
        <w:rPr>
          <w:rFonts w:ascii="Times New Roman" w:hAnsi="Times New Roman" w:cs="Times New Roman"/>
        </w:rPr>
        <w:t>rze w</w:t>
      </w:r>
      <w:r w:rsidR="007E7B73" w:rsidRPr="00A555B6">
        <w:rPr>
          <w:rFonts w:ascii="Times New Roman" w:hAnsi="Times New Roman" w:cs="Times New Roman"/>
        </w:rPr>
        <w:t>yra</w:t>
      </w:r>
      <w:r w:rsidRPr="00A555B6">
        <w:rPr>
          <w:rFonts w:ascii="Times New Roman" w:hAnsi="Times New Roman" w:cs="Times New Roman"/>
        </w:rPr>
        <w:t>źnie wskazuje się, że wobec wniesienia zażalenia na postanowienie organ odwoławczy musi zastosować odpowiednio m.in. przepis art. 138 Kpa (por. B.</w:t>
      </w:r>
      <w:r w:rsidR="00E6226B" w:rsidRPr="00A555B6">
        <w:rPr>
          <w:rFonts w:ascii="Times New Roman" w:hAnsi="Times New Roman" w:cs="Times New Roman"/>
        </w:rPr>
        <w:t> </w:t>
      </w:r>
      <w:r w:rsidRPr="00A555B6">
        <w:rPr>
          <w:rFonts w:ascii="Times New Roman" w:hAnsi="Times New Roman" w:cs="Times New Roman"/>
        </w:rPr>
        <w:t>Adamiak, w: Adamiak, Borkowski, Komentarz Kpa, 2016, s. 636 i n.; K. Glibowski, w:</w:t>
      </w:r>
      <w:r w:rsidR="00C74181" w:rsidRPr="00A555B6">
        <w:rPr>
          <w:rFonts w:ascii="Times New Roman" w:hAnsi="Times New Roman" w:cs="Times New Roman"/>
        </w:rPr>
        <w:t> </w:t>
      </w:r>
      <w:r w:rsidRPr="00A555B6">
        <w:rPr>
          <w:rFonts w:ascii="Times New Roman" w:hAnsi="Times New Roman" w:cs="Times New Roman"/>
        </w:rPr>
        <w:t>Hauser, Wierzbowski, Komentarz Kpa, 2017, s. 978 i n.). Podobne stanowisko przyjmuje się w</w:t>
      </w:r>
      <w:r w:rsidR="00C74181" w:rsidRPr="00A555B6">
        <w:rPr>
          <w:rFonts w:ascii="Times New Roman" w:hAnsi="Times New Roman" w:cs="Times New Roman"/>
        </w:rPr>
        <w:t> </w:t>
      </w:r>
      <w:r w:rsidRPr="00A555B6">
        <w:rPr>
          <w:rFonts w:ascii="Times New Roman" w:hAnsi="Times New Roman" w:cs="Times New Roman"/>
        </w:rPr>
        <w:t>orzecznictwie sądów administracyjnych (zob. wyr. NSA z 9 listopada 2012 r., II GSK 1503/11, Legalis; wyr. NSA z</w:t>
      </w:r>
      <w:r w:rsidR="00E6226B" w:rsidRPr="00A555B6">
        <w:rPr>
          <w:rFonts w:ascii="Times New Roman" w:hAnsi="Times New Roman" w:cs="Times New Roman"/>
        </w:rPr>
        <w:t> </w:t>
      </w:r>
      <w:r w:rsidRPr="00A555B6">
        <w:rPr>
          <w:rFonts w:ascii="Times New Roman" w:hAnsi="Times New Roman" w:cs="Times New Roman"/>
        </w:rPr>
        <w:t>26 marca 1998 r., II SA 137/98, niepubl.; wyr. WSA w Warszawie z 3 kwietnia 2008 r., V SA/Wa 367/08, Legalis). Możliwe</w:t>
      </w:r>
      <w:r w:rsidR="00C24E62" w:rsidRPr="00A555B6">
        <w:rPr>
          <w:rFonts w:ascii="Times New Roman" w:hAnsi="Times New Roman" w:cs="Times New Roman"/>
        </w:rPr>
        <w:t xml:space="preserve"> jest</w:t>
      </w:r>
      <w:r w:rsidRPr="00A555B6">
        <w:rPr>
          <w:rFonts w:ascii="Times New Roman" w:hAnsi="Times New Roman" w:cs="Times New Roman"/>
        </w:rPr>
        <w:t xml:space="preserve"> zatem, aby o</w:t>
      </w:r>
      <w:r w:rsidR="000464F5" w:rsidRPr="00A555B6">
        <w:rPr>
          <w:rFonts w:ascii="Times New Roman" w:hAnsi="Times New Roman" w:cs="Times New Roman"/>
        </w:rPr>
        <w:t>r</w:t>
      </w:r>
      <w:r w:rsidR="00C24E62" w:rsidRPr="00A555B6">
        <w:rPr>
          <w:rFonts w:ascii="Times New Roman" w:hAnsi="Times New Roman" w:cs="Times New Roman"/>
        </w:rPr>
        <w:t>ga</w:t>
      </w:r>
      <w:r w:rsidRPr="00A555B6">
        <w:rPr>
          <w:rFonts w:ascii="Times New Roman" w:hAnsi="Times New Roman" w:cs="Times New Roman"/>
        </w:rPr>
        <w:t>n drugiej instancji, rozpatrując zażalenie na postanowienie wydane przez organ pierwszej instancji, zgodnie z art. 138 § 2 w zw. z art. 144 Kpa, wydał postanowienie o uchyleniu postanowienia i przeka</w:t>
      </w:r>
      <w:r w:rsidR="00C24E62" w:rsidRPr="00A555B6">
        <w:rPr>
          <w:rFonts w:ascii="Times New Roman" w:hAnsi="Times New Roman" w:cs="Times New Roman"/>
        </w:rPr>
        <w:t>zan</w:t>
      </w:r>
      <w:r w:rsidRPr="00A555B6">
        <w:rPr>
          <w:rFonts w:ascii="Times New Roman" w:hAnsi="Times New Roman" w:cs="Times New Roman"/>
        </w:rPr>
        <w:t>iu sprawy do po</w:t>
      </w:r>
      <w:r w:rsidR="00C24E62" w:rsidRPr="00A555B6">
        <w:rPr>
          <w:rFonts w:ascii="Times New Roman" w:hAnsi="Times New Roman" w:cs="Times New Roman"/>
        </w:rPr>
        <w:t>nown</w:t>
      </w:r>
      <w:r w:rsidRPr="00A555B6">
        <w:rPr>
          <w:rFonts w:ascii="Times New Roman" w:hAnsi="Times New Roman" w:cs="Times New Roman"/>
        </w:rPr>
        <w:t>ego rozpatrzenia. Obecnie sprzeciw nie pr</w:t>
      </w:r>
      <w:r w:rsidR="00C24E62" w:rsidRPr="00A555B6">
        <w:rPr>
          <w:rFonts w:ascii="Times New Roman" w:hAnsi="Times New Roman" w:cs="Times New Roman"/>
        </w:rPr>
        <w:t>zys</w:t>
      </w:r>
      <w:r w:rsidRPr="00A555B6">
        <w:rPr>
          <w:rFonts w:ascii="Times New Roman" w:hAnsi="Times New Roman" w:cs="Times New Roman"/>
        </w:rPr>
        <w:t xml:space="preserve">ługuje od postanowienia organu drugiej instancji wydanego na podstawie art. 138 § 2 w zw. z art. 144 Kpa </w:t>
      </w:r>
      <w:r w:rsidR="00C24E62" w:rsidRPr="00A555B6">
        <w:rPr>
          <w:rFonts w:ascii="Times New Roman" w:hAnsi="Times New Roman" w:cs="Times New Roman"/>
        </w:rPr>
        <w:t xml:space="preserve">ze </w:t>
      </w:r>
      <w:r w:rsidRPr="00A555B6">
        <w:rPr>
          <w:rFonts w:ascii="Times New Roman" w:hAnsi="Times New Roman" w:cs="Times New Roman"/>
        </w:rPr>
        <w:t>względu na to, że ustawodawca w art. 64a Ppsa wprost odnosi się tylko do decyzji (a n</w:t>
      </w:r>
      <w:r w:rsidR="00C24E62" w:rsidRPr="00A555B6">
        <w:rPr>
          <w:rFonts w:ascii="Times New Roman" w:hAnsi="Times New Roman" w:cs="Times New Roman"/>
        </w:rPr>
        <w:t xml:space="preserve">ie </w:t>
      </w:r>
      <w:r w:rsidRPr="00A555B6">
        <w:rPr>
          <w:rFonts w:ascii="Times New Roman" w:hAnsi="Times New Roman" w:cs="Times New Roman"/>
        </w:rPr>
        <w:t xml:space="preserve">postanowień) wydanych na podstawie tego przepisu (tj. art. 138 § 2 Kpa). Zaprezentowany pogląd w zakresie braku możliwości wniesienia sprzeciwu z art. 64a Ppsa wobec postanowień kasatoryjnych został przyjęty w orzecznictwie sądowoadministracyjnym. </w:t>
      </w:r>
      <w:r w:rsidR="00C24E62" w:rsidRPr="00A555B6">
        <w:rPr>
          <w:rFonts w:ascii="Times New Roman" w:hAnsi="Times New Roman" w:cs="Times New Roman"/>
        </w:rPr>
        <w:t>Składy orzekające</w:t>
      </w:r>
      <w:r w:rsidRPr="00A555B6">
        <w:rPr>
          <w:rFonts w:ascii="Times New Roman" w:hAnsi="Times New Roman" w:cs="Times New Roman"/>
        </w:rPr>
        <w:t xml:space="preserve"> wyraźnie wskazują, że za takim poglądem przema</w:t>
      </w:r>
      <w:r w:rsidR="00C24E62" w:rsidRPr="00A555B6">
        <w:rPr>
          <w:rFonts w:ascii="Times New Roman" w:hAnsi="Times New Roman" w:cs="Times New Roman"/>
        </w:rPr>
        <w:t>wiają</w:t>
      </w:r>
      <w:r w:rsidRPr="00A555B6">
        <w:rPr>
          <w:rFonts w:ascii="Times New Roman" w:hAnsi="Times New Roman" w:cs="Times New Roman"/>
        </w:rPr>
        <w:t xml:space="preserve"> argumenty tożsame z</w:t>
      </w:r>
      <w:r w:rsidR="00C74181" w:rsidRPr="00A555B6">
        <w:rPr>
          <w:rFonts w:ascii="Times New Roman" w:hAnsi="Times New Roman" w:cs="Times New Roman"/>
        </w:rPr>
        <w:t> </w:t>
      </w:r>
      <w:r w:rsidRPr="00A555B6">
        <w:rPr>
          <w:rFonts w:ascii="Times New Roman" w:hAnsi="Times New Roman" w:cs="Times New Roman"/>
        </w:rPr>
        <w:t xml:space="preserve">racjami wysłowionymi powyżej </w:t>
      </w:r>
      <w:r w:rsidR="00E07402" w:rsidRPr="00A555B6">
        <w:rPr>
          <w:rFonts w:ascii="Times New Roman" w:hAnsi="Times New Roman" w:cs="Times New Roman"/>
        </w:rPr>
        <w:t>(por. post</w:t>
      </w:r>
      <w:r w:rsidR="002E452F" w:rsidRPr="00A555B6">
        <w:rPr>
          <w:rFonts w:ascii="Times New Roman" w:hAnsi="Times New Roman" w:cs="Times New Roman"/>
        </w:rPr>
        <w:t>anowienie</w:t>
      </w:r>
      <w:r w:rsidR="00E07402" w:rsidRPr="00A555B6">
        <w:rPr>
          <w:rFonts w:ascii="Times New Roman" w:hAnsi="Times New Roman" w:cs="Times New Roman"/>
        </w:rPr>
        <w:t xml:space="preserve"> NSA z 16 lutego 2018 r., sygn. akt I OZ 130/18,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NSA z 25 maja 2018 r., sygn. akt I OSK 1519/18,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NSA z 30 maja 2018 r., sygn. akt I GSK 2146/18,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NSA z 13 grudnia 2018 r., sygn. akt II FSK 2408/18,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WSA w Rzeszowie z 12 września 2018 r., sygn. akt II SA/Rz 559/18,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WSA w Szczecinie z 14 czerwca 2018 </w:t>
      </w:r>
      <w:r w:rsidR="00E07402" w:rsidRPr="00A555B6">
        <w:rPr>
          <w:rFonts w:ascii="Times New Roman" w:hAnsi="Times New Roman" w:cs="Times New Roman"/>
        </w:rPr>
        <w:lastRenderedPageBreak/>
        <w:t>r., sygn. akt II SA/Sz 434/18, Legalis; wyr</w:t>
      </w:r>
      <w:r w:rsidR="002E452F" w:rsidRPr="00A555B6">
        <w:rPr>
          <w:rFonts w:ascii="Times New Roman" w:hAnsi="Times New Roman" w:cs="Times New Roman"/>
        </w:rPr>
        <w:t>ok</w:t>
      </w:r>
      <w:r w:rsidR="00E07402" w:rsidRPr="00A555B6">
        <w:rPr>
          <w:rFonts w:ascii="Times New Roman" w:hAnsi="Times New Roman" w:cs="Times New Roman"/>
        </w:rPr>
        <w:t xml:space="preserve"> WSA w Lublinie z 5 czerwca 2018 r., sygn. akt II SA/Lu 314/18, Legalis). </w:t>
      </w:r>
    </w:p>
    <w:p w14:paraId="6CC3464B"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wskazać, że zgodnie z 3 § 2 pkt 2 Ppsa kontrola działalności administracji publicznej przez sądy administracyjne obejmuje orzekanie w sprawach skarg na postanowienia wydane w postępowaniu administracyjnym, na które służy zażalenie albo kończące postępowanie, a także na postanowienia rozstrzygające sprawę co do istoty. Zatem w obecnym stanie prawnym, gdy po rozpatrzeniu zażalenia na postanowienia organ odwoławczy uchyli zaskarżone postanowienie w całości i przekaże sprawę do ponownego rozpatrzenia organowi pierwszej instancji (na podstawie art. 138 § 2 w związku z art. 144 Kpa), stronie przysługuje skarga na postanowienie. Natomiast w analogicznej sytuacji ale w odniesieniu do decyzji stronie przysługuje sprzeciw od decyzji (nie przysługuje natomiast skarga na decyzję). </w:t>
      </w:r>
    </w:p>
    <w:p w14:paraId="1A6C96D9"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Jednocześnie należy zwrócić uwagę, że sam sprzeciw jest instytucją korzystniejszą dla strony ze względu na:</w:t>
      </w:r>
    </w:p>
    <w:p w14:paraId="52E3B003"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xml:space="preserve">- krótsze terminy niż w przypadku skargi (sprzeciw od decyzji wnosi się w terminie czternastu dni; termin ten uważa się za zachowany również gdy przed jego upływem strona wniosła sprzeciw wprost do sądu administracyjnego; organ przekazuje sprzeciw w terminie czternastu dni od dnia jego otrzymania; sąd rozpoznaje sprzeciw na posiedzeniu niejawnym w terminie 30 dni); </w:t>
      </w:r>
    </w:p>
    <w:p w14:paraId="03E4513D" w14:textId="1A32257C"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możliwość uwzględnienia sprzeciwu przez organ administracji publicznej (co nie występuje w</w:t>
      </w:r>
      <w:r w:rsidR="00E6226B" w:rsidRPr="00A555B6">
        <w:rPr>
          <w:rFonts w:ascii="Times New Roman" w:hAnsi="Times New Roman" w:cs="Times New Roman"/>
        </w:rPr>
        <w:t> </w:t>
      </w:r>
      <w:r w:rsidRPr="00A555B6">
        <w:rPr>
          <w:rFonts w:ascii="Times New Roman" w:hAnsi="Times New Roman" w:cs="Times New Roman"/>
        </w:rPr>
        <w:t>przypadku skargi);</w:t>
      </w:r>
    </w:p>
    <w:p w14:paraId="690D4515"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brak konieczności określenia w sprzeciwie naruszenia prawa lub interesu prawnego.</w:t>
      </w:r>
    </w:p>
    <w:p w14:paraId="3D20321C"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W związku z tym nie jest uzasadnione rozróżnienie między decyzjami kasacyjnymi a postanowieniami kasacyjnymi.</w:t>
      </w:r>
    </w:p>
    <w:p w14:paraId="172F4333" w14:textId="77777777" w:rsidR="006D4190" w:rsidRPr="00A555B6" w:rsidRDefault="006D4190" w:rsidP="006D4190">
      <w:pPr>
        <w:spacing w:before="120" w:after="120" w:line="360" w:lineRule="auto"/>
        <w:jc w:val="both"/>
        <w:rPr>
          <w:rFonts w:ascii="Times New Roman" w:hAnsi="Times New Roman" w:cs="Times New Roman"/>
        </w:rPr>
      </w:pPr>
      <w:r w:rsidRPr="00A555B6">
        <w:rPr>
          <w:rFonts w:ascii="Times New Roman" w:hAnsi="Times New Roman" w:cs="Times New Roman"/>
        </w:rPr>
        <w:t xml:space="preserve">Konsekwencją dodania art. 64f Ppsa są zmiany art. 3 § 2a, tytułu rozdziału 3a w dziale III, art. 151a § 4, art. 182 § 2a, art. 182a oraz art. 230 § 2 Ppsa, które zostały uzupełnione o instytucję sprzeciwu od postanowienia. </w:t>
      </w:r>
    </w:p>
    <w:p w14:paraId="27F8A9BB" w14:textId="5064873C" w:rsidR="00566D1B" w:rsidRPr="00A555B6" w:rsidRDefault="006D4190" w:rsidP="004E6FE9">
      <w:pPr>
        <w:spacing w:before="120" w:after="120" w:line="360" w:lineRule="auto"/>
        <w:jc w:val="both"/>
        <w:rPr>
          <w:rFonts w:ascii="Times New Roman" w:hAnsi="Times New Roman" w:cs="Times New Roman"/>
        </w:rPr>
      </w:pPr>
      <w:r w:rsidRPr="00A555B6">
        <w:rPr>
          <w:rFonts w:ascii="Times New Roman" w:hAnsi="Times New Roman" w:cs="Times New Roman"/>
        </w:rPr>
        <w:t>Jednocześnie w związku ze zmianą art. 230 § 2 Ppsa, i dodaniem w nim sprzeciwu od postanowienia, jako pisma wszczynającego postępowanie przed sądem administracyjnym w danej instancji od którego należny będzie wpis (art. 230 § 1 Ppsa), konieczna będzie również zmiana rozporządzenia Rady Ministrów z dnia 18 marca 2021 r. w sprawie wysokości oraz szczegółowych zasad pobierania wpisu w</w:t>
      </w:r>
      <w:r w:rsidR="00E6226B" w:rsidRPr="00A555B6">
        <w:rPr>
          <w:rFonts w:ascii="Times New Roman" w:hAnsi="Times New Roman" w:cs="Times New Roman"/>
        </w:rPr>
        <w:t> </w:t>
      </w:r>
      <w:r w:rsidRPr="00A555B6">
        <w:rPr>
          <w:rFonts w:ascii="Times New Roman" w:hAnsi="Times New Roman" w:cs="Times New Roman"/>
        </w:rPr>
        <w:t>postępowaniu przed sądami administracyjnymi</w:t>
      </w:r>
      <w:r w:rsidR="000C5164" w:rsidRPr="00A555B6">
        <w:rPr>
          <w:rFonts w:ascii="Times New Roman" w:hAnsi="Times New Roman" w:cs="Times New Roman"/>
        </w:rPr>
        <w:t>.</w:t>
      </w:r>
    </w:p>
    <w:p w14:paraId="04DDC1F2" w14:textId="73E36C9C" w:rsidR="00B56F62" w:rsidRPr="00A555B6" w:rsidRDefault="00B9357B" w:rsidP="004E6FE9">
      <w:pPr>
        <w:pStyle w:val="Styl1"/>
        <w:spacing w:before="120" w:after="120" w:line="360" w:lineRule="auto"/>
      </w:pPr>
      <w:bookmarkStart w:id="40" w:name="_Toc174689314"/>
      <w:r w:rsidRPr="00A555B6">
        <w:t>Ustawa z dnia 11 marca 2004 r. o podatku od towarów i usług</w:t>
      </w:r>
      <w:bookmarkEnd w:id="40"/>
    </w:p>
    <w:p w14:paraId="56A8EAD5" w14:textId="2F7CDFE9" w:rsidR="00D35063" w:rsidRPr="00A555B6" w:rsidRDefault="00D35063"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Należy wskazać, że rozporządzenia wydawane na podstawie art. 111 ust. 8 </w:t>
      </w:r>
      <w:r w:rsidR="000464F5" w:rsidRPr="00A555B6">
        <w:rPr>
          <w:rFonts w:ascii="Times New Roman" w:hAnsi="Times New Roman" w:cs="Times New Roman"/>
        </w:rPr>
        <w:t xml:space="preserve">ustawy o </w:t>
      </w:r>
      <w:r w:rsidRPr="00A555B6">
        <w:rPr>
          <w:rFonts w:ascii="Times New Roman" w:hAnsi="Times New Roman" w:cs="Times New Roman"/>
        </w:rPr>
        <w:t xml:space="preserve">VAT </w:t>
      </w:r>
      <w:bookmarkStart w:id="41" w:name="_Hlk162344314"/>
      <w:r w:rsidRPr="00A555B6">
        <w:rPr>
          <w:rFonts w:ascii="Times New Roman" w:hAnsi="Times New Roman" w:cs="Times New Roman"/>
        </w:rPr>
        <w:t>w sprawie zwolnień z</w:t>
      </w:r>
      <w:r w:rsidR="00C74181" w:rsidRPr="00A555B6">
        <w:rPr>
          <w:rFonts w:ascii="Times New Roman" w:hAnsi="Times New Roman" w:cs="Times New Roman"/>
        </w:rPr>
        <w:t> </w:t>
      </w:r>
      <w:r w:rsidRPr="00A555B6">
        <w:rPr>
          <w:rFonts w:ascii="Times New Roman" w:hAnsi="Times New Roman" w:cs="Times New Roman"/>
        </w:rPr>
        <w:t>obowiązku prowadzenia ewidencji sprzedaży przy zastosowaniu kas rejestrujących</w:t>
      </w:r>
      <w:bookmarkEnd w:id="41"/>
      <w:r w:rsidRPr="00A555B6">
        <w:rPr>
          <w:rFonts w:ascii="Times New Roman" w:hAnsi="Times New Roman" w:cs="Times New Roman"/>
        </w:rPr>
        <w:t xml:space="preserve"> wydawane są co do zasady na rok. Obecnie od 1 stycznia 2024 r. obowiązuje rozporządzenie Ministra Finansów z dnia z dnia 24 listopada 2023 r. w sprawie zwolnień z obowiązku prowadzenia ewidencji </w:t>
      </w:r>
      <w:r w:rsidRPr="00A555B6">
        <w:rPr>
          <w:rFonts w:ascii="Times New Roman" w:hAnsi="Times New Roman" w:cs="Times New Roman"/>
        </w:rPr>
        <w:lastRenderedPageBreak/>
        <w:t>sprzedaży przy zastosowaniu kas rejestrujących. Rozporządzenie to przewiduje czasowe zwolnienie do 31 grudnia 2024 r.</w:t>
      </w:r>
      <w:r w:rsidR="00990047" w:rsidRPr="00A555B6">
        <w:rPr>
          <w:rFonts w:ascii="Times New Roman" w:hAnsi="Times New Roman" w:cs="Times New Roman"/>
        </w:rPr>
        <w:t xml:space="preserve"> </w:t>
      </w:r>
      <w:r w:rsidRPr="00A555B6">
        <w:rPr>
          <w:rFonts w:ascii="Times New Roman" w:hAnsi="Times New Roman" w:cs="Times New Roman"/>
        </w:rPr>
        <w:t>Jednak np. analogiczne rozporządzenie z dnia 28 grudnia 2018 r. wydane zostało na okres dwóch lat (2019</w:t>
      </w:r>
      <w:r w:rsidR="00B40C2B" w:rsidRPr="00A555B6">
        <w:rPr>
          <w:rFonts w:ascii="Times New Roman" w:hAnsi="Times New Roman" w:cs="Times New Roman"/>
        </w:rPr>
        <w:t>–</w:t>
      </w:r>
      <w:r w:rsidRPr="00A555B6">
        <w:rPr>
          <w:rFonts w:ascii="Times New Roman" w:hAnsi="Times New Roman" w:cs="Times New Roman"/>
        </w:rPr>
        <w:t>2021).</w:t>
      </w:r>
    </w:p>
    <w:p w14:paraId="2945C32C" w14:textId="3399A32F" w:rsidR="00D35063" w:rsidRPr="00A555B6" w:rsidRDefault="00061284" w:rsidP="004E6FE9">
      <w:pPr>
        <w:spacing w:before="120" w:after="120" w:line="360" w:lineRule="auto"/>
        <w:jc w:val="both"/>
        <w:rPr>
          <w:rFonts w:ascii="Times New Roman" w:hAnsi="Times New Roman" w:cs="Times New Roman"/>
        </w:rPr>
      </w:pPr>
      <w:r w:rsidRPr="00A555B6">
        <w:rPr>
          <w:rFonts w:ascii="Times New Roman" w:hAnsi="Times New Roman" w:cs="Times New Roman"/>
        </w:rPr>
        <w:t>Jednocześnie w</w:t>
      </w:r>
      <w:r w:rsidR="00D35063" w:rsidRPr="00A555B6">
        <w:rPr>
          <w:rFonts w:ascii="Times New Roman" w:hAnsi="Times New Roman" w:cs="Times New Roman"/>
        </w:rPr>
        <w:t>ydawanie przedmiotowego rozporządzenia na rok może powodować niepewność obrotu gospodarczego</w:t>
      </w:r>
      <w:r w:rsidR="00990047" w:rsidRPr="00A555B6">
        <w:rPr>
          <w:rFonts w:ascii="Times New Roman" w:hAnsi="Times New Roman" w:cs="Times New Roman"/>
        </w:rPr>
        <w:t xml:space="preserve"> ze względu na zmieniające się uwarunkowania gospodarcze</w:t>
      </w:r>
      <w:r w:rsidR="00D35063" w:rsidRPr="00A555B6">
        <w:rPr>
          <w:rFonts w:ascii="Times New Roman" w:hAnsi="Times New Roman" w:cs="Times New Roman"/>
        </w:rPr>
        <w:t xml:space="preserve">. </w:t>
      </w:r>
      <w:r w:rsidR="00B36D08" w:rsidRPr="00A555B6">
        <w:rPr>
          <w:rFonts w:ascii="Times New Roman" w:hAnsi="Times New Roman" w:cs="Times New Roman"/>
        </w:rPr>
        <w:t>K</w:t>
      </w:r>
      <w:r w:rsidR="00990047" w:rsidRPr="00A555B6">
        <w:rPr>
          <w:rFonts w:ascii="Times New Roman" w:hAnsi="Times New Roman" w:cs="Times New Roman"/>
        </w:rPr>
        <w:t>ażde nowe</w:t>
      </w:r>
      <w:r w:rsidR="00B36D08" w:rsidRPr="00A555B6">
        <w:rPr>
          <w:rFonts w:ascii="Times New Roman" w:hAnsi="Times New Roman" w:cs="Times New Roman"/>
        </w:rPr>
        <w:t>, wydawane co roku,</w:t>
      </w:r>
      <w:r w:rsidR="00990047" w:rsidRPr="00A555B6">
        <w:rPr>
          <w:rFonts w:ascii="Times New Roman" w:hAnsi="Times New Roman" w:cs="Times New Roman"/>
        </w:rPr>
        <w:t xml:space="preserve"> rozporządzenie</w:t>
      </w:r>
      <w:r w:rsidR="00B36D08" w:rsidRPr="00A555B6">
        <w:rPr>
          <w:rFonts w:ascii="Times New Roman" w:hAnsi="Times New Roman" w:cs="Times New Roman"/>
        </w:rPr>
        <w:t xml:space="preserve"> w sprawie zwolnień z obowiązku prowadzenia ewidencji sprzedaży przy zastosowaniu kas rejestrujących</w:t>
      </w:r>
      <w:r w:rsidR="00990047" w:rsidRPr="00A555B6">
        <w:rPr>
          <w:rFonts w:ascii="Times New Roman" w:hAnsi="Times New Roman" w:cs="Times New Roman"/>
        </w:rPr>
        <w:t xml:space="preserve"> oznacza konieczność weryfikacji czy zwolnienia wciąż mają zastosowanie. </w:t>
      </w:r>
      <w:r w:rsidR="00B36D08" w:rsidRPr="00A555B6">
        <w:rPr>
          <w:rFonts w:ascii="Times New Roman" w:hAnsi="Times New Roman" w:cs="Times New Roman"/>
        </w:rPr>
        <w:t>P</w:t>
      </w:r>
      <w:r w:rsidR="00990047" w:rsidRPr="00A555B6">
        <w:rPr>
          <w:rFonts w:ascii="Times New Roman" w:hAnsi="Times New Roman" w:cs="Times New Roman"/>
        </w:rPr>
        <w:t>odatnicy uzyskują potwierdzenie możliwości dalszego stosowania zwolnień dopiero przed samym zakończeniem roku</w:t>
      </w:r>
      <w:r w:rsidR="00265C12" w:rsidRPr="00A555B6">
        <w:rPr>
          <w:rFonts w:ascii="Times New Roman" w:hAnsi="Times New Roman" w:cs="Times New Roman"/>
        </w:rPr>
        <w:t>, tj. w</w:t>
      </w:r>
      <w:r w:rsidR="00990047" w:rsidRPr="00A555B6">
        <w:rPr>
          <w:rFonts w:ascii="Times New Roman" w:hAnsi="Times New Roman" w:cs="Times New Roman"/>
        </w:rPr>
        <w:t xml:space="preserve"> listopadzie lub grudniu </w:t>
      </w:r>
      <w:r w:rsidR="00265C12" w:rsidRPr="00A555B6">
        <w:rPr>
          <w:rFonts w:ascii="Times New Roman" w:hAnsi="Times New Roman" w:cs="Times New Roman"/>
        </w:rPr>
        <w:t>w związku z</w:t>
      </w:r>
      <w:r w:rsidR="00C74181" w:rsidRPr="00A555B6">
        <w:rPr>
          <w:rFonts w:ascii="Times New Roman" w:hAnsi="Times New Roman" w:cs="Times New Roman"/>
        </w:rPr>
        <w:t> </w:t>
      </w:r>
      <w:r w:rsidR="00265C12" w:rsidRPr="00A555B6">
        <w:rPr>
          <w:rFonts w:ascii="Times New Roman" w:hAnsi="Times New Roman" w:cs="Times New Roman"/>
        </w:rPr>
        <w:t xml:space="preserve">terminem wydawania ww. rozporządzenia, </w:t>
      </w:r>
      <w:r w:rsidR="00990047" w:rsidRPr="00A555B6">
        <w:rPr>
          <w:rFonts w:ascii="Times New Roman" w:hAnsi="Times New Roman" w:cs="Times New Roman"/>
        </w:rPr>
        <w:t>co w przypadku ewentualnego ograniczenia zakresu zwolnień, pozostawia bardzo ograniczony czas na dostosowanie</w:t>
      </w:r>
      <w:r w:rsidR="00B36D08" w:rsidRPr="00A555B6">
        <w:rPr>
          <w:rFonts w:ascii="Times New Roman" w:hAnsi="Times New Roman" w:cs="Times New Roman"/>
        </w:rPr>
        <w:t xml:space="preserve"> do nowych regulacji</w:t>
      </w:r>
      <w:r w:rsidR="00990047" w:rsidRPr="00A555B6">
        <w:rPr>
          <w:rFonts w:ascii="Times New Roman" w:hAnsi="Times New Roman" w:cs="Times New Roman"/>
        </w:rPr>
        <w:t>.</w:t>
      </w:r>
    </w:p>
    <w:p w14:paraId="16D0C682" w14:textId="77777777" w:rsidR="00CB3F1C" w:rsidRPr="00A555B6" w:rsidRDefault="00CB3F1C" w:rsidP="00CB3F1C">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związku z tym dokonano zmiany </w:t>
      </w:r>
      <w:r>
        <w:rPr>
          <w:rFonts w:ascii="Times New Roman" w:hAnsi="Times New Roman" w:cs="Times New Roman"/>
        </w:rPr>
        <w:t xml:space="preserve">w </w:t>
      </w:r>
      <w:r w:rsidRPr="00A555B6">
        <w:rPr>
          <w:rFonts w:ascii="Times New Roman" w:hAnsi="Times New Roman" w:cs="Times New Roman"/>
        </w:rPr>
        <w:t xml:space="preserve">art. 111 ust. 8 ustawy o VAT poprzez wskazanie w tym przepisie, </w:t>
      </w:r>
      <w:r>
        <w:rPr>
          <w:rFonts w:ascii="Times New Roman" w:hAnsi="Times New Roman" w:cs="Times New Roman"/>
        </w:rPr>
        <w:t xml:space="preserve">jako jednej z wytycznych, </w:t>
      </w:r>
      <w:r w:rsidRPr="00A555B6">
        <w:rPr>
          <w:rFonts w:ascii="Times New Roman" w:hAnsi="Times New Roman" w:cs="Times New Roman"/>
        </w:rPr>
        <w:t xml:space="preserve">że </w:t>
      </w:r>
      <w:r>
        <w:rPr>
          <w:rFonts w:ascii="Times New Roman" w:hAnsi="Times New Roman" w:cs="Times New Roman"/>
        </w:rPr>
        <w:t>minister właściwy do spraw finansów publicznych powinien, przy uwzględnieniu towarzyszących okoliczności, kierować się możliwością zapewnienia jak najdłuższego obowiązywania przedmiotowego zwolnienia, w tym, by, poza szczególnymi przypadkami, nie obowiązywało ono krócej niż przez okres trzech lat. S</w:t>
      </w:r>
      <w:r w:rsidRPr="00A555B6">
        <w:rPr>
          <w:rFonts w:ascii="Times New Roman" w:hAnsi="Times New Roman" w:cs="Times New Roman"/>
        </w:rPr>
        <w:t>tanowi</w:t>
      </w:r>
      <w:r>
        <w:rPr>
          <w:rFonts w:ascii="Times New Roman" w:hAnsi="Times New Roman" w:cs="Times New Roman"/>
        </w:rPr>
        <w:t>ć to będzie</w:t>
      </w:r>
      <w:r w:rsidRPr="00A555B6">
        <w:rPr>
          <w:rFonts w:ascii="Times New Roman" w:hAnsi="Times New Roman" w:cs="Times New Roman"/>
        </w:rPr>
        <w:t xml:space="preserve"> ułatwienie dla przedsiębiorców.</w:t>
      </w:r>
    </w:p>
    <w:p w14:paraId="331DCA99" w14:textId="736F2CC2" w:rsidR="00B9357B" w:rsidRPr="00A555B6" w:rsidRDefault="00B9357B" w:rsidP="004E6FE9">
      <w:pPr>
        <w:spacing w:before="120" w:after="120" w:line="360" w:lineRule="auto"/>
        <w:jc w:val="both"/>
        <w:rPr>
          <w:rFonts w:ascii="Times New Roman" w:hAnsi="Times New Roman" w:cs="Times New Roman"/>
        </w:rPr>
      </w:pPr>
    </w:p>
    <w:p w14:paraId="5DD9E86C" w14:textId="77777777" w:rsidR="00106DC1" w:rsidRPr="00A555B6" w:rsidRDefault="00106DC1" w:rsidP="009E1176">
      <w:pPr>
        <w:pStyle w:val="Styl1"/>
        <w:spacing w:before="120" w:after="120" w:line="360" w:lineRule="auto"/>
      </w:pPr>
      <w:bookmarkStart w:id="42" w:name="_Toc171415413"/>
      <w:bookmarkStart w:id="43" w:name="_Toc174689315"/>
      <w:r w:rsidRPr="00A555B6">
        <w:t>Ustawa z dnia 19 marca 2004 r. - Prawo celne</w:t>
      </w:r>
      <w:bookmarkEnd w:id="42"/>
      <w:bookmarkEnd w:id="43"/>
    </w:p>
    <w:p w14:paraId="0BB666A8" w14:textId="7E16F6DF" w:rsidR="00106DC1" w:rsidRPr="00A555B6" w:rsidRDefault="00106DC1" w:rsidP="009E1176">
      <w:pPr>
        <w:spacing w:before="120" w:after="120" w:line="360" w:lineRule="auto"/>
        <w:jc w:val="both"/>
        <w:rPr>
          <w:rFonts w:ascii="Times New Roman" w:hAnsi="Times New Roman" w:cs="Times New Roman"/>
        </w:rPr>
      </w:pPr>
      <w:r w:rsidRPr="00A555B6">
        <w:rPr>
          <w:rFonts w:ascii="Times New Roman" w:hAnsi="Times New Roman" w:cs="Times New Roman"/>
        </w:rPr>
        <w:t>Zmiana w art. 2</w:t>
      </w:r>
      <w:r w:rsidR="001B5CD3" w:rsidRPr="00A555B6">
        <w:rPr>
          <w:rFonts w:ascii="Times New Roman" w:hAnsi="Times New Roman" w:cs="Times New Roman"/>
        </w:rPr>
        <w:t>1</w:t>
      </w:r>
      <w:r w:rsidRPr="00A555B6">
        <w:rPr>
          <w:rFonts w:ascii="Times New Roman" w:hAnsi="Times New Roman" w:cs="Times New Roman"/>
        </w:rPr>
        <w:t xml:space="preserve"> </w:t>
      </w:r>
      <w:r w:rsidR="001B5CD3" w:rsidRPr="00A555B6">
        <w:rPr>
          <w:rFonts w:ascii="Times New Roman" w:hAnsi="Times New Roman" w:cs="Times New Roman"/>
        </w:rPr>
        <w:t xml:space="preserve">pkt 1 lit. a </w:t>
      </w:r>
      <w:r w:rsidRPr="00A555B6">
        <w:rPr>
          <w:rFonts w:ascii="Times New Roman" w:hAnsi="Times New Roman" w:cs="Times New Roman"/>
        </w:rPr>
        <w:t>jest spójna ze zmianami reguł przedawnienia zobowiązania podatkowego w Ordynacji podatkowej i polega na wprowadzeniu analogicznej zmiany w Prawie celnym. Wszczęcie postępowania w sprawie o przestępstwo skarbowe lub wykroczenie skarbowe, o którym dłużnik został zawiadomiony, nie będzie już skutkowało zawieszeniem biegu przedawnienia kwoty należności celnej.</w:t>
      </w:r>
    </w:p>
    <w:p w14:paraId="3DC08F24" w14:textId="4D0F9396" w:rsidR="00106DC1" w:rsidRPr="00A555B6" w:rsidRDefault="00106DC1" w:rsidP="00330BAE">
      <w:pPr>
        <w:spacing w:before="120" w:after="120" w:line="360" w:lineRule="auto"/>
        <w:jc w:val="both"/>
        <w:rPr>
          <w:rFonts w:ascii="Times New Roman" w:hAnsi="Times New Roman" w:cs="Times New Roman"/>
        </w:rPr>
      </w:pPr>
      <w:r w:rsidRPr="00A555B6">
        <w:rPr>
          <w:rFonts w:ascii="Times New Roman" w:hAnsi="Times New Roman" w:cs="Times New Roman"/>
        </w:rPr>
        <w:t>Zmiany w</w:t>
      </w:r>
      <w:r w:rsidR="00330BAE" w:rsidRPr="00A555B6">
        <w:rPr>
          <w:rFonts w:ascii="Times New Roman" w:hAnsi="Times New Roman" w:cs="Times New Roman"/>
        </w:rPr>
        <w:t xml:space="preserve"> art. 65 ust. 11 uchylające pkt 1 oraz uchylenie art. 65c Prawa celnego </w:t>
      </w:r>
      <w:r w:rsidRPr="00A555B6">
        <w:rPr>
          <w:rFonts w:ascii="Times New Roman" w:hAnsi="Times New Roman" w:cs="Times New Roman"/>
        </w:rPr>
        <w:t>stanowią zmiany</w:t>
      </w:r>
      <w:r w:rsidR="00330BAE" w:rsidRPr="00A555B6">
        <w:rPr>
          <w:rFonts w:ascii="Times New Roman" w:hAnsi="Times New Roman" w:cs="Times New Roman"/>
        </w:rPr>
        <w:t xml:space="preserve"> </w:t>
      </w:r>
      <w:r w:rsidRPr="00A555B6">
        <w:rPr>
          <w:rFonts w:ascii="Times New Roman" w:hAnsi="Times New Roman" w:cs="Times New Roman"/>
        </w:rPr>
        <w:t>wynikowe, będące konsekwencją uchylenia art. 65 ust. 10</w:t>
      </w:r>
      <w:r w:rsidR="005D43CD" w:rsidRPr="00A555B6">
        <w:rPr>
          <w:rFonts w:ascii="Times New Roman" w:hAnsi="Times New Roman" w:cs="Times New Roman"/>
        </w:rPr>
        <w:t xml:space="preserve"> pkt 1</w:t>
      </w:r>
      <w:r w:rsidRPr="00A555B6">
        <w:rPr>
          <w:rFonts w:ascii="Times New Roman" w:hAnsi="Times New Roman" w:cs="Times New Roman"/>
        </w:rPr>
        <w:t xml:space="preserve"> Prawa celnego.</w:t>
      </w:r>
    </w:p>
    <w:p w14:paraId="4A2D10CF" w14:textId="4B415793" w:rsidR="00885DD8" w:rsidRPr="00A555B6" w:rsidRDefault="00885DD8" w:rsidP="004E6FE9">
      <w:pPr>
        <w:pStyle w:val="Styl1"/>
        <w:spacing w:before="120" w:after="120" w:line="360" w:lineRule="auto"/>
      </w:pPr>
      <w:bookmarkStart w:id="44" w:name="_Toc174689316"/>
      <w:r w:rsidRPr="00A555B6">
        <w:t>Ustawa z dnia 28 lipca 2005 r. o kosztach sądowych w sprawach cywilnych</w:t>
      </w:r>
      <w:bookmarkEnd w:id="44"/>
      <w:r w:rsidRPr="00A555B6">
        <w:t xml:space="preserve">  </w:t>
      </w:r>
    </w:p>
    <w:p w14:paraId="6763F2D7" w14:textId="77777777"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 xml:space="preserve">Zmiana w art. 96 ust. 1 pkt 6 w ustawie o kosztach sądowych w sprawach cywilnych jest konieczna dla usunięcia deficytu regulacji prawnych odnoszących się do zasad procesowych uczestnictwa Rzecznika MŚP w postępowaniach przed sądami powszechnymi i Sądem Najwyższym, w ramach których Rzecznik MŚP realizuje swoje ustawowe zadania. </w:t>
      </w:r>
    </w:p>
    <w:p w14:paraId="43F97E9B" w14:textId="0068004B" w:rsidR="00E97B8A" w:rsidRPr="00A555B6" w:rsidRDefault="00E97B8A" w:rsidP="00E97B8A">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praktyce funkcjonowania Rzecznika MŚP zarysowały się istotne problemy w zakresie prawidłowej wykładni przepisów prawa oraz charakteru procesowego instytucji Rzecznika MŚP w kontekście zasad jego uczestnictwa w postępowaniach sądowych oraz zwolnienia go od kosztów sądowych. Najskuteczniejszą metodą przeciwdziałania takim sytuacjom w przyszłości jest doprecyzowanie art. 96 </w:t>
      </w:r>
      <w:r w:rsidRPr="00A555B6">
        <w:rPr>
          <w:rFonts w:ascii="Times New Roman" w:hAnsi="Times New Roman" w:cs="Times New Roman"/>
        </w:rPr>
        <w:lastRenderedPageBreak/>
        <w:t>ust. 1 pkt 6 ww. ustawy. Realizacja niniejszego postulatu pozwoli na skuteczniejszą ochronę praw ogółu przedsiębiorców, realizowaną dzięki interwencjom Rzecznika MŚP o charakterze procesowym.</w:t>
      </w:r>
    </w:p>
    <w:p w14:paraId="6142C199" w14:textId="4BB262E2" w:rsidR="00885DD8" w:rsidRPr="00A555B6" w:rsidRDefault="00885DD8" w:rsidP="004E6FE9">
      <w:pPr>
        <w:pStyle w:val="Styl1"/>
        <w:spacing w:before="120" w:after="120" w:line="360" w:lineRule="auto"/>
      </w:pPr>
      <w:bookmarkStart w:id="45" w:name="_Toc174689317"/>
      <w:r w:rsidRPr="00A555B6">
        <w:t>Ustawa z dnia 18 października 2006 r. o wyrobie napojów spirytusowych</w:t>
      </w:r>
      <w:bookmarkEnd w:id="45"/>
      <w:r w:rsidRPr="00A555B6">
        <w:t xml:space="preserve">  </w:t>
      </w:r>
    </w:p>
    <w:p w14:paraId="0F932017" w14:textId="0B150C6F" w:rsidR="00734706" w:rsidRPr="00A555B6" w:rsidRDefault="00734706"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bCs/>
          <w:iCs/>
          <w:kern w:val="0"/>
          <w14:ligatures w14:val="none"/>
        </w:rPr>
        <w:t xml:space="preserve">Zmiana w niniejszej ustawie dotyczy odstąpienia od zasady dwuinstancyjności. </w:t>
      </w:r>
      <w:r w:rsidRPr="00A555B6">
        <w:rPr>
          <w:rFonts w:ascii="Times New Roman" w:eastAsia="Calibri" w:hAnsi="Times New Roman" w:cs="Times New Roman"/>
          <w:kern w:val="0"/>
          <w14:ligatures w14:val="none"/>
        </w:rPr>
        <w:t>Istnieją postępowania, w których decyzje są wydawane w oparciu o żądanie strony, w takich przypadkach praktycznie nie występuje zakres uznaniowości organu. Stąd organy odwoławcze bardzo rzadko albo w ogóle nie zmieniają decyzji zapadłych w I instancji. W takich przypadkach utrzymywanie dwuinstancyjności jawi się jako pewna fikcja, która niepotrzebnie angażuje czas strony, a także czas i również środki materialne organów administracji. Jest tak w przypadku zmienianej ustawy z dnia 18 października 2006 r. o</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wyrobie napojów spirytusowych</w:t>
      </w:r>
      <w:r w:rsidRPr="00A555B6">
        <w:rPr>
          <w:rFonts w:ascii="Times New Roman" w:eastAsia="Calibri" w:hAnsi="Times New Roman" w:cs="Times New Roman"/>
          <w:b/>
          <w:kern w:val="0"/>
          <w14:ligatures w14:val="none"/>
        </w:rPr>
        <w:t xml:space="preserve">. </w:t>
      </w:r>
      <w:r w:rsidRPr="00A555B6">
        <w:rPr>
          <w:rFonts w:ascii="Times New Roman" w:eastAsia="Calibri" w:hAnsi="Times New Roman" w:cs="Times New Roman"/>
          <w:bCs/>
          <w:kern w:val="0"/>
          <w14:ligatures w14:val="none"/>
        </w:rPr>
        <w:t>Art. 9a</w:t>
      </w:r>
      <w:r w:rsidRPr="00A555B6">
        <w:rPr>
          <w:rFonts w:ascii="Times New Roman" w:eastAsia="Calibri" w:hAnsi="Times New Roman" w:cs="Times New Roman"/>
          <w:b/>
          <w:kern w:val="0"/>
          <w14:ligatures w14:val="none"/>
        </w:rPr>
        <w:t xml:space="preserve"> </w:t>
      </w:r>
      <w:r w:rsidRPr="00A555B6">
        <w:rPr>
          <w:rFonts w:ascii="Times New Roman" w:eastAsia="Calibri" w:hAnsi="Times New Roman" w:cs="Times New Roman"/>
          <w:bCs/>
          <w:kern w:val="0"/>
          <w14:ligatures w14:val="none"/>
        </w:rPr>
        <w:t>tej ustawy</w:t>
      </w:r>
      <w:r w:rsidRPr="00A555B6">
        <w:rPr>
          <w:rFonts w:ascii="Times New Roman" w:eastAsia="Calibri" w:hAnsi="Times New Roman" w:cs="Times New Roman"/>
          <w:b/>
          <w:kern w:val="0"/>
          <w14:ligatures w14:val="none"/>
        </w:rPr>
        <w:t xml:space="preserve"> </w:t>
      </w:r>
      <w:r w:rsidRPr="00A555B6">
        <w:rPr>
          <w:rFonts w:ascii="Times New Roman" w:eastAsia="Calibri" w:hAnsi="Times New Roman" w:cs="Times New Roman"/>
          <w:bCs/>
          <w:kern w:val="0"/>
          <w14:ligatures w14:val="none"/>
        </w:rPr>
        <w:t>reguluje</w:t>
      </w:r>
      <w:r w:rsidRPr="00A555B6">
        <w:rPr>
          <w:rFonts w:ascii="Times New Roman" w:eastAsia="Calibri" w:hAnsi="Times New Roman" w:cs="Times New Roman"/>
          <w:b/>
          <w:kern w:val="0"/>
          <w14:ligatures w14:val="none"/>
        </w:rPr>
        <w:t xml:space="preserve"> </w:t>
      </w:r>
      <w:r w:rsidRPr="00A555B6">
        <w:rPr>
          <w:rFonts w:ascii="Times New Roman" w:eastAsia="Calibri" w:hAnsi="Times New Roman" w:cs="Times New Roman"/>
          <w:kern w:val="0"/>
          <w14:ligatures w14:val="none"/>
        </w:rPr>
        <w:t>postępowanie w sprawie wykreślenia przedsiębiorcy z</w:t>
      </w:r>
      <w:r w:rsidR="00E6226B" w:rsidRPr="00A555B6">
        <w:rPr>
          <w:rFonts w:ascii="Times New Roman" w:eastAsia="Calibri" w:hAnsi="Times New Roman" w:cs="Times New Roman"/>
          <w:kern w:val="0"/>
          <w14:ligatures w14:val="none"/>
        </w:rPr>
        <w:t> </w:t>
      </w:r>
      <w:r w:rsidRPr="00A555B6">
        <w:rPr>
          <w:rFonts w:ascii="Times New Roman" w:eastAsia="Calibri" w:hAnsi="Times New Roman" w:cs="Times New Roman"/>
          <w:kern w:val="0"/>
          <w14:ligatures w14:val="none"/>
        </w:rPr>
        <w:t xml:space="preserve">rejestru działalności w zakresie wyrobu lub rozlewu napojów spirytusowych na jego wniosek. Postępowanie to ma na celu spełnienie w całości żądania przedsiębiorcy. </w:t>
      </w:r>
    </w:p>
    <w:p w14:paraId="2581CEE7" w14:textId="3CC8DE39" w:rsidR="00F02B15" w:rsidRPr="00A555B6" w:rsidRDefault="00734706"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 xml:space="preserve">W  przypadku wydania decyzji, o której mowa w art. 8 ust. 1, Dyrektor Generalny KOWR ma możliwość z urzędu wykreślenia przedsiębiorcy z rejestru (wynika to z art. 9a pkt 2 niniejszej ustawy). Zatem w tej sprawie nie jest zasadne wydawanie decyzji o wykreśleniu wpisu z rejestru. Wykreślenie wpisu powinno następować w drodze czynności materialno-technicznej. Dlatego proponuje się w tym zakresie odejście od zasady dwuinstancyjności. </w:t>
      </w:r>
    </w:p>
    <w:p w14:paraId="2DA00047" w14:textId="14F3D578" w:rsidR="00DF4ABA" w:rsidRPr="00A555B6" w:rsidRDefault="00DF4ABA" w:rsidP="004E6FE9">
      <w:pPr>
        <w:pStyle w:val="Styl1"/>
        <w:spacing w:before="120" w:after="120" w:line="360" w:lineRule="auto"/>
      </w:pPr>
      <w:bookmarkStart w:id="46" w:name="_Toc174689318"/>
      <w:r w:rsidRPr="00A555B6">
        <w:t>Ustawa z dnia 6 grudnia 2008 r. o podatku akcyzowym</w:t>
      </w:r>
      <w:bookmarkEnd w:id="46"/>
    </w:p>
    <w:p w14:paraId="14448009" w14:textId="1FB45C22" w:rsidR="00B44A7F" w:rsidRPr="00A555B6" w:rsidRDefault="00B44A7F" w:rsidP="00B44A7F">
      <w:pPr>
        <w:spacing w:before="120" w:after="120" w:line="360" w:lineRule="auto"/>
        <w:jc w:val="both"/>
        <w:rPr>
          <w:rFonts w:ascii="Times New Roman" w:hAnsi="Times New Roman" w:cs="Times New Roman"/>
        </w:rPr>
      </w:pPr>
      <w:r w:rsidRPr="00A555B6">
        <w:rPr>
          <w:rFonts w:ascii="Times New Roman" w:hAnsi="Times New Roman" w:cs="Times New Roman"/>
        </w:rPr>
        <w:t>W ustawie o podatku akcyzowym proponuje się dodanie art. 110b ust. 1, którego celem jest zwolnienie od akcyzy samochodów osobowych wykorzystywanych do celów badawczych w prowadzonej działalności badawczej.</w:t>
      </w:r>
    </w:p>
    <w:p w14:paraId="22F0A699" w14:textId="6E124768" w:rsidR="00B44A7F" w:rsidRPr="00A555B6" w:rsidRDefault="00B44A7F" w:rsidP="00B44A7F">
      <w:pPr>
        <w:spacing w:before="120" w:after="120" w:line="360" w:lineRule="auto"/>
        <w:jc w:val="both"/>
        <w:rPr>
          <w:rFonts w:ascii="Times New Roman" w:hAnsi="Times New Roman" w:cs="Times New Roman"/>
        </w:rPr>
      </w:pPr>
      <w:r w:rsidRPr="00A555B6">
        <w:rPr>
          <w:rFonts w:ascii="Times New Roman" w:hAnsi="Times New Roman" w:cs="Times New Roman"/>
        </w:rPr>
        <w:t>Zgodnie z projektowanym art. 110b ust. 2 ustawy o podatku akcyzowym zwolnienie to będzie obowiązywało w czasie wykorzystywania samochodu osobowego do celów badawczych w prowadzonej działalności badawczej, jednak nie dłużej niż do dnia wygaśnięcia albo uchylenia decyzji o profesjonalnej rejestracji pojazdów, o której mowa w art. 80t ustawy z dnia 20 czerwca 1997 r. – Prawo o ruchu drogowym.</w:t>
      </w:r>
    </w:p>
    <w:p w14:paraId="2037BF02" w14:textId="041D8CE5"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t xml:space="preserve">Zgodnie z art. 80t ust. 1 ustawy </w:t>
      </w:r>
      <w:r w:rsidR="00A13718" w:rsidRPr="00A555B6">
        <w:rPr>
          <w:rFonts w:ascii="Times New Roman" w:hAnsi="Times New Roman" w:cs="Times New Roman"/>
        </w:rPr>
        <w:t>–</w:t>
      </w:r>
      <w:r w:rsidR="0009233A" w:rsidRPr="00A555B6">
        <w:rPr>
          <w:rFonts w:ascii="Times New Roman" w:hAnsi="Times New Roman" w:cs="Times New Roman"/>
        </w:rPr>
        <w:t xml:space="preserve"> </w:t>
      </w:r>
      <w:r w:rsidRPr="00A555B6">
        <w:rPr>
          <w:rFonts w:ascii="Times New Roman" w:hAnsi="Times New Roman" w:cs="Times New Roman"/>
        </w:rPr>
        <w:t>Prawo o ruchu drogowym o decyzję o profesjonalnej rejestracji pojazdów może ubiegać się podmiot uprawniony, który:</w:t>
      </w:r>
    </w:p>
    <w:p w14:paraId="558F25C8" w14:textId="7CB2EBAE"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t xml:space="preserve">1) nie został prawomocnie skazany za przestępstwo przeciwko mieniu, przestępstwo przeciwko obrotowi gospodarczemu lub przestępstwo przeciwko wiarygodności dokumentów </w:t>
      </w:r>
      <w:r w:rsidR="00A13718" w:rsidRPr="00A555B6">
        <w:rPr>
          <w:rFonts w:ascii="Times New Roman" w:hAnsi="Times New Roman" w:cs="Times New Roman"/>
        </w:rPr>
        <w:t>–</w:t>
      </w:r>
      <w:r w:rsidRPr="00A555B6">
        <w:rPr>
          <w:rFonts w:ascii="Times New Roman" w:hAnsi="Times New Roman" w:cs="Times New Roman"/>
        </w:rPr>
        <w:t xml:space="preserve"> dotyczy przedsiębiorcy, jeżeli jest on osobą fizyczną, albo członków władz organów osoby prawnej lub nieposiadającej osobowości prawnej jednostki organizacyjnej;</w:t>
      </w:r>
    </w:p>
    <w:p w14:paraId="4B55B365" w14:textId="409DFDB5"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t>2) złożył oświadczenia, że:</w:t>
      </w:r>
    </w:p>
    <w:p w14:paraId="14F340C5" w14:textId="408046E9"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t>a) każdy z pojazdów, którymi będą wykonywane jazdy testowe, będzie spełniał warunki określone w</w:t>
      </w:r>
      <w:r w:rsidR="00C74181" w:rsidRPr="00A555B6">
        <w:rPr>
          <w:rFonts w:ascii="Times New Roman" w:hAnsi="Times New Roman" w:cs="Times New Roman"/>
        </w:rPr>
        <w:t> </w:t>
      </w:r>
      <w:r w:rsidRPr="00A555B6">
        <w:rPr>
          <w:rFonts w:ascii="Times New Roman" w:hAnsi="Times New Roman" w:cs="Times New Roman"/>
        </w:rPr>
        <w:t>art. 66, odpowiednie dla pojazdu, którym będą wykonywane te jazdy,</w:t>
      </w:r>
    </w:p>
    <w:p w14:paraId="088E1BDC" w14:textId="24CD73F6"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lastRenderedPageBreak/>
        <w:t>b) będzie używał w ruchu drogowym z wykorzystaniem profesjonalnego dowodu rejestracyjnego tylko pojazdy niezarejestrowane wcześniej na terytorium Rzeczypospolitej Polskiej lub za granicą, dla których posiada udokumentowane prawo do dysponowania nimi, oraz wyłącznie w celu wykonywania jazd testowych,</w:t>
      </w:r>
    </w:p>
    <w:p w14:paraId="6C181A6E" w14:textId="3D7349B4" w:rsidR="00E96C2D" w:rsidRPr="00A555B6" w:rsidRDefault="00E96C2D" w:rsidP="0009233A">
      <w:pPr>
        <w:pStyle w:val="Bezodstpw"/>
        <w:spacing w:line="360" w:lineRule="auto"/>
        <w:jc w:val="both"/>
        <w:rPr>
          <w:rFonts w:ascii="Times New Roman" w:hAnsi="Times New Roman" w:cs="Times New Roman"/>
        </w:rPr>
      </w:pPr>
      <w:r w:rsidRPr="00A555B6">
        <w:rPr>
          <w:rFonts w:ascii="Times New Roman" w:hAnsi="Times New Roman" w:cs="Times New Roman"/>
        </w:rPr>
        <w:t>c) blankiety profesjonalnych dowodów rejestracyjnych będą wypełniane wyłącznie przez podmiot uprawniony albo osoby zatrudnione przez ten podmiot.</w:t>
      </w:r>
    </w:p>
    <w:p w14:paraId="7D2DB81C" w14:textId="4A6F3696" w:rsidR="006C7C91" w:rsidRPr="00A555B6" w:rsidRDefault="00E96C2D" w:rsidP="0009233A">
      <w:pPr>
        <w:pStyle w:val="Bezodstpw"/>
        <w:spacing w:line="360" w:lineRule="auto"/>
        <w:jc w:val="both"/>
        <w:rPr>
          <w:rFonts w:ascii="Times New Roman" w:hAnsi="Times New Roman" w:cs="Times New Roman"/>
          <w:b/>
          <w:bCs/>
        </w:rPr>
      </w:pPr>
      <w:r w:rsidRPr="00A555B6">
        <w:rPr>
          <w:rFonts w:ascii="Times New Roman" w:hAnsi="Times New Roman" w:cs="Times New Roman"/>
        </w:rPr>
        <w:t>Decyzję o profesjonalnej rejestracji pojazdów starosta wydaje na okres 1 roku, licząc od dnia jej wydania</w:t>
      </w:r>
      <w:r w:rsidR="008B1056" w:rsidRPr="00A555B6">
        <w:rPr>
          <w:rFonts w:ascii="Times New Roman" w:hAnsi="Times New Roman" w:cs="Times New Roman"/>
        </w:rPr>
        <w:t xml:space="preserve"> (art. 80u ust. 1 ustawy </w:t>
      </w:r>
      <w:r w:rsidR="00A13718" w:rsidRPr="00A555B6">
        <w:rPr>
          <w:rFonts w:ascii="Times New Roman" w:hAnsi="Times New Roman" w:cs="Times New Roman"/>
        </w:rPr>
        <w:t>–</w:t>
      </w:r>
      <w:r w:rsidR="0009233A" w:rsidRPr="00A555B6">
        <w:rPr>
          <w:rFonts w:ascii="Times New Roman" w:hAnsi="Times New Roman" w:cs="Times New Roman"/>
        </w:rPr>
        <w:t xml:space="preserve"> </w:t>
      </w:r>
      <w:r w:rsidR="008B1056" w:rsidRPr="00A555B6">
        <w:rPr>
          <w:rFonts w:ascii="Times New Roman" w:hAnsi="Times New Roman" w:cs="Times New Roman"/>
        </w:rPr>
        <w:t xml:space="preserve">Prawo o ruchu drogowym). </w:t>
      </w:r>
      <w:r w:rsidR="006C7C91" w:rsidRPr="00A555B6">
        <w:rPr>
          <w:rFonts w:ascii="Times New Roman" w:hAnsi="Times New Roman" w:cs="Times New Roman"/>
        </w:rPr>
        <w:t>Po tym terminie ww. decyzja wygasa. Jeżeli nie później niż 60 dni przed upływem daty ważności decyzji o profesjonalnej rejestracji pojazdów podmiot uprawniony złoży staroście wniosek o wydanie kolejnej decyzji o profesjonalnej rejestracji pojazdów, starosta wydaje kolejną decyzję o profesjonalnej rejestracji pojazdów, która będzie obowiązywać od dnia następującego po ostatnim dniu terminu ważności poprzedniej decyzji o</w:t>
      </w:r>
      <w:r w:rsidR="00AE2067" w:rsidRPr="00A555B6">
        <w:rPr>
          <w:rFonts w:ascii="Times New Roman" w:hAnsi="Times New Roman" w:cs="Times New Roman"/>
        </w:rPr>
        <w:t> </w:t>
      </w:r>
      <w:r w:rsidR="006C7C91" w:rsidRPr="00A555B6">
        <w:rPr>
          <w:rFonts w:ascii="Times New Roman" w:hAnsi="Times New Roman" w:cs="Times New Roman"/>
        </w:rPr>
        <w:t xml:space="preserve">profesjonalnej rejestracji pojazdów (art. 80v ust. 1 ustawy </w:t>
      </w:r>
      <w:r w:rsidR="005B1F70" w:rsidRPr="00A555B6">
        <w:rPr>
          <w:rFonts w:ascii="Times New Roman" w:hAnsi="Times New Roman" w:cs="Times New Roman"/>
        </w:rPr>
        <w:t xml:space="preserve">- </w:t>
      </w:r>
      <w:r w:rsidR="006C7C91" w:rsidRPr="00A555B6">
        <w:rPr>
          <w:rFonts w:ascii="Times New Roman" w:hAnsi="Times New Roman" w:cs="Times New Roman"/>
        </w:rPr>
        <w:t>Prawo o ruchu drogowym).</w:t>
      </w:r>
      <w:r w:rsidR="006C7C91" w:rsidRPr="00A555B6">
        <w:rPr>
          <w:rFonts w:ascii="Times New Roman" w:hAnsi="Times New Roman" w:cs="Times New Roman"/>
          <w:b/>
          <w:bCs/>
        </w:rPr>
        <w:t xml:space="preserve"> </w:t>
      </w:r>
    </w:p>
    <w:p w14:paraId="6E0C3207" w14:textId="02E97676" w:rsidR="006C7C91" w:rsidRPr="00A555B6" w:rsidRDefault="006C7C91" w:rsidP="00937DF5">
      <w:pPr>
        <w:spacing w:before="120" w:after="120" w:line="360" w:lineRule="auto"/>
        <w:jc w:val="both"/>
        <w:rPr>
          <w:rFonts w:ascii="Times New Roman" w:hAnsi="Times New Roman" w:cs="Times New Roman"/>
        </w:rPr>
      </w:pPr>
      <w:r w:rsidRPr="00A555B6">
        <w:rPr>
          <w:rFonts w:ascii="Times New Roman" w:hAnsi="Times New Roman" w:cs="Times New Roman"/>
        </w:rPr>
        <w:t>Starosta, w drodze decyzji, uchyla decyzję o profesjonalnej rejestracji pojazdów, w przypadku gdy:</w:t>
      </w:r>
    </w:p>
    <w:p w14:paraId="384494B1" w14:textId="259FD2B7"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1) przedsiębiorca zaprzestał prowadzenia działalności w zakresie produkcji, dystrybucji lub badania pojazdów;</w:t>
      </w:r>
    </w:p>
    <w:p w14:paraId="0D295A54" w14:textId="3003FF42"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2) służba techniczna, o której mowa w art. 4 ustawy z dnia 14 kwietnia 2023 r. o systemach homologacji pojazdów oraz ich wyposażenia, albo jednostka badawcza producenta pojazdu, przedmiotu wyposażenia lub części przeprowadzająca badania pojazdu, przedmiotu wyposażenia lub części zaprzestała przeprowadzania odpowiednich badań pojazdu, przedmiotu wyposażenia lub części;</w:t>
      </w:r>
    </w:p>
    <w:p w14:paraId="391EDA0E" w14:textId="52561D10"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3) ujawnione zostało, że po dniu wydania decyzji o profesjonalnej rejestracji pojazdów:</w:t>
      </w:r>
    </w:p>
    <w:p w14:paraId="6D900B73" w14:textId="1170E4ED"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a) przedsiębiorca, jeżeli jest on osobą fizyczną, albo członek władz organów osoby prawnej lub nieposiadającej osobowości prawnej jednostki organizacyjnej został prawomocnie skazany za przestępstwo przeciwko mieniu, przestępstwo przeciwko obrotowi gospodarczemu lub przestępstwo przeciwko wiarygodności dokumentów,</w:t>
      </w:r>
    </w:p>
    <w:p w14:paraId="01A0E98B" w14:textId="4B0409D9"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b) podmiot uprawniony używał w ruchu drogowym z wykorzystaniem profesjonalnego dowodu rejestracyjnego pojazdy, dla których nie posiadał udokumentowanego prawa do dysponowania nimi;</w:t>
      </w:r>
    </w:p>
    <w:p w14:paraId="5A3384B9" w14:textId="4F62C3C6"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4) podmiot uprawniony złożył niezgodne z prawdą oświadczenie, o którym mowa w art. 80t ust. 3 pkt 3 lit. a;</w:t>
      </w:r>
    </w:p>
    <w:p w14:paraId="59ECE63B" w14:textId="07F61F8C"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5) podmiot uprawniony złożył niezgodne z prawdą oświadczenie o utracie lub zniszczeniu blankietów profesjonalnych dowodów rejestracyjnych, profesjonalnych dowodów rejestracyjnych lub profesjonalnych tablic (tablicy) rejestracyjnych;</w:t>
      </w:r>
    </w:p>
    <w:p w14:paraId="4946017A" w14:textId="0E3F6B6A"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6) podmiot uprawniony złożył staroście wniosek o wydanie dodatkowych albo nowych blankietów profesjonalnych dowodów rejestracyjnych w okresie ważności decyzji o profesjonalnej rejestracji pojazdów, a nie zwrócił profesjonalnych dowodów rejestracyjnych albo nie złożył oświadczenia o ich utracie lub zniszczeniu, o którym mowa w art. 80z ust. 1;</w:t>
      </w:r>
    </w:p>
    <w:p w14:paraId="07D7B3F4" w14:textId="0B31A591"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lastRenderedPageBreak/>
        <w:t>7) podmiot uprawniony przekazał blankiet profesjonalnego dowodu rejestracyjnego, profesjonalny dowód rejestracyjny lub profesjonalne tablice (tablicę) rejestracyjne innemu podmiotowi;</w:t>
      </w:r>
    </w:p>
    <w:p w14:paraId="4001D609" w14:textId="1CC00358"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8) podmiot uprawniony wykonywał jazdę testową, korzystając z niewypełnionego blankietu profesjonalnego dowodu rejestracyjnego;</w:t>
      </w:r>
    </w:p>
    <w:p w14:paraId="534B790C" w14:textId="17290024"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 xml:space="preserve">9) podmiot uprawniony nie dopełnił obowiązku prowadzenia wykazu pojazdów, o którym mowa </w:t>
      </w:r>
      <w:r w:rsidR="00D03D4B" w:rsidRPr="00A555B6">
        <w:rPr>
          <w:rFonts w:ascii="Times New Roman" w:hAnsi="Times New Roman" w:cs="Times New Roman"/>
        </w:rPr>
        <w:br/>
      </w:r>
      <w:r w:rsidRPr="00A555B6">
        <w:rPr>
          <w:rFonts w:ascii="Times New Roman" w:hAnsi="Times New Roman" w:cs="Times New Roman"/>
        </w:rPr>
        <w:t>w art. 80x ust. 1 (art. 80zb ust. 1 ustawy</w:t>
      </w:r>
      <w:r w:rsidR="0009233A" w:rsidRPr="00A555B6">
        <w:rPr>
          <w:rFonts w:ascii="Times New Roman" w:hAnsi="Times New Roman" w:cs="Times New Roman"/>
        </w:rPr>
        <w:t xml:space="preserve"> </w:t>
      </w:r>
      <w:r w:rsidR="00A13718" w:rsidRPr="00A555B6">
        <w:rPr>
          <w:rFonts w:ascii="Times New Roman" w:hAnsi="Times New Roman" w:cs="Times New Roman"/>
        </w:rPr>
        <w:t>–</w:t>
      </w:r>
      <w:r w:rsidRPr="00A555B6">
        <w:rPr>
          <w:rFonts w:ascii="Times New Roman" w:hAnsi="Times New Roman" w:cs="Times New Roman"/>
        </w:rPr>
        <w:t xml:space="preserve"> Prawo o ruchu drogowym).</w:t>
      </w:r>
    </w:p>
    <w:p w14:paraId="5EF001DB" w14:textId="1AF724B2" w:rsidR="006C7C91" w:rsidRPr="00A555B6" w:rsidRDefault="006C7C91" w:rsidP="0009233A">
      <w:pPr>
        <w:pStyle w:val="Bezodstpw"/>
        <w:spacing w:line="360" w:lineRule="auto"/>
        <w:jc w:val="both"/>
        <w:rPr>
          <w:rFonts w:ascii="Times New Roman" w:hAnsi="Times New Roman" w:cs="Times New Roman"/>
        </w:rPr>
      </w:pPr>
      <w:r w:rsidRPr="00A555B6">
        <w:rPr>
          <w:rFonts w:ascii="Times New Roman" w:hAnsi="Times New Roman" w:cs="Times New Roman"/>
        </w:rPr>
        <w:t xml:space="preserve">Decyzja o uchyleniu decyzji o profesjonalnej rejestracji pojazdów podlega natychmiastowemu wykonaniu (art. 80zb ust. 2 </w:t>
      </w:r>
      <w:r w:rsidR="0009233A" w:rsidRPr="00A555B6">
        <w:rPr>
          <w:rFonts w:ascii="Times New Roman" w:hAnsi="Times New Roman" w:cs="Times New Roman"/>
        </w:rPr>
        <w:t xml:space="preserve">ustawy </w:t>
      </w:r>
      <w:r w:rsidR="00A13718" w:rsidRPr="00A555B6">
        <w:rPr>
          <w:rFonts w:ascii="Times New Roman" w:hAnsi="Times New Roman" w:cs="Times New Roman"/>
        </w:rPr>
        <w:t>–</w:t>
      </w:r>
      <w:r w:rsidR="0009233A" w:rsidRPr="00A555B6">
        <w:rPr>
          <w:rFonts w:ascii="Times New Roman" w:hAnsi="Times New Roman" w:cs="Times New Roman"/>
        </w:rPr>
        <w:t xml:space="preserve"> </w:t>
      </w:r>
      <w:r w:rsidRPr="00A555B6">
        <w:rPr>
          <w:rFonts w:ascii="Times New Roman" w:hAnsi="Times New Roman" w:cs="Times New Roman"/>
        </w:rPr>
        <w:t>Prawo o ruchu drogowym).</w:t>
      </w:r>
    </w:p>
    <w:p w14:paraId="206776F4" w14:textId="269258D1" w:rsidR="0052629A" w:rsidRPr="00A555B6" w:rsidRDefault="0009233A" w:rsidP="004E6FE9">
      <w:pPr>
        <w:spacing w:before="120" w:after="120" w:line="360" w:lineRule="auto"/>
        <w:jc w:val="both"/>
        <w:rPr>
          <w:rFonts w:ascii="Times New Roman" w:hAnsi="Times New Roman" w:cs="Times New Roman"/>
        </w:rPr>
      </w:pPr>
      <w:r w:rsidRPr="00A555B6">
        <w:rPr>
          <w:rFonts w:ascii="Times New Roman" w:hAnsi="Times New Roman" w:cs="Times New Roman"/>
        </w:rPr>
        <w:t>Zgodnie z projektowanym art. 110b ust. 3</w:t>
      </w:r>
      <w:r w:rsidR="00EF7010" w:rsidRPr="00A555B6">
        <w:rPr>
          <w:rFonts w:ascii="Times New Roman" w:hAnsi="Times New Roman" w:cs="Times New Roman"/>
        </w:rPr>
        <w:t xml:space="preserve"> </w:t>
      </w:r>
      <w:r w:rsidRPr="00A555B6">
        <w:rPr>
          <w:rFonts w:ascii="Times New Roman" w:hAnsi="Times New Roman" w:cs="Times New Roman"/>
        </w:rPr>
        <w:t>p</w:t>
      </w:r>
      <w:r w:rsidR="0052629A" w:rsidRPr="00A555B6">
        <w:rPr>
          <w:rFonts w:ascii="Times New Roman" w:hAnsi="Times New Roman" w:cs="Times New Roman"/>
        </w:rPr>
        <w:t xml:space="preserve">odmiot, o którym mowa w </w:t>
      </w:r>
      <w:r w:rsidR="00EF7010" w:rsidRPr="00A555B6">
        <w:rPr>
          <w:rFonts w:ascii="Times New Roman" w:hAnsi="Times New Roman" w:cs="Times New Roman"/>
        </w:rPr>
        <w:t xml:space="preserve">art. 110b </w:t>
      </w:r>
      <w:r w:rsidR="0052629A" w:rsidRPr="00A555B6">
        <w:rPr>
          <w:rFonts w:ascii="Times New Roman" w:hAnsi="Times New Roman" w:cs="Times New Roman"/>
        </w:rPr>
        <w:t>ust. 1, jest obowiązany wystąpić do właściwego naczelnika urzędu skarbowego z wnioskiem o wydanie zaświadczenia, stwierdzającego zwolnienie od akcyzy samochodu osobowego wykorzystywanego w</w:t>
      </w:r>
      <w:r w:rsidR="00AE2067" w:rsidRPr="00A555B6">
        <w:rPr>
          <w:rFonts w:ascii="Times New Roman" w:hAnsi="Times New Roman" w:cs="Times New Roman"/>
        </w:rPr>
        <w:t> </w:t>
      </w:r>
      <w:r w:rsidR="0052629A" w:rsidRPr="00A555B6">
        <w:rPr>
          <w:rFonts w:ascii="Times New Roman" w:hAnsi="Times New Roman" w:cs="Times New Roman"/>
        </w:rPr>
        <w:t>prowadzonej działalności badawcz</w:t>
      </w:r>
      <w:r w:rsidR="00B44A7F" w:rsidRPr="00A555B6">
        <w:rPr>
          <w:rFonts w:ascii="Times New Roman" w:hAnsi="Times New Roman" w:cs="Times New Roman"/>
        </w:rPr>
        <w:t>ej</w:t>
      </w:r>
      <w:r w:rsidR="0052629A" w:rsidRPr="00A555B6">
        <w:rPr>
          <w:rFonts w:ascii="Times New Roman" w:hAnsi="Times New Roman" w:cs="Times New Roman"/>
        </w:rPr>
        <w:t>, w terminie 7 dni od dnia wydania decyzji o</w:t>
      </w:r>
      <w:r w:rsidR="00AE2067" w:rsidRPr="00A555B6">
        <w:rPr>
          <w:rFonts w:ascii="Times New Roman" w:hAnsi="Times New Roman" w:cs="Times New Roman"/>
        </w:rPr>
        <w:t> </w:t>
      </w:r>
      <w:r w:rsidR="0052629A" w:rsidRPr="00A555B6">
        <w:rPr>
          <w:rFonts w:ascii="Times New Roman" w:hAnsi="Times New Roman" w:cs="Times New Roman"/>
        </w:rPr>
        <w:t>profesjonalnej rejestracji pojazdów.</w:t>
      </w:r>
      <w:r w:rsidR="00EF7010" w:rsidRPr="00A555B6">
        <w:rPr>
          <w:rFonts w:ascii="Times New Roman" w:hAnsi="Times New Roman" w:cs="Times New Roman"/>
        </w:rPr>
        <w:t xml:space="preserve"> Do ww. wniosku </w:t>
      </w:r>
      <w:r w:rsidR="0052629A" w:rsidRPr="00A555B6">
        <w:rPr>
          <w:rFonts w:ascii="Times New Roman" w:hAnsi="Times New Roman" w:cs="Times New Roman"/>
        </w:rPr>
        <w:t xml:space="preserve">naczelnikowi urzędu skarbowego </w:t>
      </w:r>
      <w:r w:rsidR="00EF7010" w:rsidRPr="00A555B6">
        <w:rPr>
          <w:rFonts w:ascii="Times New Roman" w:hAnsi="Times New Roman" w:cs="Times New Roman"/>
        </w:rPr>
        <w:t xml:space="preserve">należy przedłożyć </w:t>
      </w:r>
      <w:r w:rsidR="0052629A" w:rsidRPr="00A555B6">
        <w:rPr>
          <w:rFonts w:ascii="Times New Roman" w:hAnsi="Times New Roman" w:cs="Times New Roman"/>
        </w:rPr>
        <w:t>decyzj</w:t>
      </w:r>
      <w:r w:rsidR="00B44A7F" w:rsidRPr="00A555B6">
        <w:rPr>
          <w:rFonts w:ascii="Times New Roman" w:hAnsi="Times New Roman" w:cs="Times New Roman"/>
        </w:rPr>
        <w:t>ę</w:t>
      </w:r>
      <w:r w:rsidR="0052629A" w:rsidRPr="00A555B6">
        <w:rPr>
          <w:rFonts w:ascii="Times New Roman" w:hAnsi="Times New Roman" w:cs="Times New Roman"/>
        </w:rPr>
        <w:t xml:space="preserve"> o</w:t>
      </w:r>
      <w:r w:rsidR="00AE2067" w:rsidRPr="00A555B6">
        <w:rPr>
          <w:rFonts w:ascii="Times New Roman" w:hAnsi="Times New Roman" w:cs="Times New Roman"/>
        </w:rPr>
        <w:t> </w:t>
      </w:r>
      <w:r w:rsidR="0052629A" w:rsidRPr="00A555B6">
        <w:rPr>
          <w:rFonts w:ascii="Times New Roman" w:hAnsi="Times New Roman" w:cs="Times New Roman"/>
        </w:rPr>
        <w:t xml:space="preserve">profesjonalnej rejestracji pojazdów. </w:t>
      </w:r>
      <w:r w:rsidR="00EF7010" w:rsidRPr="00A555B6">
        <w:rPr>
          <w:rFonts w:ascii="Times New Roman" w:hAnsi="Times New Roman" w:cs="Times New Roman"/>
        </w:rPr>
        <w:t>W</w:t>
      </w:r>
      <w:r w:rsidR="0052629A" w:rsidRPr="00A555B6">
        <w:rPr>
          <w:rFonts w:ascii="Times New Roman" w:hAnsi="Times New Roman" w:cs="Times New Roman"/>
        </w:rPr>
        <w:t>łaściwy naczelnik urzędu skarbowego wydaje zaświadczenie stwierdzające zwolnienie od akcyzy.</w:t>
      </w:r>
    </w:p>
    <w:p w14:paraId="6D7B39D7" w14:textId="005DF895" w:rsidR="00B44A7F" w:rsidRPr="00A555B6" w:rsidRDefault="00B44A7F" w:rsidP="00B44A7F">
      <w:pPr>
        <w:spacing w:before="120" w:after="120" w:line="360" w:lineRule="auto"/>
        <w:jc w:val="both"/>
        <w:rPr>
          <w:rFonts w:ascii="Times New Roman" w:hAnsi="Times New Roman" w:cs="Times New Roman"/>
        </w:rPr>
      </w:pPr>
      <w:r w:rsidRPr="00A555B6">
        <w:rPr>
          <w:rFonts w:ascii="Times New Roman" w:hAnsi="Times New Roman" w:cs="Times New Roman"/>
        </w:rPr>
        <w:t>Obecne przepisy ustawy o podatku akcyzowym wymagają doprecyzowania w odniesieniu do pojazdów wykorzystywanych do badań związanych z jazdami testowymi oraz testowaniem pojazdów autonomicznych w ruchu drogowym na drogach publicznych. Podmioty prowadzące działalność badawczą w ww. zakresie, które jedynie testują pojazdy, ze względu na niejednolitą interpretację przepisów, zmuszone są do uiszczenia podatku akcyzowego od każdego pojazdu testowego. W związku z tym koszty, jakie muszą ponosić firmy, ograniczają prowadzenie działalności badawczo-rozwojowej w Polsce w zakresie badania samochodów osobowych. Dlatego konieczne jest przesądzenie, że samochody osobowe wykorzystywane do celów badawczych w prowadzonej działalności badawczej są zwolnione z akcyzy. Uwolnienie rynku badawczego z części zobowiązań podatkowych związanych z</w:t>
      </w:r>
      <w:r w:rsidR="00E6226B" w:rsidRPr="00A555B6">
        <w:rPr>
          <w:rFonts w:ascii="Times New Roman" w:hAnsi="Times New Roman" w:cs="Times New Roman"/>
        </w:rPr>
        <w:t> </w:t>
      </w:r>
      <w:r w:rsidRPr="00A555B6">
        <w:rPr>
          <w:rFonts w:ascii="Times New Roman" w:hAnsi="Times New Roman" w:cs="Times New Roman"/>
        </w:rPr>
        <w:t>podatkiem akcyzowym od samochodów osobowych wykorzystywanych do celów badawczych przełoży się na rozwój rynku badań nad nowymi technologiami w motoryzacji. Branża badawcza w</w:t>
      </w:r>
      <w:r w:rsidR="00E6226B" w:rsidRPr="00A555B6">
        <w:rPr>
          <w:rFonts w:ascii="Times New Roman" w:hAnsi="Times New Roman" w:cs="Times New Roman"/>
        </w:rPr>
        <w:t> </w:t>
      </w:r>
      <w:r w:rsidRPr="00A555B6">
        <w:rPr>
          <w:rFonts w:ascii="Times New Roman" w:hAnsi="Times New Roman" w:cs="Times New Roman"/>
        </w:rPr>
        <w:t xml:space="preserve">Polsce stanowi przyszłościową gałąź przemysłu motoryzacyjnego a ww. zmiany zwiększą jej konkurencyjność wobec innych państw. </w:t>
      </w:r>
    </w:p>
    <w:p w14:paraId="5AA09A12" w14:textId="6920BD82" w:rsidR="00885DD8" w:rsidRPr="00A555B6" w:rsidRDefault="00885DD8" w:rsidP="004E6FE9">
      <w:pPr>
        <w:pStyle w:val="Styl1"/>
        <w:spacing w:before="120" w:after="120" w:line="360" w:lineRule="auto"/>
      </w:pPr>
      <w:bookmarkStart w:id="47" w:name="_Toc174689319"/>
      <w:r w:rsidRPr="00A555B6">
        <w:t>Ustawa z dnia 5 stycznia 2011 r. o kierujących pojazdami</w:t>
      </w:r>
      <w:bookmarkEnd w:id="47"/>
      <w:r w:rsidRPr="00A555B6">
        <w:t xml:space="preserve">  </w:t>
      </w:r>
    </w:p>
    <w:p w14:paraId="68436DC0" w14:textId="0ABAC96A" w:rsidR="00734706" w:rsidRPr="00A555B6" w:rsidRDefault="00734706" w:rsidP="005C2A48">
      <w:pPr>
        <w:spacing w:before="120" w:after="120" w:line="360" w:lineRule="auto"/>
        <w:jc w:val="both"/>
        <w:rPr>
          <w:rFonts w:ascii="Times New Roman" w:eastAsia="Calibri" w:hAnsi="Times New Roman" w:cs="Times New Roman"/>
          <w:iCs/>
          <w:kern w:val="0"/>
          <w14:ligatures w14:val="none"/>
        </w:rPr>
      </w:pPr>
      <w:r w:rsidRPr="00A555B6">
        <w:rPr>
          <w:rFonts w:ascii="Times New Roman" w:eastAsia="Calibri" w:hAnsi="Times New Roman" w:cs="Times New Roman"/>
          <w:bCs/>
          <w:iCs/>
          <w:kern w:val="0"/>
          <w14:ligatures w14:val="none"/>
        </w:rPr>
        <w:t xml:space="preserve">Zmiany w niniejszej ustawie dotyczą odstąpienia od zasady dwuinstancyjności. </w:t>
      </w:r>
      <w:r w:rsidR="005C2A48" w:rsidRPr="00A555B6">
        <w:rPr>
          <w:rFonts w:ascii="Times New Roman" w:eastAsia="Calibri" w:hAnsi="Times New Roman" w:cs="Times New Roman"/>
          <w:iCs/>
          <w:kern w:val="0"/>
          <w14:ligatures w14:val="none"/>
        </w:rPr>
        <w:t>Proponuje się zmianę w</w:t>
      </w:r>
      <w:r w:rsidRPr="00A555B6">
        <w:rPr>
          <w:rFonts w:ascii="Times New Roman" w:eastAsia="Calibri" w:hAnsi="Times New Roman" w:cs="Times New Roman"/>
          <w:iCs/>
          <w:kern w:val="0"/>
          <w14:ligatures w14:val="none"/>
        </w:rPr>
        <w:t xml:space="preserve"> art. 33</w:t>
      </w:r>
      <w:r w:rsidRPr="00A555B6">
        <w:rPr>
          <w:rFonts w:ascii="Times New Roman" w:eastAsia="Calibri" w:hAnsi="Times New Roman" w:cs="Times New Roman"/>
          <w:b/>
          <w:bCs/>
          <w:iCs/>
          <w:kern w:val="0"/>
          <w14:ligatures w14:val="none"/>
        </w:rPr>
        <w:t xml:space="preserve"> </w:t>
      </w:r>
      <w:r w:rsidRPr="00A555B6">
        <w:rPr>
          <w:rFonts w:ascii="Times New Roman" w:eastAsia="Calibri" w:hAnsi="Times New Roman" w:cs="Times New Roman"/>
          <w:iCs/>
          <w:kern w:val="0"/>
          <w14:ligatures w14:val="none"/>
        </w:rPr>
        <w:t>ustawy o kierujących pojazdami  dotycz</w:t>
      </w:r>
      <w:r w:rsidR="005C2A48" w:rsidRPr="00A555B6">
        <w:rPr>
          <w:rFonts w:ascii="Times New Roman" w:eastAsia="Calibri" w:hAnsi="Times New Roman" w:cs="Times New Roman"/>
          <w:iCs/>
          <w:kern w:val="0"/>
          <w14:ligatures w14:val="none"/>
        </w:rPr>
        <w:t>ącą</w:t>
      </w:r>
      <w:r w:rsidRPr="00A555B6">
        <w:rPr>
          <w:rFonts w:ascii="Times New Roman" w:eastAsia="Calibri" w:hAnsi="Times New Roman" w:cs="Times New Roman"/>
          <w:iCs/>
          <w:kern w:val="0"/>
          <w14:ligatures w14:val="none"/>
        </w:rPr>
        <w:t xml:space="preserve"> odpowiednio wpisu do ewidencji instruktorów jazdy oraz odmowy takiego wpisu. Zarówno pierwszy, jak i drugi jest dokonywany po spełnieniu przesłanek określonych w przepisach ustawy, które również nie są ocenne z punktu widzenia organu. Jeżeli osoba spełnia wymagania, wówczas jest wpisywana do ewidencji, jeżeli ich nie spełnia, to nie zostanie wpisana. </w:t>
      </w:r>
    </w:p>
    <w:p w14:paraId="7DD65210" w14:textId="0AFE1F69" w:rsidR="00734706" w:rsidRPr="00A555B6" w:rsidRDefault="00734706" w:rsidP="004E6FE9">
      <w:pPr>
        <w:spacing w:before="120" w:after="120" w:line="360" w:lineRule="auto"/>
        <w:jc w:val="both"/>
        <w:rPr>
          <w:rFonts w:ascii="Times New Roman" w:eastAsia="Calibri" w:hAnsi="Times New Roman" w:cs="Times New Roman"/>
          <w:iCs/>
          <w:kern w:val="0"/>
          <w14:ligatures w14:val="none"/>
        </w:rPr>
      </w:pPr>
      <w:r w:rsidRPr="00A555B6">
        <w:rPr>
          <w:rFonts w:ascii="Times New Roman" w:eastAsia="Calibri" w:hAnsi="Times New Roman" w:cs="Times New Roman"/>
          <w:iCs/>
          <w:kern w:val="0"/>
          <w14:ligatures w14:val="none"/>
        </w:rPr>
        <w:lastRenderedPageBreak/>
        <w:t>Kolejna propozycja zmiany dotyczy decyzji, o których mowa w art. 38 ust. 2 pkt 1 i 4 (</w:t>
      </w:r>
      <w:r w:rsidRPr="00A555B6">
        <w:rPr>
          <w:rFonts w:ascii="Times New Roman" w:eastAsia="Calibri" w:hAnsi="Times New Roman" w:cs="Times New Roman"/>
          <w:kern w:val="0"/>
          <w14:ligatures w14:val="none"/>
        </w:rPr>
        <w:t>proponuje się, aby odwołanie nie przysługiwało w przypadku decyzji administracyjnej o wpisie do ewidencji i</w:t>
      </w:r>
      <w:r w:rsidR="00AE2067" w:rsidRPr="00A555B6">
        <w:rPr>
          <w:rFonts w:ascii="Times New Roman" w:eastAsia="Calibri" w:hAnsi="Times New Roman" w:cs="Times New Roman"/>
          <w:kern w:val="0"/>
          <w14:ligatures w14:val="none"/>
        </w:rPr>
        <w:t> </w:t>
      </w:r>
      <w:r w:rsidRPr="00A555B6">
        <w:rPr>
          <w:rFonts w:ascii="Times New Roman" w:eastAsia="Calibri" w:hAnsi="Times New Roman" w:cs="Times New Roman"/>
          <w:iCs/>
          <w:kern w:val="0"/>
          <w14:ligatures w14:val="none"/>
        </w:rPr>
        <w:t xml:space="preserve">odmowy wpisu do ewidencji wykładowców), oraz decyzji, o których mowa w art. 58 ust. 2 pkt 1 i 3 ww. ustawy (wpis i odmowa wpisu do ewidencji egzaminatorów). Wpisy te również uwarunkowane są od spełnienia określonych przesłanek. </w:t>
      </w:r>
    </w:p>
    <w:p w14:paraId="22171E8F" w14:textId="77777777" w:rsidR="00734706" w:rsidRPr="00A555B6" w:rsidRDefault="00734706" w:rsidP="004E6FE9">
      <w:pPr>
        <w:spacing w:before="120" w:after="120" w:line="360" w:lineRule="auto"/>
        <w:jc w:val="both"/>
        <w:rPr>
          <w:rFonts w:ascii="Times New Roman" w:eastAsia="Times New Roman" w:hAnsi="Times New Roman" w:cs="Times New Roman"/>
          <w:bCs/>
          <w:iCs/>
          <w:kern w:val="0"/>
          <w:lang w:eastAsia="pl-PL"/>
          <w14:ligatures w14:val="none"/>
        </w:rPr>
      </w:pPr>
      <w:r w:rsidRPr="00A555B6">
        <w:rPr>
          <w:rFonts w:ascii="Times New Roman" w:eastAsia="Times New Roman" w:hAnsi="Times New Roman" w:cs="Times New Roman"/>
          <w:bCs/>
          <w:iCs/>
          <w:kern w:val="0"/>
          <w:lang w:eastAsia="pl-PL"/>
          <w14:ligatures w14:val="none"/>
        </w:rPr>
        <w:t xml:space="preserve">Art. 109 ust. 1, 3 oraz 4 ustawy o kierujących pojazdami regulują odpowiednio wydanie, przedłużenie oraz rozszerzenie zezwolenia na kierowanie pojazdem uprzywilejowanym. Decyzje te są wydawane na podstawie konkretnych dokumentów, których nieprzedstawienie stanowi podstawę do wydania decyzji odmownej. </w:t>
      </w:r>
    </w:p>
    <w:p w14:paraId="7FECF191" w14:textId="41A0F604" w:rsidR="00734706" w:rsidRPr="00A555B6" w:rsidRDefault="00734706" w:rsidP="004E6FE9">
      <w:pPr>
        <w:spacing w:before="120" w:after="120" w:line="360" w:lineRule="auto"/>
        <w:jc w:val="both"/>
        <w:rPr>
          <w:rFonts w:ascii="Times New Roman" w:eastAsia="Calibri" w:hAnsi="Times New Roman" w:cs="Times New Roman"/>
          <w:kern w:val="0"/>
          <w14:ligatures w14:val="none"/>
        </w:rPr>
      </w:pPr>
      <w:r w:rsidRPr="00A555B6">
        <w:rPr>
          <w:rFonts w:ascii="Times New Roman" w:eastAsia="Times New Roman" w:hAnsi="Times New Roman" w:cs="Times New Roman"/>
          <w:bCs/>
          <w:iCs/>
          <w:kern w:val="0"/>
          <w:lang w:eastAsia="pl-PL"/>
          <w14:ligatures w14:val="none"/>
        </w:rPr>
        <w:t>Podobnie jest w przypadku art. 110 oraz 117 ust. 3 pkt 1 i 4</w:t>
      </w:r>
      <w:r w:rsidRPr="00A555B6">
        <w:rPr>
          <w:rFonts w:ascii="Times New Roman" w:eastAsia="Times New Roman" w:hAnsi="Times New Roman" w:cs="Times New Roman"/>
          <w:b/>
          <w:iCs/>
          <w:kern w:val="0"/>
          <w:lang w:eastAsia="pl-PL"/>
          <w14:ligatures w14:val="none"/>
        </w:rPr>
        <w:t xml:space="preserve"> </w:t>
      </w:r>
      <w:r w:rsidRPr="00A555B6">
        <w:rPr>
          <w:rFonts w:ascii="Times New Roman" w:eastAsia="Times New Roman" w:hAnsi="Times New Roman" w:cs="Times New Roman"/>
          <w:bCs/>
          <w:iCs/>
          <w:kern w:val="0"/>
          <w:lang w:eastAsia="pl-PL"/>
          <w14:ligatures w14:val="none"/>
        </w:rPr>
        <w:t xml:space="preserve">tej ustawy. Pierwszy z nich dotyczy wydania zezwolenia na kierowanie pojazdem przewożącym wartości pieniężne, natomiast drugi wpisu do </w:t>
      </w:r>
      <w:r w:rsidRPr="00A555B6">
        <w:rPr>
          <w:rFonts w:ascii="Times New Roman" w:eastAsia="Calibri" w:hAnsi="Times New Roman" w:cs="Times New Roman"/>
          <w:kern w:val="0"/>
          <w14:ligatures w14:val="none"/>
        </w:rPr>
        <w:t xml:space="preserve">ewidencji instruktorów techniki jazdy oraz odmowy wpisu do ewidencji instruktorów techniki jazdy. Decyzje te także wydawane są na podstawie konkretnych dokumentów. </w:t>
      </w:r>
    </w:p>
    <w:p w14:paraId="229DDDE8" w14:textId="77777777" w:rsidR="006D4190" w:rsidRPr="00A555B6" w:rsidRDefault="006D4190" w:rsidP="009E1176">
      <w:pPr>
        <w:pStyle w:val="Styl1"/>
        <w:spacing w:before="120" w:after="120" w:line="360" w:lineRule="auto"/>
      </w:pPr>
      <w:bookmarkStart w:id="48" w:name="_Toc174689320"/>
      <w:r w:rsidRPr="00A555B6">
        <w:t>Ustawa z dnia 20 stycznia 2011 r. o odpowiedzialności majątkowej funkcjonariuszy publicznych za rażące naruszenie prawa</w:t>
      </w:r>
      <w:bookmarkEnd w:id="48"/>
      <w:r w:rsidRPr="00A555B6">
        <w:t xml:space="preserve"> </w:t>
      </w:r>
    </w:p>
    <w:p w14:paraId="6DE84602" w14:textId="5EA05FE3" w:rsidR="006D4190" w:rsidRPr="00A555B6" w:rsidRDefault="00FE2A67" w:rsidP="009E1176">
      <w:pPr>
        <w:spacing w:before="120" w:after="120" w:line="360" w:lineRule="auto"/>
        <w:jc w:val="both"/>
        <w:rPr>
          <w:rFonts w:ascii="Times New Roman" w:hAnsi="Times New Roman" w:cs="Times New Roman"/>
        </w:rPr>
      </w:pPr>
      <w:r>
        <w:rPr>
          <w:rFonts w:ascii="Times New Roman" w:hAnsi="Times New Roman" w:cs="Times New Roman"/>
        </w:rPr>
        <w:t>W</w:t>
      </w:r>
      <w:r w:rsidR="006D4190" w:rsidRPr="00A555B6">
        <w:rPr>
          <w:rFonts w:ascii="Times New Roman" w:hAnsi="Times New Roman" w:cs="Times New Roman"/>
        </w:rPr>
        <w:t xml:space="preserve"> przepisie tym dokonana została zmiana redakcyjna z obecnie obowiązującego art. 37 § 2 Kpa na art. 37 § </w:t>
      </w:r>
      <w:r>
        <w:rPr>
          <w:rFonts w:ascii="Times New Roman" w:hAnsi="Times New Roman" w:cs="Times New Roman"/>
        </w:rPr>
        <w:t>6 pkt 1</w:t>
      </w:r>
      <w:r w:rsidR="006D4190" w:rsidRPr="00A555B6">
        <w:rPr>
          <w:rFonts w:ascii="Times New Roman" w:hAnsi="Times New Roman" w:cs="Times New Roman"/>
        </w:rPr>
        <w:t xml:space="preserve"> Kpa.</w:t>
      </w:r>
    </w:p>
    <w:p w14:paraId="7D41D17B" w14:textId="37D12795" w:rsidR="00885DD8" w:rsidRPr="00A555B6" w:rsidRDefault="00885DD8" w:rsidP="004E6FE9">
      <w:pPr>
        <w:pStyle w:val="Styl1"/>
        <w:spacing w:before="120" w:after="120" w:line="360" w:lineRule="auto"/>
      </w:pPr>
      <w:bookmarkStart w:id="49" w:name="_Toc174689321"/>
      <w:r w:rsidRPr="00A555B6">
        <w:t>Ustawa z dnia 8 marca 2013 r. o przeciwdziałaniu nadmiernym opóźnieniom w transakcjach handlowych</w:t>
      </w:r>
      <w:bookmarkEnd w:id="49"/>
    </w:p>
    <w:p w14:paraId="171812A3" w14:textId="5207A668" w:rsidR="005F0317" w:rsidRPr="00A555B6" w:rsidRDefault="005F0317"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Obecnie Prezes Urzędu Ochrony Konkurencji i Konsumentów w postępowaniu w sprawie nadmiernego opóźniania się ze spełnianiem świadczeń pieniężnych nie ma obowiązku nakładania administracyjnej kary pieniężnej, a w przypadku stwierdzenia zasadności jej nałożenia – po rozważeniu całokształtu okoliczności sprawy, może obniżyć jej wysokość. </w:t>
      </w:r>
    </w:p>
    <w:p w14:paraId="62B50B31" w14:textId="24FB8BDC" w:rsidR="005F0317" w:rsidRPr="00A555B6" w:rsidRDefault="005F0317"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Niemniej doprecyzowanie w przepisach, że w ramach okoliczności naruszenia wykazanych przez stronę postępowania, </w:t>
      </w:r>
      <w:r w:rsidR="005B1F70" w:rsidRPr="00A555B6">
        <w:rPr>
          <w:rFonts w:ascii="Times New Roman" w:hAnsi="Times New Roman" w:cs="Times New Roman"/>
        </w:rPr>
        <w:t>powinno się uwzględniać</w:t>
      </w:r>
      <w:r w:rsidRPr="00A555B6">
        <w:rPr>
          <w:rFonts w:ascii="Times New Roman" w:hAnsi="Times New Roman" w:cs="Times New Roman"/>
        </w:rPr>
        <w:t xml:space="preserve"> również jako przesłankę miarkowania kary za opóźnienie</w:t>
      </w:r>
      <w:r w:rsidR="005B1F70" w:rsidRPr="00A555B6">
        <w:rPr>
          <w:rFonts w:ascii="Times New Roman" w:hAnsi="Times New Roman" w:cs="Times New Roman"/>
        </w:rPr>
        <w:t>,</w:t>
      </w:r>
      <w:r w:rsidRPr="00A555B6">
        <w:rPr>
          <w:rFonts w:ascii="Times New Roman" w:hAnsi="Times New Roman" w:cs="Times New Roman"/>
        </w:rPr>
        <w:t xml:space="preserve"> </w:t>
      </w:r>
      <w:r w:rsidR="005B1F70" w:rsidRPr="00A555B6">
        <w:rPr>
          <w:rFonts w:ascii="Times New Roman" w:hAnsi="Times New Roman" w:cs="Times New Roman"/>
        </w:rPr>
        <w:t xml:space="preserve">to </w:t>
      </w:r>
      <w:r w:rsidRPr="00A555B6">
        <w:rPr>
          <w:rFonts w:ascii="Times New Roman" w:hAnsi="Times New Roman" w:cs="Times New Roman"/>
        </w:rPr>
        <w:t>czy strona była „ofiarą zatorów”, a w szczególności</w:t>
      </w:r>
      <w:r w:rsidR="005B1F70" w:rsidRPr="00A555B6">
        <w:rPr>
          <w:rFonts w:ascii="Times New Roman" w:hAnsi="Times New Roman" w:cs="Times New Roman"/>
        </w:rPr>
        <w:t>,</w:t>
      </w:r>
      <w:r w:rsidRPr="00A555B6">
        <w:rPr>
          <w:rFonts w:ascii="Times New Roman" w:hAnsi="Times New Roman" w:cs="Times New Roman"/>
        </w:rPr>
        <w:t xml:space="preserve"> czy istnieje związek pomiędzy </w:t>
      </w:r>
      <w:r w:rsidR="008E6C79" w:rsidRPr="00A555B6">
        <w:rPr>
          <w:rFonts w:ascii="Times New Roman" w:hAnsi="Times New Roman" w:cs="Times New Roman"/>
        </w:rPr>
        <w:t xml:space="preserve">niespełnieniem przez stronę zobowiązań w terminie określonym w umowie a nieotrzymaniem przez nią należności od jej kontrahentów, </w:t>
      </w:r>
      <w:r w:rsidRPr="00A555B6">
        <w:rPr>
          <w:rFonts w:ascii="Times New Roman" w:hAnsi="Times New Roman" w:cs="Times New Roman"/>
        </w:rPr>
        <w:t>zwiększy pewność przedsiębiorców, że ich sytuacja zostanie uwzględniona w</w:t>
      </w:r>
      <w:r w:rsidR="00AE2067" w:rsidRPr="00A555B6">
        <w:rPr>
          <w:rFonts w:ascii="Times New Roman" w:hAnsi="Times New Roman" w:cs="Times New Roman"/>
        </w:rPr>
        <w:t> </w:t>
      </w:r>
      <w:r w:rsidRPr="00A555B6">
        <w:rPr>
          <w:rFonts w:ascii="Times New Roman" w:hAnsi="Times New Roman" w:cs="Times New Roman"/>
        </w:rPr>
        <w:t>postępowaniu.</w:t>
      </w:r>
      <w:r w:rsidR="008E6C79" w:rsidRPr="00A555B6">
        <w:rPr>
          <w:rFonts w:ascii="Times New Roman" w:hAnsi="Times New Roman" w:cs="Times New Roman"/>
        </w:rPr>
        <w:t xml:space="preserve"> </w:t>
      </w:r>
      <w:r w:rsidR="005B1F70" w:rsidRPr="00A555B6">
        <w:rPr>
          <w:rFonts w:ascii="Times New Roman" w:hAnsi="Times New Roman" w:cs="Times New Roman"/>
        </w:rPr>
        <w:t>Pamiętać przy tym należy, że każdy przypadek ma charakter indywidualny, co oznacza, że brak otrzymania wcześniej jakiejś sumy pieniężnej nie stanowi „automatycznego” usprawiedliwienia dla przedsiębiorcy do niezapłacenia w terminie takiej samej sumy swemu innemu kontrahentowi (może on bowiem np. posiadać odpowiedniej wysokości środki</w:t>
      </w:r>
      <w:r w:rsidR="00D3537D" w:rsidRPr="00A555B6">
        <w:rPr>
          <w:rFonts w:ascii="Times New Roman" w:hAnsi="Times New Roman" w:cs="Times New Roman"/>
        </w:rPr>
        <w:t xml:space="preserve"> na ten cel, których wykorzystanie nie będzie dla niego groziło nadmiernymi ryzykami finansowymi</w:t>
      </w:r>
      <w:r w:rsidR="005B1F70" w:rsidRPr="00A555B6">
        <w:rPr>
          <w:rFonts w:ascii="Times New Roman" w:hAnsi="Times New Roman" w:cs="Times New Roman"/>
        </w:rPr>
        <w:t xml:space="preserve">). Tym niemniej, okoliczności towarzyszące temu zagadnieniu powinny być analizowane przez organ i końcowo mieć wpływ na wysokość wymierzanej kary, ustalanej w odpowiednim </w:t>
      </w:r>
      <w:r w:rsidR="00750231" w:rsidRPr="00A555B6">
        <w:rPr>
          <w:rFonts w:ascii="Times New Roman" w:hAnsi="Times New Roman" w:cs="Times New Roman"/>
        </w:rPr>
        <w:t xml:space="preserve">zakresie, zgodnie z obowiązującymi </w:t>
      </w:r>
      <w:r w:rsidR="00750231" w:rsidRPr="00A555B6">
        <w:rPr>
          <w:rFonts w:ascii="Times New Roman" w:hAnsi="Times New Roman" w:cs="Times New Roman"/>
        </w:rPr>
        <w:lastRenderedPageBreak/>
        <w:t>przepisami.</w:t>
      </w:r>
      <w:r w:rsidR="005B1F70" w:rsidRPr="00A555B6">
        <w:rPr>
          <w:rFonts w:ascii="Times New Roman" w:hAnsi="Times New Roman" w:cs="Times New Roman"/>
        </w:rPr>
        <w:t xml:space="preserve"> </w:t>
      </w:r>
      <w:r w:rsidR="008E6C79" w:rsidRPr="00A555B6">
        <w:rPr>
          <w:rFonts w:ascii="Times New Roman" w:hAnsi="Times New Roman" w:cs="Times New Roman"/>
        </w:rPr>
        <w:t xml:space="preserve">W tym celu </w:t>
      </w:r>
      <w:r w:rsidR="008E6C79" w:rsidRPr="00A555B6">
        <w:rPr>
          <w:rFonts w:ascii="Times New Roman" w:hAnsi="Times New Roman" w:cs="Times New Roman"/>
          <w:color w:val="000000"/>
          <w:lang w:bidi="pl-PL"/>
        </w:rPr>
        <w:t>p</w:t>
      </w:r>
      <w:r w:rsidRPr="00A555B6">
        <w:rPr>
          <w:rFonts w:ascii="Times New Roman" w:hAnsi="Times New Roman" w:cs="Times New Roman"/>
          <w:color w:val="000000"/>
          <w:lang w:bidi="pl-PL"/>
        </w:rPr>
        <w:t xml:space="preserve">roponuje się zmianę </w:t>
      </w:r>
      <w:r w:rsidRPr="00A555B6">
        <w:rPr>
          <w:rFonts w:ascii="Times New Roman" w:hAnsi="Times New Roman" w:cs="Times New Roman"/>
        </w:rPr>
        <w:t xml:space="preserve">w art. 13v w ust. 2b pkt 2 </w:t>
      </w:r>
      <w:r w:rsidRPr="00A555B6">
        <w:rPr>
          <w:rFonts w:ascii="Times New Roman" w:hAnsi="Times New Roman" w:cs="Times New Roman"/>
          <w:color w:val="000000"/>
          <w:lang w:bidi="pl-PL"/>
        </w:rPr>
        <w:t>w</w:t>
      </w:r>
      <w:r w:rsidRPr="00A555B6">
        <w:rPr>
          <w:rFonts w:ascii="Times New Roman" w:hAnsi="Times New Roman" w:cs="Times New Roman"/>
        </w:rPr>
        <w:t xml:space="preserve"> ustawie z</w:t>
      </w:r>
      <w:r w:rsidR="00DA0AA1" w:rsidRPr="00A555B6">
        <w:rPr>
          <w:rFonts w:ascii="Times New Roman" w:hAnsi="Times New Roman" w:cs="Times New Roman"/>
        </w:rPr>
        <w:t> </w:t>
      </w:r>
      <w:r w:rsidRPr="00A555B6">
        <w:rPr>
          <w:rFonts w:ascii="Times New Roman" w:hAnsi="Times New Roman" w:cs="Times New Roman"/>
        </w:rPr>
        <w:t>dnia</w:t>
      </w:r>
      <w:r w:rsidR="00DA0AA1" w:rsidRPr="00A555B6">
        <w:rPr>
          <w:rFonts w:ascii="Times New Roman" w:hAnsi="Times New Roman" w:cs="Times New Roman"/>
        </w:rPr>
        <w:t> </w:t>
      </w:r>
      <w:r w:rsidRPr="00A555B6">
        <w:rPr>
          <w:rFonts w:ascii="Times New Roman" w:hAnsi="Times New Roman" w:cs="Times New Roman"/>
        </w:rPr>
        <w:t>8</w:t>
      </w:r>
      <w:r w:rsidR="00DA0AA1" w:rsidRPr="00A555B6">
        <w:rPr>
          <w:rFonts w:ascii="Times New Roman" w:hAnsi="Times New Roman" w:cs="Times New Roman"/>
        </w:rPr>
        <w:t> </w:t>
      </w:r>
      <w:r w:rsidRPr="00A555B6">
        <w:rPr>
          <w:rFonts w:ascii="Times New Roman" w:hAnsi="Times New Roman" w:cs="Times New Roman"/>
        </w:rPr>
        <w:t>marca 2013 r. o przeciwdziałaniu nadmiernym opóźnieniom w transakcjach handlowych</w:t>
      </w:r>
      <w:r w:rsidR="008E6C79" w:rsidRPr="00A555B6">
        <w:rPr>
          <w:rFonts w:ascii="Times New Roman" w:hAnsi="Times New Roman" w:cs="Times New Roman"/>
        </w:rPr>
        <w:t>.</w:t>
      </w:r>
      <w:r w:rsidRPr="00A555B6">
        <w:rPr>
          <w:rFonts w:ascii="Times New Roman" w:hAnsi="Times New Roman" w:cs="Times New Roman"/>
        </w:rPr>
        <w:t xml:space="preserve"> </w:t>
      </w:r>
    </w:p>
    <w:p w14:paraId="06393699" w14:textId="08E4C3F5" w:rsidR="00885DD8" w:rsidRPr="00A555B6" w:rsidRDefault="006338E8" w:rsidP="004E6FE9">
      <w:pPr>
        <w:pStyle w:val="Styl1"/>
        <w:spacing w:before="120" w:after="120" w:line="360" w:lineRule="auto"/>
      </w:pPr>
      <w:bookmarkStart w:id="50" w:name="_Toc174689322"/>
      <w:r w:rsidRPr="00A555B6">
        <w:t>Ustawa z dnia 30 maja 2014 r. o prawach konsumenta</w:t>
      </w:r>
      <w:bookmarkEnd w:id="50"/>
    </w:p>
    <w:p w14:paraId="55947842" w14:textId="03FC6B66" w:rsidR="00CE035F" w:rsidRPr="00A555B6" w:rsidRDefault="00CE035F" w:rsidP="00CE035F">
      <w:pPr>
        <w:spacing w:before="120" w:after="120" w:line="360" w:lineRule="auto"/>
        <w:jc w:val="both"/>
        <w:rPr>
          <w:rFonts w:ascii="Times New Roman" w:hAnsi="Times New Roman" w:cs="Times New Roman"/>
        </w:rPr>
      </w:pPr>
      <w:r w:rsidRPr="00A555B6">
        <w:rPr>
          <w:rFonts w:ascii="Times New Roman" w:hAnsi="Times New Roman" w:cs="Times New Roman"/>
        </w:rPr>
        <w:t>Ustawa o prawach konsumenta reguluje w art. 43b i nast. zasady rządzące relacjami przedsiębiorca-konsument w przypadku braku zgodności towaru z umową. O ile konieczność zapewnienia szczególnej ochrony drugiej spośród tych osób nie może, w ujęciu ogólnym, budzić wątpliwości, o</w:t>
      </w:r>
      <w:r w:rsidR="00AE2067" w:rsidRPr="00A555B6">
        <w:rPr>
          <w:rFonts w:ascii="Times New Roman" w:hAnsi="Times New Roman" w:cs="Times New Roman"/>
        </w:rPr>
        <w:t> </w:t>
      </w:r>
      <w:r w:rsidRPr="00A555B6">
        <w:rPr>
          <w:rFonts w:ascii="Times New Roman" w:hAnsi="Times New Roman" w:cs="Times New Roman"/>
        </w:rPr>
        <w:t>tyle pewne niejasności mogą pojawić się na gruncie art. 43c. Przepis ten przewiduje generalną zasadę odpowiedzialności przedsiębiorcy za wspomnianą niezgodność, o ile ujawniła się ona w</w:t>
      </w:r>
      <w:r w:rsidR="00AE2067" w:rsidRPr="00A555B6">
        <w:rPr>
          <w:rFonts w:ascii="Times New Roman" w:hAnsi="Times New Roman" w:cs="Times New Roman"/>
        </w:rPr>
        <w:t> </w:t>
      </w:r>
      <w:r w:rsidRPr="00A555B6">
        <w:rPr>
          <w:rFonts w:ascii="Times New Roman" w:hAnsi="Times New Roman" w:cs="Times New Roman"/>
        </w:rPr>
        <w:t>okresie dwóch lat od dostarczenia towaru. Nie nakłada on natomiast ograniczenia czasowego dla konsumenta do odpowiedniej reakcji i podjęcia działań już po odkryciu tego faktu, co może zostać uznane za niesprawiedliwe względem przedsiębiorcy i godzące w praktyczne aspekty pewności oraz trwałości obowiązków wynikających z umowy łączącej obie strony. Z tego względu proponuje się, by konsument miał obowiązek ewentualnego zrealizowania przysługujących mu uprawnień, określonych w art. 43d ust. 1 oraz w art. 43e ust. 1 pkt 4 i 5 (tj. żądania naprawy bądź wymiany towaru i złożenia oświadczenia o obniżeniu ceny albo odstąpieniu od umowy w przypadku gdy brak zgodności towaru z</w:t>
      </w:r>
      <w:r w:rsidR="00AE2067" w:rsidRPr="00A555B6">
        <w:rPr>
          <w:rFonts w:ascii="Times New Roman" w:hAnsi="Times New Roman" w:cs="Times New Roman"/>
        </w:rPr>
        <w:t> </w:t>
      </w:r>
      <w:r w:rsidRPr="00A555B6">
        <w:rPr>
          <w:rFonts w:ascii="Times New Roman" w:hAnsi="Times New Roman" w:cs="Times New Roman"/>
        </w:rPr>
        <w:t>umową jest na tyle istotny, że uzasadnia obniżenie ceny albo odstąpienie od umowy bez uprzedniego skorzystania z</w:t>
      </w:r>
      <w:r w:rsidR="00E6226B" w:rsidRPr="00A555B6">
        <w:rPr>
          <w:rFonts w:ascii="Times New Roman" w:hAnsi="Times New Roman" w:cs="Times New Roman"/>
        </w:rPr>
        <w:t> </w:t>
      </w:r>
      <w:r w:rsidRPr="00A555B6">
        <w:rPr>
          <w:rFonts w:ascii="Times New Roman" w:hAnsi="Times New Roman" w:cs="Times New Roman"/>
        </w:rPr>
        <w:t xml:space="preserve">żądania naprawy bądź wymiany towaru, lub gdy z oświadczenia przedsiębiorcy lub okoliczności wyraźnie wynika, że nie doprowadzi on towaru do zgodności z umową w rozsądnym czasie lub bez nadmiernych niedogodności dla </w:t>
      </w:r>
      <w:bookmarkStart w:id="51" w:name="highlightHit_214"/>
      <w:bookmarkEnd w:id="51"/>
      <w:r w:rsidRPr="00A555B6">
        <w:rPr>
          <w:rStyle w:val="highlight"/>
          <w:rFonts w:ascii="Times New Roman" w:hAnsi="Times New Roman" w:cs="Times New Roman"/>
        </w:rPr>
        <w:t>konsumenta</w:t>
      </w:r>
      <w:r w:rsidRPr="00A555B6">
        <w:rPr>
          <w:rFonts w:ascii="Times New Roman" w:hAnsi="Times New Roman" w:cs="Times New Roman"/>
        </w:rPr>
        <w:t>) w terminie roku od momentu wykrycia przez niego nieprawidłowości. Proponowany termin został ustalony analogicznie do zasad przewidzianych w art. 88 § 2 Kc i gwarantuje konsumentowi odpowiednią ilość czasu, by mógł on podjąć odpowiednie kroki w</w:t>
      </w:r>
      <w:r w:rsidR="00E6226B" w:rsidRPr="00A555B6">
        <w:rPr>
          <w:rFonts w:ascii="Times New Roman" w:hAnsi="Times New Roman" w:cs="Times New Roman"/>
        </w:rPr>
        <w:t> </w:t>
      </w:r>
      <w:r w:rsidRPr="00A555B6">
        <w:rPr>
          <w:rFonts w:ascii="Times New Roman" w:hAnsi="Times New Roman" w:cs="Times New Roman"/>
        </w:rPr>
        <w:t xml:space="preserve">zakresie ochrony przynależnych mu praw.  </w:t>
      </w:r>
    </w:p>
    <w:p w14:paraId="1AE8261D" w14:textId="2DEB750D" w:rsidR="006338E8" w:rsidRPr="00A555B6" w:rsidRDefault="006338E8" w:rsidP="004E6FE9">
      <w:pPr>
        <w:pStyle w:val="Styl1"/>
        <w:spacing w:before="120" w:after="120" w:line="360" w:lineRule="auto"/>
      </w:pPr>
      <w:bookmarkStart w:id="52" w:name="_Toc174689323"/>
      <w:r w:rsidRPr="00A555B6">
        <w:t>Ustawa z dnia 14 grudnia 2016 r. ‒ Prawo oświatowe</w:t>
      </w:r>
      <w:bookmarkEnd w:id="52"/>
    </w:p>
    <w:p w14:paraId="6ADAF4B8" w14:textId="6EB74CFF" w:rsidR="000D079F" w:rsidRPr="00A555B6" w:rsidRDefault="000D079F" w:rsidP="000D079F">
      <w:pPr>
        <w:spacing w:before="120" w:after="120" w:line="360" w:lineRule="auto"/>
        <w:jc w:val="both"/>
        <w:rPr>
          <w:rFonts w:ascii="Times New Roman" w:hAnsi="Times New Roman" w:cs="Times New Roman"/>
        </w:rPr>
      </w:pPr>
      <w:r w:rsidRPr="00A555B6">
        <w:rPr>
          <w:rFonts w:ascii="Times New Roman" w:hAnsi="Times New Roman" w:cs="Times New Roman"/>
        </w:rPr>
        <w:t xml:space="preserve">Zgodnie z obecnymi przepisami ustawy z dnia 14 grudnia 2016 r. </w:t>
      </w:r>
      <w:r w:rsidR="00A17344" w:rsidRPr="00A555B6">
        <w:rPr>
          <w:rFonts w:ascii="Times New Roman" w:hAnsi="Times New Roman" w:cs="Times New Roman"/>
        </w:rPr>
        <w:t>–</w:t>
      </w:r>
      <w:r w:rsidRPr="00A555B6">
        <w:rPr>
          <w:rFonts w:ascii="Times New Roman" w:hAnsi="Times New Roman" w:cs="Times New Roman"/>
        </w:rPr>
        <w:t xml:space="preserve"> Prawo oświatowe dofinansowanie kosztów kształcenia młodocianego pracownika odbywa się tylko w przypadku zdania przez młodocianego egzaminu zawodowego bądź czeladniczego (art. 122), na co pracodawca nie ma bezpośredniego wpływu. W odniesieniu do dofinansowania kosztów kształcenia młodocianego pracownika proponuje się wprowadzenie zasady, zgodnie z którą dofinansowanie przysługiwać będzie za fakt podejścia młodocianego do egzaminu czeladniczego bądź zawodowego (złożenia egzaminu), nie zaś – zdania go. Wynika to z faktu uznania otrzymania dofinansowania za swoisty benefit włożony w</w:t>
      </w:r>
      <w:r w:rsidR="00E6226B" w:rsidRPr="00A555B6">
        <w:rPr>
          <w:rFonts w:ascii="Times New Roman" w:hAnsi="Times New Roman" w:cs="Times New Roman"/>
        </w:rPr>
        <w:t> </w:t>
      </w:r>
      <w:r w:rsidRPr="00A555B6">
        <w:rPr>
          <w:rFonts w:ascii="Times New Roman" w:hAnsi="Times New Roman" w:cs="Times New Roman"/>
        </w:rPr>
        <w:t xml:space="preserve">szkolenie młodocianego, którego uzyskanie nie powinno być uzależnione od skutku działania osoby trzeciej (tj. sukcesu lub braku sukcesu w trakcie zdawania egzaminu).  </w:t>
      </w:r>
    </w:p>
    <w:p w14:paraId="6CEB2549" w14:textId="2BA604B6" w:rsidR="000D079F" w:rsidRPr="00A555B6" w:rsidRDefault="000D079F" w:rsidP="000D079F">
      <w:pPr>
        <w:spacing w:before="120" w:after="120" w:line="360" w:lineRule="auto"/>
        <w:jc w:val="both"/>
        <w:rPr>
          <w:rFonts w:ascii="Times New Roman" w:hAnsi="Times New Roman" w:cs="Times New Roman"/>
        </w:rPr>
      </w:pPr>
      <w:r w:rsidRPr="00A555B6">
        <w:rPr>
          <w:rFonts w:ascii="Times New Roman" w:hAnsi="Times New Roman" w:cs="Times New Roman"/>
        </w:rPr>
        <w:t xml:space="preserve">Dodatkowo ww. kwota dofinansowania ulega obecnie waloryzacji tylko w przypadku, gdy wskaźnik cen towarów i usług konsumpcyjnych wzrasta o co najmniej 5% rok do roku. Rozwiązanie to nie uwzględnia natomiast sytuacji, gdy skumulowany wskaźnik przekracza wartość 5% w okresie kilku lat. </w:t>
      </w:r>
      <w:r w:rsidR="00F02C59" w:rsidRPr="00A555B6">
        <w:rPr>
          <w:rFonts w:ascii="Times New Roman" w:hAnsi="Times New Roman" w:cs="Times New Roman"/>
        </w:rPr>
        <w:lastRenderedPageBreak/>
        <w:t xml:space="preserve">W związku z powyższym zaproponowano, by waloryzacja dofinansowania następowała w przypadku, gdy wzrost wskaźnika cen towarów i usług konsumpcyjnych przekroczy 5% nie w stosunku do roku poprzedniego, ale w stosunku do roku, poprzedzającego rok, w którym dokonano poprzedniej (ostatniej) waloryzacji. </w:t>
      </w:r>
    </w:p>
    <w:p w14:paraId="0C4F7221" w14:textId="08D2D650" w:rsidR="002127E4" w:rsidRPr="00A555B6" w:rsidRDefault="000D079F" w:rsidP="009E1176">
      <w:pPr>
        <w:spacing w:before="120" w:after="120" w:line="360" w:lineRule="auto"/>
        <w:jc w:val="both"/>
        <w:rPr>
          <w:rFonts w:ascii="Times New Roman" w:hAnsi="Times New Roman" w:cs="Times New Roman"/>
        </w:rPr>
      </w:pPr>
      <w:r w:rsidRPr="00A555B6">
        <w:rPr>
          <w:rFonts w:ascii="Times New Roman" w:hAnsi="Times New Roman" w:cs="Times New Roman"/>
        </w:rPr>
        <w:t xml:space="preserve">Ponieważ obecne przepisy dotyczące waloryzacji dofinansowania odnoszą się do obwieszczenia Prezesa Głównego Urzędu Statystycznego, który publikuje komunikat w sprawie średniorocznego wskaźnika cen towarów i usług konsumpcyjnych ogółem, a wskaźnik ten nie obejmuje okresów innych niż rok do roku </w:t>
      </w:r>
      <w:r w:rsidR="00B40C2B" w:rsidRPr="00A555B6">
        <w:rPr>
          <w:rFonts w:ascii="Times New Roman" w:hAnsi="Times New Roman" w:cs="Times New Roman"/>
        </w:rPr>
        <w:t>–</w:t>
      </w:r>
      <w:r w:rsidRPr="00A555B6">
        <w:rPr>
          <w:rFonts w:ascii="Times New Roman" w:hAnsi="Times New Roman" w:cs="Times New Roman"/>
        </w:rPr>
        <w:t xml:space="preserve"> konieczne jest wprowadzenie mechanizmu pozwalającego na proste ustalenie zasad waloryzacji i wskaźnika obejmującego dłuższy okres. </w:t>
      </w:r>
      <w:r w:rsidR="002127E4" w:rsidRPr="00A555B6">
        <w:rPr>
          <w:rFonts w:ascii="Times New Roman" w:hAnsi="Times New Roman" w:cs="Times New Roman"/>
        </w:rPr>
        <w:t>W tym celu zaproponowano, by wskaźnik skumulowany był ogłaszany przez ministra właściwego do spraw oświaty i wychowania w latach, w</w:t>
      </w:r>
      <w:r w:rsidR="00E6226B" w:rsidRPr="00A555B6">
        <w:rPr>
          <w:rFonts w:ascii="Times New Roman" w:hAnsi="Times New Roman" w:cs="Times New Roman"/>
        </w:rPr>
        <w:t> </w:t>
      </w:r>
      <w:r w:rsidR="002127E4" w:rsidRPr="00A555B6">
        <w:rPr>
          <w:rFonts w:ascii="Times New Roman" w:hAnsi="Times New Roman" w:cs="Times New Roman"/>
        </w:rPr>
        <w:t>których dochodzić ma do waloryzacji. Wskaźnik ten powinien być ustalany na podstawie średniorocznych wskaźników cen towarów i usług konsumpcyjnych ogłaszanych przez Prezesa Głównego Urzędu Statystycznego na podstawie przepisów o emeryturach i rentach z Funduszu Ubezpieczeń Społecznych.</w:t>
      </w:r>
    </w:p>
    <w:p w14:paraId="140257D6" w14:textId="299D7793" w:rsidR="000D079F" w:rsidRPr="00A555B6" w:rsidRDefault="000D079F" w:rsidP="000D079F">
      <w:pPr>
        <w:spacing w:before="120" w:after="120" w:line="360" w:lineRule="auto"/>
        <w:jc w:val="both"/>
        <w:rPr>
          <w:rFonts w:ascii="Times New Roman" w:hAnsi="Times New Roman" w:cs="Times New Roman"/>
        </w:rPr>
      </w:pPr>
      <w:r w:rsidRPr="00A555B6">
        <w:rPr>
          <w:rFonts w:ascii="Times New Roman" w:hAnsi="Times New Roman" w:cs="Times New Roman"/>
        </w:rPr>
        <w:t>W efekcie na ministrze właściwym do spraw oświaty ciążył będzie obowiązek dokonania obliczenia i</w:t>
      </w:r>
      <w:r w:rsidR="00E6226B" w:rsidRPr="00A555B6">
        <w:rPr>
          <w:rFonts w:ascii="Times New Roman" w:hAnsi="Times New Roman" w:cs="Times New Roman"/>
        </w:rPr>
        <w:t> </w:t>
      </w:r>
      <w:r w:rsidRPr="00A555B6">
        <w:rPr>
          <w:rFonts w:ascii="Times New Roman" w:hAnsi="Times New Roman" w:cs="Times New Roman"/>
        </w:rPr>
        <w:t xml:space="preserve">publikacji wskaźnika skumulowanego, obejmującego okres od ostatniej waloryzacji. Jeśli </w:t>
      </w:r>
      <w:r w:rsidR="00B40C2B" w:rsidRPr="00A555B6">
        <w:rPr>
          <w:rFonts w:ascii="Times New Roman" w:hAnsi="Times New Roman" w:cs="Times New Roman"/>
        </w:rPr>
        <w:t>–</w:t>
      </w:r>
      <w:r w:rsidRPr="00A555B6">
        <w:rPr>
          <w:rFonts w:ascii="Times New Roman" w:hAnsi="Times New Roman" w:cs="Times New Roman"/>
        </w:rPr>
        <w:t xml:space="preserve"> przykładowo </w:t>
      </w:r>
      <w:r w:rsidR="00B40C2B" w:rsidRPr="00A555B6">
        <w:rPr>
          <w:rFonts w:ascii="Times New Roman" w:hAnsi="Times New Roman" w:cs="Times New Roman"/>
        </w:rPr>
        <w:t>–</w:t>
      </w:r>
      <w:r w:rsidRPr="00A555B6">
        <w:rPr>
          <w:rFonts w:ascii="Times New Roman" w:hAnsi="Times New Roman" w:cs="Times New Roman"/>
        </w:rPr>
        <w:t xml:space="preserve"> w pierwszym roku okresu, dla którego oblicza się wskaźnik waloryzacji, na podstawie obwieszczenia Prezesa GUS średnioroczny wskaźnik cen towarów i usług konsumpcyjnych wyniesie 111,4 (co odpowiada wzrostowi cen o 11,4%), zaś w</w:t>
      </w:r>
      <w:r w:rsidR="00AE2067" w:rsidRPr="00A555B6">
        <w:rPr>
          <w:rFonts w:ascii="Times New Roman" w:hAnsi="Times New Roman" w:cs="Times New Roman"/>
        </w:rPr>
        <w:t> </w:t>
      </w:r>
      <w:r w:rsidRPr="00A555B6">
        <w:rPr>
          <w:rFonts w:ascii="Times New Roman" w:hAnsi="Times New Roman" w:cs="Times New Roman"/>
        </w:rPr>
        <w:t>kolejnym roku, na podstawie analogicznego obwieszczenia Prezesa GUS, średnioroczny wskaźnik wyniesie 114,4 (co odpowiada wzrostowi cen o</w:t>
      </w:r>
      <w:r w:rsidR="00E6226B" w:rsidRPr="00A555B6">
        <w:rPr>
          <w:rFonts w:ascii="Times New Roman" w:hAnsi="Times New Roman" w:cs="Times New Roman"/>
        </w:rPr>
        <w:t> </w:t>
      </w:r>
      <w:r w:rsidRPr="00A555B6">
        <w:rPr>
          <w:rFonts w:ascii="Times New Roman" w:hAnsi="Times New Roman" w:cs="Times New Roman"/>
        </w:rPr>
        <w:t>14,4%), to obliczenie wskaźnika skumulowanego będzie polegało na stworzeniu mnożników obejmujących rok pierwszy (mnożnik 1,114) i rok drugi (mnożnik 1,144), a następnie określenie wzrostu cen w okresie obejmującym skumulowany wskaźnik (1,114 * 1,144 = 1,274096; skumulowany wzrost cen w danym okresie uzyskujemy po odjęciu "1" od uzyskanego wyniku (=0,274096), co w</w:t>
      </w:r>
      <w:r w:rsidR="00E6226B" w:rsidRPr="00A555B6">
        <w:rPr>
          <w:rFonts w:ascii="Times New Roman" w:hAnsi="Times New Roman" w:cs="Times New Roman"/>
        </w:rPr>
        <w:t> </w:t>
      </w:r>
      <w:r w:rsidRPr="00A555B6">
        <w:rPr>
          <w:rFonts w:ascii="Times New Roman" w:hAnsi="Times New Roman" w:cs="Times New Roman"/>
        </w:rPr>
        <w:t>danym przykładzie odpowiada wzrostowi cen o 27,41% dla danego okresu, zaś skumulowany wskaźnik, o którym mowa w proponowanym przepisie, wynosi 127,4). Uznano przy tym, że skumulowany wskaźnik cen towarów i usług konsumpcyjnych ogółem powinien być obliczany dla okresu rozpoczynającego się od roku kalendarzowego poprzedzającego rok, w którym dokonano ostatniej waloryzacji, jako od roku dla którego ustalony jest podstawowy dla waloryzacji poziom cen.</w:t>
      </w:r>
    </w:p>
    <w:p w14:paraId="1F1E5CCD" w14:textId="7D04F846" w:rsidR="000D079F" w:rsidRPr="00A555B6" w:rsidRDefault="000D079F" w:rsidP="000D079F">
      <w:pPr>
        <w:spacing w:before="120" w:after="120" w:line="360" w:lineRule="auto"/>
        <w:jc w:val="both"/>
        <w:rPr>
          <w:rFonts w:ascii="Times New Roman" w:hAnsi="Times New Roman" w:cs="Times New Roman"/>
        </w:rPr>
      </w:pPr>
      <w:r w:rsidRPr="00A555B6">
        <w:rPr>
          <w:rFonts w:ascii="Times New Roman" w:hAnsi="Times New Roman" w:cs="Times New Roman"/>
        </w:rPr>
        <w:t xml:space="preserve">Proponuje się, by obwieszczenie ministra właściwego do spraw oświaty i wychowania obejmowało również wysokość kwot dofinansowania określonych w art. 122 ust. 2 i 2a ustawy z dnia 14 grudnia 2016 r. </w:t>
      </w:r>
      <w:r w:rsidR="00A17344" w:rsidRPr="00A555B6">
        <w:rPr>
          <w:rFonts w:ascii="Times New Roman" w:hAnsi="Times New Roman" w:cs="Times New Roman"/>
        </w:rPr>
        <w:t>–</w:t>
      </w:r>
      <w:r w:rsidRPr="00A555B6">
        <w:rPr>
          <w:rFonts w:ascii="Times New Roman" w:hAnsi="Times New Roman" w:cs="Times New Roman"/>
        </w:rPr>
        <w:t xml:space="preserve"> Prawo oświatowe i zwaloryzowanych zgodnie z proponowanym mechanizmem waloryzacji skumulowanym wskaźnikiem cen towarów i usług konsumpcyjnych ogółem. Dzięki temu podejściu obwieszczenie w Dzienniku Urzędowym Rzeczypospolitej Polskiej „Monitor Polski” będzie urzędową, obiektywną informacją, na podstawie której wójt (burmistrz, prezydent miasta) właściwy ze względu na </w:t>
      </w:r>
      <w:r w:rsidRPr="00A555B6">
        <w:rPr>
          <w:rFonts w:ascii="Times New Roman" w:hAnsi="Times New Roman" w:cs="Times New Roman"/>
        </w:rPr>
        <w:lastRenderedPageBreak/>
        <w:t>miejsce zamieszkania młodocianego pracownika będzie mógł, zgodnie z art. 122 ust. 6 ww. ustawy, przyznać stosowne dofinansowanie.</w:t>
      </w:r>
    </w:p>
    <w:p w14:paraId="46BE1723" w14:textId="61F49E87" w:rsidR="00876354" w:rsidRPr="00A555B6" w:rsidRDefault="00876354" w:rsidP="000D079F">
      <w:pPr>
        <w:spacing w:before="120" w:after="120" w:line="360" w:lineRule="auto"/>
        <w:jc w:val="both"/>
        <w:rPr>
          <w:rFonts w:ascii="Times New Roman" w:hAnsi="Times New Roman" w:cs="Times New Roman"/>
        </w:rPr>
      </w:pPr>
      <w:r w:rsidRPr="00A555B6">
        <w:rPr>
          <w:rFonts w:ascii="Times New Roman" w:hAnsi="Times New Roman" w:cs="Times New Roman"/>
        </w:rPr>
        <w:t>Biorąc pod uwagę przewidywane wskaźniki inflacji, do waloryzacji dojdzie już w 2025 r., przy czym nastąpiłaby ona także w przypadku gdyby obowiązywały dotychczasowe przepisy (</w:t>
      </w:r>
      <w:r w:rsidR="0026548B" w:rsidRPr="00A555B6">
        <w:rPr>
          <w:rFonts w:ascii="Times New Roman" w:hAnsi="Times New Roman" w:cs="Times New Roman"/>
        </w:rPr>
        <w:t xml:space="preserve">w 2024 r. </w:t>
      </w:r>
      <w:r w:rsidR="00171457" w:rsidRPr="00A555B6">
        <w:rPr>
          <w:rFonts w:ascii="Times New Roman" w:hAnsi="Times New Roman" w:cs="Times New Roman"/>
        </w:rPr>
        <w:t>inflacja ma</w:t>
      </w:r>
      <w:r w:rsidR="0026548B" w:rsidRPr="00A555B6">
        <w:rPr>
          <w:rFonts w:ascii="Times New Roman" w:hAnsi="Times New Roman" w:cs="Times New Roman"/>
        </w:rPr>
        <w:t xml:space="preserve"> wynieść powyżej </w:t>
      </w:r>
      <w:r w:rsidRPr="00A555B6">
        <w:rPr>
          <w:rFonts w:ascii="Times New Roman" w:hAnsi="Times New Roman" w:cs="Times New Roman"/>
        </w:rPr>
        <w:t>5% w skali r/r).</w:t>
      </w:r>
    </w:p>
    <w:p w14:paraId="7CDA30BC" w14:textId="77777777" w:rsidR="00D42CA2" w:rsidRPr="00A555B6" w:rsidRDefault="00D42CA2" w:rsidP="00D42CA2">
      <w:pPr>
        <w:spacing w:before="120" w:after="120" w:line="360" w:lineRule="auto"/>
        <w:jc w:val="both"/>
        <w:rPr>
          <w:rFonts w:ascii="Times New Roman" w:hAnsi="Times New Roman" w:cs="Times New Roman"/>
        </w:rPr>
      </w:pPr>
      <w:r w:rsidRPr="00A555B6">
        <w:rPr>
          <w:rFonts w:ascii="Times New Roman" w:hAnsi="Times New Roman" w:cs="Times New Roman"/>
        </w:rPr>
        <w:t xml:space="preserve">Zmiana brzmienia art. 122 ust. 11 związana jest z tym, że 1 stycznia 2024 r. weszło w życie rozporządzenie Komisji (UE) 2023/2831 z dnia 13 grudnia 2023 r. w sprawie stosowania art. 107 i 108 Traktatu o funkcjonowaniu Unii Europejskiej do pomocy </w:t>
      </w:r>
      <w:r w:rsidRPr="00A555B6">
        <w:rPr>
          <w:rFonts w:ascii="Times New Roman" w:hAnsi="Times New Roman" w:cs="Times New Roman"/>
          <w:i/>
          <w:iCs/>
        </w:rPr>
        <w:t>de minimis</w:t>
      </w:r>
      <w:r w:rsidRPr="00A555B6">
        <w:rPr>
          <w:rFonts w:ascii="Times New Roman" w:hAnsi="Times New Roman" w:cs="Times New Roman"/>
        </w:rPr>
        <w:t xml:space="preserve"> (rozporządzenie 2023/2831) (Dz. Urz. UE L 2023/2831 z 15.12.2023). Rozporządzenie to zastąpiło obowiązujące wcześniej rozporządzenie Komisji (UE) nr 1407/2013 z dnia 18 grudnia 2013 r. w sprawie stosowania art. 107 i 108 Traktatu o funkcjonowaniu Unii Europejskiej do pomocy </w:t>
      </w:r>
      <w:r w:rsidRPr="00A555B6">
        <w:rPr>
          <w:rFonts w:ascii="Times New Roman" w:hAnsi="Times New Roman" w:cs="Times New Roman"/>
          <w:i/>
          <w:iCs/>
        </w:rPr>
        <w:t>de minimis</w:t>
      </w:r>
      <w:r w:rsidRPr="00A555B6">
        <w:rPr>
          <w:rFonts w:ascii="Times New Roman" w:hAnsi="Times New Roman" w:cs="Times New Roman"/>
        </w:rPr>
        <w:t xml:space="preserve"> (rozporządzenie 1407/2013) (Dz. Urz. UE L 352 z 24.12.2013, s. 1). </w:t>
      </w:r>
    </w:p>
    <w:p w14:paraId="1735A71E" w14:textId="47604135" w:rsidR="006338E8" w:rsidRPr="00A555B6" w:rsidRDefault="006338E8" w:rsidP="004E6FE9">
      <w:pPr>
        <w:pStyle w:val="Styl1"/>
        <w:spacing w:before="120" w:after="120" w:line="360" w:lineRule="auto"/>
      </w:pPr>
      <w:bookmarkStart w:id="53" w:name="_Toc174689324"/>
      <w:r w:rsidRPr="00A555B6">
        <w:t>Ustawa z dnia 6 marca 2018 r. ‒ Prawo przedsiębiorców</w:t>
      </w:r>
      <w:bookmarkEnd w:id="53"/>
    </w:p>
    <w:p w14:paraId="7CFC2502" w14:textId="6ED306F8" w:rsidR="00961F72" w:rsidRPr="00A555B6" w:rsidRDefault="00961F72" w:rsidP="004E6FE9">
      <w:pPr>
        <w:pStyle w:val="Akapitzlist"/>
        <w:numPr>
          <w:ilvl w:val="0"/>
          <w:numId w:val="9"/>
        </w:numPr>
        <w:spacing w:before="120" w:after="120" w:line="360" w:lineRule="auto"/>
        <w:jc w:val="both"/>
        <w:rPr>
          <w:rFonts w:ascii="Times New Roman" w:hAnsi="Times New Roman" w:cs="Times New Roman"/>
        </w:rPr>
      </w:pPr>
      <w:r w:rsidRPr="00A555B6">
        <w:rPr>
          <w:rFonts w:ascii="Times New Roman" w:hAnsi="Times New Roman" w:cs="Times New Roman"/>
        </w:rPr>
        <w:t xml:space="preserve">Wystąpienie do osoby. </w:t>
      </w:r>
    </w:p>
    <w:p w14:paraId="7024A5B9" w14:textId="77777777" w:rsidR="00961F72" w:rsidRPr="00A555B6" w:rsidRDefault="00961F72" w:rsidP="004E6FE9">
      <w:pPr>
        <w:spacing w:before="120" w:after="120" w:line="360" w:lineRule="auto"/>
        <w:jc w:val="both"/>
        <w:rPr>
          <w:rFonts w:ascii="Times New Roman" w:hAnsi="Times New Roman" w:cs="Times New Roman"/>
        </w:rPr>
      </w:pPr>
      <w:r w:rsidRPr="00A555B6">
        <w:rPr>
          <w:rFonts w:ascii="Times New Roman" w:hAnsi="Times New Roman" w:cs="Times New Roman"/>
        </w:rPr>
        <w:t>Na gruncie obowiązujących przepisów urząd nie ma podstawy prawnej do występowania do przedsiębiorców bez wszczynania postępowania. Dla części urzędów stanowi to problem. Często otrzymują one informacje „z drugiej ręki” i, nie posiadając stanowiska zainteresowanego ani rozeznania w sprawie, niejako muszą zainicjować oficjalną procedurę administracyjną, tak by wyjaśnić jej okoliczności. W praktyce często okazuje się, że sprawa nie wymagała formalnego postępowania, o czym organ nie mógł wiedzieć zawczasu. Organy wnioskują o wprowadzenie mniej formalnych i czasochłonnych procedur komunikacji z zainteresowanymi.</w:t>
      </w:r>
    </w:p>
    <w:p w14:paraId="48F6AEE8" w14:textId="5FA0136F" w:rsidR="00961F72" w:rsidRPr="00A555B6" w:rsidRDefault="00961F72"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W odpowiedzi na powyższe, proponuje się dodanie nowego narzędzia wzorowanego na art. 49a ustawy o ochronie konkurencji i konsumentów (tzw. </w:t>
      </w:r>
      <w:r w:rsidR="00B40C2B" w:rsidRPr="00A555B6">
        <w:rPr>
          <w:rFonts w:ascii="Times New Roman" w:hAnsi="Times New Roman" w:cs="Times New Roman"/>
        </w:rPr>
        <w:t>„</w:t>
      </w:r>
      <w:r w:rsidRPr="00A555B6">
        <w:rPr>
          <w:rFonts w:ascii="Times New Roman" w:hAnsi="Times New Roman" w:cs="Times New Roman"/>
        </w:rPr>
        <w:t>wezwania miękkie</w:t>
      </w:r>
      <w:r w:rsidR="00B40C2B" w:rsidRPr="00A555B6">
        <w:rPr>
          <w:rFonts w:ascii="Times New Roman" w:hAnsi="Times New Roman" w:cs="Times New Roman"/>
        </w:rPr>
        <w:t>”</w:t>
      </w:r>
      <w:r w:rsidRPr="00A555B6">
        <w:rPr>
          <w:rFonts w:ascii="Times New Roman" w:hAnsi="Times New Roman" w:cs="Times New Roman"/>
        </w:rPr>
        <w:t>). Na jego podstawie, bez wszczynania postępowania, organ mógłby zwrócić się w zakresie swojej właściwości do przedsiębiorcy o przedstawienie stanowiska</w:t>
      </w:r>
      <w:r w:rsidR="002127E4" w:rsidRPr="00A555B6">
        <w:rPr>
          <w:rFonts w:ascii="Times New Roman" w:hAnsi="Times New Roman" w:cs="Times New Roman"/>
        </w:rPr>
        <w:t xml:space="preserve"> w sprawach związanych z wykonywaną przez niego działalnością gospodarczą</w:t>
      </w:r>
      <w:r w:rsidRPr="00A555B6">
        <w:rPr>
          <w:rFonts w:ascii="Times New Roman" w:hAnsi="Times New Roman" w:cs="Times New Roman"/>
        </w:rPr>
        <w:t>. Termin na odpowiedź powinien być nie krótszy niż 14 dni</w:t>
      </w:r>
      <w:r w:rsidR="001A7C2E" w:rsidRPr="00A555B6">
        <w:rPr>
          <w:rFonts w:ascii="Times New Roman" w:hAnsi="Times New Roman" w:cs="Times New Roman"/>
        </w:rPr>
        <w:t xml:space="preserve"> od dnia otrzymania wystąpienia</w:t>
      </w:r>
      <w:r w:rsidRPr="00A555B6">
        <w:rPr>
          <w:rFonts w:ascii="Times New Roman" w:hAnsi="Times New Roman" w:cs="Times New Roman"/>
        </w:rPr>
        <w:t>. Byłoby to narządzie całkowicie dobrowolne – organ mógłby, ale nie musiałby, z niego korzystać, zaś adresat – mógłby, ale nie musiałby, odpowiadać na wezwanie. W przypadku skorzystania z</w:t>
      </w:r>
      <w:r w:rsidR="00BD18D6" w:rsidRPr="00A555B6">
        <w:rPr>
          <w:rFonts w:ascii="Times New Roman" w:hAnsi="Times New Roman" w:cs="Times New Roman"/>
        </w:rPr>
        <w:t> </w:t>
      </w:r>
      <w:r w:rsidRPr="00A555B6">
        <w:rPr>
          <w:rFonts w:ascii="Times New Roman" w:hAnsi="Times New Roman" w:cs="Times New Roman"/>
        </w:rPr>
        <w:t>proponowanego narzędzia możliwe byłoby natomiast wyjaśnienie sprawy na samym początku, bez wszczynania postępowania. Tym samym, nowy przepis art. 28a Pp regulowałby tę kwestię. Proponuje się aby wystąpienie organu było jak najbardziej odformalizowane. Organ mógłby występować jedynie w takich sprawach, w których nie jest wymagane wszczęcie postępowania.</w:t>
      </w:r>
    </w:p>
    <w:p w14:paraId="51E847A5" w14:textId="6DF50DB1" w:rsidR="00CA4BF0" w:rsidRPr="00A555B6" w:rsidRDefault="00CA4BF0" w:rsidP="009E1176">
      <w:pPr>
        <w:pStyle w:val="Akapitzlist"/>
        <w:numPr>
          <w:ilvl w:val="0"/>
          <w:numId w:val="9"/>
        </w:numPr>
        <w:spacing w:before="120" w:after="120" w:line="360" w:lineRule="auto"/>
        <w:jc w:val="both"/>
        <w:rPr>
          <w:rFonts w:ascii="Times New Roman" w:hAnsi="Times New Roman" w:cs="Times New Roman"/>
        </w:rPr>
      </w:pPr>
      <w:r w:rsidRPr="00A555B6">
        <w:rPr>
          <w:rFonts w:ascii="Times New Roman" w:hAnsi="Times New Roman" w:cs="Times New Roman"/>
        </w:rPr>
        <w:t xml:space="preserve">Brak konieczności przedkładania </w:t>
      </w:r>
      <w:r w:rsidR="002A6303" w:rsidRPr="00A555B6">
        <w:rPr>
          <w:rFonts w:ascii="Times New Roman" w:hAnsi="Times New Roman" w:cs="Times New Roman"/>
        </w:rPr>
        <w:t xml:space="preserve">dokumentu </w:t>
      </w:r>
      <w:r w:rsidRPr="00A555B6">
        <w:rPr>
          <w:rFonts w:ascii="Times New Roman" w:hAnsi="Times New Roman" w:cs="Times New Roman"/>
        </w:rPr>
        <w:t>pełnomocnictwa lub prokury.</w:t>
      </w:r>
    </w:p>
    <w:p w14:paraId="1D264BB9" w14:textId="320D36FF" w:rsidR="00CA4BF0" w:rsidRPr="00A555B6" w:rsidRDefault="00CA4BF0" w:rsidP="004E6FE9">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Proponowany przepis art. 30a rozciąga na Krajowy Rejestr Sądowy rozwiązania znajdujące się dotychczas w ustawie z dnia 6 marca 2018 r. o Centralnej Ewidencji i Informacji o Działalności Gospodarczej i Punkcie Informacji dla Przedsiębiorcy w zakresie konieczności przedkładania przez pełnomocnika (a w szczególności prokurenta) dokumentu pełnomocnictwa lub prokury na potrzeby postępowań administracyjnych (art. 41 tejże ustawy w brzmieniu dotychczasowym). Utrzymywanie w tym zakresie rozróżnienia pomiędzy Centralną Ewidencją i Informacją o Działalności Gospodarczej a Krajowym Rejestrem Sądowym nie wydaje się znajdować aksjologicznego uzasadnienia, zwłaszcza biorąc pod uwagę zasadę domniemania prawdziwości danych zawartych w tym ostatnim (zob. art. 17 ustawy z dnia 20 sierpnia 1997 r. o Krajowym Rejestrze Sądowym). Propozycja stanowi też manifestację innych pro-obywatelskich i pro-przedsiębiorczych reguł administracji takich jak konieczność współdziałania organów czy korzystanie z danych i informacji, do których mają one już dostęp, bez konieczności angażowania zainteresowanych.</w:t>
      </w:r>
    </w:p>
    <w:p w14:paraId="5F80D286" w14:textId="77777777" w:rsidR="00961F72" w:rsidRPr="00A555B6" w:rsidRDefault="00961F72"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 xml:space="preserve">Ograniczenie w stosowaniu pieczątek i dołączania wydruków KRS i CEIDG. </w:t>
      </w:r>
    </w:p>
    <w:p w14:paraId="6C194A20" w14:textId="64F00E77" w:rsidR="00961F72" w:rsidRPr="00A555B6" w:rsidRDefault="00961F72" w:rsidP="004E6FE9">
      <w:pPr>
        <w:spacing w:before="120" w:after="120" w:line="360" w:lineRule="auto"/>
        <w:jc w:val="both"/>
        <w:rPr>
          <w:rFonts w:ascii="Times New Roman" w:hAnsi="Times New Roman" w:cs="Times New Roman"/>
        </w:rPr>
      </w:pPr>
      <w:r w:rsidRPr="00A555B6">
        <w:rPr>
          <w:rFonts w:ascii="Times New Roman" w:hAnsi="Times New Roman" w:cs="Times New Roman"/>
        </w:rPr>
        <w:t>Obecnie praktycznie nie obowiązują przepisy wymagające od przedsiębiorców posiadania i posługiwania się pieczątkami zarówno w kontaktach biznesowych, jak i w kontaktach z</w:t>
      </w:r>
      <w:r w:rsidR="00BD18D6" w:rsidRPr="00A555B6">
        <w:rPr>
          <w:rFonts w:ascii="Times New Roman" w:hAnsi="Times New Roman" w:cs="Times New Roman"/>
        </w:rPr>
        <w:t> </w:t>
      </w:r>
      <w:r w:rsidRPr="00A555B6">
        <w:rPr>
          <w:rFonts w:ascii="Times New Roman" w:hAnsi="Times New Roman" w:cs="Times New Roman"/>
        </w:rPr>
        <w:t>administracją publiczną. Odchodząc od posługiwania się pieczątkami Rada Ministrów przyjęła w</w:t>
      </w:r>
      <w:r w:rsidR="00BD18D6" w:rsidRPr="00A555B6">
        <w:rPr>
          <w:rFonts w:ascii="Times New Roman" w:hAnsi="Times New Roman" w:cs="Times New Roman"/>
        </w:rPr>
        <w:t> </w:t>
      </w:r>
      <w:r w:rsidRPr="00A555B6">
        <w:rPr>
          <w:rFonts w:ascii="Times New Roman" w:hAnsi="Times New Roman" w:cs="Times New Roman"/>
        </w:rPr>
        <w:t xml:space="preserve">2018 r. dokument pod nazwą „Informacja dotycząca deregulacji obowiązku stosowania pieczęci/pieczątek przez obywateli i przedsiębiorców”. Ministrowie zostali zobowiązani do podjęcia działań zmierzających do zmiany pozostających w zakresie ich właściwości aktów prawnych przewidujących obowiązek stosowania pieczęci lub pieczątek dla uproszczenia procedur. Od tego czasu przyjęto wiele aktów prawa znoszących obowiązek stosowania pieczęci/pieczątek nagłówkowych czy personalnych wymaganych wcześniej przy okazji różnych postępowań administracyjnych. Mogą jednak zdarzyć się sytuacje, że organ domaga się wykorzystania przez przedsiębiorcę pieczątki/pieczęci, pomimo braku formalnej podstawy. </w:t>
      </w:r>
    </w:p>
    <w:p w14:paraId="213D9999" w14:textId="77777777" w:rsidR="00961F72" w:rsidRPr="00A555B6" w:rsidRDefault="00961F72"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Kolejnym krokiem w procesie deregulacji stosowania pieczątek/pieczęci jest zatem propozycja wprowadzenia art. 31 ust. 2 Pp. W projektowanym przepisie wskazuje się, że </w:t>
      </w:r>
      <w:bookmarkStart w:id="54" w:name="_Hlk139360458"/>
      <w:r w:rsidRPr="00A555B6">
        <w:rPr>
          <w:rFonts w:ascii="Times New Roman" w:hAnsi="Times New Roman" w:cs="Times New Roman"/>
        </w:rPr>
        <w:t>brak pieczątki nie stanowi braku formalnego pisma lub wniosku ani nie jest powodem, aby stwierdzić, że są one niekompletne</w:t>
      </w:r>
      <w:bookmarkEnd w:id="54"/>
      <w:r w:rsidRPr="00A555B6">
        <w:rPr>
          <w:rFonts w:ascii="Times New Roman" w:hAnsi="Times New Roman" w:cs="Times New Roman"/>
        </w:rPr>
        <w:t xml:space="preserve">. Jednocześnie proponuje się wyjątek od tej zasady, jeżeli przepisy odrębne nakazują stosowanie pieczątki. Oznacza to, że organ administracji nie będzie mógł wymagać i żądać od przedsiębiorcy posługiwania się pieczątką, chyba że istnieje szczególny przepis prawa powszechnie obowiązującego, który wprowadza taki wymóg w konkretnej sprawie. </w:t>
      </w:r>
    </w:p>
    <w:p w14:paraId="533A52AE" w14:textId="77777777" w:rsidR="00961F72" w:rsidRPr="00A555B6" w:rsidRDefault="00961F72" w:rsidP="004E6FE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 tożsamą sytuacją mamy do czynienia w przypadku braku dołączonego do pisma lub wniosku wydruku komputerowego aktualnych i pełnych informacji o podmiotach wpisanych do Krajowego Rejestru Sądowego oraz zaświadczenia o wpisie do Centralnej Ewidencji i Informacji o Działalności Gospodarczej (w praktyce: wydruku z systemu teleinformatycznego Centralnej Ewidencji i Informacji </w:t>
      </w:r>
      <w:r w:rsidRPr="00A555B6">
        <w:rPr>
          <w:rFonts w:ascii="Times New Roman" w:hAnsi="Times New Roman" w:cs="Times New Roman"/>
        </w:rPr>
        <w:lastRenderedPageBreak/>
        <w:t>o Działalności Gospodarczej). Jasne określenie w przepisach prawa, że ich brak nie stanowi braku formalnego spowoduje, że organy administracji publicznej nie będą mogły wymagać od przedsiębiorcy dołączenia takiego wydruku do pisma lub wniosku (chyba że przepisy szczególne będą taki wymóg stawiały w konkretnej sprawie). Ponadto, przedmiotowa zmiana wpłynie pozytywnie na ograniczenie objętości akt sprawy przechowywanych w formie papierowej oraz przyczyni się do ochrony środowiska naturalnego z uwagi na zmniejszenie ilości zużytego papieru do druku.</w:t>
      </w:r>
    </w:p>
    <w:p w14:paraId="651151A9" w14:textId="11BAD22F" w:rsidR="00CA5E6E" w:rsidRPr="00A555B6" w:rsidRDefault="00106DC1"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A</w:t>
      </w:r>
      <w:r w:rsidR="00CA5E6E" w:rsidRPr="00A555B6">
        <w:rPr>
          <w:rFonts w:ascii="Times New Roman" w:hAnsi="Times New Roman" w:cs="Times New Roman"/>
        </w:rPr>
        <w:t>nalizy prawdopodobieństwa naruszenia prawa</w:t>
      </w:r>
      <w:r w:rsidRPr="00A555B6">
        <w:rPr>
          <w:rFonts w:ascii="Times New Roman" w:hAnsi="Times New Roman" w:cs="Times New Roman"/>
        </w:rPr>
        <w:t xml:space="preserve"> poprzedzające kontrolę planową</w:t>
      </w:r>
      <w:r w:rsidR="00CA5E6E" w:rsidRPr="00A555B6">
        <w:rPr>
          <w:rFonts w:ascii="Times New Roman" w:hAnsi="Times New Roman" w:cs="Times New Roman"/>
        </w:rPr>
        <w:t>.</w:t>
      </w:r>
    </w:p>
    <w:p w14:paraId="4B142B55" w14:textId="77777777"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Zmiany w zakresie art. 47 Pp związane są z wprowadzeniem obowiązku publikacji przez organ kontroli okresowej analizy prawdopodobieństwa naruszenia prawa w ramach wykonywania działalności gospodarczej. Powyższy obowiązek nie znajdzie zastosowania do kontroli działalności gospodarczej podlegającej koncesjonowaniu, a także do kontroli i analiz będących we właściwości organów Krajowej Administracji Skarbowej.</w:t>
      </w:r>
    </w:p>
    <w:p w14:paraId="5FCF40A8" w14:textId="7103BCEA"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Dzięki tej zmianie podmioty, które podlegają kontroli, będą mogły zapoznać się ze sposobem realizacji przez organ kontroli wymogu przeprowadzania okresowych analiz, służącego lepszemu przygotowaniu kontroli i wytypowaniu do kontroli podmiotów, u których ryzyko naruszenia przepisów jest największe. Do tej pory przepisy art. 47 zakładały jedynie udostępnianie przez organ kontroli ogólnego schematu procedur kontroli, które wynikają z przepisów powszechnie obowiązującego prawa. Schematy te nie dają wystarczających informacji o praktyce działania organów kontroli i zasadach typowania do kontroli.</w:t>
      </w:r>
    </w:p>
    <w:p w14:paraId="2CF052A3" w14:textId="7617CFEE"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Decyzja organu kontroli o podjęciu kontroli powinna być podjęta na podstawie jasno określonych, obiektywnych przesłanek i w sposób bezstronny. Dzięki przedmiotowej zmianie przedsiębiorcy będą mieli większą pewność, że organy kontroli prawidłowo i systematycznie realizują obowiązek związany z przygotowaniem okresowej analizy oraz są w tym zakresie obiektywne i skrupulatne. Każdy czytelnik opublikowanej analizy będzie mógł też ocenić, czy organy prawidłowo zidentyfikowały wszystkie obszary ryzyka naruszenia prawa oraz czy obszary, w których ryzyko jest najwyższe, są kontrolowane wystarczająco często. Umożliwi to ciągłe doskonalenie publikowanych analiz i sukcesywne eliminowanie ewentualnych ich braków, co może przyczynić się z czasem do zwiększenia skuteczności kontroli i lepszego typowania do kontroli. Analizy prawdopodobieństwa naruszenia prawa opierają się w szczególności na wnioskach i doświadczeniach z przeprowadzonych w przeszłości kontroli, mogą więc przedsiębiorcom w pewnym stopniu wskazywać na skalę zjawiska nieuczciwej konkurencji w</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poszczególnych obszarach działalności gospodarczej. Jednocześnie ze względu na ograniczony zakres publikowanych informacji (z uwagi na ochronę tajemnic prawnie chronionych, prywatność osoby fizycznej lub tajemnicę przedsiębiorcy), ich charakter (dotyczą obszarów podmiotowych i</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przedmiotowych, a nie szczegółowego opisu indywidualnych przypadków) oraz termin publikacji (publikowane będą analizy już zdezaktualizowane, po 3 miesiącach od </w:t>
      </w:r>
      <w:r w:rsidR="004B65F9" w:rsidRPr="00A555B6">
        <w:rPr>
          <w:rFonts w:ascii="Times New Roman" w:hAnsi="Times New Roman" w:cs="Times New Roman"/>
          <w:kern w:val="0"/>
          <w14:ligatures w14:val="none"/>
        </w:rPr>
        <w:t xml:space="preserve">przyjęcia kolejnej analizy, </w:t>
      </w:r>
      <w:r w:rsidR="004B65F9" w:rsidRPr="00A555B6">
        <w:rPr>
          <w:rFonts w:ascii="Times New Roman" w:hAnsi="Times New Roman" w:cs="Times New Roman"/>
          <w:kern w:val="0"/>
          <w14:ligatures w14:val="none"/>
        </w:rPr>
        <w:lastRenderedPageBreak/>
        <w:t>zastępującej nieaktualną już analizę podlegającą udostępnieniu</w:t>
      </w:r>
      <w:r w:rsidRPr="00A555B6">
        <w:rPr>
          <w:rFonts w:ascii="Times New Roman" w:hAnsi="Times New Roman" w:cs="Times New Roman"/>
          <w:kern w:val="0"/>
          <w14:ligatures w14:val="none"/>
        </w:rPr>
        <w:t xml:space="preserve">), ryzyko wykorzystania zawartych w analizach informacji do niewłaściwych celów przez nieuczciwych przedsiębiorców należy ocenić jako niewielkie. </w:t>
      </w:r>
    </w:p>
    <w:p w14:paraId="1A9EF662" w14:textId="7A2CB646"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Publikacja analiz prawdopodobieństwa naruszenia prawa powinna również ułatwić obywatelom, w tym zwłaszcza kontrolowanym, zapoznanie się z wynikami działalności kontrolnej organów kontroli. Obecnie niektóre organy kontroli nie mają obowiązku sporządzania sprawozdania ze swojej działalności kontrolnej, w tym z realizacji założonych celów kontroli i udostępniania go na swojej stronie internetowej. Z kolei analiza prawdopodobieństwa naruszenia prawa ze swej istoty uwzględnia doświadczenia organu z dotychczas przeprowadzonych kontroli oraz jej wyniki, w tym np. wnioski o</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sektorach, w których występuje szczególnie wysokie prawdopodobieństwo naruszeń przepisów prawa. Zmiana powinna ponadto ułatwić z czasem wypracowanie wspólnego dla organów kontroli podejścia do oceny ryzyka i zarządzania ryzykiem, niezależnie od kontrolowanego obszaru, a przynajmniej doprowadzić do rozpowszechnienia dobrych praktyk w tym zakresie.</w:t>
      </w:r>
    </w:p>
    <w:p w14:paraId="5F5EC5CC" w14:textId="279214BD"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Sposób przeprowadzenia analizy, jak dotychczas, określi organ kontroli lub organ nadrzędny. Oprócz obszarów, w których ryzyko naruszenia przepisów jest największe, analiza będzie zawierała nowy element: zasady przypisania podmiotów kontrolowanych do jednej z trzech kategorii ryzyka. Zidentyfikowane ryzyko będzie niskie, średnie albo wysokie. Konieczność zaszeregowania kontrolowanych do ww. grup (kategorii) ryzyka wynika z zamiaru określenia dla każdej grupy (kategorii) maksymalnej częstotliwości przeprowadzania kontroli planowych, a co za tym idzie urzeczywistnienia i skonkretyzowania zasady, która nakazuje przeprowadzanie kontroli przede wszystkim w obszarach, w których ryzyko naruszenia przepisów jest największe. W konsekwencji podmioty, które w ocenie organu kontroli nie stwarzają wysokiego ryzyka, powinny być kontrolowane znacznie rzadziej i powinny im przysługiwać konkretne i wymierne gwarancje zapewniające mniejszą częstotliwość przeprowadzania kontroli. Postulat ten znajdzie odzwierciedlenie w szczególności w</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ograniczeniach zawartych w dodawanym art. 55a Pp. W celu jednoznacznego przesądzenia, że proponowane reguły dot. kategorii ryzyka oraz ograniczenia częstotliwości kontroli dotyczą wyłącznie kontroli planowych, przewidziano wprowadzenie definicji pojęcia kontroli planowej w art. 47 ust. 1 Pp.</w:t>
      </w:r>
    </w:p>
    <w:p w14:paraId="51D705CA" w14:textId="62E673E2"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 xml:space="preserve">Obowiązek udostępnienia okresowej analizy powinien zostać zrealizowany w terminie 3 miesięcy od dnia </w:t>
      </w:r>
      <w:r w:rsidR="004B65F9" w:rsidRPr="00A555B6">
        <w:rPr>
          <w:rFonts w:ascii="Times New Roman" w:hAnsi="Times New Roman" w:cs="Times New Roman"/>
          <w:kern w:val="0"/>
          <w14:ligatures w14:val="none"/>
        </w:rPr>
        <w:t>przyjęcia kolejnej analizy, zastępującej zdezaktualizowaną, poprzednią analizę, podlegającą udostępnieniu</w:t>
      </w:r>
      <w:r w:rsidRPr="00A555B6">
        <w:rPr>
          <w:rFonts w:ascii="Times New Roman" w:hAnsi="Times New Roman" w:cs="Times New Roman"/>
          <w:kern w:val="0"/>
          <w14:ligatures w14:val="none"/>
        </w:rPr>
        <w:t xml:space="preserve">. Przykładowo, jeśli w danym organie kontroli powstała roczna analiza prawdopodobieństwa naruszenia prawa w ramach wykonywania działalności gospodarczej, </w:t>
      </w:r>
      <w:r w:rsidR="004B65F9" w:rsidRPr="00A555B6">
        <w:rPr>
          <w:rFonts w:ascii="Times New Roman" w:hAnsi="Times New Roman" w:cs="Times New Roman"/>
          <w:kern w:val="0"/>
          <w14:ligatures w14:val="none"/>
        </w:rPr>
        <w:t xml:space="preserve">na </w:t>
      </w:r>
      <w:r w:rsidRPr="00A555B6">
        <w:rPr>
          <w:rFonts w:ascii="Times New Roman" w:hAnsi="Times New Roman" w:cs="Times New Roman"/>
          <w:kern w:val="0"/>
          <w14:ligatures w14:val="none"/>
        </w:rPr>
        <w:t xml:space="preserve">okres od 1 stycznia 2024 r. do 31 grudnia 2024 r., </w:t>
      </w:r>
      <w:r w:rsidR="004B65F9" w:rsidRPr="00A555B6">
        <w:rPr>
          <w:rFonts w:ascii="Times New Roman" w:hAnsi="Times New Roman" w:cs="Times New Roman"/>
          <w:kern w:val="0"/>
          <w14:ligatures w14:val="none"/>
        </w:rPr>
        <w:t xml:space="preserve">a 2 stycznia 2025 r. zostanie przyjęta kolejna roczna analiza ryzyka, wówczas trzymiesięczny termin na udostępnienie okresowej analizy z 2024 r. rozpoczyna się z dniem 2 stycznia 2025 r. </w:t>
      </w:r>
      <w:r w:rsidRPr="00A555B6">
        <w:rPr>
          <w:rFonts w:ascii="Times New Roman" w:hAnsi="Times New Roman" w:cs="Times New Roman"/>
          <w:kern w:val="0"/>
          <w14:ligatures w14:val="none"/>
        </w:rPr>
        <w:t xml:space="preserve">Udostępnienie okresowej analizy nastąpi zatem już po jej dezaktualizacji i pozostanie bez wpływu na zakończone już kontrole, a zatem nie wpłynie negatywnie na realizację zadań przez organ kontroli. Dla Zakładu Ubezpieczeń Społecznych przewidziano dłuższy, sześciomiesięczny </w:t>
      </w:r>
      <w:r w:rsidRPr="00A555B6">
        <w:rPr>
          <w:rFonts w:ascii="Times New Roman" w:hAnsi="Times New Roman" w:cs="Times New Roman"/>
          <w:kern w:val="0"/>
          <w14:ligatures w14:val="none"/>
        </w:rPr>
        <w:lastRenderedPageBreak/>
        <w:t>termin na realizację obowiązku publikacji analizy. Ma to na celu zapewnienie jednoczesnej realizacji innych obowiązków sprawozdawczych Zakładu, realizowanych również w</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terminie sześciomiesięcznym.</w:t>
      </w:r>
    </w:p>
    <w:p w14:paraId="4105F8B0" w14:textId="05A14B2C"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Podkreślenia wymaga, że udostępniona okresowa analiza będzie mieć charakter informacyjno–poglądowy. Nie będzie mogła stanowić przesłanki do podważania przez przedsiębiorców np. zasadności kontroli i inspekcji, podważania ustaleń związanych z kontrolą bądź inspekcją czy też podważenia przypisania przedsiębiorcy do nieodpowiedniej kategorii ryzyka. Należy zaznaczyć, że ewentualne naruszenie przepisów art. 47 Pp dot. okresowych analiz nie może być kwestionowane przez przedsiębiorcę w trybie wniesienia sprzeciwu, o którym mowa w art. 59 Pp. Sprzeciw w tym trybie może dotyczyć przeprowadzenia kontroli planowej z naruszeniem limitu określonego w art. 55a Pp (który został dodany w art. 59 ust. 1 Pp), natomiast nie może dotyczyć realizacji art. 47 ust. 1 Pp i</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przypisania przedsiębiorcy do niewłaściwej, jego zdaniem, kategorii ryzyka. Organ kontroli ma swobodę w zakresie określenia zasad przypisania przedsiębiorców do jednej z kategorii ryzyka.</w:t>
      </w:r>
    </w:p>
    <w:p w14:paraId="1D225DC4" w14:textId="77777777" w:rsidR="00106DC1" w:rsidRPr="00A555B6" w:rsidRDefault="00106DC1" w:rsidP="009E1176">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Z udostępnianego okresowego planu kontroli oraz okresowej analizy zostaną wyłączone informacje niejawne lub inne informacje stanowiące tajemnicę prawnie chronioną. Zakres udostępnianych informacji będzie podlegał ograniczeniu również ze względu na prywatność osoby fizycznej lub tajemnicę przedsiębiorcy.</w:t>
      </w:r>
    </w:p>
    <w:p w14:paraId="732E6739" w14:textId="77777777" w:rsidR="00CA5E6E" w:rsidRPr="00A555B6" w:rsidRDefault="00CA5E6E"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 xml:space="preserve">Nowe elementy zawiadomienia o zamiarze wszczęcia kontroli. </w:t>
      </w:r>
    </w:p>
    <w:p w14:paraId="563AD923" w14:textId="380BF28F" w:rsidR="00CA5E6E" w:rsidRPr="00A555B6" w:rsidRDefault="00CA5E6E" w:rsidP="00CA5E6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 xml:space="preserve">Obecne brzmienie art. 48 Pp nie zawiera regulacji, z których wynikałby wprost obowiązek określenia przez organ dokumentów i informacji, których przedstawienia może żądać </w:t>
      </w:r>
      <w:r w:rsidR="00106DC1" w:rsidRPr="00A555B6">
        <w:rPr>
          <w:rFonts w:ascii="Times New Roman" w:hAnsi="Times New Roman" w:cs="Times New Roman"/>
          <w:kern w:val="0"/>
          <w14:ligatures w14:val="none"/>
        </w:rPr>
        <w:t xml:space="preserve">organ </w:t>
      </w:r>
      <w:r w:rsidRPr="00A555B6">
        <w:rPr>
          <w:rFonts w:ascii="Times New Roman" w:hAnsi="Times New Roman" w:cs="Times New Roman"/>
          <w:kern w:val="0"/>
          <w14:ligatures w14:val="none"/>
        </w:rPr>
        <w:t>w trakcie kontroli. Zaproponowana zmiana ma na celu ułatwienie przedsiębiorcy przygotowania się do kontroli poprzez uprzednie przedstawienie mu, najpóźniej wraz z doręczeniem zawiadomienia, wstępnej listy dokumentów i informacji związanych z zakresem przedmiotowym kontroli, których udostępnienia oczekuje organ kontroli w trakcie kontroli. Dzięki temu kontrola powinna przebiegać szybciej i</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sprawniej, co stanowić będzie korzyść zarówno dla samego przedsiębiorcy, jak i kontrolującego. Warto jednocześnie zaznaczyć, że wskazana przez organ lista nie będzie miała charakteru zamkniętego ani wyczerpującego. W trakcie prowadzonej kontroli organ będzie mógł zażądać od przedsiębiorcy przedstawienia dokumentów i informacji innych niż te, które wymienił w</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zawiadomieniu o przeprowadzeniu kontroli, w szczególności jeżeli jej przebieg wskazywać będzie na taką konieczność. O takim obowiązku przedsiębiorca powinien zostać poinformowany w</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upoważnieniu do przeprowadzenia kontroli (zgodnie z art. 49 ust. 7 pkt 9 Pp zawiera pouczenie o</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prawach i obowiązkach przedsiębiorcy, w tym wynikających z dodawanego ust. 12).</w:t>
      </w:r>
      <w:r w:rsidR="00106DC1" w:rsidRPr="00A555B6">
        <w:rPr>
          <w:rFonts w:ascii="Times New Roman" w:hAnsi="Times New Roman" w:cs="Times New Roman"/>
          <w:kern w:val="0"/>
          <w14:ligatures w14:val="none"/>
        </w:rPr>
        <w:t xml:space="preserve"> Żądanie dodatkowych dokumentów i</w:t>
      </w:r>
      <w:r w:rsidR="00E6226B" w:rsidRPr="00A555B6">
        <w:rPr>
          <w:rFonts w:ascii="Times New Roman" w:hAnsi="Times New Roman" w:cs="Times New Roman"/>
          <w:kern w:val="0"/>
          <w14:ligatures w14:val="none"/>
        </w:rPr>
        <w:t> </w:t>
      </w:r>
      <w:r w:rsidR="00106DC1" w:rsidRPr="00A555B6">
        <w:rPr>
          <w:rFonts w:ascii="Times New Roman" w:hAnsi="Times New Roman" w:cs="Times New Roman"/>
          <w:kern w:val="0"/>
          <w14:ligatures w14:val="none"/>
        </w:rPr>
        <w:t xml:space="preserve">informacji nie będzie wymagało ze strony organu kontroli uzasadnienia. Przedsiębiorca nie będzie mógł się powołać w sprzeciwie, o którym mowa w art. 59 Pp, na naruszenie przepisu art. 48 ust. 12. Należy jednak podkreślić, że organ kontroli jest związany art. 52 Pp i w związku z tym powinien zawsze </w:t>
      </w:r>
      <w:r w:rsidR="00106DC1" w:rsidRPr="00A555B6">
        <w:rPr>
          <w:rFonts w:ascii="Times New Roman" w:hAnsi="Times New Roman" w:cs="Times New Roman"/>
          <w:kern w:val="0"/>
          <w14:ligatures w14:val="none"/>
        </w:rPr>
        <w:lastRenderedPageBreak/>
        <w:t>wykonywać czynności kontrolne w sposób sprawny i możliwie niezakłócający funkcjonowania przedsiębiorcy. Organ kontroli powinien więc starannie się przygotować do określenia w</w:t>
      </w:r>
      <w:r w:rsidR="00E6226B" w:rsidRPr="00A555B6">
        <w:rPr>
          <w:rFonts w:ascii="Times New Roman" w:hAnsi="Times New Roman" w:cs="Times New Roman"/>
          <w:kern w:val="0"/>
          <w14:ligatures w14:val="none"/>
        </w:rPr>
        <w:t> </w:t>
      </w:r>
      <w:r w:rsidR="00106DC1" w:rsidRPr="00A555B6">
        <w:rPr>
          <w:rFonts w:ascii="Times New Roman" w:hAnsi="Times New Roman" w:cs="Times New Roman"/>
          <w:kern w:val="0"/>
          <w14:ligatures w14:val="none"/>
        </w:rPr>
        <w:t>zawiadomieniu możliwie jak najbardziej kompletnej listy potrzebnych do przeprowadzenia kontroli dokumentów i informacji, aby niepotrzebnie jej nie uzupełniać i w ten sposób nie zaskakiwać kontrolowanego i nie przedłużać bez potrzeby kontroli.</w:t>
      </w:r>
    </w:p>
    <w:p w14:paraId="2AA8EF0E" w14:textId="358B5BC1" w:rsidR="00CA5E6E" w:rsidRPr="00A555B6" w:rsidRDefault="00CA5E6E" w:rsidP="00CA5E6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 xml:space="preserve">Oprócz tego proponuje się uzupełnienie treści zawiadomienia o zamiarze wszczęcia kontroli </w:t>
      </w:r>
      <w:r w:rsidR="00106DC1" w:rsidRPr="00A555B6">
        <w:rPr>
          <w:rFonts w:ascii="Times New Roman" w:hAnsi="Times New Roman" w:cs="Times New Roman"/>
          <w:kern w:val="0"/>
          <w14:ligatures w14:val="none"/>
        </w:rPr>
        <w:t xml:space="preserve">planowej </w:t>
      </w:r>
      <w:r w:rsidRPr="00A555B6">
        <w:rPr>
          <w:rFonts w:ascii="Times New Roman" w:hAnsi="Times New Roman" w:cs="Times New Roman"/>
          <w:kern w:val="0"/>
          <w14:ligatures w14:val="none"/>
        </w:rPr>
        <w:t>o</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informację na temat kategorii ryzyka, do której kontrolowany został przypisany na podstawie analiz poprzedzających wszczęcie kontroli. Celem zmiany jest nie tyle zwiększenie waloru informacyjnego zawiadomienia, co raczej ułatwienie kontrolowanemu wykazania, że wskutek podjęcia kontroli zostały przekroczone ustawowe ograniczenia częstotliwości przeprowadzanych kontroli </w:t>
      </w:r>
      <w:r w:rsidR="00106DC1" w:rsidRPr="00A555B6">
        <w:rPr>
          <w:rFonts w:ascii="Times New Roman" w:hAnsi="Times New Roman" w:cs="Times New Roman"/>
          <w:kern w:val="0"/>
          <w14:ligatures w14:val="none"/>
        </w:rPr>
        <w:t xml:space="preserve">planowych </w:t>
      </w:r>
      <w:r w:rsidRPr="00A555B6">
        <w:rPr>
          <w:rFonts w:ascii="Times New Roman" w:hAnsi="Times New Roman" w:cs="Times New Roman"/>
          <w:kern w:val="0"/>
          <w14:ligatures w14:val="none"/>
        </w:rPr>
        <w:t>właściwe dla grupy (kategorii) ryzyka, do której został przypisany ten kontrolowany. Kontrolowany musi znać swoją kategorię ryzyka, jeśli ma mieć możliwość pilnowania przestrzegania nowych limitów kontroli</w:t>
      </w:r>
      <w:r w:rsidR="00106DC1" w:rsidRPr="00A555B6">
        <w:rPr>
          <w:rFonts w:ascii="Times New Roman" w:hAnsi="Times New Roman" w:cs="Times New Roman"/>
          <w:kern w:val="0"/>
          <w14:ligatures w14:val="none"/>
        </w:rPr>
        <w:t xml:space="preserve"> planowych</w:t>
      </w:r>
      <w:r w:rsidRPr="00A555B6">
        <w:rPr>
          <w:rFonts w:ascii="Times New Roman" w:hAnsi="Times New Roman" w:cs="Times New Roman"/>
          <w:kern w:val="0"/>
          <w14:ligatures w14:val="none"/>
        </w:rPr>
        <w:t>.</w:t>
      </w:r>
      <w:r w:rsidR="00106DC1" w:rsidRPr="00A555B6">
        <w:rPr>
          <w:rFonts w:ascii="Times New Roman" w:hAnsi="Times New Roman" w:cs="Times New Roman"/>
          <w:kern w:val="0"/>
          <w14:ligatures w14:val="none"/>
        </w:rPr>
        <w:t xml:space="preserve"> </w:t>
      </w:r>
    </w:p>
    <w:p w14:paraId="1C609240" w14:textId="3F77328C" w:rsidR="00CA5E6E" w:rsidRPr="00A555B6" w:rsidRDefault="00577CFE"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Skrócenie czasu trwania kontroli u mikroprzedsiębiorców.</w:t>
      </w:r>
    </w:p>
    <w:p w14:paraId="3DD71FEB" w14:textId="1A683C0C" w:rsidR="00577CFE" w:rsidRPr="00A555B6" w:rsidRDefault="00577CFE" w:rsidP="00577CF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Zgodnie z art. 7 ust. 1 Pp, za mikroprzedsiębiorcę uznaje się przedsiębiorcę, który w co najmniej jednym roku z dwóch ostatnich lat obrotowych spełniał łącznie następujące warunki:</w:t>
      </w:r>
    </w:p>
    <w:p w14:paraId="00F060E1" w14:textId="77777777" w:rsidR="00577CFE" w:rsidRPr="00A555B6" w:rsidRDefault="00577CFE" w:rsidP="00577CFE">
      <w:pPr>
        <w:pStyle w:val="Akapitzlist"/>
        <w:numPr>
          <w:ilvl w:val="0"/>
          <w:numId w:val="22"/>
        </w:num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zatrudniał średniorocznie mniej niż 10 pracowników oraz</w:t>
      </w:r>
    </w:p>
    <w:p w14:paraId="20C1376F" w14:textId="6F47EEA4" w:rsidR="00577CFE" w:rsidRPr="00A555B6" w:rsidRDefault="00577CFE" w:rsidP="00577CFE">
      <w:pPr>
        <w:pStyle w:val="Akapitzlist"/>
        <w:numPr>
          <w:ilvl w:val="0"/>
          <w:numId w:val="22"/>
        </w:num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osiągnął roczny obrót netto ze sprzedaży towarów, wyrobów i usług oraz z operacji finansowych nieprzekraczający równowartości w złotych 2 milionów euro, lub sumy aktywów jego bilansu sporządzonego na koniec jednego z tych lat nie przekroczyły równowartości w</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złotych 2</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milionów euro.</w:t>
      </w:r>
    </w:p>
    <w:p w14:paraId="2F7870CC" w14:textId="66451576" w:rsidR="00577CFE" w:rsidRPr="00A555B6" w:rsidRDefault="00577CFE" w:rsidP="00577CF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 xml:space="preserve">W obecnym stanie prawnym, z art. 55 ust. 1 pkt 1 Pp, wynika, że czas trwania wszystkich kontroli organu kontroli u mikroprzedsiębiorcy nie może przekraczać 12 dni roboczych w jednym roku kalendarzowym. </w:t>
      </w:r>
    </w:p>
    <w:p w14:paraId="3A8C0E6D" w14:textId="149A1473" w:rsidR="00577CFE" w:rsidRPr="00A555B6" w:rsidRDefault="00577CFE" w:rsidP="00577CF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Na gruncie praktyki podnoszono, że mimo brzmienia wskazanego przepisu (oraz przepisów, które zostały zastąpione przez Pp) kontrole dotyczące mikroprzedsiębiorców w rzeczywistości trwają dłużej. Organy kontroli uznawały, że czas kontroli należy odnieść do kontroli w ścisłym rozumieniu tego pojęcia, więc do tych dni, w których czynności organów kontroli przeprowadzane były u</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przedsiębiorcy, w jego siedzibie lub miejscu prowadzenia działalności. Taki pogląd powstał na gruncie specyficznej wykładni celowościowej i systemowej dominującej pod rządami art. 83 ust. 1 (uchylonej) ustawy z dnia 2 lipca 2004 r. o swobodzie działalności gospodarczej (usdg) i wspierany był orzecznictwem sądów administracyjnych dotyczącym tego przepisu (wyroki NSA z 7 czerwca 2017 r., sygn. akt II FSK 1418/15, z 6 września 2018 r., sygn. akt II FSK 384/18, wyrok WSA w</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Gliwicach z 12 marca 2018 r., sygn. akt II SA/Gl 948/17). Przy takim podejściu do kontroli mikroprzedsiębiorców nie zaliczano czynności, które odbywały się w innymi miejscu, niż siedziba przedsiębiorcy lub miejscu prowadzenia </w:t>
      </w:r>
      <w:r w:rsidRPr="00A555B6">
        <w:rPr>
          <w:rFonts w:ascii="Times New Roman" w:hAnsi="Times New Roman" w:cs="Times New Roman"/>
          <w:kern w:val="0"/>
          <w14:ligatures w14:val="none"/>
        </w:rPr>
        <w:lastRenderedPageBreak/>
        <w:t>jego działalności. W wyroku NSA z 19 lutego 2020 r., sygn. akt I FSK 2243/19, Naczelny Sąd Administracyjny stwierdził jednak, że takie podejście prowadzi do skutku przeciwnego od zamierzonego: zamiast chronić przedsiębiorcę przed uciążliwościami spowodowanymi przez organ kontroli dla bieżącej działalności gospodarczej, wskazany sposób interpretacji prowadzi w</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rzeczywistości do znacznego wydłużenia kontroli działalności przedsiębiorców. Na gruncie rozstrzyganej sprawy NSA stwierdził, że </w:t>
      </w:r>
      <w:r w:rsidR="008170ED" w:rsidRPr="00A555B6">
        <w:rPr>
          <w:rFonts w:ascii="Times New Roman" w:hAnsi="Times New Roman" w:cs="Times New Roman"/>
          <w:kern w:val="0"/>
          <w14:ligatures w14:val="none"/>
        </w:rPr>
        <w:t>„</w:t>
      </w:r>
      <w:r w:rsidRPr="00A555B6">
        <w:rPr>
          <w:rFonts w:ascii="Times New Roman" w:hAnsi="Times New Roman" w:cs="Times New Roman"/>
          <w:kern w:val="0"/>
          <w14:ligatures w14:val="none"/>
        </w:rPr>
        <w:t>kontrola u</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mikroprzedsiębiorcy mogła trwać 12 miesięcy od jej wszczęcia, po jednym dniu roboczym w</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każdym miesiącu. W tym czasie organ kontroli mógł wykonywać wszystkie przypisane mu czynności, takie jak: żądanie wydania akt, ksiąg i dokumentów związanych z przedmiotem kontroli, zebranie i</w:t>
      </w:r>
      <w:r w:rsidR="006F03DA"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zabezpieczenie dowodów, legitymowanie osób, przesłuchanie świadków i samego przedsiębiorcy, żądanie wyjaśnień, tłumaczeń dokumentów na język polski, itp.</w:t>
      </w:r>
      <w:r w:rsidR="008170ED" w:rsidRPr="00A555B6">
        <w:rPr>
          <w:rFonts w:ascii="Times New Roman" w:hAnsi="Times New Roman" w:cs="Times New Roman"/>
          <w:kern w:val="0"/>
          <w14:ligatures w14:val="none"/>
        </w:rPr>
        <w:t>”</w:t>
      </w:r>
      <w:r w:rsidRPr="00A555B6">
        <w:rPr>
          <w:rFonts w:ascii="Times New Roman" w:hAnsi="Times New Roman" w:cs="Times New Roman"/>
          <w:kern w:val="0"/>
          <w14:ligatures w14:val="none"/>
        </w:rPr>
        <w:t xml:space="preserve">. </w:t>
      </w:r>
      <w:r w:rsidR="00F02C59" w:rsidRPr="00A555B6">
        <w:rPr>
          <w:rFonts w:ascii="Times New Roman" w:hAnsi="Times New Roman" w:cs="Times New Roman"/>
          <w:kern w:val="0"/>
          <w14:ligatures w14:val="none"/>
        </w:rPr>
        <w:t>W kontekście wykładni systemowej podnoszono m.in. argument, że art. 80a. usdg wymieniał cztery „miejsca” prowadzenia kontroli, w tym mówił: o miejscu przechowywania dokumentacji oraz o „kontroli lub poszczególnych czynnościach kontrolnych”, które, za zgodą kontrolowanego, „mogą być przeprowadzane również w siedzibie organu kontroli”. NSA odniósł się do tych argumentów stwierdzając, że w ramach wykładni systemowej „nie ma podstaw do różnicowania czynności kontrolnych na takie w ścisłym rozumieniu tego pojęcia i inne”. NSA stwierdził, że tego rodzaju interpretacja „prowadzi do takiego skutku, że czas trwania kontroli wyznaczony był tylko dla tych kontroli, które prowadzone były w dwóch spośród czterech możliwych miejsc, a w pozostałych przypadkach kontrola była nieograniczona w czasie”. W efekcie NSA uznał, że między dniem rozpoczęcia kontroli a dniem jej zakończenia nie może upłynąć więcej niż kolejnych 12 dni roboczych a nie tylko tych dni roboczych, w których czynności kontrolne prowadzone były w siedzibie przedsiębiorcy lub w miejscu prowadzenia działalności gospodarczej”. Taka linia interpretacji ma zastosowanie również do obowiązujących obecnie przepisów Pp.</w:t>
      </w:r>
    </w:p>
    <w:p w14:paraId="2D33F8A8" w14:textId="4DD31D81" w:rsidR="00577CFE" w:rsidRPr="00A555B6" w:rsidRDefault="00C24E62" w:rsidP="00577CF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Wzmianki wymaga ponadto, że</w:t>
      </w:r>
      <w:r w:rsidR="00577CFE" w:rsidRPr="00A555B6">
        <w:rPr>
          <w:rFonts w:ascii="Times New Roman" w:hAnsi="Times New Roman" w:cs="Times New Roman"/>
          <w:kern w:val="0"/>
          <w14:ligatures w14:val="none"/>
        </w:rPr>
        <w:t xml:space="preserve"> propozycja skrócenia czasu kontroli dotyczących mikroprzedsiębiorców, o których mowa w art. 55 ust. 1 pkt 1 Pp</w:t>
      </w:r>
      <w:r w:rsidRPr="00A555B6">
        <w:rPr>
          <w:rFonts w:ascii="Times New Roman" w:hAnsi="Times New Roman" w:cs="Times New Roman"/>
          <w:kern w:val="0"/>
          <w14:ligatures w14:val="none"/>
        </w:rPr>
        <w:t>,</w:t>
      </w:r>
      <w:r w:rsidR="00577CFE" w:rsidRPr="00A555B6">
        <w:rPr>
          <w:rFonts w:ascii="Times New Roman" w:hAnsi="Times New Roman" w:cs="Times New Roman"/>
          <w:kern w:val="0"/>
          <w14:ligatures w14:val="none"/>
        </w:rPr>
        <w:t xml:space="preserve"> wynika bezpośrednio z exposé premiera Donalda Tuska, wygłoszonego w Sejmie RP w dniu 12 grudnia 2023 r</w:t>
      </w:r>
      <w:r w:rsidRPr="00A555B6">
        <w:rPr>
          <w:rFonts w:ascii="Times New Roman" w:hAnsi="Times New Roman" w:cs="Times New Roman"/>
          <w:kern w:val="0"/>
          <w14:ligatures w14:val="none"/>
        </w:rPr>
        <w:t>.</w:t>
      </w:r>
    </w:p>
    <w:p w14:paraId="2DE7AFAC" w14:textId="77777777" w:rsidR="00CA5E6E" w:rsidRPr="00A555B6" w:rsidRDefault="00CA5E6E"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Uzależnienie liczby przeprowadzanych kontroli od kategorii ryzyka.</w:t>
      </w:r>
    </w:p>
    <w:p w14:paraId="53FA2307" w14:textId="7FB009F9" w:rsidR="00106DC1" w:rsidRPr="00A555B6" w:rsidRDefault="00F02C59" w:rsidP="00106DC1">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Nowy art. 55a Pp normuje maksymalną liczbę kontroli</w:t>
      </w:r>
      <w:r w:rsidR="00106DC1" w:rsidRPr="00A555B6">
        <w:rPr>
          <w:rFonts w:ascii="Times New Roman" w:hAnsi="Times New Roman" w:cs="Times New Roman"/>
          <w:kern w:val="0"/>
          <w14:ligatures w14:val="none"/>
        </w:rPr>
        <w:t xml:space="preserve"> planowych</w:t>
      </w:r>
      <w:r w:rsidRPr="00A555B6">
        <w:rPr>
          <w:rFonts w:ascii="Times New Roman" w:hAnsi="Times New Roman" w:cs="Times New Roman"/>
          <w:kern w:val="0"/>
          <w14:ligatures w14:val="none"/>
        </w:rPr>
        <w:t>, które może przeprowadzić organ kontroli w określonym w przepisie okresie. W przypadku niskiego ryzyka kontrola będzie przeprowadzana nie częściej niż raz na 5 lat, w przypadku średniego ryzyka – nie częściej niż raz na 3</w:t>
      </w:r>
      <w:r w:rsidR="00E6226B"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lata, a w przypadku wysokiego ryzyka – nie częściej niż raz na 2 lata. </w:t>
      </w:r>
      <w:r w:rsidR="00CA5E6E" w:rsidRPr="00A555B6">
        <w:rPr>
          <w:rFonts w:ascii="Times New Roman" w:hAnsi="Times New Roman" w:cs="Times New Roman"/>
          <w:kern w:val="0"/>
          <w14:ligatures w14:val="none"/>
        </w:rPr>
        <w:t xml:space="preserve">Zbliżone limity obowiązują </w:t>
      </w:r>
      <w:r w:rsidR="00106DC1" w:rsidRPr="00A555B6">
        <w:rPr>
          <w:rFonts w:ascii="Times New Roman" w:hAnsi="Times New Roman" w:cs="Times New Roman"/>
          <w:kern w:val="0"/>
          <w14:ligatures w14:val="none"/>
        </w:rPr>
        <w:t>w</w:t>
      </w:r>
      <w:r w:rsidR="00B976D2" w:rsidRPr="00A555B6">
        <w:rPr>
          <w:rFonts w:ascii="Times New Roman" w:hAnsi="Times New Roman" w:cs="Times New Roman"/>
          <w:kern w:val="0"/>
          <w14:ligatures w14:val="none"/>
        </w:rPr>
        <w:t> </w:t>
      </w:r>
      <w:r w:rsidR="00106DC1" w:rsidRPr="00A555B6">
        <w:rPr>
          <w:rFonts w:ascii="Times New Roman" w:hAnsi="Times New Roman" w:cs="Times New Roman"/>
          <w:kern w:val="0"/>
          <w14:ligatures w14:val="none"/>
        </w:rPr>
        <w:t>niektórych innych europejskich państwach</w:t>
      </w:r>
      <w:r w:rsidR="00106DC1" w:rsidRPr="00A555B6" w:rsidDel="00106DC1">
        <w:rPr>
          <w:rFonts w:ascii="Times New Roman" w:hAnsi="Times New Roman" w:cs="Times New Roman"/>
          <w:kern w:val="0"/>
          <w14:ligatures w14:val="none"/>
        </w:rPr>
        <w:t xml:space="preserve"> </w:t>
      </w:r>
      <w:r w:rsidR="00CA5E6E" w:rsidRPr="00A555B6">
        <w:rPr>
          <w:rFonts w:ascii="Times New Roman" w:hAnsi="Times New Roman" w:cs="Times New Roman"/>
          <w:kern w:val="0"/>
          <w14:ligatures w14:val="none"/>
        </w:rPr>
        <w:t xml:space="preserve">. Uwzględniają one w szczególności potrzebę częstego kontrolowania działalności gospodarczej, której prowadzenie wiąże się z wysokim prawdopodobieństwem naruszenia prawa. W takich obszarach może być uzasadnione przeprowadzanie kontroli nawet co 2 lata, z drugiej strony już częstsze planowanie kontroli w tym samym podmiocie, np. automatycznie zawsze raz do roku, w zasadzie pozbawiałoby podmioty należące do grupy wysokiego </w:t>
      </w:r>
      <w:r w:rsidR="00CA5E6E" w:rsidRPr="00A555B6">
        <w:rPr>
          <w:rFonts w:ascii="Times New Roman" w:hAnsi="Times New Roman" w:cs="Times New Roman"/>
          <w:kern w:val="0"/>
          <w14:ligatures w14:val="none"/>
        </w:rPr>
        <w:lastRenderedPageBreak/>
        <w:t>ryzyka jakiejkolwiek ochrony wynikającej z wprowadzanych ograniczeń – dlatego w przypadku tej grupy zaproponowano limit 1 kontroli na 2 lata. Konsekwentnie w przypadku pozostałych grup kontrole będą przeprowadzane rzadziej.</w:t>
      </w:r>
      <w:r w:rsidR="00106DC1" w:rsidRPr="00A555B6">
        <w:rPr>
          <w:rFonts w:ascii="Times New Roman" w:hAnsi="Times New Roman" w:cs="Times New Roman"/>
          <w:kern w:val="0"/>
          <w14:ligatures w14:val="none"/>
        </w:rPr>
        <w:t xml:space="preserve"> Proponowana zmiana nie przeszkodzi organom kontroli w wykrywaniu nieprawidłowości i egzekwowaniu odpowiedzialności za naruszenia prawa, gdyż organy kontroli w</w:t>
      </w:r>
      <w:r w:rsidR="00B976D2" w:rsidRPr="00A555B6">
        <w:rPr>
          <w:rFonts w:ascii="Times New Roman" w:hAnsi="Times New Roman" w:cs="Times New Roman"/>
          <w:kern w:val="0"/>
          <w14:ligatures w14:val="none"/>
        </w:rPr>
        <w:t> </w:t>
      </w:r>
      <w:r w:rsidR="00106DC1" w:rsidRPr="00A555B6">
        <w:rPr>
          <w:rFonts w:ascii="Times New Roman" w:hAnsi="Times New Roman" w:cs="Times New Roman"/>
          <w:kern w:val="0"/>
          <w14:ligatures w14:val="none"/>
        </w:rPr>
        <w:t>dalszym ciągu będą mogły bez ograniczeń reagować na sygnały uzasadniające przeprowadzenie kontroli doraźnej, o której mowa w art. 47 ust. 2 Pp, w szczególności zagrożenia życia lub zdrowia, popełnienia przestępstwa lub wykroczenia, popełnienia przestępstwa skarbowego lub wykroczenia skarbowego, innego naruszenia prawnego zakazu lub niedopełnienia prawnego obowiązku. W celu wyeliminowania wszelkich wątpliwości wprowadzono w proponowanym art. 47 ust. 1 definicję kontroli planowej, do której nawiązuje art. 55a Pp. Wprowadzane w art. 55a Pp ograniczenia częstotliwości kontroli będą więc dotyczyły tylko kontroli planowych.</w:t>
      </w:r>
    </w:p>
    <w:p w14:paraId="3E1E9A3C" w14:textId="77777777" w:rsidR="00106DC1" w:rsidRPr="00A555B6" w:rsidRDefault="00106DC1" w:rsidP="00106DC1">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Nowe ograniczenia częstotliwości kontroli planowych nie znajdą natomiast zastosowania, jeżeli ratyfikowane umowy międzynarodowe albo bezpośrednio stosowane przepisy prawa Unii Europejskiej albo przepisy odrębne (np. ustawy, rozporządzenia) określają inaczej częstotliwość przeprowadzania kontroli. Przepisy takich aktów normatywnych mogą np. wymagać przeprowadzania częstszych, nawet corocznych kontroli, ze względu na ważny interes publiczny.</w:t>
      </w:r>
    </w:p>
    <w:p w14:paraId="370FCFB5" w14:textId="77777777" w:rsidR="00106DC1" w:rsidRPr="00A555B6" w:rsidRDefault="00106DC1" w:rsidP="00106DC1">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Ograniczenia częstotliwości kontroli planowych w przypadku kontroli działalności średnich przedsiębiorców oraz przedsiębiorców nienależących do sektora MŚP będą stosowane do każdego zakładu lub innej wyodrębnionej części przedsiębiorstwa oddzielnie. Oznacza to, że organ kontroli, który wyczerpał już limit z art. 55a ust. 1 Pp w jednym zakładzie należącym do przedsiębiorcy posiadającego dziesiątki lub setki zakładów lub innych wyodrębnionych części przedsiębiorstwa, będzie mógł przeprowadzić kontrolę w innym zakładzie bądź innej wyodrębnionej części przedsiębiorstwa, jeżeli limit liczony dla tego zakładu bądź dla tej wyodrębnionej części przedsiębiorstwa nie został wyczerpany. Zapobiegnie to sytuacji, w której organ kontroli po skontrolowaniu jednej lokalnej placówki sprzedaży należącej do dużej sieci handlowej straci możliwość przeprowadzania kontroli planowej w innych lokalizacjach w całym kraju.</w:t>
      </w:r>
    </w:p>
    <w:p w14:paraId="2C4B2D2E" w14:textId="5F353CFE" w:rsidR="00CA5E6E" w:rsidRPr="00A555B6" w:rsidRDefault="00106DC1" w:rsidP="00CA5E6E">
      <w:pPr>
        <w:spacing w:before="120" w:after="120" w:line="360" w:lineRule="auto"/>
        <w:jc w:val="both"/>
        <w:rPr>
          <w:rFonts w:ascii="Times New Roman" w:hAnsi="Times New Roman" w:cs="Times New Roman"/>
          <w:kern w:val="0"/>
          <w14:ligatures w14:val="none"/>
        </w:rPr>
      </w:pPr>
      <w:r w:rsidRPr="00A555B6">
        <w:rPr>
          <w:rFonts w:ascii="Times New Roman" w:hAnsi="Times New Roman" w:cs="Times New Roman"/>
          <w:kern w:val="0"/>
          <w14:ligatures w14:val="none"/>
        </w:rPr>
        <w:t>Wymaga podkreślenia, że organ kontroli nieustannie aktualizuje analizy prawdopodobieństwa naruszenia prawa, o których mowa w art. 47 ust. 1 Pp. W konsekwencji organ kontroli może w</w:t>
      </w:r>
      <w:r w:rsidR="00B976D2"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zaktualizowanej analizie przypisać przedsiębiorcy wyższą kategorię ryzyka niż do tej pory. Oznacza to, że kontrolowany przedsiębiorca nie może zakładać niezmienności swojej kategorii ryzyka w danym okresie czasu i limitu częstotliwości kontroli z tego wynikającej. Aktualizacja analiz powinna z reguły następować z upływem okresu objętego analizą, natomiast nie powinna być dokonywana jedynie w</w:t>
      </w:r>
      <w:r w:rsidR="00B976D2" w:rsidRPr="00A555B6">
        <w:rPr>
          <w:rFonts w:ascii="Times New Roman" w:hAnsi="Times New Roman" w:cs="Times New Roman"/>
          <w:kern w:val="0"/>
          <w14:ligatures w14:val="none"/>
        </w:rPr>
        <w:t> </w:t>
      </w:r>
      <w:r w:rsidRPr="00A555B6">
        <w:rPr>
          <w:rFonts w:ascii="Times New Roman" w:hAnsi="Times New Roman" w:cs="Times New Roman"/>
          <w:kern w:val="0"/>
          <w14:ligatures w14:val="none"/>
        </w:rPr>
        <w:t xml:space="preserve">związku z powstaniem nagłego uzasadnionego podejrzenia naruszenia prawa i potrzebą przeprowadzenia pilnej dodatkowej kontroli, przekraczającej limit z art. 55a. W takim przypadku powinna bowiem zostać podjęta kontrola doraźna (art. 47 ust. 2 Pp), a dopiero wyniki i wnioski z tej kontroli mogą wpłynąć na ewentualne podwyższenie kategorii ryzyka przedsiębiorcy w następnej, </w:t>
      </w:r>
      <w:r w:rsidRPr="00A555B6">
        <w:rPr>
          <w:rFonts w:ascii="Times New Roman" w:hAnsi="Times New Roman" w:cs="Times New Roman"/>
          <w:kern w:val="0"/>
          <w14:ligatures w14:val="none"/>
        </w:rPr>
        <w:lastRenderedPageBreak/>
        <w:t>zaktualizowanej analizie. Proces planowania i przeprowadzania analiz poprzedzający kontrole planowe jest bowiem podejmowany na przyszłość, dla szerokich obszarów podmiotowych i przedmiotowych objętą kontrolą, a nie dla celu uzasadnienia przeprowadzenia kontroli doraźnej.</w:t>
      </w:r>
    </w:p>
    <w:p w14:paraId="5B11136D" w14:textId="77777777" w:rsidR="00CA5E6E" w:rsidRPr="00A555B6" w:rsidRDefault="00CA5E6E" w:rsidP="009E1176">
      <w:pPr>
        <w:pStyle w:val="Akapitzlist"/>
        <w:numPr>
          <w:ilvl w:val="0"/>
          <w:numId w:val="38"/>
        </w:numPr>
        <w:spacing w:before="120" w:after="120" w:line="360" w:lineRule="auto"/>
        <w:jc w:val="both"/>
        <w:rPr>
          <w:rFonts w:ascii="Times New Roman" w:hAnsi="Times New Roman" w:cs="Times New Roman"/>
        </w:rPr>
      </w:pPr>
      <w:r w:rsidRPr="00A555B6">
        <w:rPr>
          <w:rFonts w:ascii="Times New Roman" w:hAnsi="Times New Roman" w:cs="Times New Roman"/>
        </w:rPr>
        <w:t>Sprzeciw wobec czynności kontrolnych.</w:t>
      </w:r>
    </w:p>
    <w:p w14:paraId="39233502" w14:textId="0D9E4965" w:rsidR="00CA5E6E" w:rsidRPr="00A555B6" w:rsidRDefault="00CA5E6E" w:rsidP="00CA5E6E">
      <w:pPr>
        <w:spacing w:before="120" w:after="120" w:line="360" w:lineRule="auto"/>
        <w:contextualSpacing/>
        <w:jc w:val="both"/>
        <w:rPr>
          <w:rFonts w:ascii="Times New Roman" w:hAnsi="Times New Roman" w:cs="Times New Roman"/>
          <w:kern w:val="0"/>
          <w14:ligatures w14:val="none"/>
        </w:rPr>
      </w:pPr>
      <w:r w:rsidRPr="00A555B6">
        <w:rPr>
          <w:rFonts w:ascii="Times New Roman" w:hAnsi="Times New Roman" w:cs="Times New Roman"/>
          <w:kern w:val="0"/>
          <w14:ligatures w14:val="none"/>
        </w:rPr>
        <w:t xml:space="preserve">Zmiana w zakresie art. 59 Pp ma na celu umożliwienie wniesienia sprzeciwu wobec czynności kontrolnych bez jednoczesnego wstrzymania czynności kontrolnych, w przypadku gdy organ przeprowadzając kontrolę powołuje się na wyłączenia ograniczeń kontroli działalności gospodarczej. </w:t>
      </w:r>
      <w:r w:rsidR="00106DC1" w:rsidRPr="00A555B6">
        <w:rPr>
          <w:rFonts w:ascii="Times New Roman" w:hAnsi="Times New Roman" w:cs="Times New Roman"/>
          <w:kern w:val="0"/>
          <w14:ligatures w14:val="none"/>
        </w:rPr>
        <w:t xml:space="preserve">Oznacza to, że organ kontroli będzie mógł kontynuować czynności kontrolne pomimo wniesienia takiego sprzeciwu, a zatem nie będzie musiał wstrzymać czynności kontrolnych do czasu wydania postanowienia o kontynuowaniu czynności kontrolnych, jak w przypadku pozostałych sprzeciwów. </w:t>
      </w:r>
      <w:r w:rsidRPr="00A555B6">
        <w:rPr>
          <w:rFonts w:ascii="Times New Roman" w:hAnsi="Times New Roman" w:cs="Times New Roman"/>
          <w:kern w:val="0"/>
          <w14:ligatures w14:val="none"/>
        </w:rPr>
        <w:t xml:space="preserve">Propozycja umożliwi np. wydanie postanowienia o odstąpieniu od czynności kontrolnych, gdy kontrola trwa zbyt długo </w:t>
      </w:r>
      <w:r w:rsidR="00106DC1" w:rsidRPr="00A555B6">
        <w:rPr>
          <w:rFonts w:ascii="Times New Roman" w:hAnsi="Times New Roman" w:cs="Times New Roman"/>
          <w:kern w:val="0"/>
          <w14:ligatures w14:val="none"/>
        </w:rPr>
        <w:t>i</w:t>
      </w:r>
      <w:r w:rsidRPr="00A555B6">
        <w:rPr>
          <w:rFonts w:ascii="Times New Roman" w:hAnsi="Times New Roman" w:cs="Times New Roman"/>
          <w:kern w:val="0"/>
          <w14:ligatures w14:val="none"/>
        </w:rPr>
        <w:t xml:space="preserve"> nie ma w rzeczywistości na celu przeciwdziałania popełnieniu czynu zabronionego</w:t>
      </w:r>
      <w:r w:rsidR="00106DC1" w:rsidRPr="00A555B6">
        <w:rPr>
          <w:rFonts w:ascii="Times New Roman" w:hAnsi="Times New Roman" w:cs="Times New Roman"/>
          <w:kern w:val="0"/>
          <w14:ligatures w14:val="none"/>
        </w:rPr>
        <w:t>, jednocześnie nie utrudni organom kontroli reagowania na przypadki rażącego naruszenia prawa. W</w:t>
      </w:r>
      <w:r w:rsidR="00B976D2" w:rsidRPr="00A555B6">
        <w:rPr>
          <w:rFonts w:ascii="Times New Roman" w:hAnsi="Times New Roman" w:cs="Times New Roman"/>
          <w:kern w:val="0"/>
          <w14:ligatures w14:val="none"/>
        </w:rPr>
        <w:t> </w:t>
      </w:r>
      <w:r w:rsidR="00106DC1" w:rsidRPr="00A555B6">
        <w:rPr>
          <w:rFonts w:ascii="Times New Roman" w:hAnsi="Times New Roman" w:cs="Times New Roman"/>
          <w:kern w:val="0"/>
          <w14:ligatures w14:val="none"/>
        </w:rPr>
        <w:t>przypadku rozpatrzenia sprzeciwu i wydania postanowienia już po zakończeniu kontroli, rozstrzygnięcie o odstąpieniu od czynności kontrolnych albo o kontynuowaniu czynności kontrolnych byłoby bezprzedmiotowe, a zatem organ kontroli umorzy postępowanie.</w:t>
      </w:r>
      <w:r w:rsidRPr="00A555B6">
        <w:rPr>
          <w:rFonts w:ascii="Times New Roman" w:hAnsi="Times New Roman" w:cs="Times New Roman"/>
          <w:kern w:val="0"/>
          <w14:ligatures w14:val="none"/>
        </w:rPr>
        <w:t xml:space="preserve"> Samo powołanie się przez organ na przepisy art. 48 ust. 11 pkt 2, art. 50 ust. 2 pkt 2, art. 54 ust. 1 pkt 2, art. 55 ust. 2 pkt 2 oraz art. 62 Pp nie pozbawi już kontrolowanego, jak dotąd, możliwości wniesienia sprzeciwu, a więc środka prawnego umożliwiającego weryfikację, czy przesłanki wyłączenia niektórych zasad kontroli zostały spełnione, a w przypadku odpowiedzi negatywnej również sprawdzenia, czy przepisy te zostały naruszone. Oznacza to, że w takim przypadku organ będzie ewentualnie obowiązany wykazać zasadność zastosowania przez siebie przesłanek wyłączających. W dalszej kolejności rozpatrzenie sprzeciwu może otworzyć przedsiębiorcy drogę do wniesienia skargi na przewlekłe prowadzenie kontroli na podstawie art. 59 ust. 14 Pp.</w:t>
      </w:r>
    </w:p>
    <w:p w14:paraId="2CF0C030" w14:textId="5D9E19E3" w:rsidR="002A6303" w:rsidRPr="00A555B6" w:rsidRDefault="00CA5E6E" w:rsidP="004E6FE9">
      <w:pPr>
        <w:spacing w:before="120" w:after="120" w:line="360" w:lineRule="auto"/>
        <w:contextualSpacing/>
        <w:jc w:val="both"/>
        <w:rPr>
          <w:rFonts w:ascii="Times New Roman" w:hAnsi="Times New Roman" w:cs="Times New Roman"/>
          <w:kern w:val="0"/>
          <w14:ligatures w14:val="none"/>
        </w:rPr>
      </w:pPr>
      <w:r w:rsidRPr="00A555B6">
        <w:rPr>
          <w:rFonts w:ascii="Times New Roman" w:hAnsi="Times New Roman" w:cs="Times New Roman"/>
          <w:kern w:val="0"/>
          <w14:ligatures w14:val="none"/>
        </w:rPr>
        <w:t>Ponadto zmiany w art. 59 Pp zapewniają kontrolowanemu możliwość wniesienia sprzeciwu wobec podjęcia i wykonywania przez organ kontroli czynności z naruszeniem nowych ograniczeń określonych w dodanym art. 55a Pp.</w:t>
      </w:r>
      <w:r w:rsidR="00106DC1" w:rsidRPr="00A555B6">
        <w:rPr>
          <w:rFonts w:ascii="Times New Roman" w:hAnsi="Times New Roman" w:cs="Times New Roman"/>
          <w:kern w:val="0"/>
          <w14:ligatures w14:val="none"/>
        </w:rPr>
        <w:t xml:space="preserve"> Sprzeciw nie będzie natomiast przysługiwał na zastosowanie przez organ art. 48 ust. 12 (zażądanie przez organ kontroli w trakcie kontroli dodatkowych dokumentów lub informacji) ani na przypisanie przedsiębiorcy do niewłaściwej, zdaniem przedsiębiorcy, kategorii ryzyka (bowiem te wynikają z analizy, o której mowa  w art. 47 ust. 1 Pp, która nie podlega zaskarżeniu).</w:t>
      </w:r>
    </w:p>
    <w:p w14:paraId="45A96882" w14:textId="77777777" w:rsidR="004B65F9" w:rsidRPr="00A555B6" w:rsidRDefault="004B65F9" w:rsidP="00A555B6">
      <w:pPr>
        <w:pStyle w:val="Akapitzlist"/>
        <w:numPr>
          <w:ilvl w:val="0"/>
          <w:numId w:val="47"/>
        </w:numPr>
        <w:spacing w:before="120" w:after="120" w:line="360" w:lineRule="auto"/>
        <w:jc w:val="both"/>
        <w:rPr>
          <w:rFonts w:ascii="Times New Roman" w:hAnsi="Times New Roman" w:cs="Times New Roman"/>
        </w:rPr>
      </w:pPr>
      <w:r w:rsidRPr="00A555B6">
        <w:rPr>
          <w:rFonts w:ascii="Times New Roman" w:hAnsi="Times New Roman" w:cs="Times New Roman"/>
        </w:rPr>
        <w:t>Wyłączenie stosowania przepisów art. 47 i 55a ustawy – Prawo przedsiębiorców do kontroli działalności gospodarczej przedsiębiorców w zakresie objętym nadzorem weterynaryjnym (art. 62 ust. 2 ustawy – Prawo przedsiębiorców).</w:t>
      </w:r>
    </w:p>
    <w:p w14:paraId="0F1B1DE5" w14:textId="77777777" w:rsidR="004B65F9" w:rsidRPr="00A555B6" w:rsidRDefault="004B65F9" w:rsidP="004B65F9">
      <w:pPr>
        <w:spacing w:before="120" w:after="120" w:line="360" w:lineRule="auto"/>
        <w:jc w:val="both"/>
        <w:rPr>
          <w:rFonts w:ascii="Times New Roman" w:hAnsi="Times New Roman" w:cs="Times New Roman"/>
        </w:rPr>
      </w:pPr>
      <w:r w:rsidRPr="00A555B6">
        <w:rPr>
          <w:rFonts w:ascii="Times New Roman" w:hAnsi="Times New Roman" w:cs="Times New Roman"/>
        </w:rPr>
        <w:t xml:space="preserve">Zasady przeprowadzania kontroli w zakresie objętym nadzorem weterynaryjnym, o którym mowa w art. 62 ust. 2 ustawy – Prawo przedsiębiorców, w tym dotyczące dokonywania oceny ryzyka oraz </w:t>
      </w:r>
      <w:r w:rsidRPr="00A555B6">
        <w:rPr>
          <w:rFonts w:ascii="Times New Roman" w:hAnsi="Times New Roman" w:cs="Times New Roman"/>
        </w:rPr>
        <w:lastRenderedPageBreak/>
        <w:t>częstotliwości przeprowadzania kontroli, zostały określone w rozporządzeniu Parlamentu Europejskiego i Rady (UE) 2017/625 (rozporządzenie w sprawie kontroli urzędowych), rozporządzeniu Parlamentu Europejskiego i Rady (UE) 2019/6 (rozporządzenie w sprawie weterynaryjnych produktów leczniczych i uchylające dyrektywę 2001/82/WE) oraz w przepisach wykonawczych do ww. rozporządzeń, np. w rozporządzeniu wykonawczym Komisji (UE) 2019/627 ustanawiającym jednolite praktyczne rozwiązania dotyczące przeprowadzania kontroli urzędowych produktów pochodzenia zwierzęcego przeznaczonych do spożycia przez ludzi zgodnie z rozporządzeniem Parlamentu Europejskiego i Rady (UE) 2017/625 oraz zmieniającym rozporządzenie Komisji (WE) nr 2074/2005 w odniesieniu do kontroli urzędowych. Dokonując oceny ryzyka oraz ustalając częstotliwość kontroli, terenowe organy Inspekcji Weterynaryjnej są zobowiązane przestrzegać ogólnych założeń ujednoliconych dla wszystkich państw członkowskich UE, zawartych właśnie w wyżej wskazanych rozporządzeniach.</w:t>
      </w:r>
    </w:p>
    <w:p w14:paraId="15ED292E" w14:textId="6CA5BD41" w:rsidR="004B65F9" w:rsidRPr="00A555B6" w:rsidRDefault="004B65F9" w:rsidP="004E6FE9">
      <w:pPr>
        <w:spacing w:before="120" w:after="120" w:line="360" w:lineRule="auto"/>
        <w:jc w:val="both"/>
        <w:rPr>
          <w:rFonts w:ascii="Times New Roman" w:hAnsi="Times New Roman" w:cs="Times New Roman"/>
        </w:rPr>
      </w:pPr>
      <w:r w:rsidRPr="00A555B6">
        <w:rPr>
          <w:rFonts w:ascii="Times New Roman" w:hAnsi="Times New Roman" w:cs="Times New Roman"/>
        </w:rPr>
        <w:t>Zakres regulacji projektowanych przepisów, które mają być zawarte w art. 47 i art. 55a ustawy – Prawo przedsiębiorców, pokrywa się z zakresem regulacji wyżej wymienionych rozporządzeń UE. Celowe jest więc wyłączenie ich stosowania do kontroli działalności gospodarczej przedsiębiorców w zakresie objętym nadzorem weterynaryjnym. Wprawdzie nowy art. 55a ust. 2 wprost stanowi, że reguły określonej w ust. 1 nie stosuje się, w przypadkach gdy ratyfikowane umowy międzynarodowe albo bezpośrednio stosowane przepisy prawa Unii Europejskiej albo przepisy odrębne określają inaczej częstotliwość przeprowadzania kontroli, jednakże zasadne jest uzupełnienie katalogu wyłączonych przepisów w art. 62 ust. 2 o art. 47 i 55a, aby był on możliwie kompletny i miał większe walory informacyjne (dzięki wymienieniu w nim wszystkich przepisów, które nie znajdą zastosowania do kontroli działalności gospodarczej przedsiębiorców w zakresie objętym nadzorem weterynaryjnym).</w:t>
      </w:r>
    </w:p>
    <w:p w14:paraId="348C4103" w14:textId="61EB7EF5" w:rsidR="00961F72" w:rsidRPr="00A555B6" w:rsidRDefault="003E3BBC" w:rsidP="00A555B6">
      <w:pPr>
        <w:pStyle w:val="Akapitzlist"/>
        <w:numPr>
          <w:ilvl w:val="0"/>
          <w:numId w:val="47"/>
        </w:numPr>
        <w:spacing w:before="120" w:after="120" w:line="360" w:lineRule="auto"/>
        <w:jc w:val="both"/>
        <w:rPr>
          <w:rFonts w:ascii="Times New Roman" w:hAnsi="Times New Roman" w:cs="Times New Roman"/>
        </w:rPr>
      </w:pPr>
      <w:r w:rsidRPr="00A555B6">
        <w:rPr>
          <w:rFonts w:ascii="Times New Roman" w:hAnsi="Times New Roman" w:cs="Times New Roman"/>
        </w:rPr>
        <w:t>Prawo gospodarcze przyjazne przedsiębiorcom (nowelizacja rozdziału 6 Pp)</w:t>
      </w:r>
      <w:r w:rsidR="00B319E5" w:rsidRPr="00A555B6">
        <w:rPr>
          <w:rFonts w:ascii="Times New Roman" w:hAnsi="Times New Roman" w:cs="Times New Roman"/>
        </w:rPr>
        <w:t>.</w:t>
      </w:r>
    </w:p>
    <w:p w14:paraId="66C463DF" w14:textId="7D0BF7E8"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Konieczność nowelizacji Pp w zakresie wprowadzenia ogólnych zasad stanowienia prawa przyjaznego przedsiębiorcom wynika z postulatów organizacji przedsiębiorców, z wyników oceny funkcjonowania ustaw pakietu tzw. Konstytucji biznesu, w tym doświadczeń płynących z obowiązywania obecnych przepisów w zakresie dokonywania przeglądu funkcjonowania aktów normatywnych określających zasady podejmowania, wykonywania lub zakończenia działalności gospodarczej. Uzasadnieniem proponowanych zmian są również postulaty ujęte w Dezyderacie nr 1 sejmowej Komisji Gospodarki i</w:t>
      </w:r>
      <w:r w:rsidR="006100AF" w:rsidRPr="00A555B6">
        <w:rPr>
          <w:rFonts w:ascii="Times New Roman" w:eastAsia="Aptos" w:hAnsi="Times New Roman" w:cs="Times New Roman"/>
        </w:rPr>
        <w:t> </w:t>
      </w:r>
      <w:r w:rsidRPr="00A555B6">
        <w:rPr>
          <w:rFonts w:ascii="Times New Roman" w:eastAsia="Aptos" w:hAnsi="Times New Roman" w:cs="Times New Roman"/>
        </w:rPr>
        <w:t xml:space="preserve">Rozwoju do </w:t>
      </w:r>
      <w:r w:rsidR="00CD7198" w:rsidRPr="00A555B6">
        <w:rPr>
          <w:rFonts w:ascii="Times New Roman" w:eastAsia="Aptos" w:hAnsi="Times New Roman" w:cs="Times New Roman"/>
        </w:rPr>
        <w:t xml:space="preserve">Ministra Rozwoju i Technologii </w:t>
      </w:r>
      <w:r w:rsidRPr="00A555B6">
        <w:rPr>
          <w:rFonts w:ascii="Times New Roman" w:eastAsia="Aptos" w:hAnsi="Times New Roman" w:cs="Times New Roman"/>
        </w:rPr>
        <w:t>w sprawie zmian w systemie stanowienia prawa dotyczącego przedsiębiorców i pracodawców uchwalonego na posiedzeniu w dniu 6 marca 2024 r.</w:t>
      </w:r>
    </w:p>
    <w:p w14:paraId="17385002"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Proponowana nowelizacja rozdziału 6 Pp przewiduje wprowadzenie: </w:t>
      </w:r>
    </w:p>
    <w:p w14:paraId="66622914"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rPr>
      </w:pPr>
      <w:r w:rsidRPr="00A555B6">
        <w:rPr>
          <w:rFonts w:ascii="Times New Roman" w:eastAsia="Aptos" w:hAnsi="Times New Roman" w:cs="Times New Roman"/>
          <w:b/>
          <w:bCs/>
        </w:rPr>
        <w:t>zasady równoważenia obowiązków administracyjnych</w:t>
      </w:r>
      <w:r w:rsidRPr="00A555B6">
        <w:rPr>
          <w:rFonts w:ascii="Times New Roman" w:eastAsia="Aptos" w:hAnsi="Times New Roman" w:cs="Times New Roman"/>
        </w:rPr>
        <w:t xml:space="preserve"> (opartej na koncepcji realizowanej w wielu krajach europejskich tzw. „one in, one out”),</w:t>
      </w:r>
    </w:p>
    <w:p w14:paraId="5ECEC1A0"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color w:val="000000"/>
        </w:rPr>
      </w:pPr>
      <w:r w:rsidRPr="00A555B6">
        <w:rPr>
          <w:rFonts w:ascii="Times New Roman" w:eastAsia="Aptos" w:hAnsi="Times New Roman" w:cs="Times New Roman"/>
          <w:b/>
          <w:bCs/>
          <w:color w:val="000000"/>
        </w:rPr>
        <w:lastRenderedPageBreak/>
        <w:t>zasady projektowania oceny funkcjonowania aktu normatywnego</w:t>
      </w:r>
      <w:r w:rsidRPr="00A555B6">
        <w:rPr>
          <w:rFonts w:ascii="Times New Roman" w:eastAsia="Aptos" w:hAnsi="Times New Roman" w:cs="Times New Roman"/>
          <w:color w:val="000000"/>
        </w:rPr>
        <w:t xml:space="preserve"> (OSR ex post) w stosunku do aktów normatywnych z zakresu prawa gospodarczego,</w:t>
      </w:r>
    </w:p>
    <w:p w14:paraId="3CE6FD67"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color w:val="000000"/>
        </w:rPr>
      </w:pPr>
      <w:r w:rsidRPr="00A555B6">
        <w:rPr>
          <w:rFonts w:ascii="Times New Roman" w:eastAsia="Aptos" w:hAnsi="Times New Roman" w:cs="Times New Roman"/>
          <w:b/>
          <w:bCs/>
          <w:color w:val="000000"/>
        </w:rPr>
        <w:t>zasady oceny projektu pod kątem notyfikacji usługowej</w:t>
      </w:r>
      <w:r w:rsidRPr="00A555B6">
        <w:rPr>
          <w:rFonts w:ascii="Times New Roman" w:eastAsia="Aptos" w:hAnsi="Times New Roman" w:cs="Times New Roman"/>
          <w:color w:val="000000"/>
        </w:rPr>
        <w:t>,</w:t>
      </w:r>
    </w:p>
    <w:p w14:paraId="04942FF0"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rPr>
      </w:pPr>
      <w:r w:rsidRPr="00A555B6">
        <w:rPr>
          <w:rFonts w:ascii="Times New Roman" w:eastAsia="Aptos" w:hAnsi="Times New Roman" w:cs="Times New Roman"/>
          <w:b/>
          <w:bCs/>
        </w:rPr>
        <w:t>zasady obowiązkowej oceny funkcjonowania aktu normatywnego (OSR ex post)</w:t>
      </w:r>
      <w:r w:rsidRPr="00A555B6">
        <w:rPr>
          <w:rFonts w:ascii="Times New Roman" w:eastAsia="Aptos" w:hAnsi="Times New Roman" w:cs="Times New Roman"/>
        </w:rPr>
        <w:t xml:space="preserve"> w sytuacji, gdy dany akt normatywny został przyjęty w wyniku procesu legislacyjnego, w którym odstąpiono od przeprowadzenia konsultacji publicznych,</w:t>
      </w:r>
    </w:p>
    <w:p w14:paraId="43FFC3A8"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rPr>
      </w:pPr>
      <w:r w:rsidRPr="00A555B6">
        <w:rPr>
          <w:rFonts w:ascii="Times New Roman" w:eastAsia="Aptos" w:hAnsi="Times New Roman" w:cs="Times New Roman"/>
          <w:b/>
          <w:bCs/>
        </w:rPr>
        <w:t xml:space="preserve">zasady odpowiedniej vacatio legis projektów ustaw, </w:t>
      </w:r>
      <w:r w:rsidRPr="00A555B6">
        <w:rPr>
          <w:rFonts w:ascii="Times New Roman" w:eastAsia="Aptos" w:hAnsi="Times New Roman" w:cs="Times New Roman"/>
        </w:rPr>
        <w:t>nie krótszej niż po upływie 6 miesięcy od dnia ogłoszenia,</w:t>
      </w:r>
    </w:p>
    <w:p w14:paraId="4601EA15" w14:textId="77777777" w:rsidR="003E3BBC" w:rsidRPr="00A555B6" w:rsidRDefault="003E3BBC" w:rsidP="003E3BBC">
      <w:pPr>
        <w:numPr>
          <w:ilvl w:val="0"/>
          <w:numId w:val="30"/>
        </w:numPr>
        <w:tabs>
          <w:tab w:val="left" w:pos="567"/>
        </w:tabs>
        <w:spacing w:before="120" w:after="120" w:line="360" w:lineRule="auto"/>
        <w:ind w:left="0" w:firstLine="0"/>
        <w:contextualSpacing/>
        <w:jc w:val="both"/>
        <w:rPr>
          <w:rFonts w:ascii="Times New Roman" w:eastAsia="Aptos" w:hAnsi="Times New Roman" w:cs="Times New Roman"/>
        </w:rPr>
      </w:pPr>
      <w:r w:rsidRPr="00A555B6">
        <w:rPr>
          <w:rFonts w:ascii="Times New Roman" w:eastAsia="Aptos" w:hAnsi="Times New Roman" w:cs="Times New Roman"/>
          <w:b/>
          <w:bCs/>
        </w:rPr>
        <w:t>usprawnień w zakresie bieżącego przeglądu</w:t>
      </w:r>
      <w:r w:rsidRPr="00A555B6">
        <w:rPr>
          <w:rFonts w:ascii="Times New Roman" w:eastAsia="Aptos" w:hAnsi="Times New Roman" w:cs="Times New Roman"/>
        </w:rPr>
        <w:t xml:space="preserve"> prawa gospodarczego,</w:t>
      </w:r>
    </w:p>
    <w:p w14:paraId="527E109A" w14:textId="77777777" w:rsidR="003E3BBC" w:rsidRPr="00A555B6" w:rsidRDefault="003E3BBC" w:rsidP="003E3BBC">
      <w:pPr>
        <w:numPr>
          <w:ilvl w:val="0"/>
          <w:numId w:val="30"/>
        </w:numPr>
        <w:tabs>
          <w:tab w:val="left" w:pos="567"/>
        </w:tabs>
        <w:spacing w:before="120" w:after="120" w:line="360" w:lineRule="auto"/>
        <w:ind w:left="0" w:firstLine="0"/>
        <w:jc w:val="both"/>
        <w:rPr>
          <w:rFonts w:ascii="Times New Roman" w:eastAsia="Aptos" w:hAnsi="Times New Roman" w:cs="Times New Roman"/>
        </w:rPr>
      </w:pPr>
      <w:r w:rsidRPr="00A555B6">
        <w:rPr>
          <w:rFonts w:ascii="Times New Roman" w:eastAsia="Aptos" w:hAnsi="Times New Roman" w:cs="Times New Roman"/>
          <w:b/>
          <w:bCs/>
        </w:rPr>
        <w:t>programu regulacyjnego.</w:t>
      </w:r>
    </w:p>
    <w:p w14:paraId="494FD024"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zasada równoważenia obowiązków administracyjnych.</w:t>
      </w:r>
    </w:p>
    <w:p w14:paraId="15F0DA02" w14:textId="16BC80B0"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W art. 67 proponuje się wskazanie konieczności kierowania się zasadą równoważenia obowiązków administracyjnych podczas opracowywania projektów aktów normatywnych określających zasady podejmowania, wykonywania lub zakończenia działalności gospodarczej. </w:t>
      </w:r>
      <w:r w:rsidRPr="00A555B6">
        <w:rPr>
          <w:rFonts w:ascii="Times New Roman" w:eastAsia="Aptos" w:hAnsi="Times New Roman" w:cs="Times New Roman"/>
          <w:color w:val="000000"/>
        </w:rPr>
        <w:t xml:space="preserve">Zasada równoważenia obowiązków administracyjnych została uwzględniona w projekcie na równi z zasadą proporcjonalności i adekwatności. </w:t>
      </w:r>
      <w:r w:rsidRPr="00A555B6">
        <w:rPr>
          <w:rFonts w:ascii="Times New Roman" w:eastAsia="Aptos" w:hAnsi="Times New Roman" w:cs="Times New Roman"/>
        </w:rPr>
        <w:t>Zasada ta w proponowanej wersji polega na tym, by projektując nowe obowiązki administracyjne, dążyć do zmniejszenia obciążeń administracyjnych wynikających z uregulowań prawnych już obowiązujących w danej dziedzinie. Proponowana zasada koresponduje z</w:t>
      </w:r>
      <w:r w:rsidR="00D10478" w:rsidRPr="00A555B6">
        <w:rPr>
          <w:rFonts w:ascii="Times New Roman" w:eastAsia="Aptos" w:hAnsi="Times New Roman" w:cs="Times New Roman"/>
        </w:rPr>
        <w:t> </w:t>
      </w:r>
      <w:r w:rsidRPr="00A555B6">
        <w:rPr>
          <w:rFonts w:ascii="Times New Roman" w:eastAsia="Aptos" w:hAnsi="Times New Roman" w:cs="Times New Roman"/>
        </w:rPr>
        <w:t xml:space="preserve">obowiązkami wynikającymi z § 1 ust. 2 pkt 1 Zasad Techniki Prawodawczej (stanowiących załącznik do rozporządzenia Prezesa Rady Ministrów z dnia 20 czerwca 2002 r. w sprawie „Zasad techniki prawodawczej”). </w:t>
      </w:r>
      <w:r w:rsidRPr="00A555B6">
        <w:rPr>
          <w:rFonts w:ascii="Times New Roman" w:eastAsia="Aptos" w:hAnsi="Times New Roman" w:cs="Times New Roman"/>
          <w:color w:val="000000"/>
        </w:rPr>
        <w:t>Ma to być ogólna zasada, jaką projektodawcy powinni kierować się projektując nowe przepisy i pełnić funkcję mobilizującą do poszukiwania jak najmniej obciążających rozwiązań oraz eliminowania przestarzałych i niepotrzebnych obciążeń, przy zapewnieniu standardów prowadzenia działalności gospodarczej oraz ochrony interesu publicznego.</w:t>
      </w:r>
    </w:p>
    <w:p w14:paraId="53E84BE7"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zasada projektowania oceny funkcjonowania aktu normatywnego.</w:t>
      </w:r>
    </w:p>
    <w:p w14:paraId="11B4BA35" w14:textId="1B0C07B1"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Kwestie OSR ex post nie są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jak do tej pory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regulowane przepisami ustawowymi. Problematyka ewaluacji działań legislacyjnych koresponduje m.in. z regulacjami rozdziału 6 ustawy o finansach publicznych („Kontrola zarządcza oraz koordynacja kontroli zarządczej w jednostkach sektora finansów publicznych”, art. 68 i następne), gdy celem takiej kontroli jest m.in. zapewnienie skuteczności i</w:t>
      </w:r>
      <w:r w:rsidR="00B976D2" w:rsidRPr="00A555B6">
        <w:rPr>
          <w:rFonts w:ascii="Times New Roman" w:eastAsia="Aptos" w:hAnsi="Times New Roman" w:cs="Times New Roman"/>
        </w:rPr>
        <w:t> </w:t>
      </w:r>
      <w:r w:rsidRPr="00A555B6">
        <w:rPr>
          <w:rFonts w:ascii="Times New Roman" w:eastAsia="Aptos" w:hAnsi="Times New Roman" w:cs="Times New Roman"/>
        </w:rPr>
        <w:t xml:space="preserve">efektywności działania państwa. W kontekście działań legislacyjnych ewaluacja aktu prawnego byłaby procesem podobnym do ww. kontroli zarządczej. Zaproponowano, by </w:t>
      </w:r>
      <w:r w:rsidR="00CD7198" w:rsidRPr="00A555B6">
        <w:rPr>
          <w:rFonts w:ascii="Times New Roman" w:eastAsia="Aptos" w:hAnsi="Times New Roman" w:cs="Times New Roman"/>
        </w:rPr>
        <w:t xml:space="preserve">rządowe </w:t>
      </w:r>
      <w:r w:rsidRPr="00A555B6">
        <w:rPr>
          <w:rFonts w:ascii="Times New Roman" w:eastAsia="Aptos" w:hAnsi="Times New Roman" w:cs="Times New Roman"/>
        </w:rPr>
        <w:t xml:space="preserve">projekty aktów normatywnych, które określają zasady podejmowania, wykonywania lub zakończenia działalności gospodarczej zawierały w uzasadnieniu do projektu aktu normatywnego lub w ocenie skutków regulacji, stanowiącej odrębną część uzasadnienia projektu aktu normatywnego, informacje na temat zakresu oceny funkcjonowania projektowanego aktu normatywnego lub jego części, mierników określających stopień realizacji jego celów, oraz terminu przygotowania takiej oceny. Intencją projektodawcy jest, by </w:t>
      </w:r>
      <w:r w:rsidRPr="00A555B6">
        <w:rPr>
          <w:rFonts w:ascii="Times New Roman" w:eastAsia="Aptos" w:hAnsi="Times New Roman" w:cs="Times New Roman"/>
        </w:rPr>
        <w:lastRenderedPageBreak/>
        <w:t xml:space="preserve">informacje na temat przyszłej oceny funkcjonowania projektowanego aktu normatywnego były umieszczane przede wszystkim w ramach formularza OSR. Proponowany przepis koresponduje z § 152 ust. 3 uchwały nr 190 Rady Ministrów z dnia 29 października 2013 r. – Regulamin pracy Rady Ministrów, zgodnie z którym OSR ex post może dotyczyć aktu normatywnego lub jego części. Proponowany przepis koresponduje również z ust. 1 pkt 2 wskazanego paragrafu, zgodnie z którym OSR ex post przygotowywany jest, jeżeli wynika to z oceny skutków regulacji projektu aktu normatywnego przyjętego przez Radę Ministrów. W przypadku, w którym zakłada się brak przeprowadzenia ewaluacji aktu normatywnego należy przedstawić informację o braku zasadności przygotowania OSR ex post tego aktu. </w:t>
      </w:r>
    </w:p>
    <w:p w14:paraId="5D583C33"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zasada oceny projektu pod kątem notyfikacji usługowej.</w:t>
      </w:r>
    </w:p>
    <w:p w14:paraId="1D0A4C2B" w14:textId="4F1B55B6"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Przewidziana w art. 68a ust. 1 pkt 1 Pp konieczność ujawnienia oceny wnioskodawcy czy projekt zawiera wymogi nakładane na usługodawców podlegające notyfikacji, ma na celu upowszechnienie notyfikacji usługowych w polskim procesie legislacyjnym. Notyfikacje usługowe są realizowane w</w:t>
      </w:r>
      <w:r w:rsidR="00D10478" w:rsidRPr="00A555B6">
        <w:rPr>
          <w:rFonts w:ascii="Times New Roman" w:eastAsia="Aptos" w:hAnsi="Times New Roman" w:cs="Times New Roman"/>
        </w:rPr>
        <w:t> </w:t>
      </w:r>
      <w:r w:rsidRPr="00A555B6">
        <w:rPr>
          <w:rFonts w:ascii="Times New Roman" w:eastAsia="Aptos" w:hAnsi="Times New Roman" w:cs="Times New Roman"/>
        </w:rPr>
        <w:t>Polsce na podstawie procedury przyjętej przez Komitet do Spraw Europejskich Rady Ministrów 10 października 2013 r. Mimo wyznaczenia w ministerstwach i aktualizowania listy ekspertów do spraw notyfikacji, Polska od początku działania systemu IMI</w:t>
      </w:r>
      <w:r w:rsidRPr="00A555B6">
        <w:rPr>
          <w:rFonts w:ascii="Times New Roman" w:eastAsia="Aptos" w:hAnsi="Times New Roman" w:cs="Times New Roman"/>
          <w:vertAlign w:val="superscript"/>
        </w:rPr>
        <w:footnoteReference w:id="10"/>
      </w:r>
      <w:r w:rsidRPr="00A555B6">
        <w:rPr>
          <w:rFonts w:ascii="Times New Roman" w:eastAsia="Aptos" w:hAnsi="Times New Roman" w:cs="Times New Roman"/>
        </w:rPr>
        <w:t>, czyli od 2013 r., notyfikowała tylko kilkanaście wymogów. Rocznie w systemie pojawia się ok. 80</w:t>
      </w:r>
      <w:r w:rsidR="00B40C2B" w:rsidRPr="00A555B6">
        <w:rPr>
          <w:rFonts w:ascii="Times New Roman" w:eastAsia="Aptos" w:hAnsi="Times New Roman" w:cs="Times New Roman"/>
        </w:rPr>
        <w:t>–</w:t>
      </w:r>
      <w:r w:rsidRPr="00A555B6">
        <w:rPr>
          <w:rFonts w:ascii="Times New Roman" w:eastAsia="Aptos" w:hAnsi="Times New Roman" w:cs="Times New Roman"/>
        </w:rPr>
        <w:t>90 notyfikacji z wszystkich państw członkowskich. Należy przy tym zauważyć, że notyfikacja nie wstrzymuje procesu legislacyjnego, a</w:t>
      </w:r>
      <w:r w:rsidR="00D10478" w:rsidRPr="00A555B6">
        <w:rPr>
          <w:rFonts w:ascii="Times New Roman" w:eastAsia="Aptos" w:hAnsi="Times New Roman" w:cs="Times New Roman"/>
        </w:rPr>
        <w:t> </w:t>
      </w:r>
      <w:r w:rsidRPr="00A555B6">
        <w:rPr>
          <w:rFonts w:ascii="Times New Roman" w:eastAsia="Aptos" w:hAnsi="Times New Roman" w:cs="Times New Roman"/>
        </w:rPr>
        <w:t>przepisy można notyfikować również po dacie ich wejścia w życie. Kluczowe jest jednak to, by powstał spójny, uniwersalny i jednolity mechanizm normatywny, na podstawie którego będzie możliwe koordynowanie i realizowanie notyfikacji usługowej zarówno w przypadku projektu aktu wykonawczego, jak i projektu ustawy. Temu celowi ma służyć wprowadzenie obowiązku ujawniania oceny związanej z notyfikacją usługową już na etapie przygotowania ww. projektów aktów normatywnych.</w:t>
      </w:r>
      <w:r w:rsidR="00CD7198" w:rsidRPr="00A555B6">
        <w:rPr>
          <w:rFonts w:ascii="Times New Roman" w:eastAsia="Aptos" w:hAnsi="Times New Roman" w:cs="Times New Roman"/>
        </w:rPr>
        <w:t xml:space="preserve"> I</w:t>
      </w:r>
      <w:r w:rsidRPr="00A555B6">
        <w:rPr>
          <w:rFonts w:ascii="Times New Roman" w:eastAsia="Aptos" w:hAnsi="Times New Roman" w:cs="Times New Roman"/>
        </w:rPr>
        <w:t>nformacje na temat ocen</w:t>
      </w:r>
      <w:r w:rsidR="00CD7198" w:rsidRPr="00A555B6">
        <w:rPr>
          <w:rFonts w:ascii="Times New Roman" w:eastAsia="Aptos" w:hAnsi="Times New Roman" w:cs="Times New Roman"/>
        </w:rPr>
        <w:t>y</w:t>
      </w:r>
      <w:r w:rsidRPr="00A555B6">
        <w:rPr>
          <w:rFonts w:ascii="Times New Roman" w:eastAsia="Aptos" w:hAnsi="Times New Roman" w:cs="Times New Roman"/>
        </w:rPr>
        <w:t xml:space="preserve"> projektu pod kątem notyfikacji usługowej powinn</w:t>
      </w:r>
      <w:r w:rsidR="00CD7198" w:rsidRPr="00A555B6">
        <w:rPr>
          <w:rFonts w:ascii="Times New Roman" w:eastAsia="Aptos" w:hAnsi="Times New Roman" w:cs="Times New Roman"/>
        </w:rPr>
        <w:t>y</w:t>
      </w:r>
      <w:r w:rsidRPr="00A555B6">
        <w:rPr>
          <w:rFonts w:ascii="Times New Roman" w:eastAsia="Aptos" w:hAnsi="Times New Roman" w:cs="Times New Roman"/>
        </w:rPr>
        <w:t xml:space="preserve"> znaleźć się </w:t>
      </w:r>
      <w:r w:rsidR="00CD7198" w:rsidRPr="00A555B6">
        <w:rPr>
          <w:rFonts w:ascii="Times New Roman" w:eastAsia="Aptos" w:hAnsi="Times New Roman" w:cs="Times New Roman"/>
        </w:rPr>
        <w:t xml:space="preserve">w uzasadnieniu lub </w:t>
      </w:r>
      <w:r w:rsidRPr="00A555B6">
        <w:rPr>
          <w:rFonts w:ascii="Times New Roman" w:eastAsia="Aptos" w:hAnsi="Times New Roman" w:cs="Times New Roman"/>
        </w:rPr>
        <w:t>w ramach formularza OSR.</w:t>
      </w:r>
    </w:p>
    <w:p w14:paraId="2F18C6B8"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zasada obowiązkowej oceny funkcjonowania aktu normatywnego (OSR ex post).</w:t>
      </w:r>
    </w:p>
    <w:p w14:paraId="648C440D"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Projekt przewiduje w przypadku odstąpienia od przeprowadzenia konsultacji publicznych dotyczących projektu aktu normatywnego, który określa zasady podejmowania, wykonywania lub zakończenia działalności gospodarczej, obowiązek wskazania terminu przygotowania OSR ex post tego aktu w uzasadnieniu do projektu (w ocenie skutków regulacji) nie dłuższy niż dwa lata od wejścia w życie takiego aktu.</w:t>
      </w:r>
    </w:p>
    <w:p w14:paraId="741BA44D"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W przypadku dokonywania oceny funkcjonowania aktu ex post w ramach działań rządu – ocena powinna zostać dokonana zgodnie z Działem V uchwały nr 190 Rady Ministrów z dnia 29 października 2013 r. – Regulamin pracy Rady Ministrów oraz wytycznymi Rady Ministrów lub jej organu </w:t>
      </w:r>
      <w:r w:rsidRPr="00A555B6">
        <w:rPr>
          <w:rFonts w:ascii="Times New Roman" w:eastAsia="Aptos" w:hAnsi="Times New Roman" w:cs="Times New Roman"/>
        </w:rPr>
        <w:lastRenderedPageBreak/>
        <w:t xml:space="preserve">pomocniczego, ustalonymi na podstawie § 155b tejże uchwały. Katalog działań możliwych do podjęcia w wyniku takiej oceny jest przedstawiony w „Wytycznych do przeprowadzania oceny wpływu oraz konsultacji publicznych w ramach rządowego procesu legislacyjnego”. Wskazano w nich m.in., że ocena funkcjonowania powinna zostać podsumowana wnioskami, czy w wyniku dokonanej analizy wskazane jest pozostawienie stanu obecnego, czy należy rozpocząć proces analizy, który może doprowadzić do zmiany lub uchylenia ustawy, czy też wskazane jest podjęcie innych działań naprawczych. Co do zasady, można pozostawić sytuację bez zmian tylko jeżeli ustawa funkcjonuje prawidłowo, tzn. realizuje zakładane cele. </w:t>
      </w:r>
    </w:p>
    <w:p w14:paraId="637B084B"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zasada odpowiedniej vacatio legis projektów ustaw.</w:t>
      </w:r>
    </w:p>
    <w:p w14:paraId="01FA1BDD" w14:textId="22854C12"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W odpowiedzi na postulaty przedsiębiorców dotyczące potrzeby zapewnienia odpowiedniego czasu na dostosowanie się do nowych przepisów, a także wobec Dezyderatu nr 1 Komisji Gospodarki i</w:t>
      </w:r>
      <w:r w:rsidR="00D10478" w:rsidRPr="00A555B6">
        <w:rPr>
          <w:rFonts w:ascii="Times New Roman" w:eastAsia="Aptos" w:hAnsi="Times New Roman" w:cs="Times New Roman"/>
        </w:rPr>
        <w:t> </w:t>
      </w:r>
      <w:r w:rsidRPr="00A555B6">
        <w:rPr>
          <w:rFonts w:ascii="Times New Roman" w:eastAsia="Aptos" w:hAnsi="Times New Roman" w:cs="Times New Roman"/>
        </w:rPr>
        <w:t xml:space="preserve">Rozwoju do </w:t>
      </w:r>
      <w:r w:rsidR="00CD7198" w:rsidRPr="00A555B6">
        <w:rPr>
          <w:rFonts w:ascii="Times New Roman" w:eastAsia="Aptos" w:hAnsi="Times New Roman" w:cs="Times New Roman"/>
        </w:rPr>
        <w:t>Ministra Rozwoju i Technologii</w:t>
      </w:r>
      <w:r w:rsidRPr="00A555B6">
        <w:rPr>
          <w:rFonts w:ascii="Times New Roman" w:eastAsia="Aptos" w:hAnsi="Times New Roman" w:cs="Times New Roman"/>
        </w:rPr>
        <w:t xml:space="preserve"> w sprawie zmian w systemie stanowienia prawa dotyczącego przedsiębiorców i pracodawców uchwalonego na posiedzeniu w dniu 6 marca 2024 roku, proponuje się wydłużenie vacatio legis w przypadku projektów ustaw, z których wynika zwiększenie obciążeń regulacyjnych dla przedsiębiorców. Przepis miałby zostać wprowadzony w rozdziale 6 </w:t>
      </w:r>
      <w:r w:rsidR="006100AF" w:rsidRPr="00A555B6">
        <w:rPr>
          <w:rFonts w:ascii="Times New Roman" w:eastAsia="Aptos" w:hAnsi="Times New Roman" w:cs="Times New Roman"/>
        </w:rPr>
        <w:t>Pp</w:t>
      </w:r>
      <w:r w:rsidRPr="00A555B6">
        <w:rPr>
          <w:rFonts w:ascii="Times New Roman" w:eastAsia="Aptos" w:hAnsi="Times New Roman" w:cs="Times New Roman"/>
        </w:rPr>
        <w:t>, który reguluje zasady opracowywania projektów aktów normatywnych z zakresu prawa gospodarczego i</w:t>
      </w:r>
      <w:r w:rsidR="006100AF" w:rsidRPr="00A555B6">
        <w:rPr>
          <w:rFonts w:ascii="Times New Roman" w:eastAsia="Aptos" w:hAnsi="Times New Roman" w:cs="Times New Roman"/>
        </w:rPr>
        <w:t> </w:t>
      </w:r>
      <w:r w:rsidRPr="00A555B6">
        <w:rPr>
          <w:rFonts w:ascii="Times New Roman" w:eastAsia="Aptos" w:hAnsi="Times New Roman" w:cs="Times New Roman"/>
        </w:rPr>
        <w:t>miałby on charakter uzupełniający w stosunku do regulacji ustawy z dnia 20 lipca 2000 r. o</w:t>
      </w:r>
      <w:r w:rsidR="006100AF" w:rsidRPr="00A555B6">
        <w:rPr>
          <w:rFonts w:ascii="Times New Roman" w:eastAsia="Aptos" w:hAnsi="Times New Roman" w:cs="Times New Roman"/>
        </w:rPr>
        <w:t> </w:t>
      </w:r>
      <w:r w:rsidRPr="00A555B6">
        <w:rPr>
          <w:rFonts w:ascii="Times New Roman" w:eastAsia="Aptos" w:hAnsi="Times New Roman" w:cs="Times New Roman"/>
        </w:rPr>
        <w:t>ogłaszaniu aktów normatywnych i niektórych innych aktów prawnych. Zgodnie z art. 4 ustawy o</w:t>
      </w:r>
      <w:r w:rsidR="006100AF" w:rsidRPr="00A555B6">
        <w:rPr>
          <w:rFonts w:ascii="Times New Roman" w:eastAsia="Aptos" w:hAnsi="Times New Roman" w:cs="Times New Roman"/>
        </w:rPr>
        <w:t> </w:t>
      </w:r>
      <w:r w:rsidRPr="00A555B6">
        <w:rPr>
          <w:rFonts w:ascii="Times New Roman" w:eastAsia="Aptos" w:hAnsi="Times New Roman" w:cs="Times New Roman"/>
        </w:rPr>
        <w:t>ogłaszaniu aktów normatywnych, akty normatywne zawierające przepisy powszechnie obowiązujące, ogłaszane w</w:t>
      </w:r>
      <w:r w:rsidR="00B976D2" w:rsidRPr="00A555B6">
        <w:rPr>
          <w:rFonts w:ascii="Times New Roman" w:eastAsia="Aptos" w:hAnsi="Times New Roman" w:cs="Times New Roman"/>
        </w:rPr>
        <w:t> </w:t>
      </w:r>
      <w:r w:rsidRPr="00A555B6">
        <w:rPr>
          <w:rFonts w:ascii="Times New Roman" w:eastAsia="Aptos" w:hAnsi="Times New Roman" w:cs="Times New Roman"/>
        </w:rPr>
        <w:t>dziennikach urzędowych, wchodzą w życie co do zasady po upływie 14 dni od dnia ich ogłoszenia, chyba że dany akt normatywny określi termin dłuższy. W uzasadnionych przypadkach akty normatywne mogą wchodzić w życie w terminie krótszym niż czternaście dni, a</w:t>
      </w:r>
      <w:r w:rsidR="00D10478" w:rsidRPr="00A555B6">
        <w:rPr>
          <w:rFonts w:ascii="Times New Roman" w:eastAsia="Aptos" w:hAnsi="Times New Roman" w:cs="Times New Roman"/>
        </w:rPr>
        <w:t> </w:t>
      </w:r>
      <w:r w:rsidRPr="00A555B6">
        <w:rPr>
          <w:rFonts w:ascii="Times New Roman" w:eastAsia="Aptos" w:hAnsi="Times New Roman" w:cs="Times New Roman"/>
        </w:rPr>
        <w:t>jeżeli ważny interes państwa wymaga natychmiastowego wejścia w życie aktu normatywnego i</w:t>
      </w:r>
      <w:r w:rsidR="00D10478" w:rsidRPr="00A555B6">
        <w:rPr>
          <w:rFonts w:ascii="Times New Roman" w:eastAsia="Aptos" w:hAnsi="Times New Roman" w:cs="Times New Roman"/>
        </w:rPr>
        <w:t> </w:t>
      </w:r>
      <w:r w:rsidRPr="00A555B6">
        <w:rPr>
          <w:rFonts w:ascii="Times New Roman" w:eastAsia="Aptos" w:hAnsi="Times New Roman" w:cs="Times New Roman"/>
        </w:rPr>
        <w:t xml:space="preserve">zasady demokratycznego państwa prawnego nie stoją temu na przeszkodzie, dniem wejścia w życie może być dzień ogłoszenia tego aktu w dzienniku urzędowym. </w:t>
      </w:r>
    </w:p>
    <w:p w14:paraId="730B8F00"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Proponowany przepis nakłada na projektodawców ustaw określających zasady prowadzenia działalności gospodarczej, przedkładanych Sejmowi, obowiązek takiego zaprojektowania terminu wejścia w życie ustawy, by nie był on krótszy niż sześć miesięcy od dnia ogłoszenia. Czas potrzebny przedsiębiorcom do przygotowania się do nowych regulacji będzie kluczowy przy wyznaczaniu </w:t>
      </w:r>
      <w:r w:rsidRPr="00A555B6">
        <w:rPr>
          <w:rFonts w:ascii="Times New Roman" w:eastAsia="Aptos" w:hAnsi="Times New Roman" w:cs="Times New Roman"/>
          <w:i/>
          <w:iCs/>
        </w:rPr>
        <w:t>vacatio legis</w:t>
      </w:r>
      <w:r w:rsidRPr="00A555B6">
        <w:rPr>
          <w:rFonts w:ascii="Times New Roman" w:eastAsia="Aptos" w:hAnsi="Times New Roman" w:cs="Times New Roman"/>
        </w:rPr>
        <w:t xml:space="preserve">, przy czym nie będzie to jedyna przesłanka. Wnioskodawca będzie obowiązany rozważać również takie aspekty jak np. konieczność sprawnej realizacji zadań publicznych, czy zapewnienie standardów prowadzenia działalności gospodarczej. Jednocześnie przewidziano możliwość wyjątkowego odstąpienia od wyznaczenia w projekcie minimalnej </w:t>
      </w:r>
      <w:r w:rsidRPr="00A555B6">
        <w:rPr>
          <w:rFonts w:ascii="Times New Roman" w:eastAsia="Aptos" w:hAnsi="Times New Roman" w:cs="Times New Roman"/>
          <w:i/>
          <w:iCs/>
        </w:rPr>
        <w:t>vacatio legis</w:t>
      </w:r>
      <w:r w:rsidRPr="00A555B6">
        <w:rPr>
          <w:rFonts w:ascii="Times New Roman" w:eastAsia="Aptos" w:hAnsi="Times New Roman" w:cs="Times New Roman"/>
        </w:rPr>
        <w:t xml:space="preserve">, gdy przemawia za tym ważny interes publiczny lub gdy wynika to konieczności implementacji lub wykonania przepisów prawa Unii Europejskiej. Odstąpienie od tej zasady będzie mogło mieć zastosowanie w przypadku zmian, które </w:t>
      </w:r>
      <w:r w:rsidRPr="00A555B6">
        <w:rPr>
          <w:rFonts w:ascii="Times New Roman" w:eastAsia="Aptos" w:hAnsi="Times New Roman" w:cs="Times New Roman"/>
        </w:rPr>
        <w:lastRenderedPageBreak/>
        <w:t xml:space="preserve">będą korzystne dla przedsiębiorców. W takich przypadkach w uzasadnieniu projektu ustawy wnioskodawca będzie obowiązany przedstawić przyczyny takiego odstąpienia. </w:t>
      </w:r>
    </w:p>
    <w:p w14:paraId="5CBF688F" w14:textId="77777777" w:rsidR="00CD7198" w:rsidRPr="00A555B6" w:rsidRDefault="00CD7198" w:rsidP="00CD7198">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Wejście w życie projektowanego przepisu będzie wymuszało weryfikację uchwały Rady Ministrów z dnia 18 lutego 2014 r. w sprawie zaleceń ujednolicenia terminów wejścia w życie niektórych aktów normatywnych (M.P. poz. 205).</w:t>
      </w:r>
    </w:p>
    <w:p w14:paraId="1D79E92B"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usprawnienia w zakresie bieżącego przeglądu prawa gospodarczego.</w:t>
      </w:r>
    </w:p>
    <w:p w14:paraId="68F2CBE5"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Zmiana brzmienia art. 70 ma na celu usprawnienie procesu dokonywania bieżących przeglądów prawa gospodarczego. W szczególności wskazano ministra właściwego do spraw gospodarki jako organ, któremu przedkładane są informacje o działaniach podjętych przez ministrów kierujących działami administracji rządowej, oraz określono kategorie informacji przez nich przekazywanych (wskazanie aktów normatywnych, które wpływają na mikroprzedsiębiorców, małych i średnich przedsiębiorców oraz wskazanie aktów normatywnych, które nakładają na przedsiębiorców obowiązki administracyjne, w tym obowiązki informacyjne). Informacje takie stanowią również element swoistego programowania pracy Rady Ministrów (wskazanie aktów normatywnych, w stosunku do których zaplanowano przeprowadzenie oceny ich funkcjonowania lub oceny funkcjonowania ich części). Zakres informacji opiera się na i wynika z kilkuletnich doświadczeń związanych z dokonywaniem bieżącego przeglądu prawa gospodarczego.</w:t>
      </w:r>
    </w:p>
    <w:p w14:paraId="4584EFA6" w14:textId="209B9F70"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Projekt wprowadza rozwiązania pozwalające na elastyczne ustalenie i publikację w BIP wzoru formularza informacji </w:t>
      </w:r>
      <w:r w:rsidR="00CD7198" w:rsidRPr="00A555B6">
        <w:rPr>
          <w:rFonts w:ascii="Times New Roman" w:eastAsia="Aptos" w:hAnsi="Times New Roman" w:cs="Times New Roman"/>
        </w:rPr>
        <w:t>przez</w:t>
      </w:r>
      <w:r w:rsidRPr="00A555B6">
        <w:rPr>
          <w:rFonts w:ascii="Times New Roman" w:eastAsia="Aptos" w:hAnsi="Times New Roman" w:cs="Times New Roman"/>
        </w:rPr>
        <w:t xml:space="preserve"> ministra właściwego do spraw gospodarki. Rozwiązanie to wzorowane jest na mechanizmie określonym w art. 4 ust. 18 ustawy z dnia 12 marca 2022 r. o pomocy obywatelom Ukrainy w związku z konfliktem zbrojnym na terytorium tego państwa i ma – w założeniu – usprawnić i ustandaryzować proces realizacji obowiązku informacyjnego nałożonego na ministrów kierujących działami administracji rządowej. </w:t>
      </w:r>
    </w:p>
    <w:p w14:paraId="17EA9CE2" w14:textId="7A04EF89"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Proponowane zmiany art. 70 dookreślają postępowanie z uzyskanymi w ten sposób informacjami. Przewidziano w szczególności, że informacje o działaniach związanych z bieżącym przeglądem przekazuje się podmiotom, które w systemie prawnym wyposażone są w kompetencje związane z</w:t>
      </w:r>
      <w:r w:rsidR="00D10478" w:rsidRPr="00A555B6">
        <w:rPr>
          <w:rFonts w:ascii="Times New Roman" w:eastAsia="Aptos" w:hAnsi="Times New Roman" w:cs="Times New Roman"/>
        </w:rPr>
        <w:t> </w:t>
      </w:r>
      <w:r w:rsidRPr="00A555B6">
        <w:rPr>
          <w:rFonts w:ascii="Times New Roman" w:eastAsia="Aptos" w:hAnsi="Times New Roman" w:cs="Times New Roman"/>
        </w:rPr>
        <w:t xml:space="preserve">oceną praktyki legislacyjnej. Wśród tych podmiotów wskazano: </w:t>
      </w:r>
    </w:p>
    <w:p w14:paraId="1E913AF5" w14:textId="3189E823" w:rsidR="003E3BBC" w:rsidRPr="00A555B6" w:rsidRDefault="003E3BBC" w:rsidP="005F08BF">
      <w:pPr>
        <w:numPr>
          <w:ilvl w:val="0"/>
          <w:numId w:val="31"/>
        </w:numPr>
        <w:spacing w:before="120" w:after="120" w:line="360" w:lineRule="auto"/>
        <w:ind w:left="284" w:firstLine="0"/>
        <w:contextualSpacing/>
        <w:jc w:val="both"/>
        <w:rPr>
          <w:rFonts w:ascii="Times New Roman" w:eastAsia="Aptos" w:hAnsi="Times New Roman" w:cs="Times New Roman"/>
        </w:rPr>
      </w:pPr>
      <w:r w:rsidRPr="00A555B6">
        <w:rPr>
          <w:rFonts w:ascii="Times New Roman" w:eastAsia="Aptos" w:hAnsi="Times New Roman" w:cs="Times New Roman"/>
        </w:rPr>
        <w:t xml:space="preserve">Radę Dialogu Społecznego, o której mowa w ustawie z dnia 24 lipca 2015 r. o Radzie Dialogu Społecznego i innych instytucjach dialogu społecznego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ze względu na rolę forum trójstronnej współpracy i reprezentację osób wykonujących pracę zarobkową, </w:t>
      </w:r>
    </w:p>
    <w:p w14:paraId="448F8CF7" w14:textId="77777777" w:rsidR="003E3BBC" w:rsidRPr="00A555B6" w:rsidRDefault="003E3BBC" w:rsidP="005F08BF">
      <w:pPr>
        <w:numPr>
          <w:ilvl w:val="0"/>
          <w:numId w:val="31"/>
        </w:numPr>
        <w:spacing w:before="120" w:after="120" w:line="360" w:lineRule="auto"/>
        <w:ind w:left="284" w:firstLine="0"/>
        <w:contextualSpacing/>
        <w:jc w:val="both"/>
        <w:rPr>
          <w:rFonts w:ascii="Times New Roman" w:eastAsia="Aptos" w:hAnsi="Times New Roman" w:cs="Times New Roman"/>
        </w:rPr>
      </w:pPr>
      <w:r w:rsidRPr="00A555B6">
        <w:rPr>
          <w:rFonts w:ascii="Times New Roman" w:eastAsia="Aptos" w:hAnsi="Times New Roman" w:cs="Times New Roman"/>
        </w:rPr>
        <w:t xml:space="preserve">Radę Legislacyjną, o której mowa w ustawie z dnia 8 sierpnia 1996 r. o Radzie Ministrów – ze względu na zadania Rady, polegające w szczególności na dokonywaniu ocen stosowania obowiązującego prawa pod względem jego spójności, skuteczności i właściwego regulowania zjawisk społecznych, </w:t>
      </w:r>
    </w:p>
    <w:p w14:paraId="521FAFE7" w14:textId="77777777" w:rsidR="003E3BBC" w:rsidRPr="00A555B6" w:rsidRDefault="003E3BBC" w:rsidP="005F08BF">
      <w:pPr>
        <w:numPr>
          <w:ilvl w:val="0"/>
          <w:numId w:val="31"/>
        </w:numPr>
        <w:spacing w:before="120" w:after="120" w:line="360" w:lineRule="auto"/>
        <w:ind w:left="284" w:firstLine="0"/>
        <w:contextualSpacing/>
        <w:jc w:val="both"/>
        <w:rPr>
          <w:rFonts w:ascii="Times New Roman" w:eastAsia="Aptos" w:hAnsi="Times New Roman" w:cs="Times New Roman"/>
        </w:rPr>
      </w:pPr>
      <w:r w:rsidRPr="00A555B6">
        <w:rPr>
          <w:rFonts w:ascii="Times New Roman" w:eastAsia="Aptos" w:hAnsi="Times New Roman" w:cs="Times New Roman"/>
        </w:rPr>
        <w:lastRenderedPageBreak/>
        <w:t>Radę Pożytku Publicznego, o której mowa w ustawie z dnia 24 kwietnia 2003 r. o działalności pożytku publicznego i o wolontariacie – ze względu na zadania Rady polegające na wyrażaniu opinii o projektach aktów prawnych oraz programach rządowych, związanych z funkcjonowaniem organizacji pozarządowych, gdy wiele z takich organizacji prowadzi działalność gospodarczą,</w:t>
      </w:r>
    </w:p>
    <w:p w14:paraId="24AC1865" w14:textId="77777777" w:rsidR="003E3BBC" w:rsidRPr="00A555B6" w:rsidRDefault="003E3BBC" w:rsidP="005F08BF">
      <w:pPr>
        <w:numPr>
          <w:ilvl w:val="0"/>
          <w:numId w:val="31"/>
        </w:numPr>
        <w:spacing w:before="120" w:after="120" w:line="360" w:lineRule="auto"/>
        <w:ind w:left="284" w:firstLine="0"/>
        <w:contextualSpacing/>
        <w:jc w:val="both"/>
        <w:rPr>
          <w:rFonts w:ascii="Times New Roman" w:eastAsia="Aptos" w:hAnsi="Times New Roman" w:cs="Times New Roman"/>
        </w:rPr>
      </w:pPr>
      <w:r w:rsidRPr="00A555B6">
        <w:rPr>
          <w:rFonts w:ascii="Times New Roman" w:eastAsia="Aptos" w:hAnsi="Times New Roman" w:cs="Times New Roman"/>
        </w:rPr>
        <w:t>Rzecznika Małych i Średnich Przedsiębiorców, który – zgodnie z art. 16 ust. 1 Pp – stoi na straży praw mikroprzedsiębiorców oraz małych i średnich przedsiębiorców, a także dysponuje określonymi kompetencjami w zakresie wnioskowania o przygotowanie oceny funkcjonowania aktów normatywnych z zakresu prawa gospodarczego.</w:t>
      </w:r>
    </w:p>
    <w:p w14:paraId="7930AE9C" w14:textId="77777777"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Zakłada się, że informacje przygotowane przez ministrów kierujących działami administracji rządowej, które będą przekazywane ministrowi właściwemu do spraw gospodarki, będą przekazane ww. podmiotom – w celu umożliwienia im wyrażenia stanowiska lub opinii w terminie nie krótszym niż 30 dni. Informacje przedkładane ministrowi właściwemu do spraw gospodarki, a także stanowiska oraz opinie zgłoszone do takich informacji, będą publikowane w Biuletynie Informacji Publicznej tego organu.</w:t>
      </w:r>
    </w:p>
    <w:p w14:paraId="5BA7814B" w14:textId="77777777" w:rsidR="003E3BBC" w:rsidRPr="00A555B6" w:rsidRDefault="003E3BBC" w:rsidP="003E3BBC">
      <w:pPr>
        <w:numPr>
          <w:ilvl w:val="0"/>
          <w:numId w:val="32"/>
        </w:numPr>
        <w:spacing w:before="120" w:after="120" w:line="360" w:lineRule="auto"/>
        <w:contextualSpacing/>
        <w:jc w:val="both"/>
        <w:rPr>
          <w:rFonts w:ascii="Times New Roman" w:eastAsia="Aptos" w:hAnsi="Times New Roman" w:cs="Times New Roman"/>
        </w:rPr>
      </w:pPr>
      <w:r w:rsidRPr="00A555B6">
        <w:rPr>
          <w:rFonts w:ascii="Times New Roman" w:eastAsia="Aptos" w:hAnsi="Times New Roman" w:cs="Times New Roman"/>
        </w:rPr>
        <w:t>program regulacyjny.</w:t>
      </w:r>
    </w:p>
    <w:p w14:paraId="4D8B932F" w14:textId="03249E77" w:rsidR="00D42CA2" w:rsidRPr="00A555B6" w:rsidRDefault="003E3BBC" w:rsidP="00D42CA2">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Dodatkowo, w celu zapewnienia ciągłej poprawy jakości regulacji proponuje się wprowadzenie programu regulacyjnego. Przewiduje się uregulowanie programu w nowym rozdziale 6a Pp. Program określałby priorytetowe działania w </w:t>
      </w:r>
      <w:r w:rsidR="00CD7198" w:rsidRPr="00A555B6">
        <w:rPr>
          <w:rFonts w:ascii="Times New Roman" w:eastAsia="Aptos" w:hAnsi="Times New Roman" w:cs="Times New Roman"/>
        </w:rPr>
        <w:t>zakresie</w:t>
      </w:r>
      <w:r w:rsidRPr="00A555B6">
        <w:rPr>
          <w:rFonts w:ascii="Times New Roman" w:eastAsia="Aptos" w:hAnsi="Times New Roman" w:cs="Times New Roman"/>
        </w:rPr>
        <w:t xml:space="preserve"> kształtowania otoczenia prawnego wykonywania działalności gospodarczej. Program taki powinien uwzględniać wyniki dokonanego przeglądu funkcjonowania aktów normatywnych pozostających w sferze prawa gospodarczego i powinien obejmować planowane działania w zakresie zmniejszania obciążeń regulacyjnych oraz dokonywania oceny funkcjonowania aktów normatywnych.</w:t>
      </w:r>
      <w:r w:rsidR="00D42CA2" w:rsidRPr="00A555B6">
        <w:rPr>
          <w:rFonts w:ascii="Times New Roman" w:eastAsia="Aptos" w:hAnsi="Times New Roman" w:cs="Times New Roman"/>
        </w:rPr>
        <w:t xml:space="preserve"> Wcześniej omówione rozwiązania w zakresie projektowania oceny funkcjonowania aktu normatywnego oraz obowiązkowej oceny funkcjonowania aktu normatywnego (w przypadku braku konsultacji publicznych), a także uwzględnienie problematyki planowanych ocen funkcjonowania aktów normatywnych w ramach przeglądu prawa gospodarczego (na podstawie art 70 PP) dotyczą projektowania OSR ex post w odniesieniu do konkretnych, indywidualnie ujętych aktów normatywnych. </w:t>
      </w:r>
      <w:r w:rsidR="00CD7198" w:rsidRPr="00A555B6">
        <w:rPr>
          <w:rFonts w:ascii="Times New Roman" w:eastAsia="Aptos" w:hAnsi="Times New Roman" w:cs="Times New Roman"/>
        </w:rPr>
        <w:t xml:space="preserve">Założeniem projektowanego przepisu </w:t>
      </w:r>
      <w:r w:rsidR="00D42CA2" w:rsidRPr="00A555B6">
        <w:rPr>
          <w:rFonts w:ascii="Times New Roman" w:eastAsia="Aptos" w:hAnsi="Times New Roman" w:cs="Times New Roman"/>
        </w:rPr>
        <w:t xml:space="preserve">w zakresie programu regulacyjnego </w:t>
      </w:r>
      <w:r w:rsidR="00CD7198" w:rsidRPr="00A555B6">
        <w:rPr>
          <w:rFonts w:ascii="Times New Roman" w:eastAsia="Aptos" w:hAnsi="Times New Roman" w:cs="Times New Roman"/>
        </w:rPr>
        <w:t>jest m.in. umożliwienie zaplanowania i przeprowadzenia oceny funkcjonowania aktów normatywnych,</w:t>
      </w:r>
      <w:r w:rsidR="00D42CA2" w:rsidRPr="00A555B6">
        <w:rPr>
          <w:rFonts w:ascii="Times New Roman" w:eastAsia="Aptos" w:hAnsi="Times New Roman" w:cs="Times New Roman"/>
        </w:rPr>
        <w:t xml:space="preserve"> w stosunku do których nie rozstrzygnięto o ewaluacji, np. ze względu na to, że</w:t>
      </w:r>
      <w:r w:rsidR="00CD7198" w:rsidRPr="00A555B6">
        <w:rPr>
          <w:rFonts w:ascii="Times New Roman" w:eastAsia="Aptos" w:hAnsi="Times New Roman" w:cs="Times New Roman"/>
        </w:rPr>
        <w:t xml:space="preserve"> zaczęły obowiązywać przed wejściem w życie projektowanych przepisów rozstrzygających o konieczności przeprowadzenia oceny funkcjonowania danego aktu. Założeniem było również to, aby w ramach koordynacji przygotowywania oceny funkcjonowania aktów normatywnych możliwa była konsolidacja oceny funkcjonowania różnych ustaw w ramach określonych grup aktów normatywnych (np. związanych ze sobą funkcjonalnie, regulujących podobne dziedziny życia gospodarczego, itp.). </w:t>
      </w:r>
      <w:r w:rsidR="00D42CA2" w:rsidRPr="00A555B6">
        <w:rPr>
          <w:rFonts w:ascii="Times New Roman" w:eastAsia="Aptos" w:hAnsi="Times New Roman" w:cs="Times New Roman"/>
        </w:rPr>
        <w:t xml:space="preserve">Przyjmując program regulacyjny Rada Ministrów może podjąć decyzje o konieczności przeprowadzenia OSR ex post w stosunku do aktów normatywnych, wobec których </w:t>
      </w:r>
      <w:r w:rsidR="00D42CA2" w:rsidRPr="00A555B6">
        <w:rPr>
          <w:rFonts w:ascii="Times New Roman" w:eastAsia="Aptos" w:hAnsi="Times New Roman" w:cs="Times New Roman"/>
        </w:rPr>
        <w:lastRenderedPageBreak/>
        <w:t xml:space="preserve">wcześniej nie planowano dokonania takiej oceny, może również zdecydować o warunkach przeprowadzenia oceny danego aktu lub jego części, zmieniając wcześniejsze ustalenia podjęte w takim zakresie. </w:t>
      </w:r>
    </w:p>
    <w:p w14:paraId="68B9221B" w14:textId="5E10125B" w:rsidR="003E3BBC" w:rsidRPr="00A555B6" w:rsidRDefault="003E3BBC" w:rsidP="003E3BBC">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 xml:space="preserve">Projektowany program regulacyjny, podobnie jak przyjmowana na podstawie ustawy z dnia 11 września 2019 r. – Prawo zamówień publicznych </w:t>
      </w:r>
      <w:r w:rsidR="00E67D4F" w:rsidRPr="00A555B6">
        <w:rPr>
          <w:rFonts w:ascii="Times New Roman" w:eastAsia="Aptos" w:hAnsi="Times New Roman" w:cs="Times New Roman"/>
        </w:rPr>
        <w:t xml:space="preserve">(dalej: Pzp) </w:t>
      </w:r>
      <w:r w:rsidRPr="00A555B6">
        <w:rPr>
          <w:rFonts w:ascii="Times New Roman" w:eastAsia="Aptos" w:hAnsi="Times New Roman" w:cs="Times New Roman"/>
        </w:rPr>
        <w:t xml:space="preserve">polityka zakupowa państwa, nie będzie dokumentem wydawanym na podstawie ustawy o zasadach prowadzenia polityki rozwoju. Nie będzie on spełniał przesłanek definicji programów, określonej w art. 15 ust. 4 ustawy z dnia 6 grudnia 2006 r. o zasadach prowadzenia polityki rozwoju. Nie będzie to program operacyjny ani program rozwoju, gdyż nie będzie realizował celów zawartych w strategiach rozwoju, ani nie będzie programem wieloletnim, o którym mowa w przepisach o finansach publicznych. </w:t>
      </w:r>
      <w:r w:rsidR="00CD7198" w:rsidRPr="00A555B6">
        <w:rPr>
          <w:rFonts w:ascii="Times New Roman" w:eastAsia="Aptos" w:hAnsi="Times New Roman" w:cs="Times New Roman"/>
        </w:rPr>
        <w:t xml:space="preserve">Planuje się cykliczne opracowywanie Programu, raz na 4 lata. </w:t>
      </w:r>
      <w:r w:rsidR="00EB57C8" w:rsidRPr="00A555B6">
        <w:rPr>
          <w:rFonts w:ascii="Times New Roman" w:hAnsi="Times New Roman" w:cs="Times New Roman"/>
        </w:rPr>
        <w:t>Będzie to dokument zatwierdzany przez Radę Ministrów, na wniosek ministra właściwego do spraw gospodarki. Zgodnie z propozycją Rady Legislacyjnej, program regulacyjny będzie przyjmowany w drodze uchwały Rady Ministrów, ogłaszanej na ogólnych zasadach w Dzienniku Urzędowym Rzeczypospolitej Polskiej „Monitor Polski”.</w:t>
      </w:r>
      <w:r w:rsidR="00EB57C8" w:rsidRPr="00A555B6">
        <w:rPr>
          <w:rFonts w:ascii="Times New Roman" w:eastAsia="Aptos" w:hAnsi="Times New Roman" w:cs="Times New Roman"/>
        </w:rPr>
        <w:t xml:space="preserve"> </w:t>
      </w:r>
      <w:r w:rsidR="00CD7198" w:rsidRPr="00A555B6">
        <w:rPr>
          <w:rFonts w:ascii="Times New Roman" w:eastAsia="Aptos" w:hAnsi="Times New Roman" w:cs="Times New Roman"/>
        </w:rPr>
        <w:t>D</w:t>
      </w:r>
      <w:r w:rsidRPr="00A555B6">
        <w:rPr>
          <w:rFonts w:ascii="Times New Roman" w:eastAsia="Aptos" w:hAnsi="Times New Roman" w:cs="Times New Roman"/>
        </w:rPr>
        <w:t>okument będzie przedstawiany Sejmowi i</w:t>
      </w:r>
      <w:r w:rsidR="00B976D2" w:rsidRPr="00A555B6">
        <w:rPr>
          <w:rFonts w:ascii="Times New Roman" w:eastAsia="Aptos" w:hAnsi="Times New Roman" w:cs="Times New Roman"/>
        </w:rPr>
        <w:t> </w:t>
      </w:r>
      <w:r w:rsidRPr="00A555B6">
        <w:rPr>
          <w:rFonts w:ascii="Times New Roman" w:eastAsia="Aptos" w:hAnsi="Times New Roman" w:cs="Times New Roman"/>
        </w:rPr>
        <w:t>Senatowi oraz udostępniany na stronie urzędu obsługującego ministra właściwego do spraw gospodarki. Doświadczenia z realizacji bieżącego przeglądu prawa gospodarczego zgodnie z art. 70 ust. 1 i oceny projektowanych rozwiązań zgodnie z art. 68a ust. 1 będą stanowiły podstawę do wypracowania konkretnych działań, w tym o</w:t>
      </w:r>
      <w:r w:rsidR="006100AF" w:rsidRPr="00A555B6">
        <w:rPr>
          <w:rFonts w:ascii="Times New Roman" w:eastAsia="Aptos" w:hAnsi="Times New Roman" w:cs="Times New Roman"/>
        </w:rPr>
        <w:t> </w:t>
      </w:r>
      <w:r w:rsidRPr="00A555B6">
        <w:rPr>
          <w:rFonts w:ascii="Times New Roman" w:eastAsia="Aptos" w:hAnsi="Times New Roman" w:cs="Times New Roman"/>
        </w:rPr>
        <w:t>charakterze pozalegislacyjnym, które znajdą się w programie regulacyjnym. Dokument ten będzie stanowił jednocześnie potwierdzenie wdrażania rekomendacji OECD dot. polityki regulacyjnej i</w:t>
      </w:r>
      <w:r w:rsidR="006100AF" w:rsidRPr="00A555B6">
        <w:rPr>
          <w:rFonts w:ascii="Times New Roman" w:eastAsia="Aptos" w:hAnsi="Times New Roman" w:cs="Times New Roman"/>
        </w:rPr>
        <w:t> </w:t>
      </w:r>
      <w:r w:rsidRPr="00A555B6">
        <w:rPr>
          <w:rFonts w:ascii="Times New Roman" w:eastAsia="Aptos" w:hAnsi="Times New Roman" w:cs="Times New Roman"/>
        </w:rPr>
        <w:t>zarządzania, które m.in. zobowiązują do przyjęcia jasnej ogólnej polityki rządu w zakresie jakości regulacji</w:t>
      </w:r>
      <w:r w:rsidRPr="00A555B6">
        <w:rPr>
          <w:rFonts w:ascii="Times New Roman" w:eastAsia="Aptos" w:hAnsi="Times New Roman" w:cs="Times New Roman"/>
          <w:vertAlign w:val="superscript"/>
        </w:rPr>
        <w:footnoteReference w:id="11"/>
      </w:r>
      <w:r w:rsidRPr="00A555B6">
        <w:rPr>
          <w:rFonts w:ascii="Times New Roman" w:eastAsia="Aptos" w:hAnsi="Times New Roman" w:cs="Times New Roman"/>
        </w:rPr>
        <w:t xml:space="preserve">. </w:t>
      </w:r>
    </w:p>
    <w:p w14:paraId="4BC5C74A" w14:textId="32EF8B38" w:rsidR="00D42CA2" w:rsidRPr="00A555B6" w:rsidRDefault="00D42CA2" w:rsidP="00D42CA2">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Zgodnie z projektem minister właściwy do spraw gospodarki koordynuje realizację programu, co oznacza m.in. konieczność upowszechniania standardów i rekomendacji w zakresie objętym programem, gromadzenia i analizowania informacji związanych z inicjatywami legislacyjnymi, przygotowywanie i przedstawianie informacji w ramach zobowiązań Rzeczypospolitej Polskiej wynikających m.in. z członkostwa Polski w OECD, jak w szczególności w ramach okresowego przedstawiania przez państwa członkowskie informacji w badaniu iREG, na podstawie którego opracowywane i publikowane są co trzy lata raporty Regulatory Policy Outlook. Raport podsumowuje działania we wszystkich państwach członkowskich i wskazuje miejsca poszczególnych państw w rankingach. Ze względu na objęcie programem regulacyjnym również problematyki zmniejszania obciążeń regulacyjnych - koordynacja ministra właściwego do spraw gospodarki będzie polegała również na przedstawianiu rekomendacji i standardów w tym zakresie (z uwzględnieniem określonych w programie priorytetów rządu) w toku rządowego procesu legislacyjnego.</w:t>
      </w:r>
    </w:p>
    <w:p w14:paraId="163B8352" w14:textId="75F7361C" w:rsidR="00F02C59" w:rsidRDefault="00F02C59" w:rsidP="00F02C59">
      <w:pPr>
        <w:spacing w:before="120" w:after="120" w:line="360" w:lineRule="auto"/>
        <w:jc w:val="both"/>
        <w:rPr>
          <w:rFonts w:ascii="Times New Roman" w:eastAsia="Aptos" w:hAnsi="Times New Roman" w:cs="Times New Roman"/>
        </w:rPr>
      </w:pPr>
      <w:r w:rsidRPr="00A555B6" w:rsidDel="0084275E">
        <w:rPr>
          <w:rFonts w:ascii="Times New Roman" w:eastAsia="Aptos" w:hAnsi="Times New Roman" w:cs="Times New Roman"/>
        </w:rPr>
        <w:lastRenderedPageBreak/>
        <w:t xml:space="preserve">Uregulowanie w Pp zasad opracowywania i przyjmowania programu ma także na celu spójną prezentację wszystkich działań ukierunkowanych na zapewnienie wysokiej jakości stanowionego prawa gospodarczego w jednym akcie prawnym. </w:t>
      </w:r>
    </w:p>
    <w:p w14:paraId="7586DF5D" w14:textId="77777777" w:rsidR="004B68BF" w:rsidRPr="00A555B6" w:rsidRDefault="004B68BF" w:rsidP="004B68BF">
      <w:pPr>
        <w:pStyle w:val="Styl1"/>
        <w:spacing w:before="120" w:after="120" w:line="360" w:lineRule="auto"/>
      </w:pPr>
      <w:bookmarkStart w:id="55" w:name="_Toc174689325"/>
      <w:r w:rsidRPr="00A555B6">
        <w:t>Ustawa z dnia 6 marca 2018 r. o Centralnej Ewidencji i Informacji o Działalności Gospodarczej i Punkcie Informacji dla Przedsiębiorcy</w:t>
      </w:r>
      <w:bookmarkEnd w:id="55"/>
      <w:r w:rsidRPr="00A555B6">
        <w:t xml:space="preserve">  </w:t>
      </w:r>
    </w:p>
    <w:p w14:paraId="5233DADC" w14:textId="77777777" w:rsidR="004B68BF" w:rsidRPr="00A555B6" w:rsidRDefault="004B68BF" w:rsidP="004B68BF">
      <w:pPr>
        <w:spacing w:before="120" w:after="120" w:line="360" w:lineRule="auto"/>
        <w:jc w:val="both"/>
        <w:rPr>
          <w:rFonts w:ascii="Times New Roman" w:hAnsi="Times New Roman" w:cs="Times New Roman"/>
        </w:rPr>
      </w:pPr>
      <w:r w:rsidRPr="00A555B6">
        <w:rPr>
          <w:rFonts w:ascii="Times New Roman" w:hAnsi="Times New Roman" w:cs="Times New Roman"/>
        </w:rPr>
        <w:t>W związku ze zmianą polegającą na dodaniu art. 30a do ustawy z dnia 6 marca 2018 r. – Prawo przedsiębiorców, art. 41 ustawy z dnia 6 marca 2018 r. o Centralnej Ewidencji i Informacji o Działalności Gospodarczej i Punkcie Informacji dla Przedsiębiorcy staje się bezprzedmiotowy i powinien zostać uchylony.</w:t>
      </w:r>
    </w:p>
    <w:p w14:paraId="36D45C4E" w14:textId="77777777" w:rsidR="004B68BF" w:rsidRPr="00A555B6" w:rsidDel="0084275E" w:rsidRDefault="004B68BF" w:rsidP="00F02C59">
      <w:pPr>
        <w:spacing w:before="120" w:after="120" w:line="360" w:lineRule="auto"/>
        <w:jc w:val="both"/>
        <w:rPr>
          <w:rFonts w:ascii="Times New Roman" w:eastAsia="Aptos" w:hAnsi="Times New Roman" w:cs="Times New Roman"/>
        </w:rPr>
      </w:pPr>
    </w:p>
    <w:p w14:paraId="1ECF2F3C" w14:textId="1B21D01F" w:rsidR="006338E8" w:rsidRPr="00A555B6" w:rsidRDefault="006338E8" w:rsidP="004E6FE9">
      <w:pPr>
        <w:pStyle w:val="Styl1"/>
        <w:spacing w:before="120" w:after="120" w:line="360" w:lineRule="auto"/>
      </w:pPr>
      <w:bookmarkStart w:id="56" w:name="_Toc174689326"/>
      <w:r w:rsidRPr="00A555B6">
        <w:t>Ustawa z dnia 6 marca 2018 r. o Rzeczniku Małych i Średnich Przedsiębiorców</w:t>
      </w:r>
      <w:bookmarkEnd w:id="56"/>
    </w:p>
    <w:p w14:paraId="6D191010" w14:textId="1FEA080C" w:rsidR="00B560BF" w:rsidRPr="00A555B6" w:rsidRDefault="00B560BF" w:rsidP="001A7C2E">
      <w:pPr>
        <w:spacing w:before="120" w:after="120" w:line="360" w:lineRule="auto"/>
        <w:jc w:val="both"/>
        <w:rPr>
          <w:rFonts w:ascii="Times New Roman" w:hAnsi="Times New Roman" w:cs="Times New Roman"/>
        </w:rPr>
      </w:pPr>
      <w:r w:rsidRPr="00A555B6">
        <w:rPr>
          <w:rFonts w:ascii="Times New Roman" w:hAnsi="Times New Roman" w:cs="Times New Roman"/>
        </w:rPr>
        <w:t>Zmiana w ww. ustawie jest konieczna dla usunięcia deficytu regulacji prawnych odnoszących się do zasad procesowych uczestnictwa Rzecznika Małych i Średnich Przedsiębiorców – zwanego dalej „Rzecznikiem MŚP”, w postępowaniu w sprawie skargi nadzwyczajnej przed Sądem Najwyższym. W</w:t>
      </w:r>
      <w:r w:rsidR="00D10478" w:rsidRPr="00A555B6">
        <w:rPr>
          <w:rFonts w:ascii="Times New Roman" w:hAnsi="Times New Roman" w:cs="Times New Roman"/>
        </w:rPr>
        <w:t> </w:t>
      </w:r>
      <w:r w:rsidRPr="00A555B6">
        <w:rPr>
          <w:rFonts w:ascii="Times New Roman" w:hAnsi="Times New Roman" w:cs="Times New Roman"/>
        </w:rPr>
        <w:t>praktyce funkcjonowania Rzecznika MŚP zarysowały się istotne problemy interpretacyjne dotyczące wymienionego powyżej przepisu prawa skutkujące powstaniem istotnej bariery przy wykonywaniu przez Rzecznika MŚP jego ustawowych uprawnień. Dostrzeżony problem wybrzmiał na kanwie kilku orzeczeń Sądu Najwyższego w przedmiocie kosztów postępowania, zapadłych w identycznych (w tym zakresie) stanach faktycznych</w:t>
      </w:r>
      <w:r w:rsidR="001A7C2E" w:rsidRPr="00A555B6">
        <w:rPr>
          <w:rFonts w:ascii="Times New Roman" w:hAnsi="Times New Roman" w:cs="Times New Roman"/>
        </w:rPr>
        <w:t>.</w:t>
      </w:r>
    </w:p>
    <w:p w14:paraId="51915D31" w14:textId="77777777" w:rsidR="004D44C4" w:rsidRPr="00A555B6" w:rsidRDefault="004D44C4" w:rsidP="004D44C4">
      <w:pPr>
        <w:spacing w:before="120" w:after="120" w:line="360" w:lineRule="auto"/>
        <w:jc w:val="both"/>
        <w:rPr>
          <w:rFonts w:ascii="Times New Roman" w:hAnsi="Times New Roman" w:cs="Times New Roman"/>
        </w:rPr>
      </w:pPr>
      <w:r w:rsidRPr="00A555B6">
        <w:rPr>
          <w:rFonts w:ascii="Times New Roman" w:hAnsi="Times New Roman" w:cs="Times New Roman"/>
        </w:rPr>
        <w:t>Podobne rozwiązania przewidziane są już w obecnym systemie prawnym w odniesieniu do innych organów ochrony, w tym Rzecznika Praw Obywatelskich czy Rzecznika Praw Dziecka (zob. art. 398</w:t>
      </w:r>
      <w:r w:rsidRPr="00A555B6">
        <w:rPr>
          <w:rFonts w:ascii="Times New Roman" w:hAnsi="Times New Roman" w:cs="Times New Roman"/>
          <w:vertAlign w:val="superscript"/>
        </w:rPr>
        <w:t>18</w:t>
      </w:r>
      <w:r w:rsidRPr="00A555B6">
        <w:rPr>
          <w:rFonts w:ascii="Times New Roman" w:hAnsi="Times New Roman" w:cs="Times New Roman"/>
        </w:rPr>
        <w:t xml:space="preserve"> Kpc oraz art. 95 pkt 1 ustawy z dnia 8 grudnia 2017 r. o Sądzie Najwyższym). Rzecznik MŚP posiada uprawnienie do wnoszenia skargi nadzwyczajnej (zob. art. 9 ust. 1 pkt 6 ustawy z dnia 6 marca 2018 r. o Rzeczniku Małych i Średnich Przedsiębiorców), nie posiada natomiast generalnego umocowania do wnoszenia skargi kasacyjnej – to ostatnie jest jednak możliwe w przypadkach dot. postępowań z zakresu zamówień publicznych (zob. art. 505 ust. 2 w zw. z art. 590 ust. 1 i 2 ustawy z dnia 11 września 2019 r. - Prawo zamówień publicznych).</w:t>
      </w:r>
    </w:p>
    <w:p w14:paraId="3731F339" w14:textId="5EEC57DF" w:rsidR="006338E8" w:rsidRPr="00A555B6" w:rsidRDefault="006338E8" w:rsidP="004E6FE9">
      <w:pPr>
        <w:pStyle w:val="Styl1"/>
        <w:spacing w:before="120" w:after="120" w:line="360" w:lineRule="auto"/>
      </w:pPr>
      <w:bookmarkStart w:id="57" w:name="_Toc174689327"/>
      <w:bookmarkStart w:id="58" w:name="_Hlk174514487"/>
      <w:r w:rsidRPr="00A555B6">
        <w:t>Ustawa z dnia 11 września 2019 r. – Prawo zamówień publicznych</w:t>
      </w:r>
      <w:bookmarkEnd w:id="57"/>
    </w:p>
    <w:bookmarkEnd w:id="58"/>
    <w:p w14:paraId="3EF4E066" w14:textId="77777777" w:rsidR="006A0481" w:rsidRPr="00A555B6" w:rsidRDefault="006A0481" w:rsidP="006A0481">
      <w:pPr>
        <w:pStyle w:val="Akapitzlist"/>
        <w:numPr>
          <w:ilvl w:val="0"/>
          <w:numId w:val="36"/>
        </w:numPr>
        <w:spacing w:before="120" w:after="120" w:line="360" w:lineRule="auto"/>
        <w:jc w:val="both"/>
        <w:rPr>
          <w:rFonts w:ascii="Times New Roman" w:hAnsi="Times New Roman" w:cs="Times New Roman"/>
        </w:rPr>
      </w:pPr>
      <w:r w:rsidRPr="00A555B6">
        <w:rPr>
          <w:rFonts w:ascii="Times New Roman" w:hAnsi="Times New Roman" w:cs="Times New Roman"/>
        </w:rPr>
        <w:t>Zmiana art. 11 ust. 1 pkt 8 oraz dodanie pkt 8a Pzp.</w:t>
      </w:r>
    </w:p>
    <w:p w14:paraId="5351715C" w14:textId="77777777" w:rsidR="006A0481" w:rsidRPr="00A555B6" w:rsidRDefault="006A0481" w:rsidP="006A0481">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 xml:space="preserve">Zgodnie z obowiązującym brzmieniem art. 11 ust. 1 pkt 8, spod stosowania Pzp wyłączone są pożyczki lub kredyty, bez względu na to, czy wiążą się one z emisją, sprzedażą, kupnem lub zbyciem papierów wartościowych lub innych instrumentów finansowych w rozumieniu ustawy z dnia 29 lipca 2005 r. o obrocie instrumentami finansowymi, z wyjątkiem kredytów zaciąganych przez jednostki samorządu terytorialnego w ramach limitów zobowiązań określonych w uchwale budżetowej. Tym samym, </w:t>
      </w:r>
      <w:r w:rsidRPr="00A555B6">
        <w:rPr>
          <w:rFonts w:ascii="Times New Roman" w:eastAsia="Calibri" w:hAnsi="Times New Roman" w:cs="Times New Roman"/>
          <w:kern w:val="0"/>
          <w14:ligatures w14:val="none"/>
        </w:rPr>
        <w:lastRenderedPageBreak/>
        <w:t>w obecnym stanie prawnym, stosowaniem Pzp objęte są kredyty udzielane przez banki na rzecz jednostek samorządu terytorialnego w ramach limitów zobowiązań określonych w uchwale budżetowej, natomiast stosowaniem tym nie zostały objęte pożyczki zaciągane przez jednostki samorządu terytorialnego, w tym w instytucjach pożyczkowych, finansowane wyłącznie ze środków prywatnych.</w:t>
      </w:r>
    </w:p>
    <w:p w14:paraId="7676BB1F" w14:textId="77777777" w:rsidR="006A0481" w:rsidRPr="00A555B6" w:rsidRDefault="006A0481" w:rsidP="006A0481">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 xml:space="preserve">Powyższe zróżnicowanie stosowania Pzp do udzielania kredytu jako czynnością przewidzianą wyłącznie dla banku, a pożyczką, która może być udzielona zarówno przez bank, inną instytucję finansową, czy nawet osobę fizyczną, nie znajduje uzasadnienia ani w przepisach unijnych ani w regulacjach krajowych. </w:t>
      </w:r>
    </w:p>
    <w:p w14:paraId="43F59942" w14:textId="77777777" w:rsidR="006A0481" w:rsidRPr="00A555B6" w:rsidRDefault="006A0481" w:rsidP="006A0481">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Jednocześnie, projekt przewiduje dodanie pkt 8a w art. 11 ust. 1 Pzp, którego celem jest pozostawienie niezmienionego stanu prawnego w zakresie wyłączenia spod stosowania Pzp w przypadku pożyczek zaciąganych przez jednostki samorządu terytorialnego w ramach limitów zobowiązań określonych w uchwale budżetowej, finansowanych ze środków publicznych, w tym środków europejskich, a także ze środków pochodzących z europejskich lub międzynarodowych instytucji finansujących(w tym zaciąganych zgodnie z art. 90 ustawy z dnia 27 sierpnia 2009 r. o finansach publicznych). Wśród zamówień wyłączonych spod stosowania Pzp wskazano również zamówienia, których przedmiotem są pożyczki finansowane ze środków podmiotów, o których mowa w art. 2 pkt 3 Rozporządzenia Parlamentu Europejskiego i Rady (UE) 2015/1017 z dnia 25 czerwca 2015 r. w sprawie Europejskiego Funduszu na rzecz Inwestycji Strategicznych, Europejskiego Centrum Doradztwa Inwestycyjnego i Europejskiego Portalu Projektów Inwestycyjnych oraz zmieniającego rozporządzenia (UE) nr 1291/2013 i (UE) nr 1316/2013.</w:t>
      </w:r>
    </w:p>
    <w:p w14:paraId="400562B3" w14:textId="77777777" w:rsidR="006A0481" w:rsidRPr="00A555B6" w:rsidRDefault="006A0481" w:rsidP="006A0481">
      <w:pPr>
        <w:spacing w:before="120" w:after="120" w:line="360" w:lineRule="auto"/>
        <w:jc w:val="both"/>
        <w:rPr>
          <w:rFonts w:ascii="Times New Roman" w:eastAsia="Calibri" w:hAnsi="Times New Roman" w:cs="Times New Roman"/>
          <w:kern w:val="0"/>
          <w14:ligatures w14:val="none"/>
        </w:rPr>
      </w:pPr>
      <w:r w:rsidRPr="00A555B6">
        <w:rPr>
          <w:rFonts w:ascii="Times New Roman" w:eastAsia="Calibri" w:hAnsi="Times New Roman" w:cs="Times New Roman"/>
          <w:kern w:val="0"/>
          <w14:ligatures w14:val="none"/>
        </w:rPr>
        <w:t>Tym samym, w nowym stanie prawnym Pzp będzie miało zastosowanie do udzielania zamówień, których przedmiotem są pożyczki nieobjęte zakresem normy uregulowanej w pkt 8a.</w:t>
      </w:r>
    </w:p>
    <w:p w14:paraId="29A8522F" w14:textId="77777777" w:rsidR="006A0481" w:rsidRPr="00A555B6" w:rsidRDefault="006A0481" w:rsidP="006A0481">
      <w:pPr>
        <w:pStyle w:val="Akapitzlist"/>
        <w:numPr>
          <w:ilvl w:val="0"/>
          <w:numId w:val="36"/>
        </w:numPr>
        <w:spacing w:before="120" w:after="120" w:line="360" w:lineRule="auto"/>
        <w:jc w:val="both"/>
        <w:rPr>
          <w:rFonts w:ascii="Times New Roman" w:hAnsi="Times New Roman" w:cs="Times New Roman"/>
        </w:rPr>
      </w:pPr>
      <w:r w:rsidRPr="00A555B6">
        <w:rPr>
          <w:rFonts w:ascii="Times New Roman" w:hAnsi="Times New Roman" w:cs="Times New Roman"/>
        </w:rPr>
        <w:t>Zmiany w zakresie postępowania przed Krajową Izbą Odwoławczą</w:t>
      </w:r>
    </w:p>
    <w:p w14:paraId="396590CB" w14:textId="77777777"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Zmiany projektowane w Pzp, mają na celu umożliwienie stronom oraz uczestnikom postępowania odwoławczego przed Krajową Izbą Odwoławczą (dalej: „Izba” lub „KIO”) udziału w rozprawach i posiedzeniach za pośrednictwem środków informatycznych pozwalających na komunikowanie się na odległość. Tego typu rozwiązania funkcjonują obecnie na gruncie Kpc i mają zastosowanie m.in. w postępowaniu toczącym się wskutek wniesienia skargi na orzeczenie Izby.</w:t>
      </w:r>
    </w:p>
    <w:p w14:paraId="08708CAC" w14:textId="77777777" w:rsidR="006A0481" w:rsidRPr="00A555B6" w:rsidRDefault="006A0481" w:rsidP="006A0481">
      <w:pPr>
        <w:pStyle w:val="ARTartustawynprozporzdzenia"/>
        <w:spacing w:before="0"/>
        <w:ind w:firstLine="0"/>
        <w:rPr>
          <w:rFonts w:ascii="Times New Roman" w:hAnsi="Times New Roman" w:cs="Times New Roman"/>
          <w:sz w:val="22"/>
          <w:szCs w:val="22"/>
        </w:rPr>
      </w:pPr>
      <w:r w:rsidRPr="00A555B6">
        <w:rPr>
          <w:rFonts w:ascii="Times New Roman" w:hAnsi="Times New Roman" w:cs="Times New Roman"/>
          <w:sz w:val="22"/>
          <w:szCs w:val="22"/>
        </w:rPr>
        <w:t xml:space="preserve">Rozprawy lub posiedzenia będą mogły być przeprowadzane przy użyciu urządzeń technicznych umożliwiających ich przeprowadzenie na odległość (zdalne rozprawy lub zdalne posiedzenia), jeżeli nie będzie stał temu na przeszkodzie wzgląd na charakter czynności, które mają być dokonane na rozprawie lub posiedzeniu oraz nie będą występowały inne okoliczności utrudniające przeprowadzenie zdalnej rozprawy lub zdalnego posiedzenia i zostanie zagwarantowana pełna ochrona praw procesowych stron i uczestników postępowania odwoławczego jak również prawidłowy tok tego postępowania. Dodanie regulacji art. 508a ust. 1 w ramach przepisów ogólnych Pzp odnoszących się do postępowania </w:t>
      </w:r>
      <w:r w:rsidRPr="00A555B6">
        <w:rPr>
          <w:rFonts w:ascii="Times New Roman" w:hAnsi="Times New Roman" w:cs="Times New Roman"/>
          <w:sz w:val="22"/>
          <w:szCs w:val="22"/>
        </w:rPr>
        <w:lastRenderedPageBreak/>
        <w:t xml:space="preserve">odwoławczego (tj. Dział IX Środki ochrony prawnej, Rozdział 2 Postępowanie odwoławcze Oddział 1 Przepisy ogólne) ma na celu wprowadzanie generalnej zasady: jeżeli nie będzie przeszkód do przeprowadzenia zdalnej rozprawy i zdalnego posiedzenia jak np. objęcie informacji klauzulą tajności czy duża liczba uczestników postępowania, rozprawy i posiedzenia będą zdalne.   </w:t>
      </w:r>
    </w:p>
    <w:p w14:paraId="60D15C8D" w14:textId="77777777" w:rsidR="006A0481" w:rsidRPr="00A555B6" w:rsidRDefault="006A0481" w:rsidP="006A0481">
      <w:pPr>
        <w:pStyle w:val="ARTartustawynprozporzdzenia"/>
        <w:spacing w:before="0"/>
        <w:ind w:firstLine="0"/>
        <w:rPr>
          <w:rFonts w:ascii="Times New Roman" w:hAnsi="Times New Roman" w:cs="Times New Roman"/>
          <w:sz w:val="22"/>
          <w:szCs w:val="22"/>
        </w:rPr>
      </w:pPr>
      <w:r w:rsidRPr="00A555B6">
        <w:rPr>
          <w:rFonts w:ascii="Times New Roman" w:hAnsi="Times New Roman" w:cs="Times New Roman"/>
          <w:sz w:val="22"/>
          <w:szCs w:val="22"/>
        </w:rPr>
        <w:t xml:space="preserve">Możliwość udziału w rozprawach i posiedzeniach za pośrednictwem środków informatycznych pozwalających na komunikowanie się na odległość będzie dotyczyć: jawnej rozprawy, podczas której Izba rozpoznaje odwołanie (art. 545 ust. 1 Pzp), posiedzenia jawnego poprzedzającego jawną rozprawę (projektowana zmiana w art. 545 ust. 1 Pzp), a także posiedzenia jawnego podczas którego Izba ogłasza orzeczenie po zamknięciu rozprawy (art. 558 ust. 1 Pzp).    </w:t>
      </w:r>
    </w:p>
    <w:p w14:paraId="5AD884A8" w14:textId="2CF950B4"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W związku z powyższym niezbędne jest wyposażenie Prezesa KIO w odpowiednie uprawnienie decyzyjne dotyczące wyznaczania rozprawy i posiedzenia jako zdalnych albo jako niemających takiego charakteru. Zgodnie z dodawanym ust. 3a w art. 544 Prezes Izby wyznaczając termin rozpoznania odwołania będzie mógł zarządzić przeprowadzenie zdalnej rozprawy i zdalnego posiedzenia. Prezes Izby będzie z urzędu każdorazowo oceniał, czy nie zachodzą okoliczności, o których mowa w art. 508a ust. 1 Pzp, uniemożliwiające lub utrudniające przeprowadzenie zdalnej rozprawy lub zdalnego posiedzenia, a następnie w zarządzeniu o wyznaczeniu terminu będzie informował strony i uczestników postępowania odwoławczego o możliwości zdalnego udziału w jawnej rozprawie lub posiedzeniu jawnym. Strony i uczestnicy postępowania odwoławczego będą uzyskiwały wiedzę o możliwości wzięcia przez nich udziału w zdalnej rozprawie i zdalnym posiedzeniu przed KIO z chwilą zawiadomienia ich o terminie rozprawy. Informacje o standardach technicznych oprogramowania i</w:t>
      </w:r>
      <w:r w:rsidR="00B976D2" w:rsidRPr="00A555B6">
        <w:rPr>
          <w:rFonts w:ascii="Times New Roman" w:hAnsi="Times New Roman" w:cs="Times New Roman"/>
        </w:rPr>
        <w:t> </w:t>
      </w:r>
      <w:r w:rsidRPr="00A555B6">
        <w:rPr>
          <w:rFonts w:ascii="Times New Roman" w:hAnsi="Times New Roman" w:cs="Times New Roman"/>
        </w:rPr>
        <w:t>wymaganiach sprzętowych niezbędnych do uczestniczenia w zdalnej rozprawie lub zdalnym posiedzeniu będą podawane w drodze obwieszczenia, na stronie podmiotowej Biuletynu Informacji Publicznej przez Prezesa Urzędu Zamówień Publicznych (proj. art. 508a ust. 3).  Rozwiązanie to nawiązuje do ogólnej normy z art. 473 ust.</w:t>
      </w:r>
      <w:r w:rsidRPr="00A555B6">
        <w:rPr>
          <w:rFonts w:ascii="Times New Roman" w:eastAsia="Times New Roman" w:hAnsi="Times New Roman" w:cs="Times New Roman"/>
          <w:color w:val="000000"/>
          <w:lang w:eastAsia="pl-PL"/>
        </w:rPr>
        <w:t xml:space="preserve"> 2 Pzp, zgodnie z którą obsługę organizacyjno-techniczną oraz księgową Izby zapewnia Urząd Zamówień Publicznych. </w:t>
      </w:r>
      <w:r w:rsidRPr="00A555B6">
        <w:rPr>
          <w:rFonts w:ascii="Times New Roman" w:hAnsi="Times New Roman" w:cs="Times New Roman"/>
        </w:rPr>
        <w:t xml:space="preserve">Szczegółowe regulacje wykonawcze dotyczące m.in. sposobu potwierdzania zdalnego udziału w jawnej rozprawie lub posiedzeniu jawnym znalazłyby się w znowelizowanych przepisach rozporządzenia Prezesa Rady Ministrów z dnia 30 grudnia 2020 r. w sprawie postępowania przy rozpoznawaniu odwołań przez Krajową Izbę Odwoławczą (Dz. U. poz. 2453), wydanego na podstawie art. 544 ust. 4 Pzp. </w:t>
      </w:r>
    </w:p>
    <w:p w14:paraId="3F660F67" w14:textId="77777777" w:rsidR="006A0481" w:rsidRPr="00A555B6" w:rsidRDefault="006A0481" w:rsidP="006A0481">
      <w:pPr>
        <w:pStyle w:val="ARTartustawynprozporzdzenia"/>
        <w:spacing w:before="0"/>
        <w:ind w:firstLine="0"/>
        <w:rPr>
          <w:rFonts w:ascii="Times New Roman" w:hAnsi="Times New Roman" w:cs="Times New Roman"/>
          <w:sz w:val="22"/>
          <w:szCs w:val="22"/>
        </w:rPr>
      </w:pPr>
      <w:r w:rsidRPr="00A555B6">
        <w:rPr>
          <w:rFonts w:ascii="Times New Roman" w:hAnsi="Times New Roman" w:cs="Times New Roman"/>
          <w:sz w:val="22"/>
          <w:szCs w:val="22"/>
        </w:rPr>
        <w:t xml:space="preserve">Zmienione przepisy regulują organizację zdalnych rozpraw i zdalnych posiedzeń. W przypadku zdalnej rozprawy lub zdalnego posiedzenia na sali rozpraw musi być obecny skład orzekający i protokolant, natomiast inne osoby uczestniczące w zdalnej rozprawie lub zdalnym posiedzeniu, w szczególności strony i uczestnicy postępowania odwoławczego, mogą być obecne na sali rozpraw albo mogą brać udział w rozprawie i posiedzeniu za pośrednictwem środków informatycznych pozwalających na komunikowanie się na odległość (dodawany art. 508a ust. 2 zdanie pierwsze). W przypadku zdalnej rozprawy lub zdalnego posiedzenia zapis obrazu i dźwięku z czynności procesowych odbywających się </w:t>
      </w:r>
      <w:r w:rsidRPr="00A555B6">
        <w:rPr>
          <w:rFonts w:ascii="Times New Roman" w:hAnsi="Times New Roman" w:cs="Times New Roman"/>
          <w:sz w:val="22"/>
          <w:szCs w:val="22"/>
        </w:rPr>
        <w:lastRenderedPageBreak/>
        <w:t xml:space="preserve">na sali rozpraw przekazywany byłby do miejsca przebywania osób, którzy zgłosili zamiar zdalnego udziału w rozprawie lub posiedzeniu, oraz z miejsca przebywania tych osób do sali rozpraw (proj. art. 508a ust. 2 zdanie drugie). </w:t>
      </w:r>
    </w:p>
    <w:p w14:paraId="4969AB3F" w14:textId="77777777" w:rsidR="006A0481" w:rsidRPr="00A555B6" w:rsidRDefault="006A0481" w:rsidP="006A0481">
      <w:pPr>
        <w:pStyle w:val="ARTartustawynprozporzdzenia"/>
        <w:spacing w:before="0"/>
        <w:ind w:firstLine="0"/>
        <w:rPr>
          <w:rFonts w:ascii="Times New Roman" w:hAnsi="Times New Roman" w:cs="Times New Roman"/>
          <w:sz w:val="22"/>
          <w:szCs w:val="22"/>
        </w:rPr>
      </w:pPr>
      <w:r w:rsidRPr="00A555B6">
        <w:rPr>
          <w:rFonts w:ascii="Times New Roman" w:hAnsi="Times New Roman" w:cs="Times New Roman"/>
          <w:sz w:val="22"/>
          <w:szCs w:val="22"/>
        </w:rPr>
        <w:t xml:space="preserve">Jak wynika z powyższego wprowadzenie instytucji zdalnego udziału w rozpatrywaniu odwołań w praktyce będzie oznaczało, że strona lub uczestnik postępowania odwoławczego będą mieli prawo wyboru: czy uczestniczyć w rozprawie i posiedzeniu za pośrednictwem środków informatycznych pozwalających na komunikowanie się na odległość, czy stawić się na sali rozpraw.   </w:t>
      </w:r>
    </w:p>
    <w:p w14:paraId="75DB7F01" w14:textId="77777777"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 xml:space="preserve">Wykorzystanie urządzeń technicznych umożliwiających uczestniczenie w rozprawie lub posiedzeniu na odległość powinno odbywać się w warunkach, które są odpowiednie do sytuacji, w szczególności respektujących powagę Izby i nie stanowiących przeszkody do dokonywania czynności procesowych. Analogiczne wymaganie przewiduje art. 151 § 8 Kpc. Niezapewnienie takich warunków przez osobę uczestniczącą w rozprawie lub posiedzeniu przed KIO na odległość w celu zachowania sprawnego przebiegu rozprawy i posiedzenia powinno spotkać się z odpowiednią sankcją. Jeżeli warunki w miejscu pobytu osoby biorącej udział w zdalnej rozprawie lub zdalnym posiedzeniu nie będą licowały z powagą Izby lub będą stanowiły przeszkodę do dokonania czynności procesowych lub, jeżeli zachowanie osoby uczestniczącej w rozprawie lub posiedzeniu na odległość będzie budziło uzasadnione wątpliwości co do prawidłowego przebiegu czynności dokonanych zdalnie z jej udziałem, Izba będzie mogła odmówić zdalnego udziału tej osoby w posiedzeniu lub rozprawie (proj. art. 549 ust. 5). W takim wypadku uznane zostanie, że osoba ta nie stawiła się na zdalnej rozprawie lub zdalnym posiedzeniu. </w:t>
      </w:r>
    </w:p>
    <w:p w14:paraId="00A43185" w14:textId="77777777"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Dopuszczenie możliwości zdalnego udziału stron lub uczestników w postępowaniu odwoławczym będzie w sposób oczywisty łączyć się z ograniczeniem faktycznej możliwości składania przez te strony i uczestników postępowania pism oraz dokumentów podczas samej rozprawy lub posiedzenia jak również przekazywania w tym czasie pism przez Izbę. W związku z powyższym w celu utrzymania terminowego rozpatrywania odwołań, w projekcie przyjęto rozwiązania sprzyjające uzyskaniu koncentracji materiału procesowego na wcześniejszym niż rozprawa i posiedzenie etapie postępowania odwoławczego. Do najistotniejszych z nich należą:</w:t>
      </w:r>
    </w:p>
    <w:p w14:paraId="360C5B03" w14:textId="77777777" w:rsidR="006A0481" w:rsidRPr="00A555B6" w:rsidRDefault="006A0481" w:rsidP="006A0481">
      <w:pPr>
        <w:pStyle w:val="Akapitzlist"/>
        <w:numPr>
          <w:ilvl w:val="0"/>
          <w:numId w:val="34"/>
        </w:numPr>
        <w:spacing w:after="0" w:line="360" w:lineRule="auto"/>
        <w:ind w:left="567" w:hanging="425"/>
        <w:jc w:val="both"/>
        <w:rPr>
          <w:rFonts w:ascii="Times New Roman" w:eastAsia="Times New Roman" w:hAnsi="Times New Roman" w:cs="Times New Roman"/>
        </w:rPr>
      </w:pPr>
      <w:r w:rsidRPr="00A555B6">
        <w:rPr>
          <w:rFonts w:ascii="Times New Roman" w:eastAsia="Times New Roman" w:hAnsi="Times New Roman" w:cs="Times New Roman"/>
        </w:rPr>
        <w:t>obowiązek wniesienia przez zamawiającego odpowiedzi na odwołanie (proj. art. 521 ust. 1) – w terminie nie krótszym niż 5 dni od otrzymania odwołania, któremu towarzyszy obowiązek wskazania w treści odpowiedzi na odwołanie twierdzeń oraz przedstawienia i dołączenia dowodów na poparcie swoich twierdzeń lub w celu odparcia twierdzeń powołanych w odwołaniu (proj. art. 521 ust. 2);</w:t>
      </w:r>
    </w:p>
    <w:p w14:paraId="130C5590" w14:textId="77777777" w:rsidR="006A0481" w:rsidRPr="00A555B6" w:rsidRDefault="006A0481" w:rsidP="006A0481">
      <w:pPr>
        <w:pStyle w:val="Akapitzlist"/>
        <w:numPr>
          <w:ilvl w:val="0"/>
          <w:numId w:val="34"/>
        </w:numPr>
        <w:spacing w:after="0" w:line="360" w:lineRule="auto"/>
        <w:ind w:left="567" w:hanging="425"/>
        <w:jc w:val="both"/>
        <w:rPr>
          <w:rFonts w:ascii="Times New Roman" w:eastAsia="Times New Roman" w:hAnsi="Times New Roman" w:cs="Times New Roman"/>
        </w:rPr>
      </w:pPr>
      <w:r w:rsidRPr="00A555B6">
        <w:rPr>
          <w:rFonts w:ascii="Times New Roman" w:eastAsia="Times New Roman" w:hAnsi="Times New Roman" w:cs="Times New Roman"/>
        </w:rPr>
        <w:t xml:space="preserve">obowiązek przedstawienia przez wykonawcę, który zgłosił przystąpienie do postępowania odwoławczego, twierdzeń oraz dołączenia dowodów na poparcie swoich twierdzeń lub w celu odparcia twierdzeń powołanych w odwołaniu lub odpowiedzi na odwołanie (proj. art.  525 ust. 1); </w:t>
      </w:r>
    </w:p>
    <w:p w14:paraId="5B3B4197" w14:textId="70DD498B" w:rsidR="006A0481" w:rsidRPr="00A555B6" w:rsidRDefault="006A0481" w:rsidP="006A0481">
      <w:pPr>
        <w:pStyle w:val="Akapitzlist"/>
        <w:numPr>
          <w:ilvl w:val="0"/>
          <w:numId w:val="34"/>
        </w:numPr>
        <w:spacing w:after="0" w:line="360" w:lineRule="auto"/>
        <w:ind w:left="567" w:hanging="425"/>
        <w:jc w:val="both"/>
        <w:rPr>
          <w:rFonts w:ascii="Times New Roman" w:eastAsia="Times New Roman" w:hAnsi="Times New Roman" w:cs="Times New Roman"/>
        </w:rPr>
      </w:pPr>
      <w:r w:rsidRPr="00A555B6">
        <w:rPr>
          <w:rFonts w:ascii="Times New Roman" w:eastAsia="Times New Roman" w:hAnsi="Times New Roman" w:cs="Times New Roman"/>
        </w:rPr>
        <w:t xml:space="preserve">obowiązek przedstawienia wraz z odwołaniem, odpowiedzią na odwołanie lub wraz z innym pismem wniesionym najpóźniej na dzień przed rozprawą lub posiedzeniem jawnym </w:t>
      </w:r>
      <w:r w:rsidRPr="00A555B6">
        <w:rPr>
          <w:rFonts w:ascii="Times New Roman" w:eastAsia="Times New Roman" w:hAnsi="Times New Roman" w:cs="Times New Roman"/>
        </w:rPr>
        <w:lastRenderedPageBreak/>
        <w:t>poprzedzającym rozprawę, dowodów na poparcie swoich twierdzeń lub odparcie twierdzeń strony przeciwnej, pod rygorem utraty prawa powoływania ich w toku postępowania odwoławczego (proj. art. 535 ust. 1). Jednocześnie, w przepisach przewidziany będzie wyjątek dotyczący możliwości przedstawienia dowodów aż do zamknięcia rozprawy, w przypadku gdy wcześniejsze pozyskanie dowodów na poparcie swoich twierdzeń lub odparcie twierdzeń strony przeciwnej nie było możliwe lub konieczność ich powołania wynikła w toku postępowania odwoławczego. Ponadto z projektowanego art. 535 ust. 3 jednoznacznie będzie wynikało, że strony oraz uczestnicy postępowania odwoławczego nie mają obowiązku dołączania dowodów z</w:t>
      </w:r>
      <w:r w:rsidR="00B976D2" w:rsidRPr="00A555B6">
        <w:rPr>
          <w:rFonts w:ascii="Times New Roman" w:eastAsia="Times New Roman" w:hAnsi="Times New Roman" w:cs="Times New Roman"/>
        </w:rPr>
        <w:t> </w:t>
      </w:r>
      <w:r w:rsidRPr="00A555B6">
        <w:rPr>
          <w:rFonts w:ascii="Times New Roman" w:eastAsia="Times New Roman" w:hAnsi="Times New Roman" w:cs="Times New Roman"/>
        </w:rPr>
        <w:t>dokumentów, jeżeli dokumenty te znajdują się w aktach sprawy odwoławczej, w tym stanowią dokumentację postępowania o udzielenie zamówienia.</w:t>
      </w:r>
    </w:p>
    <w:p w14:paraId="0B501440" w14:textId="77777777" w:rsidR="006A0481" w:rsidRPr="00A555B6" w:rsidRDefault="006A0481" w:rsidP="006A0481">
      <w:pPr>
        <w:spacing w:before="120" w:line="360" w:lineRule="auto"/>
        <w:jc w:val="both"/>
        <w:rPr>
          <w:rFonts w:ascii="Times New Roman" w:eastAsia="Times New Roman" w:hAnsi="Times New Roman" w:cs="Times New Roman"/>
        </w:rPr>
      </w:pPr>
      <w:r w:rsidRPr="00A555B6">
        <w:rPr>
          <w:rFonts w:ascii="Times New Roman" w:eastAsia="Times New Roman" w:hAnsi="Times New Roman" w:cs="Times New Roman"/>
        </w:rPr>
        <w:t>Proponowane rozwiązania mają na celu ograniczenie powszechnej praktyki składania dowodów i zapoznawania się z nimi podczas rozprawy, co utrudnia ustosunkowanie się do nich przez pozostałe strony i uczestników postępowania odwoławczego. U</w:t>
      </w:r>
      <w:r w:rsidRPr="00A555B6">
        <w:rPr>
          <w:rFonts w:ascii="Times New Roman" w:hAnsi="Times New Roman" w:cs="Times New Roman"/>
        </w:rPr>
        <w:t xml:space="preserve">możliwią nie tylko zachowanie terminowego rozpatrywania odwołań przez KIO, ale będą również korzystne dla stron i uczestników postępowania odwoławczego poprzez stworzenie warunków do pełniejszego zapoznania się z twierdzeniami strony przeciwnej oraz dowodami, na które się ona powołuje przed rozprawą i posiedzeniem, a w rezultacie zapewnią możliwość lepszego przygotowania do odniesienia się do tych twierdzeń, w tym podczas rozprawy i posiedzenia. </w:t>
      </w:r>
    </w:p>
    <w:p w14:paraId="1A259F4A" w14:textId="6E95C4E5"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 xml:space="preserve">Termin na wniesienie odpowiedzi na odwołanie będzie wyznaczany przez Prezesa Izby (projektowany art. 521 ust. 1), przy czym termin ten nie będzie mógł być krótszy niż 5 dni. Wykonawca, który zgłosił przystąpienie do postępowania odwoławczego, będzie </w:t>
      </w:r>
      <w:r w:rsidRPr="00A555B6">
        <w:rPr>
          <w:rFonts w:ascii="Times New Roman" w:eastAsia="Times New Roman" w:hAnsi="Times New Roman" w:cs="Times New Roman"/>
        </w:rPr>
        <w:t xml:space="preserve">przedstawiał twierdzenia oraz dołączał dowody na ich poparcie lub w celu odparcia twierdzeń powołanych w odwołaniu lub odpowiedzi na odwołanie </w:t>
      </w:r>
      <w:r w:rsidRPr="00A555B6">
        <w:rPr>
          <w:rFonts w:ascii="Times New Roman" w:hAnsi="Times New Roman" w:cs="Times New Roman"/>
        </w:rPr>
        <w:t>(projektowany art. 525 ust. 1). Uchybienie temu obowiązkowi, o ile dowody te nie zostaną przedstawione wraz z innym pismem wniesionym najpóźniej na dzień przed rozprawą lub posiedzeniem jawnym poprzedzającym rozprawę, może prowadzić do utraty możliwości przedstawienia dowodów (projektowany art. 535 ust. 1). W takich okolicznościach uwzględnienie dowodów przedstawionych później będzie mogło nastąpić jedynie w przypadku, gdy wcześniejsze pozyskanie dowodów na poparcie swoich twierdzeń lub odparcie twierdzeń strony przeciwnej nie było możliwe lub konieczność ich powołania wynikła w toku postępowania odwoławczego (projektowany art. 535 ust. 2) albo, gdy znajdują się w dokumentacji postępowania o udzielenie zamówienia lub aktach sprawy odwoławczej (projektowany art. 535 ust. 3). Te same reguły mają zastosowane do dowodów niepodniesionych w</w:t>
      </w:r>
      <w:r w:rsidR="00B976D2" w:rsidRPr="00A555B6">
        <w:rPr>
          <w:rFonts w:ascii="Times New Roman" w:hAnsi="Times New Roman" w:cs="Times New Roman"/>
        </w:rPr>
        <w:t> </w:t>
      </w:r>
      <w:r w:rsidRPr="00A555B6">
        <w:rPr>
          <w:rFonts w:ascii="Times New Roman" w:hAnsi="Times New Roman" w:cs="Times New Roman"/>
        </w:rPr>
        <w:t xml:space="preserve">odwołaniu. Izba będzie odmawiała przeprowadzenia spóźnionych dowodów (projektowany art. 541). </w:t>
      </w:r>
    </w:p>
    <w:p w14:paraId="305C8AAA" w14:textId="77777777"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 xml:space="preserve">W konsekwencji, w celu sprawnego przebiegu postępowania odwoławczego uwzględniającego nowe rozwiązania w zakresie koncentracji materiału procesowego zostały wprowadzone reguły dotyczące wskazywania dowodów przez strony i uczestników postępowania odwoławczego (art. 534 Pzp).  W szczególności we wniosku o przeprowadzenie dowodu powinien zostać oznaczony dowód w sposób </w:t>
      </w:r>
      <w:r w:rsidRPr="00A555B6">
        <w:rPr>
          <w:rFonts w:ascii="Times New Roman" w:hAnsi="Times New Roman" w:cs="Times New Roman"/>
        </w:rPr>
        <w:lastRenderedPageBreak/>
        <w:t>umożliwiający przeprowadzenie go oraz powinny zostać wyszczególnione fakty, które mają zostać wykazane tym dowodem (projektowany art. 534 ust. 1a).</w:t>
      </w:r>
    </w:p>
    <w:p w14:paraId="694058BF" w14:textId="77777777" w:rsidR="006A0481" w:rsidRPr="00A555B6" w:rsidRDefault="006A0481" w:rsidP="006A0481">
      <w:pPr>
        <w:spacing w:line="360" w:lineRule="auto"/>
        <w:jc w:val="both"/>
        <w:rPr>
          <w:rFonts w:ascii="Times New Roman" w:hAnsi="Times New Roman" w:cs="Times New Roman"/>
        </w:rPr>
      </w:pPr>
      <w:r w:rsidRPr="00A555B6">
        <w:rPr>
          <w:rFonts w:ascii="Times New Roman" w:hAnsi="Times New Roman" w:cs="Times New Roman"/>
        </w:rPr>
        <w:t xml:space="preserve">Obok przepisów dyscyplinujących strony oraz uczestników postępowania odwoławczego do wskazywania twierdzeń i dowodów na możliwie wczesnym etapie postępowania odwoławczego, środkiem realizującym zasadę koncentracji materiału procesowego jest przewidziane w projektowanym art. 507 wzajemne bezpośrednie doręczanie pism między stronami i uczestnikami postępowania odwoławczego. Wzajemne doręczenia nie dotyczą pism składanych w toku rozprawy lub posiedzenia (projektowany art. 5087 ust. 3 i 4), a także wniesienia odwołania oraz zgłoszenia przystąpienia do postępowania odwoławczego, do których stosuje się przepisy szczególne. </w:t>
      </w:r>
    </w:p>
    <w:p w14:paraId="6499920B" w14:textId="77777777" w:rsidR="006A0481" w:rsidRDefault="006A0481" w:rsidP="006A0481">
      <w:pPr>
        <w:spacing w:line="360" w:lineRule="auto"/>
        <w:jc w:val="both"/>
        <w:rPr>
          <w:rFonts w:ascii="Times New Roman" w:hAnsi="Times New Roman" w:cs="Times New Roman"/>
        </w:rPr>
      </w:pPr>
      <w:r w:rsidRPr="00A555B6">
        <w:rPr>
          <w:rFonts w:ascii="Times New Roman" w:hAnsi="Times New Roman" w:cs="Times New Roman"/>
        </w:rPr>
        <w:t>Aby zapewnić sprawny przebieg zdalnej rozprawy i zdalnego posiedzenia dopuszczona została również możliwość udzielenia pełnomocnictwa w drodze ustnego i wciągniętego do protokołu oświadczenia strony (projektowany art. 511 ust. 1a).</w:t>
      </w:r>
    </w:p>
    <w:p w14:paraId="0F2E2943" w14:textId="7AE78E19" w:rsidR="004C5765" w:rsidRPr="00A555B6" w:rsidRDefault="004C5765" w:rsidP="004C5765">
      <w:pPr>
        <w:pStyle w:val="Styl1"/>
        <w:spacing w:before="120" w:after="120" w:line="360" w:lineRule="auto"/>
      </w:pPr>
      <w:bookmarkStart w:id="59" w:name="_Toc174689328"/>
      <w:r w:rsidRPr="00A555B6">
        <w:t>Ustawa</w:t>
      </w:r>
      <w:r w:rsidRPr="004C5765">
        <w:t xml:space="preserve"> z dnia 2 grudnia 2021 r. o wyrobach winiarskich</w:t>
      </w:r>
      <w:bookmarkEnd w:id="59"/>
      <w:r>
        <w:t xml:space="preserve"> </w:t>
      </w:r>
    </w:p>
    <w:p w14:paraId="2AEEC847" w14:textId="6FADA007" w:rsidR="004C5765" w:rsidRPr="003C1662" w:rsidRDefault="004C5765" w:rsidP="004C5765">
      <w:pPr>
        <w:spacing w:before="120" w:after="120"/>
        <w:jc w:val="both"/>
        <w:rPr>
          <w:rFonts w:ascii="Times New Roman" w:hAnsi="Times New Roman" w:cs="Times New Roman"/>
        </w:rPr>
      </w:pPr>
      <w:r>
        <w:rPr>
          <w:rFonts w:ascii="Times New Roman" w:hAnsi="Times New Roman" w:cs="Times New Roman"/>
        </w:rPr>
        <w:t xml:space="preserve">Zmiana przepisów ustawy o wyrobach winiarskich </w:t>
      </w:r>
      <w:r w:rsidRPr="003C1662">
        <w:rPr>
          <w:rFonts w:ascii="Times New Roman" w:hAnsi="Times New Roman" w:cs="Times New Roman"/>
        </w:rPr>
        <w:t xml:space="preserve">ma na celu ujednolicenie przepisów w zakresie wykreślenia przedsiębiorcy z rejestru na jego wniosek analogicznie do zawartych w art. 7c ustawy z dnia 2 marca 2001 r. o wyrobie alkoholu etylowego oraz wytwarzaniu wyrobów tytoniowych (Dz. U. z 2024 r. poz. 262) jak i art. 9a ustawy z dnia 18 października 2006 r. o wyrobie napojów spirytusowych (Dz. U. z 2023 r. poz. 1584). </w:t>
      </w:r>
    </w:p>
    <w:p w14:paraId="4FE40643" w14:textId="25860710" w:rsidR="004C5765" w:rsidRPr="00A555B6" w:rsidRDefault="004C5765" w:rsidP="006A0481">
      <w:pPr>
        <w:spacing w:line="360" w:lineRule="auto"/>
        <w:jc w:val="both"/>
        <w:rPr>
          <w:rFonts w:ascii="Times New Roman" w:hAnsi="Times New Roman" w:cs="Times New Roman"/>
        </w:rPr>
      </w:pPr>
    </w:p>
    <w:p w14:paraId="51F82A89" w14:textId="357E7236" w:rsidR="006338E8" w:rsidRPr="00A555B6" w:rsidRDefault="004706E3" w:rsidP="004E6FE9">
      <w:pPr>
        <w:pStyle w:val="Nagwek1"/>
        <w:numPr>
          <w:ilvl w:val="0"/>
          <w:numId w:val="10"/>
        </w:numPr>
        <w:spacing w:before="120" w:after="120" w:line="360" w:lineRule="auto"/>
        <w:jc w:val="both"/>
        <w:rPr>
          <w:rFonts w:ascii="Times New Roman" w:hAnsi="Times New Roman" w:cs="Times New Roman"/>
          <w:b/>
          <w:bCs/>
          <w:color w:val="auto"/>
          <w:sz w:val="22"/>
          <w:szCs w:val="22"/>
        </w:rPr>
      </w:pPr>
      <w:bookmarkStart w:id="60" w:name="_Toc171522946"/>
      <w:bookmarkStart w:id="61" w:name="_Toc171522947"/>
      <w:bookmarkStart w:id="62" w:name="_Toc171522948"/>
      <w:bookmarkStart w:id="63" w:name="_Toc171522949"/>
      <w:bookmarkStart w:id="64" w:name="_Toc171522950"/>
      <w:bookmarkStart w:id="65" w:name="_Toc171522951"/>
      <w:bookmarkStart w:id="66" w:name="_Toc171522952"/>
      <w:bookmarkStart w:id="67" w:name="_Toc171522953"/>
      <w:bookmarkStart w:id="68" w:name="_Toc171522954"/>
      <w:bookmarkStart w:id="69" w:name="_Toc171522955"/>
      <w:bookmarkStart w:id="70" w:name="_Toc171522956"/>
      <w:bookmarkStart w:id="71" w:name="_Toc171522957"/>
      <w:bookmarkStart w:id="72" w:name="_Toc171522958"/>
      <w:bookmarkStart w:id="73" w:name="_Toc171522959"/>
      <w:bookmarkStart w:id="74" w:name="_Toc171522960"/>
      <w:bookmarkStart w:id="75" w:name="_Toc171522961"/>
      <w:bookmarkStart w:id="76" w:name="_Toc171522962"/>
      <w:bookmarkStart w:id="77" w:name="_Toc171522963"/>
      <w:bookmarkStart w:id="78" w:name="_Toc171522964"/>
      <w:bookmarkStart w:id="79" w:name="_Toc171522965"/>
      <w:bookmarkStart w:id="80" w:name="_Toc171522966"/>
      <w:bookmarkStart w:id="81" w:name="_Toc171522967"/>
      <w:bookmarkStart w:id="82" w:name="_Toc171522968"/>
      <w:bookmarkStart w:id="83" w:name="_Toc171522969"/>
      <w:bookmarkStart w:id="84" w:name="_Toc171522970"/>
      <w:bookmarkStart w:id="85" w:name="_Toc17468932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A555B6">
        <w:rPr>
          <w:rFonts w:ascii="Times New Roman" w:hAnsi="Times New Roman" w:cs="Times New Roman"/>
          <w:b/>
          <w:bCs/>
          <w:color w:val="auto"/>
          <w:sz w:val="22"/>
          <w:szCs w:val="22"/>
        </w:rPr>
        <w:t>Ocena przewidywanego wpływu projektu ustawy na działalność mikroprzedsiębiorców oraz małych i średnich przedsiębiorców</w:t>
      </w:r>
      <w:bookmarkEnd w:id="85"/>
    </w:p>
    <w:p w14:paraId="54174BF4" w14:textId="0E449EA2" w:rsidR="00747969" w:rsidRPr="00A555B6" w:rsidRDefault="00BE7F8D" w:rsidP="00747969">
      <w:pPr>
        <w:spacing w:before="120" w:after="120" w:line="360" w:lineRule="auto"/>
        <w:jc w:val="both"/>
        <w:rPr>
          <w:rFonts w:ascii="Times New Roman" w:hAnsi="Times New Roman" w:cs="Times New Roman"/>
        </w:rPr>
      </w:pPr>
      <w:r w:rsidRPr="00A555B6">
        <w:rPr>
          <w:rFonts w:ascii="Times New Roman" w:hAnsi="Times New Roman" w:cs="Times New Roman"/>
        </w:rPr>
        <w:t>Wejście w życie projektowanych przepisów wpłynie korzystnie na rozwój przedsiębiorczości. Na skutek wejścia w życie przepisów dojdzie do zmniejszenia obowiązków administracyjnych, w tym usprawnienia procedur administracyjnych dla przedsiębiorców. Zmiany doprowadzą do zmniejszenia uciążliwości kontroli. Zostanie skrócony maksymalny czas kontroli mikroprzedsiębiorców. Wyeliminowanie różnych wątpliwości interpretacyjnych powinno zwiększyć pewność prawną prowadzenia działalności gospodarczej. Ponadto, zmiany przyczynią się do usprawnienia współpracy i poprawy relacji między przedsiębiorcami a urzędami oraz szybszego i sprawniejszego uzyskania rozstrzygnięcia sprawy administracyjnej.</w:t>
      </w:r>
    </w:p>
    <w:p w14:paraId="69AAB370" w14:textId="604A628D" w:rsidR="004706E3" w:rsidRPr="00A555B6" w:rsidRDefault="002D5E07" w:rsidP="004E6FE9">
      <w:pPr>
        <w:pStyle w:val="Nagwek1"/>
        <w:numPr>
          <w:ilvl w:val="0"/>
          <w:numId w:val="10"/>
        </w:numPr>
        <w:spacing w:before="120" w:after="120" w:line="360" w:lineRule="auto"/>
        <w:jc w:val="both"/>
        <w:rPr>
          <w:rFonts w:ascii="Times New Roman" w:hAnsi="Times New Roman" w:cs="Times New Roman"/>
          <w:b/>
          <w:bCs/>
          <w:color w:val="auto"/>
          <w:sz w:val="22"/>
          <w:szCs w:val="22"/>
        </w:rPr>
      </w:pPr>
      <w:bookmarkStart w:id="86" w:name="_Toc174689330"/>
      <w:r w:rsidRPr="00A555B6">
        <w:rPr>
          <w:rFonts w:ascii="Times New Roman" w:hAnsi="Times New Roman" w:cs="Times New Roman"/>
          <w:b/>
          <w:bCs/>
          <w:color w:val="auto"/>
          <w:sz w:val="22"/>
          <w:szCs w:val="22"/>
        </w:rPr>
        <w:t>Przepisy przejściowe i końcowe</w:t>
      </w:r>
      <w:bookmarkEnd w:id="86"/>
    </w:p>
    <w:p w14:paraId="6945F042" w14:textId="49A0045E" w:rsidR="009D00A2" w:rsidRPr="00A555B6" w:rsidRDefault="009D00A2" w:rsidP="009D00A2">
      <w:pPr>
        <w:spacing w:before="120" w:after="120" w:line="360" w:lineRule="auto"/>
        <w:jc w:val="both"/>
        <w:rPr>
          <w:rFonts w:ascii="Times New Roman" w:hAnsi="Times New Roman" w:cs="Times New Roman"/>
        </w:rPr>
      </w:pPr>
      <w:r w:rsidRPr="00A555B6">
        <w:rPr>
          <w:rFonts w:ascii="Times New Roman" w:hAnsi="Times New Roman" w:cs="Times New Roman"/>
        </w:rPr>
        <w:t>Proponuje się aby do postępowań wszczętych i niezakończonych przed dniem wejścia w życie niniejszej ustawy stosować przepisy Kpa w brzmieniu dotychczasowym.</w:t>
      </w:r>
    </w:p>
    <w:p w14:paraId="13913702" w14:textId="0AEE0BC3" w:rsidR="004D44C4" w:rsidRPr="00A555B6" w:rsidRDefault="004D44C4" w:rsidP="009E1176">
      <w:pPr>
        <w:spacing w:before="120" w:after="120" w:line="360" w:lineRule="auto"/>
        <w:jc w:val="both"/>
        <w:rPr>
          <w:rFonts w:ascii="Times New Roman" w:hAnsi="Times New Roman" w:cs="Times New Roman"/>
        </w:rPr>
      </w:pPr>
      <w:r w:rsidRPr="00A555B6">
        <w:rPr>
          <w:rFonts w:ascii="Times New Roman" w:hAnsi="Times New Roman" w:cs="Times New Roman"/>
        </w:rPr>
        <w:t>Proponuje się, by do umów leasingu zawartych przed dniem wejścia życie ustawy zastosowanie znajdywały przepisy dotychczasowe.</w:t>
      </w:r>
    </w:p>
    <w:p w14:paraId="59B66C73" w14:textId="58B1E347" w:rsidR="00120984" w:rsidRPr="00A555B6" w:rsidRDefault="00120984" w:rsidP="00120984">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Proponuje się, aby młodociani pracownicy odbywający w dniu wejścia w życie niniejszej nowelizacji przygotowanie zawodowe u pracodawcy, który w rozumieniu dotychczasowych przepisów nie był rzemieślnikiem, a po dniu wejścia w życie nowej definicji stanie się nim, kontynuowali to przygotowanie oraz zdawali egzaminy zgodnie z dotychczasowymi zasadami dotyczącymi młodocianych zatrudnionych u pracodawców niebędących rzemieślnikami.</w:t>
      </w:r>
    </w:p>
    <w:p w14:paraId="17606D09" w14:textId="77777777" w:rsidR="00120984" w:rsidRPr="00A555B6" w:rsidRDefault="00120984" w:rsidP="00120984">
      <w:pPr>
        <w:spacing w:before="120" w:after="120" w:line="360" w:lineRule="auto"/>
        <w:jc w:val="both"/>
        <w:rPr>
          <w:rFonts w:ascii="Times New Roman" w:hAnsi="Times New Roman" w:cs="Times New Roman"/>
        </w:rPr>
      </w:pPr>
      <w:r w:rsidRPr="00A555B6">
        <w:rPr>
          <w:rFonts w:ascii="Times New Roman" w:hAnsi="Times New Roman" w:cs="Times New Roman"/>
        </w:rPr>
        <w:t>Istnieje także potrzeba wprowadzenia przepisu odnoszącego się do sytuacji osób prowadzących działalność nierejestrową w zakresie posługiwania się przez nie NIP albo PESEL w obrocie gospodarczym. Zasadnym jest, by reguły określone zmianą proponowaną w ustawie miały zastosowanie także do tych osób, którym przed dniem wejścia w życie ustawy został nadany identyfikator podatkowy NIP – zapewni to systemową spójność.</w:t>
      </w:r>
    </w:p>
    <w:p w14:paraId="683806B1" w14:textId="6BEB454E" w:rsidR="00BE7F8D" w:rsidRPr="00A555B6" w:rsidDel="0084275E" w:rsidRDefault="00BE7F8D" w:rsidP="00BE7F8D">
      <w:pPr>
        <w:spacing w:before="120" w:after="120" w:line="360" w:lineRule="auto"/>
        <w:jc w:val="both"/>
        <w:rPr>
          <w:rFonts w:ascii="Times New Roman" w:eastAsia="Aptos" w:hAnsi="Times New Roman" w:cs="Times New Roman"/>
        </w:rPr>
      </w:pPr>
      <w:r w:rsidRPr="00A555B6">
        <w:rPr>
          <w:rFonts w:ascii="Times New Roman" w:eastAsia="Aptos" w:hAnsi="Times New Roman" w:cs="Times New Roman"/>
        </w:rPr>
        <w:t>Z kolei w stosunku do opracowania projektów aktów normatywnych określających zasady podejmowania, wykonywania i zakończenia działalności gospodarczej, nad którymi w dniu wejścia w</w:t>
      </w:r>
      <w:r w:rsidR="00B976D2" w:rsidRPr="00A555B6">
        <w:rPr>
          <w:rFonts w:ascii="Times New Roman" w:eastAsia="Aptos" w:hAnsi="Times New Roman" w:cs="Times New Roman"/>
        </w:rPr>
        <w:t> </w:t>
      </w:r>
      <w:r w:rsidRPr="00A555B6">
        <w:rPr>
          <w:rFonts w:ascii="Times New Roman" w:eastAsia="Aptos" w:hAnsi="Times New Roman" w:cs="Times New Roman"/>
        </w:rPr>
        <w:t>życie ustawy będą już trwały prace w ramach procesu legislacyjnego (np. które zostały złożone na ręce Marszałka Sejmu na podstawie art. 34 ust 1 Regulaminu Sejmu Rzeczypospolitej Polskiej, a</w:t>
      </w:r>
      <w:r w:rsidR="00B976D2" w:rsidRPr="00A555B6">
        <w:rPr>
          <w:rFonts w:ascii="Times New Roman" w:eastAsia="Aptos" w:hAnsi="Times New Roman" w:cs="Times New Roman"/>
        </w:rPr>
        <w:t> </w:t>
      </w:r>
      <w:r w:rsidRPr="00A555B6">
        <w:rPr>
          <w:rFonts w:ascii="Times New Roman" w:eastAsia="Aptos" w:hAnsi="Times New Roman" w:cs="Times New Roman"/>
        </w:rPr>
        <w:t>w</w:t>
      </w:r>
      <w:r w:rsidR="00B976D2" w:rsidRPr="00A555B6">
        <w:rPr>
          <w:rFonts w:ascii="Times New Roman" w:eastAsia="Aptos" w:hAnsi="Times New Roman" w:cs="Times New Roman"/>
        </w:rPr>
        <w:t> </w:t>
      </w:r>
      <w:r w:rsidRPr="00A555B6">
        <w:rPr>
          <w:rFonts w:ascii="Times New Roman" w:eastAsia="Aptos" w:hAnsi="Times New Roman" w:cs="Times New Roman"/>
        </w:rPr>
        <w:t xml:space="preserve">ramach rządowego procesu legislacyjnego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zostały skierowane do uzgodnień, konsultacji publicznych lub opiniowania, co oznacza, że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w odniesieniu do określonych w § 21 Regulaminu pracy Rady Ministrów etapów postępowania nad projektami dokumentów rządowych </w:t>
      </w:r>
      <w:r w:rsidR="00B40C2B" w:rsidRPr="00A555B6">
        <w:rPr>
          <w:rFonts w:ascii="Times New Roman" w:eastAsia="Aptos" w:hAnsi="Times New Roman" w:cs="Times New Roman"/>
        </w:rPr>
        <w:t>–</w:t>
      </w:r>
      <w:r w:rsidRPr="00A555B6">
        <w:rPr>
          <w:rFonts w:ascii="Times New Roman" w:eastAsia="Aptos" w:hAnsi="Times New Roman" w:cs="Times New Roman"/>
        </w:rPr>
        <w:t xml:space="preserve"> projekty takie zostały już opracowane) powinny być st</w:t>
      </w:r>
      <w:r w:rsidR="00CD7198" w:rsidRPr="00A555B6">
        <w:rPr>
          <w:rFonts w:ascii="Times New Roman" w:eastAsia="Aptos" w:hAnsi="Times New Roman" w:cs="Times New Roman"/>
        </w:rPr>
        <w:t>o</w:t>
      </w:r>
      <w:r w:rsidRPr="00A555B6">
        <w:rPr>
          <w:rFonts w:ascii="Times New Roman" w:eastAsia="Aptos" w:hAnsi="Times New Roman" w:cs="Times New Roman"/>
        </w:rPr>
        <w:t>sowane rozwiązania dotychczasowe. Chodzi o uregulowanie sytuacji intertemporalnej projektów, które są w toku prowadzenia procesu legislacyjnego.</w:t>
      </w:r>
    </w:p>
    <w:p w14:paraId="77D8B265" w14:textId="0892B431" w:rsidR="00120984" w:rsidRPr="00A555B6" w:rsidRDefault="00120984" w:rsidP="00120984">
      <w:pPr>
        <w:spacing w:before="120" w:after="120" w:line="360" w:lineRule="auto"/>
        <w:jc w:val="both"/>
        <w:rPr>
          <w:rFonts w:ascii="Times New Roman" w:hAnsi="Times New Roman" w:cs="Times New Roman"/>
        </w:rPr>
      </w:pPr>
      <w:r w:rsidRPr="00A555B6">
        <w:rPr>
          <w:rFonts w:ascii="Times New Roman" w:hAnsi="Times New Roman" w:cs="Times New Roman"/>
        </w:rPr>
        <w:t xml:space="preserve">Program regulacyjny przewidziany w nowelizacji Pp powinien zostać przygotowany do </w:t>
      </w:r>
      <w:r w:rsidR="00894B36" w:rsidRPr="00A555B6">
        <w:rPr>
          <w:rFonts w:ascii="Times New Roman" w:hAnsi="Times New Roman" w:cs="Times New Roman"/>
        </w:rPr>
        <w:t xml:space="preserve">dnia </w:t>
      </w:r>
      <w:r w:rsidRPr="00A555B6">
        <w:rPr>
          <w:rFonts w:ascii="Times New Roman" w:hAnsi="Times New Roman" w:cs="Times New Roman"/>
        </w:rPr>
        <w:t>31 grudnia 2025 r.</w:t>
      </w:r>
    </w:p>
    <w:p w14:paraId="63B26A97" w14:textId="54A33E35" w:rsidR="00120984" w:rsidRPr="00A555B6" w:rsidRDefault="00120984" w:rsidP="002E452F">
      <w:pPr>
        <w:spacing w:before="120" w:after="120" w:line="360" w:lineRule="auto"/>
        <w:jc w:val="both"/>
        <w:rPr>
          <w:rFonts w:ascii="Times New Roman" w:hAnsi="Times New Roman" w:cs="Times New Roman"/>
        </w:rPr>
      </w:pPr>
      <w:r w:rsidRPr="00A555B6">
        <w:rPr>
          <w:rFonts w:ascii="Times New Roman" w:hAnsi="Times New Roman" w:cs="Times New Roman"/>
        </w:rPr>
        <w:t>Przewiduje się także tymczasowe utrzymanie w mocy przepisów wykonawczych wydanych na podstawie nowelizowanego przepisu ustawy o VAT.</w:t>
      </w:r>
    </w:p>
    <w:p w14:paraId="0104896D" w14:textId="7C86DE41" w:rsidR="00106DC1" w:rsidRPr="00A555B6" w:rsidRDefault="009D00A2" w:rsidP="002E452F">
      <w:pPr>
        <w:spacing w:before="120" w:after="120" w:line="360" w:lineRule="auto"/>
        <w:jc w:val="both"/>
        <w:rPr>
          <w:rFonts w:ascii="Times New Roman" w:hAnsi="Times New Roman" w:cs="Times New Roman"/>
        </w:rPr>
      </w:pPr>
      <w:r w:rsidRPr="00A555B6">
        <w:rPr>
          <w:rFonts w:ascii="Times New Roman" w:hAnsi="Times New Roman" w:cs="Times New Roman"/>
        </w:rPr>
        <w:t>P</w:t>
      </w:r>
      <w:r w:rsidR="00106DC1" w:rsidRPr="00A555B6">
        <w:rPr>
          <w:rFonts w:ascii="Times New Roman" w:hAnsi="Times New Roman" w:cs="Times New Roman"/>
        </w:rPr>
        <w:t>rzepisy przejściowe przesądzają</w:t>
      </w:r>
      <w:r w:rsidRPr="00A555B6">
        <w:rPr>
          <w:rFonts w:ascii="Times New Roman" w:hAnsi="Times New Roman" w:cs="Times New Roman"/>
        </w:rPr>
        <w:t xml:space="preserve"> także</w:t>
      </w:r>
      <w:r w:rsidR="00106DC1" w:rsidRPr="00A555B6">
        <w:rPr>
          <w:rFonts w:ascii="Times New Roman" w:hAnsi="Times New Roman" w:cs="Times New Roman"/>
        </w:rPr>
        <w:t>, że do przedawnienia zarówno zobowiązań podatkowych i</w:t>
      </w:r>
      <w:r w:rsidR="002A6303" w:rsidRPr="00A555B6">
        <w:rPr>
          <w:rFonts w:ascii="Times New Roman" w:hAnsi="Times New Roman" w:cs="Times New Roman"/>
        </w:rPr>
        <w:t> </w:t>
      </w:r>
      <w:r w:rsidR="00106DC1" w:rsidRPr="00A555B6">
        <w:rPr>
          <w:rFonts w:ascii="Times New Roman" w:hAnsi="Times New Roman" w:cs="Times New Roman"/>
        </w:rPr>
        <w:t>należności celnych, powstałych przed dniem wejścia w życie ustawy, znajdą zastosowanie najkorzystniejsze dla podatnika, płatnika, inkasenta oraz dla dłużnika zasady i terminy przedawnienia, określone odpowiednio w Ordynacji podatkowej i w ustawie – Prawo celne.</w:t>
      </w:r>
    </w:p>
    <w:p w14:paraId="5A1DD4DC" w14:textId="2935B60E" w:rsidR="005F7ED1" w:rsidRPr="00A555B6" w:rsidRDefault="005F7ED1" w:rsidP="002E452F">
      <w:pPr>
        <w:spacing w:before="120" w:after="120" w:line="360" w:lineRule="auto"/>
        <w:jc w:val="both"/>
        <w:rPr>
          <w:rFonts w:ascii="Times New Roman" w:hAnsi="Times New Roman" w:cs="Times New Roman"/>
        </w:rPr>
      </w:pPr>
      <w:r w:rsidRPr="00A555B6">
        <w:rPr>
          <w:rFonts w:ascii="Times New Roman" w:hAnsi="Times New Roman" w:cs="Times New Roman"/>
        </w:rPr>
        <w:t>Niezbędnym jest wprowadzenie przepisów odnoszących się do postępowań odwoławczych przed KIO będących w toku w dniu wejścia w życie stosownych przepisów ustawy, a także postępowań odwoławczych przed KIO wszczętych po dniu 31 grudnia 2025 r., lecz dotyczących postępowań o udzielenie zamówienia i konkursów zainicjowanych przed dniem 1 stycznia 2026 r. Proponuje się, aby do powyższych postępowań zastosowanie miały przepisy dotychczasowe. W pozostałych przypadkach stosowane będą przepisy w brzmieniu nadanym ustawą.</w:t>
      </w:r>
    </w:p>
    <w:p w14:paraId="202EBCE4" w14:textId="34274213" w:rsidR="009340BB" w:rsidRPr="00A555B6" w:rsidRDefault="009340BB" w:rsidP="002E452F">
      <w:pPr>
        <w:spacing w:before="120" w:after="120" w:line="360" w:lineRule="auto"/>
        <w:jc w:val="both"/>
        <w:rPr>
          <w:rFonts w:ascii="Times New Roman" w:hAnsi="Times New Roman" w:cs="Times New Roman"/>
        </w:rPr>
      </w:pPr>
      <w:r w:rsidRPr="00A555B6">
        <w:rPr>
          <w:rFonts w:ascii="Times New Roman" w:hAnsi="Times New Roman" w:cs="Times New Roman"/>
        </w:rPr>
        <w:lastRenderedPageBreak/>
        <w:t xml:space="preserve">Planuje się, że większość zaproponowanych zmian wejdzie w życie </w:t>
      </w:r>
      <w:r w:rsidR="00FA3BCD" w:rsidRPr="00A555B6">
        <w:rPr>
          <w:rFonts w:ascii="Times New Roman" w:hAnsi="Times New Roman" w:cs="Times New Roman"/>
        </w:rPr>
        <w:t xml:space="preserve">z dniem </w:t>
      </w:r>
      <w:r w:rsidRPr="00A555B6">
        <w:rPr>
          <w:rFonts w:ascii="Times New Roman" w:hAnsi="Times New Roman" w:cs="Times New Roman"/>
        </w:rPr>
        <w:t>1 stycznia 2025 r.</w:t>
      </w:r>
      <w:r w:rsidR="00FA3BCD" w:rsidRPr="00A555B6">
        <w:rPr>
          <w:rFonts w:ascii="Times New Roman" w:hAnsi="Times New Roman" w:cs="Times New Roman"/>
        </w:rPr>
        <w:t>, z</w:t>
      </w:r>
      <w:r w:rsidR="006100AF" w:rsidRPr="00A555B6">
        <w:rPr>
          <w:rFonts w:ascii="Times New Roman" w:hAnsi="Times New Roman" w:cs="Times New Roman"/>
        </w:rPr>
        <w:t> </w:t>
      </w:r>
      <w:r w:rsidR="00FA3BCD" w:rsidRPr="00A555B6">
        <w:rPr>
          <w:rFonts w:ascii="Times New Roman" w:hAnsi="Times New Roman" w:cs="Times New Roman"/>
        </w:rPr>
        <w:t>wyjątkiem przepisów odnoszących się do postępowań odwoławczych przed KIO (zgodnie z Pzp), które wejdą w życie z dniem 1 stycznia 2026 r.</w:t>
      </w:r>
    </w:p>
    <w:p w14:paraId="75CAA65A" w14:textId="77777777" w:rsidR="004706E3" w:rsidRPr="00A555B6" w:rsidRDefault="004706E3" w:rsidP="002E452F">
      <w:pPr>
        <w:pStyle w:val="Nagwek1"/>
        <w:numPr>
          <w:ilvl w:val="0"/>
          <w:numId w:val="10"/>
        </w:numPr>
        <w:spacing w:before="120" w:after="120" w:line="360" w:lineRule="auto"/>
        <w:jc w:val="both"/>
        <w:rPr>
          <w:rFonts w:ascii="Times New Roman" w:hAnsi="Times New Roman" w:cs="Times New Roman"/>
          <w:b/>
          <w:bCs/>
          <w:color w:val="auto"/>
          <w:sz w:val="22"/>
          <w:szCs w:val="22"/>
        </w:rPr>
      </w:pPr>
      <w:bookmarkStart w:id="87" w:name="_Toc174689331"/>
      <w:r w:rsidRPr="00A555B6">
        <w:rPr>
          <w:rFonts w:ascii="Times New Roman" w:hAnsi="Times New Roman" w:cs="Times New Roman"/>
          <w:b/>
          <w:bCs/>
          <w:color w:val="auto"/>
          <w:sz w:val="22"/>
          <w:szCs w:val="22"/>
        </w:rPr>
        <w:t>Pozostałe kwestie</w:t>
      </w:r>
      <w:bookmarkEnd w:id="87"/>
    </w:p>
    <w:p w14:paraId="5674624E" w14:textId="2213083F" w:rsidR="00427991" w:rsidRPr="00A555B6" w:rsidRDefault="00427991"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Mając na względzie art. 66 ust. 1 pkt 1 Pp, po przeprowadzeniu analiz ustalono, że osiągnięcie zakładanych celów (zmniejszenie obciążeń regulacyjnych</w:t>
      </w:r>
      <w:r w:rsidR="00CA63AD" w:rsidRPr="00A555B6">
        <w:rPr>
          <w:rFonts w:ascii="Times New Roman" w:hAnsi="Times New Roman" w:cs="Times New Roman"/>
          <w:sz w:val="22"/>
          <w:szCs w:val="22"/>
        </w:rPr>
        <w:t xml:space="preserve"> spoczywających na polskich przedsiębiorcach</w:t>
      </w:r>
      <w:r w:rsidRPr="00A555B6">
        <w:rPr>
          <w:rFonts w:ascii="Times New Roman" w:hAnsi="Times New Roman" w:cs="Times New Roman"/>
          <w:sz w:val="22"/>
          <w:szCs w:val="22"/>
        </w:rPr>
        <w:t>)</w:t>
      </w:r>
      <w:r w:rsidR="00CA63AD" w:rsidRPr="00A555B6">
        <w:rPr>
          <w:rFonts w:ascii="Times New Roman" w:hAnsi="Times New Roman" w:cs="Times New Roman"/>
          <w:sz w:val="22"/>
          <w:szCs w:val="22"/>
        </w:rPr>
        <w:t xml:space="preserve"> jest w odniesieniu do proponowanych rozwiązań możliw</w:t>
      </w:r>
      <w:r w:rsidR="00E7575B" w:rsidRPr="00A555B6">
        <w:rPr>
          <w:rFonts w:ascii="Times New Roman" w:hAnsi="Times New Roman" w:cs="Times New Roman"/>
          <w:sz w:val="22"/>
          <w:szCs w:val="22"/>
        </w:rPr>
        <w:t>e</w:t>
      </w:r>
      <w:r w:rsidR="00CA63AD" w:rsidRPr="00A555B6">
        <w:rPr>
          <w:rFonts w:ascii="Times New Roman" w:hAnsi="Times New Roman" w:cs="Times New Roman"/>
          <w:sz w:val="22"/>
          <w:szCs w:val="22"/>
        </w:rPr>
        <w:t xml:space="preserve"> jedynie poprzez interwencję o charakterze legislacyjnym. </w:t>
      </w:r>
    </w:p>
    <w:p w14:paraId="7A5CC2A7" w14:textId="7572F6D6" w:rsidR="004706E3" w:rsidRPr="00A555B6" w:rsidRDefault="004706E3"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Projekt ustawy nie zawiera przepisów technicznych, w rozumieniu rozporządzenia Rady Ministrów z</w:t>
      </w:r>
      <w:r w:rsidR="006100AF" w:rsidRPr="00A555B6">
        <w:rPr>
          <w:rFonts w:ascii="Times New Roman" w:hAnsi="Times New Roman" w:cs="Times New Roman"/>
          <w:sz w:val="22"/>
          <w:szCs w:val="22"/>
        </w:rPr>
        <w:t> </w:t>
      </w:r>
      <w:r w:rsidRPr="00A555B6">
        <w:rPr>
          <w:rFonts w:ascii="Times New Roman" w:hAnsi="Times New Roman" w:cs="Times New Roman"/>
          <w:sz w:val="22"/>
          <w:szCs w:val="22"/>
        </w:rPr>
        <w:t>dnia 23 grudnia 2002 r. w sprawie sposobu funkcjonowania krajowego systemu notyfikacji norm i</w:t>
      </w:r>
      <w:r w:rsidR="006100AF" w:rsidRPr="00A555B6">
        <w:rPr>
          <w:rFonts w:ascii="Times New Roman" w:hAnsi="Times New Roman" w:cs="Times New Roman"/>
          <w:sz w:val="22"/>
          <w:szCs w:val="22"/>
        </w:rPr>
        <w:t> </w:t>
      </w:r>
      <w:r w:rsidRPr="00A555B6">
        <w:rPr>
          <w:rFonts w:ascii="Times New Roman" w:hAnsi="Times New Roman" w:cs="Times New Roman"/>
          <w:sz w:val="22"/>
          <w:szCs w:val="22"/>
        </w:rPr>
        <w:t>aktów prawnych (Dz. U. poz. 2039 oraz z 2004 r. poz. 597), w związku z tym nie podlega notyfikacji.</w:t>
      </w:r>
    </w:p>
    <w:p w14:paraId="532A7868" w14:textId="6066A905" w:rsidR="00BE7F8D" w:rsidRPr="00A555B6" w:rsidRDefault="00BE7F8D"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Projekt ustawy nie zawiera wymogów nakładanych na usługodawców podlegających notyfikacji, o</w:t>
      </w:r>
      <w:r w:rsidR="004A1336" w:rsidRPr="00A555B6">
        <w:rPr>
          <w:rFonts w:ascii="Times New Roman" w:hAnsi="Times New Roman" w:cs="Times New Roman"/>
          <w:sz w:val="22"/>
          <w:szCs w:val="22"/>
        </w:rPr>
        <w:t> </w:t>
      </w:r>
      <w:r w:rsidRPr="00A555B6">
        <w:rPr>
          <w:rFonts w:ascii="Times New Roman" w:hAnsi="Times New Roman" w:cs="Times New Roman"/>
          <w:sz w:val="22"/>
          <w:szCs w:val="22"/>
        </w:rPr>
        <w:t>której mowa w art. 15 ust. 7 lub art. 39 ust. 5 dyrektywy 2006/123/WE Parlamentu Europejskiego i</w:t>
      </w:r>
      <w:r w:rsidR="004A1336" w:rsidRPr="00A555B6">
        <w:rPr>
          <w:rFonts w:ascii="Times New Roman" w:hAnsi="Times New Roman" w:cs="Times New Roman"/>
          <w:sz w:val="22"/>
          <w:szCs w:val="22"/>
        </w:rPr>
        <w:t> </w:t>
      </w:r>
      <w:r w:rsidRPr="00A555B6">
        <w:rPr>
          <w:rFonts w:ascii="Times New Roman" w:hAnsi="Times New Roman" w:cs="Times New Roman"/>
          <w:sz w:val="22"/>
          <w:szCs w:val="22"/>
        </w:rPr>
        <w:t>Rady z dnia 12 grudnia 2006 r. dotyczącej usług na rynku wewnętrznych (Dz. Urz. UE L 376 z</w:t>
      </w:r>
      <w:r w:rsidR="004A1336" w:rsidRPr="00A555B6">
        <w:rPr>
          <w:rFonts w:ascii="Times New Roman" w:hAnsi="Times New Roman" w:cs="Times New Roman"/>
          <w:sz w:val="22"/>
          <w:szCs w:val="22"/>
        </w:rPr>
        <w:t> </w:t>
      </w:r>
      <w:r w:rsidRPr="00A555B6">
        <w:rPr>
          <w:rFonts w:ascii="Times New Roman" w:hAnsi="Times New Roman" w:cs="Times New Roman"/>
          <w:sz w:val="22"/>
          <w:szCs w:val="22"/>
        </w:rPr>
        <w:t>27.12.2006 str. 36).</w:t>
      </w:r>
    </w:p>
    <w:p w14:paraId="53A47987" w14:textId="77777777" w:rsidR="004706E3" w:rsidRPr="00A555B6" w:rsidRDefault="004706E3"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 xml:space="preserve">Projekt ustawy nie wymaga uzyskania opinii, dokonania powiadomienia, konsultacji albo uzgodnienia z właściwymi organami i instytucjami Unii Europejskiej, w tym z Europejskim Bankiem Centralnym, o czym mowa w § </w:t>
      </w:r>
      <w:bookmarkStart w:id="88" w:name="_Hlk159933407"/>
      <w:r w:rsidRPr="00A555B6">
        <w:rPr>
          <w:rFonts w:ascii="Times New Roman" w:hAnsi="Times New Roman" w:cs="Times New Roman"/>
          <w:sz w:val="22"/>
          <w:szCs w:val="22"/>
        </w:rPr>
        <w:t xml:space="preserve">39 uchwały nr 190 Rady Ministrów z dnia 29 października 2013 r. – </w:t>
      </w:r>
      <w:bookmarkEnd w:id="88"/>
      <w:r w:rsidRPr="00A555B6">
        <w:rPr>
          <w:rFonts w:ascii="Times New Roman" w:hAnsi="Times New Roman" w:cs="Times New Roman"/>
          <w:sz w:val="22"/>
          <w:szCs w:val="22"/>
        </w:rPr>
        <w:t xml:space="preserve">Regulamin pracy Rady Ministrów (M.P. z 2022 r. poz. 348). </w:t>
      </w:r>
    </w:p>
    <w:p w14:paraId="67D7096E" w14:textId="2C8236AE" w:rsidR="004706E3" w:rsidRPr="00A555B6" w:rsidRDefault="004706E3"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 xml:space="preserve">Projektowana regulacja jest zgodna z prawem Unii Europejskiej. </w:t>
      </w:r>
    </w:p>
    <w:p w14:paraId="1508A7B7" w14:textId="70CFE2DE" w:rsidR="004706E3" w:rsidRPr="00A555B6" w:rsidRDefault="004706E3"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Stosownie do art. 5 ustawy z dnia 7 lipca 2005 r. o działalności lobbingowej w procesie stanowienia prawa (Dz. U. z 2017 r. poz. 248) w związku z § 52 ust. 1 39 uchwały nr 190 Rady Ministrów z dnia 29 października 2013 r. – Regulamin pracy Rady Ministrów projekt ustawy został udostępniony w</w:t>
      </w:r>
      <w:r w:rsidR="006100AF" w:rsidRPr="00A555B6">
        <w:rPr>
          <w:rFonts w:ascii="Times New Roman" w:hAnsi="Times New Roman" w:cs="Times New Roman"/>
          <w:sz w:val="22"/>
          <w:szCs w:val="22"/>
        </w:rPr>
        <w:t> </w:t>
      </w:r>
      <w:r w:rsidRPr="00A555B6">
        <w:rPr>
          <w:rFonts w:ascii="Times New Roman" w:hAnsi="Times New Roman" w:cs="Times New Roman"/>
          <w:sz w:val="22"/>
          <w:szCs w:val="22"/>
        </w:rPr>
        <w:t>Biuletynie Informacji Publicznej na stronie podmiotowej Rządowego Centrum Legislacji, w</w:t>
      </w:r>
      <w:r w:rsidR="006100AF" w:rsidRPr="00A555B6">
        <w:rPr>
          <w:rFonts w:ascii="Times New Roman" w:hAnsi="Times New Roman" w:cs="Times New Roman"/>
          <w:sz w:val="22"/>
          <w:szCs w:val="22"/>
        </w:rPr>
        <w:t> </w:t>
      </w:r>
      <w:r w:rsidRPr="00A555B6">
        <w:rPr>
          <w:rFonts w:ascii="Times New Roman" w:hAnsi="Times New Roman" w:cs="Times New Roman"/>
          <w:sz w:val="22"/>
          <w:szCs w:val="22"/>
        </w:rPr>
        <w:t>serwisie Rządowy Proces Legislacyjny.</w:t>
      </w:r>
    </w:p>
    <w:p w14:paraId="2C58AEE8" w14:textId="6C32F928" w:rsidR="004706E3" w:rsidRPr="00A555B6" w:rsidRDefault="004706E3" w:rsidP="004E6FE9">
      <w:pPr>
        <w:pStyle w:val="ARTartustawynprozporzdzenia"/>
        <w:spacing w:after="120"/>
        <w:ind w:firstLine="0"/>
        <w:rPr>
          <w:rFonts w:ascii="Times New Roman" w:hAnsi="Times New Roman" w:cs="Times New Roman"/>
          <w:sz w:val="22"/>
          <w:szCs w:val="22"/>
        </w:rPr>
      </w:pPr>
      <w:r w:rsidRPr="00A555B6">
        <w:rPr>
          <w:rFonts w:ascii="Times New Roman" w:hAnsi="Times New Roman" w:cs="Times New Roman"/>
          <w:sz w:val="22"/>
          <w:szCs w:val="22"/>
        </w:rPr>
        <w:t>Projekt został wpisany do wykazu prac legislacyjnych i programowych Rady Ministrów (UA8).</w:t>
      </w:r>
    </w:p>
    <w:sectPr w:rsidR="004706E3" w:rsidRPr="00A555B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6B6C5" w14:textId="77777777" w:rsidR="0063203E" w:rsidRDefault="0063203E" w:rsidP="00B20442">
      <w:pPr>
        <w:spacing w:after="0" w:line="240" w:lineRule="auto"/>
      </w:pPr>
      <w:r>
        <w:separator/>
      </w:r>
    </w:p>
  </w:endnote>
  <w:endnote w:type="continuationSeparator" w:id="0">
    <w:p w14:paraId="4E08A3CC" w14:textId="77777777" w:rsidR="0063203E" w:rsidRDefault="0063203E" w:rsidP="00B20442">
      <w:pPr>
        <w:spacing w:after="0" w:line="240" w:lineRule="auto"/>
      </w:pPr>
      <w:r>
        <w:continuationSeparator/>
      </w:r>
    </w:p>
  </w:endnote>
  <w:endnote w:type="continuationNotice" w:id="1">
    <w:p w14:paraId="2BDE8E22" w14:textId="77777777" w:rsidR="0063203E" w:rsidRDefault="00632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412316"/>
      <w:docPartObj>
        <w:docPartGallery w:val="Page Numbers (Bottom of Page)"/>
        <w:docPartUnique/>
      </w:docPartObj>
    </w:sdtPr>
    <w:sdtContent>
      <w:p w14:paraId="54068FBB" w14:textId="57D87819" w:rsidR="00F72AA8" w:rsidRDefault="00F72AA8">
        <w:pPr>
          <w:pStyle w:val="Stopka"/>
          <w:jc w:val="right"/>
        </w:pPr>
        <w:r>
          <w:fldChar w:fldCharType="begin"/>
        </w:r>
        <w:r>
          <w:instrText>PAGE   \* MERGEFORMAT</w:instrText>
        </w:r>
        <w:r>
          <w:fldChar w:fldCharType="separate"/>
        </w:r>
        <w:r>
          <w:t>2</w:t>
        </w:r>
        <w:r>
          <w:fldChar w:fldCharType="end"/>
        </w:r>
      </w:p>
    </w:sdtContent>
  </w:sdt>
  <w:p w14:paraId="40761241" w14:textId="77777777" w:rsidR="00A77374" w:rsidRDefault="00A773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3638" w14:textId="77777777" w:rsidR="0063203E" w:rsidRDefault="0063203E" w:rsidP="00B20442">
      <w:pPr>
        <w:spacing w:after="0" w:line="240" w:lineRule="auto"/>
      </w:pPr>
      <w:r>
        <w:separator/>
      </w:r>
    </w:p>
  </w:footnote>
  <w:footnote w:type="continuationSeparator" w:id="0">
    <w:p w14:paraId="411E3DD4" w14:textId="77777777" w:rsidR="0063203E" w:rsidRDefault="0063203E" w:rsidP="00B20442">
      <w:pPr>
        <w:spacing w:after="0" w:line="240" w:lineRule="auto"/>
      </w:pPr>
      <w:r>
        <w:continuationSeparator/>
      </w:r>
    </w:p>
  </w:footnote>
  <w:footnote w:type="continuationNotice" w:id="1">
    <w:p w14:paraId="0DBB2F78" w14:textId="77777777" w:rsidR="0063203E" w:rsidRDefault="0063203E">
      <w:pPr>
        <w:spacing w:after="0" w:line="240" w:lineRule="auto"/>
      </w:pPr>
    </w:p>
  </w:footnote>
  <w:footnote w:id="2">
    <w:p w14:paraId="372AD4E9" w14:textId="77777777" w:rsidR="009A2390" w:rsidRDefault="009A2390" w:rsidP="009A2390">
      <w:pPr>
        <w:pStyle w:val="Tekstprzypisudolnego"/>
      </w:pPr>
      <w:r>
        <w:rPr>
          <w:rStyle w:val="Odwoanieprzypisudolnego"/>
        </w:rPr>
        <w:footnoteRef/>
      </w:r>
      <w:r>
        <w:t xml:space="preserve"> </w:t>
      </w:r>
      <w:r w:rsidRPr="00827FDA">
        <w:rPr>
          <w:rFonts w:ascii="Times New Roman" w:hAnsi="Times New Roman" w:cs="Times New Roman"/>
        </w:rPr>
        <w:t>https://legislacja.gov.pl/projekt/12362152</w:t>
      </w:r>
    </w:p>
  </w:footnote>
  <w:footnote w:id="3">
    <w:p w14:paraId="0F385648" w14:textId="77777777" w:rsidR="00680B6F" w:rsidRPr="000558A5" w:rsidRDefault="00680B6F" w:rsidP="00680B6F">
      <w:pPr>
        <w:pStyle w:val="Default"/>
        <w:rPr>
          <w:rFonts w:ascii="Times New Roman" w:eastAsiaTheme="minorEastAsia" w:hAnsi="Times New Roman" w:cs="Times New Roman"/>
          <w:bCs/>
          <w:color w:val="auto"/>
          <w:sz w:val="20"/>
          <w:szCs w:val="20"/>
          <w:lang w:eastAsia="pl-PL"/>
          <w14:ligatures w14:val="none"/>
        </w:rPr>
      </w:pPr>
      <w:r w:rsidRPr="000558A5">
        <w:rPr>
          <w:rStyle w:val="Odwoanieprzypisudolnego"/>
          <w:sz w:val="20"/>
          <w:szCs w:val="20"/>
        </w:rPr>
        <w:footnoteRef/>
      </w:r>
      <w:r w:rsidRPr="000558A5">
        <w:rPr>
          <w:sz w:val="20"/>
          <w:szCs w:val="20"/>
        </w:rPr>
        <w:t xml:space="preserve"> </w:t>
      </w:r>
      <w:r w:rsidRPr="000558A5">
        <w:rPr>
          <w:rFonts w:ascii="Times New Roman" w:eastAsiaTheme="minorEastAsia" w:hAnsi="Times New Roman" w:cs="Times New Roman"/>
          <w:bCs/>
          <w:color w:val="auto"/>
          <w:sz w:val="20"/>
          <w:szCs w:val="20"/>
          <w:lang w:eastAsia="pl-PL"/>
          <w14:ligatures w14:val="none"/>
        </w:rPr>
        <w:t>Zob. wyrok SN z dnia 27 listopada 2019 r.,</w:t>
      </w:r>
      <w:r w:rsidRPr="000558A5">
        <w:rPr>
          <w:rFonts w:ascii="Times New Roman" w:eastAsiaTheme="minorEastAsia" w:hAnsi="Times New Roman" w:cs="Times New Roman"/>
          <w:bCs/>
          <w:sz w:val="20"/>
          <w:szCs w:val="20"/>
          <w:lang w:eastAsia="pl-PL"/>
          <w14:ligatures w14:val="none"/>
        </w:rPr>
        <w:t xml:space="preserve"> I NSK 95/18.</w:t>
      </w:r>
    </w:p>
  </w:footnote>
  <w:footnote w:id="4">
    <w:p w14:paraId="7F52B3D6" w14:textId="77777777" w:rsidR="00680B6F" w:rsidRDefault="00680B6F" w:rsidP="00680B6F">
      <w:pPr>
        <w:pStyle w:val="Tekstprzypisudolnego"/>
        <w:jc w:val="both"/>
      </w:pPr>
      <w:r w:rsidRPr="009C3BF2">
        <w:rPr>
          <w:rFonts w:ascii="Times New Roman" w:hAnsi="Times New Roman" w:cs="Times New Roman"/>
          <w:vertAlign w:val="superscript"/>
        </w:rPr>
        <w:footnoteRef/>
      </w:r>
      <w:r w:rsidRPr="009C3BF2">
        <w:rPr>
          <w:rFonts w:ascii="Times New Roman" w:hAnsi="Times New Roman" w:cs="Times New Roman"/>
          <w:vertAlign w:val="superscript"/>
        </w:rPr>
        <w:t xml:space="preserve"> </w:t>
      </w:r>
      <w:r w:rsidRPr="009C3BF2">
        <w:rPr>
          <w:rFonts w:ascii="Times New Roman" w:hAnsi="Times New Roman" w:cs="Times New Roman"/>
        </w:rPr>
        <w:t xml:space="preserve">Por. </w:t>
      </w:r>
      <w:r w:rsidRPr="000558A5">
        <w:rPr>
          <w:rFonts w:ascii="Times New Roman" w:hAnsi="Times New Roman" w:cs="Times New Roman"/>
        </w:rPr>
        <w:t xml:space="preserve">J. Jagielski, J. Piecha, </w:t>
      </w:r>
      <w:r w:rsidRPr="000558A5">
        <w:rPr>
          <w:rFonts w:ascii="Times New Roman" w:hAnsi="Times New Roman" w:cs="Times New Roman"/>
          <w:i/>
          <w:iCs/>
        </w:rPr>
        <w:t xml:space="preserve">Podstawowe pojęcia teoretyczne w nauce prawa administracyjnego, </w:t>
      </w:r>
      <w:r w:rsidRPr="000558A5">
        <w:rPr>
          <w:rFonts w:ascii="Times New Roman" w:hAnsi="Times New Roman" w:cs="Times New Roman"/>
        </w:rPr>
        <w:t>[w:</w:t>
      </w:r>
      <w:r>
        <w:rPr>
          <w:rFonts w:ascii="Times New Roman" w:hAnsi="Times New Roman" w:cs="Times New Roman"/>
        </w:rPr>
        <w:t>]</w:t>
      </w:r>
      <w:r w:rsidRPr="000558A5">
        <w:rPr>
          <w:rFonts w:ascii="Times New Roman" w:hAnsi="Times New Roman" w:cs="Times New Roman"/>
        </w:rPr>
        <w:t xml:space="preserve"> J.</w:t>
      </w:r>
      <w:r>
        <w:rPr>
          <w:rFonts w:ascii="Times New Roman" w:hAnsi="Times New Roman" w:cs="Times New Roman"/>
        </w:rPr>
        <w:t> </w:t>
      </w:r>
      <w:r w:rsidRPr="000558A5">
        <w:rPr>
          <w:rFonts w:ascii="Times New Roman" w:hAnsi="Times New Roman" w:cs="Times New Roman"/>
        </w:rPr>
        <w:t xml:space="preserve">Jagielski, M. Wierzbowski (red.), </w:t>
      </w:r>
      <w:r w:rsidRPr="000558A5">
        <w:rPr>
          <w:rFonts w:ascii="Times New Roman" w:hAnsi="Times New Roman" w:cs="Times New Roman"/>
          <w:i/>
          <w:iCs/>
        </w:rPr>
        <w:t xml:space="preserve">Prawo administracyjne, </w:t>
      </w:r>
      <w:r w:rsidRPr="000558A5">
        <w:rPr>
          <w:rFonts w:ascii="Times New Roman" w:hAnsi="Times New Roman" w:cs="Times New Roman"/>
        </w:rPr>
        <w:t>Warszawa 2019, s. 139</w:t>
      </w:r>
      <w:r>
        <w:rPr>
          <w:rFonts w:ascii="Times New Roman" w:hAnsi="Times New Roman" w:cs="Times New Roman"/>
        </w:rPr>
        <w:t xml:space="preserve"> oraz </w:t>
      </w:r>
      <w:r w:rsidRPr="000558A5">
        <w:rPr>
          <w:rFonts w:ascii="Times New Roman" w:hAnsi="Times New Roman" w:cs="Times New Roman"/>
        </w:rPr>
        <w:t xml:space="preserve">M. Jaśkowska, </w:t>
      </w:r>
      <w:r w:rsidRPr="000558A5">
        <w:rPr>
          <w:rFonts w:ascii="Times New Roman" w:hAnsi="Times New Roman" w:cs="Times New Roman"/>
          <w:i/>
          <w:iCs/>
        </w:rPr>
        <w:t xml:space="preserve">Pojęcie uznania administracyjnego, </w:t>
      </w:r>
      <w:r>
        <w:rPr>
          <w:rFonts w:ascii="Times New Roman" w:hAnsi="Times New Roman" w:cs="Times New Roman"/>
        </w:rPr>
        <w:t>[</w:t>
      </w:r>
      <w:r w:rsidRPr="000558A5">
        <w:rPr>
          <w:rFonts w:ascii="Times New Roman" w:hAnsi="Times New Roman" w:cs="Times New Roman"/>
        </w:rPr>
        <w:t>w:</w:t>
      </w:r>
      <w:r>
        <w:rPr>
          <w:rFonts w:ascii="Times New Roman" w:hAnsi="Times New Roman" w:cs="Times New Roman"/>
        </w:rPr>
        <w:t>]</w:t>
      </w:r>
      <w:r w:rsidRPr="000558A5">
        <w:rPr>
          <w:rFonts w:ascii="Times New Roman" w:hAnsi="Times New Roman" w:cs="Times New Roman"/>
        </w:rPr>
        <w:t xml:space="preserve"> R. Hauser, Z. Niewiadomski, A. Wróbel (red.), </w:t>
      </w:r>
      <w:r w:rsidRPr="000558A5">
        <w:rPr>
          <w:rFonts w:ascii="Times New Roman" w:hAnsi="Times New Roman" w:cs="Times New Roman"/>
          <w:i/>
          <w:iCs/>
        </w:rPr>
        <w:t xml:space="preserve">System Prawa Administracyjnego. Publiczne prawo gospodarcze, </w:t>
      </w:r>
      <w:r w:rsidRPr="000558A5">
        <w:rPr>
          <w:rFonts w:ascii="Times New Roman" w:hAnsi="Times New Roman" w:cs="Times New Roman"/>
        </w:rPr>
        <w:t>t. 8B, Warszawa 2018, s. 271</w:t>
      </w:r>
      <w:r>
        <w:rPr>
          <w:rFonts w:ascii="Times New Roman" w:hAnsi="Times New Roman" w:cs="Times New Roman"/>
        </w:rPr>
        <w:t>.</w:t>
      </w:r>
    </w:p>
  </w:footnote>
  <w:footnote w:id="5">
    <w:p w14:paraId="25CD8AB8" w14:textId="77777777" w:rsidR="00162023" w:rsidRPr="00AE14E0" w:rsidRDefault="00162023" w:rsidP="00162023">
      <w:pPr>
        <w:pStyle w:val="Tekstprzypisudolnego"/>
        <w:jc w:val="both"/>
        <w:rPr>
          <w:rFonts w:ascii="Times New Roman" w:hAnsi="Times New Roman" w:cs="Times New Roman"/>
        </w:rPr>
      </w:pPr>
      <w:r>
        <w:rPr>
          <w:rStyle w:val="Odwoanieprzypisudolnego"/>
        </w:rPr>
        <w:footnoteRef/>
      </w:r>
      <w:r>
        <w:t xml:space="preserve"> </w:t>
      </w:r>
      <w:r w:rsidRPr="00AE14E0">
        <w:rPr>
          <w:rFonts w:ascii="Times New Roman" w:hAnsi="Times New Roman" w:cs="Times New Roman"/>
        </w:rPr>
        <w:t>Ok. 300</w:t>
      </w:r>
      <w:r>
        <w:rPr>
          <w:rFonts w:ascii="Times New Roman" w:hAnsi="Times New Roman" w:cs="Times New Roman"/>
        </w:rPr>
        <w:t xml:space="preserve"> - 400</w:t>
      </w:r>
      <w:r w:rsidRPr="00AE14E0">
        <w:rPr>
          <w:rFonts w:ascii="Times New Roman" w:hAnsi="Times New Roman" w:cs="Times New Roman"/>
        </w:rPr>
        <w:t xml:space="preserve"> tys. spraw gospodarczych pozostałych do rozpatrzenia corocznie</w:t>
      </w:r>
      <w:r>
        <w:rPr>
          <w:rFonts w:ascii="Times New Roman" w:hAnsi="Times New Roman" w:cs="Times New Roman"/>
        </w:rPr>
        <w:t xml:space="preserve">, </w:t>
      </w:r>
      <w:r w:rsidRPr="00AE14E0">
        <w:rPr>
          <w:rFonts w:ascii="Times New Roman" w:hAnsi="Times New Roman" w:cs="Times New Roman"/>
        </w:rPr>
        <w:t xml:space="preserve">na podstawie danych MS </w:t>
      </w:r>
      <w:hyperlink r:id="rId1" w:history="1">
        <w:r w:rsidRPr="00AE14E0">
          <w:rPr>
            <w:rStyle w:val="Hipercze"/>
            <w:rFonts w:ascii="Times New Roman" w:hAnsi="Times New Roman" w:cs="Times New Roman"/>
          </w:rPr>
          <w:t>https://isws.ms.gov.pl/pl/baza-statystyczna/opracowania-wieloletnie/</w:t>
        </w:r>
      </w:hyperlink>
      <w:r w:rsidRPr="00AE14E0">
        <w:rPr>
          <w:rFonts w:ascii="Times New Roman" w:hAnsi="Times New Roman" w:cs="Times New Roman"/>
        </w:rPr>
        <w:t xml:space="preserve"> </w:t>
      </w:r>
    </w:p>
  </w:footnote>
  <w:footnote w:id="6">
    <w:p w14:paraId="32FEA8C2" w14:textId="77777777" w:rsidR="007F7CB5" w:rsidRDefault="007F7CB5" w:rsidP="007F7CB5">
      <w:pPr>
        <w:pStyle w:val="Tekstprzypisudolnego"/>
      </w:pPr>
      <w:r>
        <w:rPr>
          <w:rStyle w:val="Odwoanieprzypisudolnego"/>
        </w:rPr>
        <w:footnoteRef/>
      </w:r>
      <w:r>
        <w:t xml:space="preserve"> </w:t>
      </w:r>
      <w:r>
        <w:rPr>
          <w:rFonts w:ascii="Times New Roman" w:hAnsi="Times New Roman" w:cs="Times New Roman"/>
        </w:rPr>
        <w:t xml:space="preserve">Dane MS. </w:t>
      </w:r>
      <w:hyperlink r:id="rId2" w:history="1">
        <w:r w:rsidRPr="00AA1550">
          <w:rPr>
            <w:rStyle w:val="Hipercze"/>
            <w:rFonts w:ascii="Times New Roman" w:hAnsi="Times New Roman" w:cs="Times New Roman"/>
          </w:rPr>
          <w:t>https://isws.ms.gov.pl/pl/baza-statystyczna/opracowania-wieloletnie/</w:t>
        </w:r>
      </w:hyperlink>
      <w:r>
        <w:rPr>
          <w:rFonts w:ascii="Times New Roman" w:hAnsi="Times New Roman" w:cs="Times New Roman"/>
        </w:rPr>
        <w:t xml:space="preserve"> dostęp z dnia 16 lipca 2024 r.</w:t>
      </w:r>
    </w:p>
  </w:footnote>
  <w:footnote w:id="7">
    <w:p w14:paraId="6E9CE2EE" w14:textId="77777777" w:rsidR="007F7CB5" w:rsidRDefault="007F7CB5" w:rsidP="007F7CB5">
      <w:pPr>
        <w:pStyle w:val="Tekstprzypisudolnego"/>
      </w:pPr>
      <w:r>
        <w:rPr>
          <w:rStyle w:val="Odwoanieprzypisudolnego"/>
        </w:rPr>
        <w:footnoteRef/>
      </w:r>
      <w:r>
        <w:t xml:space="preserve"> </w:t>
      </w:r>
      <w:r>
        <w:rPr>
          <w:rFonts w:ascii="Times New Roman" w:hAnsi="Times New Roman" w:cs="Times New Roman"/>
        </w:rPr>
        <w:t xml:space="preserve">Dane MS. </w:t>
      </w:r>
      <w:hyperlink r:id="rId3" w:history="1">
        <w:r w:rsidRPr="00AA1550">
          <w:rPr>
            <w:rStyle w:val="Hipercze"/>
            <w:rFonts w:ascii="Times New Roman" w:hAnsi="Times New Roman" w:cs="Times New Roman"/>
          </w:rPr>
          <w:t>https://isws.ms.gov.pl/pl/baza-statystyczna/opracowania-wieloletnie/</w:t>
        </w:r>
      </w:hyperlink>
      <w:r>
        <w:rPr>
          <w:rFonts w:ascii="Times New Roman" w:hAnsi="Times New Roman" w:cs="Times New Roman"/>
        </w:rPr>
        <w:t xml:space="preserve"> dostęp z dnia 16 lipca 2024 r.</w:t>
      </w:r>
    </w:p>
  </w:footnote>
  <w:footnote w:id="8">
    <w:p w14:paraId="13BAB71B" w14:textId="77777777" w:rsidR="007F7CB5" w:rsidRPr="00B02E3D" w:rsidRDefault="007F7CB5" w:rsidP="007F7CB5">
      <w:pPr>
        <w:pStyle w:val="Tekstprzypisudolnego"/>
        <w:rPr>
          <w:rFonts w:ascii="Times New Roman" w:hAnsi="Times New Roman" w:cs="Times New Roman"/>
        </w:rPr>
      </w:pPr>
      <w:r>
        <w:rPr>
          <w:rStyle w:val="Odwoanieprzypisudolnego"/>
        </w:rPr>
        <w:footnoteRef/>
      </w:r>
      <w:r>
        <w:t xml:space="preserve"> </w:t>
      </w:r>
      <w:r>
        <w:rPr>
          <w:rFonts w:ascii="Times New Roman" w:hAnsi="Times New Roman" w:cs="Times New Roman"/>
        </w:rPr>
        <w:t xml:space="preserve">Dane MS. </w:t>
      </w:r>
      <w:hyperlink r:id="rId4" w:history="1">
        <w:r w:rsidRPr="00AA1550">
          <w:rPr>
            <w:rStyle w:val="Hipercze"/>
            <w:rFonts w:ascii="Times New Roman" w:hAnsi="Times New Roman" w:cs="Times New Roman"/>
          </w:rPr>
          <w:t>https://isws.ms.gov.pl/pl/baza-statystyczna/opracowania-wieloletnie/</w:t>
        </w:r>
      </w:hyperlink>
      <w:r>
        <w:rPr>
          <w:rFonts w:ascii="Times New Roman" w:hAnsi="Times New Roman" w:cs="Times New Roman"/>
        </w:rPr>
        <w:t xml:space="preserve"> dostęp z dnia 16 lipca 2024 r. </w:t>
      </w:r>
    </w:p>
  </w:footnote>
  <w:footnote w:id="9">
    <w:p w14:paraId="7D0F36FC" w14:textId="77777777" w:rsidR="007F7CB5" w:rsidRPr="00812343" w:rsidRDefault="007F7CB5" w:rsidP="007F7CB5">
      <w:pPr>
        <w:pStyle w:val="Nagwek1"/>
        <w:spacing w:before="0" w:after="0"/>
        <w:jc w:val="both"/>
        <w:rPr>
          <w:rFonts w:ascii="Times" w:eastAsiaTheme="minorHAnsi" w:hAnsi="Times" w:cs="Times"/>
          <w:color w:val="auto"/>
          <w:sz w:val="18"/>
          <w:szCs w:val="18"/>
        </w:rPr>
      </w:pPr>
      <w:r w:rsidRPr="00812343">
        <w:rPr>
          <w:rFonts w:ascii="Times" w:eastAsiaTheme="minorHAnsi" w:hAnsi="Times" w:cs="Times"/>
          <w:color w:val="auto"/>
          <w:sz w:val="18"/>
          <w:szCs w:val="18"/>
          <w:vertAlign w:val="superscript"/>
        </w:rPr>
        <w:footnoteRef/>
      </w:r>
      <w:r w:rsidRPr="00812343">
        <w:rPr>
          <w:rFonts w:ascii="Times" w:eastAsiaTheme="minorHAnsi" w:hAnsi="Times" w:cs="Times"/>
          <w:color w:val="auto"/>
          <w:sz w:val="18"/>
          <w:szCs w:val="18"/>
        </w:rPr>
        <w:t xml:space="preserve"> Zob. Magdalena Skibińska</w:t>
      </w:r>
      <w:r>
        <w:rPr>
          <w:rFonts w:ascii="Times" w:eastAsiaTheme="minorHAnsi" w:hAnsi="Times" w:cs="Times"/>
          <w:color w:val="auto"/>
          <w:sz w:val="18"/>
          <w:szCs w:val="18"/>
        </w:rPr>
        <w:t>,</w:t>
      </w:r>
      <w:r w:rsidRPr="00812343">
        <w:rPr>
          <w:rFonts w:ascii="Times" w:eastAsiaTheme="minorHAnsi" w:hAnsi="Times" w:cs="Times"/>
          <w:color w:val="auto"/>
          <w:sz w:val="18"/>
          <w:szCs w:val="18"/>
        </w:rPr>
        <w:t xml:space="preserve"> „Objęcie ugodą mediacyjną roszczeń nieobjętych pozwem lub objętych różnymi postępowaniami cywilnymi </w:t>
      </w:r>
      <w:r w:rsidRPr="00B40C2B">
        <w:rPr>
          <w:rFonts w:ascii="Times" w:eastAsiaTheme="minorHAnsi" w:hAnsi="Times" w:cs="Times"/>
          <w:color w:val="auto"/>
          <w:sz w:val="18"/>
          <w:szCs w:val="18"/>
        </w:rPr>
        <w:t>–</w:t>
      </w:r>
      <w:r w:rsidRPr="00812343">
        <w:rPr>
          <w:rFonts w:ascii="Times" w:eastAsiaTheme="minorHAnsi" w:hAnsi="Times" w:cs="Times"/>
          <w:color w:val="auto"/>
          <w:sz w:val="18"/>
          <w:szCs w:val="18"/>
        </w:rPr>
        <w:t xml:space="preserve"> rozwiązane i nierozwiązane problemy w ustawie z 9.03.2023 r. o zmianie ustawy </w:t>
      </w:r>
      <w:r w:rsidRPr="00B40C2B">
        <w:rPr>
          <w:rFonts w:ascii="Times" w:eastAsiaTheme="minorHAnsi" w:hAnsi="Times" w:cs="Times"/>
          <w:color w:val="auto"/>
          <w:sz w:val="18"/>
          <w:szCs w:val="18"/>
        </w:rPr>
        <w:t>–</w:t>
      </w:r>
      <w:r w:rsidRPr="00812343">
        <w:rPr>
          <w:rFonts w:ascii="Times" w:eastAsiaTheme="minorHAnsi" w:hAnsi="Times" w:cs="Times"/>
          <w:color w:val="auto"/>
          <w:sz w:val="18"/>
          <w:szCs w:val="18"/>
        </w:rPr>
        <w:t xml:space="preserve"> Kodeks postępowania cywilnego oraz niektórych innych ustaw”, Palestra 2023/8.</w:t>
      </w:r>
    </w:p>
    <w:p w14:paraId="4BBD59E2" w14:textId="77777777" w:rsidR="007F7CB5" w:rsidRDefault="007F7CB5" w:rsidP="007F7CB5">
      <w:pPr>
        <w:pStyle w:val="Tekstprzypisudolnego"/>
      </w:pPr>
    </w:p>
  </w:footnote>
  <w:footnote w:id="10">
    <w:p w14:paraId="7D34DA8A" w14:textId="77777777" w:rsidR="003E3BBC" w:rsidRPr="002E452F" w:rsidRDefault="003E3BBC" w:rsidP="003E3BBC">
      <w:pPr>
        <w:pStyle w:val="Tekstprzypisudolnego"/>
        <w:rPr>
          <w:rFonts w:ascii="Times" w:hAnsi="Times" w:cs="Times"/>
          <w:sz w:val="18"/>
          <w:szCs w:val="18"/>
          <w:lang w:val="en-GB"/>
        </w:rPr>
      </w:pPr>
      <w:r w:rsidRPr="00812343">
        <w:rPr>
          <w:rStyle w:val="Odwoanieprzypisudolnego"/>
          <w:rFonts w:ascii="Times" w:hAnsi="Times" w:cs="Times"/>
          <w:sz w:val="18"/>
          <w:szCs w:val="18"/>
        </w:rPr>
        <w:footnoteRef/>
      </w:r>
      <w:r w:rsidRPr="00812343">
        <w:rPr>
          <w:rFonts w:ascii="Times" w:hAnsi="Times" w:cs="Times"/>
          <w:sz w:val="18"/>
          <w:szCs w:val="18"/>
          <w:lang w:val="en-GB"/>
        </w:rPr>
        <w:t xml:space="preserve"> IMI: skrót od ang. „Internal Market Information System”.</w:t>
      </w:r>
    </w:p>
  </w:footnote>
  <w:footnote w:id="11">
    <w:p w14:paraId="6FB0E414" w14:textId="723F522F" w:rsidR="003E3BBC" w:rsidRPr="002E452F" w:rsidRDefault="003E3BBC" w:rsidP="003E3BBC">
      <w:pPr>
        <w:pStyle w:val="Tekstprzypisudolnego"/>
        <w:rPr>
          <w:rFonts w:ascii="Times" w:hAnsi="Times" w:cs="Times"/>
          <w:color w:val="000000" w:themeColor="text1"/>
          <w:sz w:val="18"/>
          <w:szCs w:val="18"/>
          <w:lang w:val="en-GB"/>
        </w:rPr>
      </w:pPr>
      <w:r w:rsidRPr="002E452F">
        <w:rPr>
          <w:rStyle w:val="Odwoanieprzypisudolnego"/>
          <w:rFonts w:ascii="Times" w:hAnsi="Times" w:cs="Times"/>
          <w:color w:val="000000" w:themeColor="text1"/>
          <w:sz w:val="18"/>
          <w:szCs w:val="18"/>
        </w:rPr>
        <w:footnoteRef/>
      </w:r>
      <w:r w:rsidRPr="002E452F">
        <w:rPr>
          <w:rFonts w:ascii="Times" w:hAnsi="Times" w:cs="Times"/>
          <w:color w:val="000000" w:themeColor="text1"/>
          <w:sz w:val="18"/>
          <w:szCs w:val="18"/>
          <w:lang w:val="en-GB"/>
        </w:rPr>
        <w:t xml:space="preserve"> Recommendation of the Council on Regulatory Policy and Governance, 2012 (</w:t>
      </w:r>
      <w:r w:rsidR="006100AF" w:rsidRPr="002E452F">
        <w:rPr>
          <w:rFonts w:ascii="Times" w:hAnsi="Times" w:cs="Times"/>
          <w:color w:val="000000" w:themeColor="text1"/>
        </w:rPr>
        <w:t>https://web-archive.oecd.org/2012-12-05/86392-49990817.pdf</w:t>
      </w:r>
      <w:r w:rsidRPr="002E452F">
        <w:rPr>
          <w:rFonts w:ascii="Times" w:hAnsi="Times" w:cs="Times"/>
          <w:color w:val="000000" w:themeColor="text1"/>
          <w:sz w:val="18"/>
          <w:szCs w:val="18"/>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73F55"/>
    <w:multiLevelType w:val="hybridMultilevel"/>
    <w:tmpl w:val="D4BCE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D3052F"/>
    <w:multiLevelType w:val="hybridMultilevel"/>
    <w:tmpl w:val="165AC6D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C27FFC"/>
    <w:multiLevelType w:val="hybridMultilevel"/>
    <w:tmpl w:val="841207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B75D3"/>
    <w:multiLevelType w:val="hybridMultilevel"/>
    <w:tmpl w:val="85628F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BD3583"/>
    <w:multiLevelType w:val="hybridMultilevel"/>
    <w:tmpl w:val="0BBEEAE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B797B"/>
    <w:multiLevelType w:val="hybridMultilevel"/>
    <w:tmpl w:val="5F56B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A73054"/>
    <w:multiLevelType w:val="hybridMultilevel"/>
    <w:tmpl w:val="292CFFBC"/>
    <w:lvl w:ilvl="0" w:tplc="04150011">
      <w:start w:val="1"/>
      <w:numFmt w:val="decimal"/>
      <w:lvlText w:val="%1)"/>
      <w:lvlJc w:val="left"/>
      <w:pPr>
        <w:ind w:left="6031" w:hanging="360"/>
      </w:pPr>
      <w:rPr>
        <w:rFonts w:hint="default"/>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7" w15:restartNumberingAfterBreak="0">
    <w:nsid w:val="125873A6"/>
    <w:multiLevelType w:val="hybridMultilevel"/>
    <w:tmpl w:val="0422F95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82533"/>
    <w:multiLevelType w:val="hybridMultilevel"/>
    <w:tmpl w:val="1BA012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003D6B"/>
    <w:multiLevelType w:val="hybridMultilevel"/>
    <w:tmpl w:val="883CD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10C5E"/>
    <w:multiLevelType w:val="hybridMultilevel"/>
    <w:tmpl w:val="DADA91F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D4313"/>
    <w:multiLevelType w:val="hybridMultilevel"/>
    <w:tmpl w:val="87927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3F3B20"/>
    <w:multiLevelType w:val="hybridMultilevel"/>
    <w:tmpl w:val="FDE25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11310"/>
    <w:multiLevelType w:val="hybridMultilevel"/>
    <w:tmpl w:val="E77865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E4702"/>
    <w:multiLevelType w:val="hybridMultilevel"/>
    <w:tmpl w:val="155E0A8A"/>
    <w:lvl w:ilvl="0" w:tplc="B75272C8">
      <w:start w:val="2"/>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239F3C20"/>
    <w:multiLevelType w:val="hybridMultilevel"/>
    <w:tmpl w:val="ACDCEECA"/>
    <w:lvl w:ilvl="0" w:tplc="FFFFFFFF">
      <w:start w:val="1"/>
      <w:numFmt w:val="decimal"/>
      <w:lvlText w:val="%1)"/>
      <w:lvlJc w:val="left"/>
      <w:pPr>
        <w:ind w:left="1077" w:hanging="360"/>
      </w:pPr>
      <w:rPr>
        <w:rFonts w:ascii="Times New Roman" w:eastAsiaTheme="minorHAnsi" w:hAnsi="Times New Roman" w:cs="Times New Roman"/>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23E0020F"/>
    <w:multiLevelType w:val="hybridMultilevel"/>
    <w:tmpl w:val="3948CA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D63697"/>
    <w:multiLevelType w:val="hybridMultilevel"/>
    <w:tmpl w:val="D4C2D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300C60"/>
    <w:multiLevelType w:val="hybridMultilevel"/>
    <w:tmpl w:val="AF32A65E"/>
    <w:lvl w:ilvl="0" w:tplc="041500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67D19"/>
    <w:multiLevelType w:val="hybridMultilevel"/>
    <w:tmpl w:val="CB54D126"/>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0003C7C"/>
    <w:multiLevelType w:val="hybridMultilevel"/>
    <w:tmpl w:val="3A3EC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892123"/>
    <w:multiLevelType w:val="hybridMultilevel"/>
    <w:tmpl w:val="E9389BD4"/>
    <w:lvl w:ilvl="0" w:tplc="D8D8608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8758C"/>
    <w:multiLevelType w:val="hybridMultilevel"/>
    <w:tmpl w:val="CE12336C"/>
    <w:lvl w:ilvl="0" w:tplc="3ECCABB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3852346"/>
    <w:multiLevelType w:val="hybridMultilevel"/>
    <w:tmpl w:val="20F24B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6E1EFB"/>
    <w:multiLevelType w:val="hybridMultilevel"/>
    <w:tmpl w:val="D9AE8F8A"/>
    <w:lvl w:ilvl="0" w:tplc="3B1C0950">
      <w:start w:val="1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513A70"/>
    <w:multiLevelType w:val="hybridMultilevel"/>
    <w:tmpl w:val="16EA6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16868DE"/>
    <w:multiLevelType w:val="hybridMultilevel"/>
    <w:tmpl w:val="D8D26C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FC4296"/>
    <w:multiLevelType w:val="hybridMultilevel"/>
    <w:tmpl w:val="66647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5837C57"/>
    <w:multiLevelType w:val="hybridMultilevel"/>
    <w:tmpl w:val="F4503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B3033"/>
    <w:multiLevelType w:val="hybridMultilevel"/>
    <w:tmpl w:val="A1E42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FE69CF"/>
    <w:multiLevelType w:val="hybridMultilevel"/>
    <w:tmpl w:val="DADA91F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D6529C"/>
    <w:multiLevelType w:val="hybridMultilevel"/>
    <w:tmpl w:val="4F4813B2"/>
    <w:lvl w:ilvl="0" w:tplc="04150011">
      <w:start w:val="1"/>
      <w:numFmt w:val="decimal"/>
      <w:lvlText w:val="%1)"/>
      <w:lvlJc w:val="left"/>
      <w:pPr>
        <w:ind w:left="360" w:hanging="360"/>
      </w:pPr>
    </w:lvl>
    <w:lvl w:ilvl="1" w:tplc="04150019">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32" w15:restartNumberingAfterBreak="0">
    <w:nsid w:val="567463BB"/>
    <w:multiLevelType w:val="hybridMultilevel"/>
    <w:tmpl w:val="6F50D7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80E20"/>
    <w:multiLevelType w:val="hybridMultilevel"/>
    <w:tmpl w:val="FDE27AF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08635D"/>
    <w:multiLevelType w:val="hybridMultilevel"/>
    <w:tmpl w:val="4C129C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ED359A"/>
    <w:multiLevelType w:val="hybridMultilevel"/>
    <w:tmpl w:val="04688DC4"/>
    <w:lvl w:ilvl="0" w:tplc="A8AC7A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4E77ED"/>
    <w:multiLevelType w:val="hybridMultilevel"/>
    <w:tmpl w:val="297CEF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EC380A"/>
    <w:multiLevelType w:val="hybridMultilevel"/>
    <w:tmpl w:val="ACDCEECA"/>
    <w:lvl w:ilvl="0" w:tplc="6660EBD4">
      <w:start w:val="1"/>
      <w:numFmt w:val="decimal"/>
      <w:lvlText w:val="%1)"/>
      <w:lvlJc w:val="left"/>
      <w:pPr>
        <w:ind w:left="1077" w:hanging="360"/>
      </w:pPr>
      <w:rPr>
        <w:rFonts w:ascii="Times New Roman" w:eastAsiaTheme="minorHAnsi" w:hAnsi="Times New Roman" w:cs="Times New Roman"/>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9552F3E"/>
    <w:multiLevelType w:val="hybridMultilevel"/>
    <w:tmpl w:val="9636FB0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A7289B"/>
    <w:multiLevelType w:val="hybridMultilevel"/>
    <w:tmpl w:val="1BA01294"/>
    <w:lvl w:ilvl="0" w:tplc="C50295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6E61C2"/>
    <w:multiLevelType w:val="hybridMultilevel"/>
    <w:tmpl w:val="BA280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67E24"/>
    <w:multiLevelType w:val="hybridMultilevel"/>
    <w:tmpl w:val="626099DA"/>
    <w:lvl w:ilvl="0" w:tplc="04150011">
      <w:start w:val="1"/>
      <w:numFmt w:val="decimal"/>
      <w:lvlText w:val="%1)"/>
      <w:lvlJc w:val="left"/>
      <w:pPr>
        <w:ind w:left="2988" w:hanging="360"/>
      </w:pPr>
    </w:lvl>
    <w:lvl w:ilvl="1" w:tplc="FFFFFFFF">
      <w:start w:val="1"/>
      <w:numFmt w:val="lowerLetter"/>
      <w:lvlText w:val="%2."/>
      <w:lvlJc w:val="left"/>
      <w:pPr>
        <w:ind w:left="3708" w:hanging="360"/>
      </w:pPr>
    </w:lvl>
    <w:lvl w:ilvl="2" w:tplc="FFFFFFFF">
      <w:start w:val="1"/>
      <w:numFmt w:val="lowerRoman"/>
      <w:lvlText w:val="%3."/>
      <w:lvlJc w:val="right"/>
      <w:pPr>
        <w:ind w:left="4428" w:hanging="180"/>
      </w:pPr>
    </w:lvl>
    <w:lvl w:ilvl="3" w:tplc="FFFFFFFF">
      <w:start w:val="1"/>
      <w:numFmt w:val="decimal"/>
      <w:lvlText w:val="%4."/>
      <w:lvlJc w:val="left"/>
      <w:pPr>
        <w:ind w:left="5148" w:hanging="360"/>
      </w:pPr>
    </w:lvl>
    <w:lvl w:ilvl="4" w:tplc="FFFFFFFF">
      <w:start w:val="1"/>
      <w:numFmt w:val="lowerLetter"/>
      <w:lvlText w:val="%5."/>
      <w:lvlJc w:val="left"/>
      <w:pPr>
        <w:ind w:left="5868" w:hanging="360"/>
      </w:pPr>
    </w:lvl>
    <w:lvl w:ilvl="5" w:tplc="FFFFFFFF">
      <w:start w:val="1"/>
      <w:numFmt w:val="lowerRoman"/>
      <w:lvlText w:val="%6."/>
      <w:lvlJc w:val="right"/>
      <w:pPr>
        <w:ind w:left="6588" w:hanging="180"/>
      </w:pPr>
    </w:lvl>
    <w:lvl w:ilvl="6" w:tplc="FFFFFFFF">
      <w:start w:val="1"/>
      <w:numFmt w:val="decimal"/>
      <w:lvlText w:val="%7."/>
      <w:lvlJc w:val="left"/>
      <w:pPr>
        <w:ind w:left="7308" w:hanging="360"/>
      </w:pPr>
    </w:lvl>
    <w:lvl w:ilvl="7" w:tplc="FFFFFFFF">
      <w:start w:val="1"/>
      <w:numFmt w:val="lowerLetter"/>
      <w:lvlText w:val="%8."/>
      <w:lvlJc w:val="left"/>
      <w:pPr>
        <w:ind w:left="8028" w:hanging="360"/>
      </w:pPr>
    </w:lvl>
    <w:lvl w:ilvl="8" w:tplc="FFFFFFFF">
      <w:start w:val="1"/>
      <w:numFmt w:val="lowerRoman"/>
      <w:lvlText w:val="%9."/>
      <w:lvlJc w:val="right"/>
      <w:pPr>
        <w:ind w:left="8748" w:hanging="180"/>
      </w:pPr>
    </w:lvl>
  </w:abstractNum>
  <w:abstractNum w:abstractNumId="42" w15:restartNumberingAfterBreak="0">
    <w:nsid w:val="761D0064"/>
    <w:multiLevelType w:val="hybridMultilevel"/>
    <w:tmpl w:val="7CFAF180"/>
    <w:lvl w:ilvl="0" w:tplc="441C73C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A3F269C"/>
    <w:multiLevelType w:val="hybridMultilevel"/>
    <w:tmpl w:val="3948CA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C896061"/>
    <w:multiLevelType w:val="hybridMultilevel"/>
    <w:tmpl w:val="9CA275C4"/>
    <w:lvl w:ilvl="0" w:tplc="9024490E">
      <w:start w:val="4"/>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15:restartNumberingAfterBreak="0">
    <w:nsid w:val="7FA81AAA"/>
    <w:multiLevelType w:val="hybridMultilevel"/>
    <w:tmpl w:val="342AB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60882">
    <w:abstractNumId w:val="40"/>
  </w:num>
  <w:num w:numId="2" w16cid:durableId="1926650857">
    <w:abstractNumId w:val="2"/>
  </w:num>
  <w:num w:numId="3" w16cid:durableId="1002197893">
    <w:abstractNumId w:val="18"/>
  </w:num>
  <w:num w:numId="4" w16cid:durableId="1923878470">
    <w:abstractNumId w:val="37"/>
  </w:num>
  <w:num w:numId="5" w16cid:durableId="396787580">
    <w:abstractNumId w:val="32"/>
  </w:num>
  <w:num w:numId="6" w16cid:durableId="968438917">
    <w:abstractNumId w:val="0"/>
  </w:num>
  <w:num w:numId="7" w16cid:durableId="651763458">
    <w:abstractNumId w:val="31"/>
  </w:num>
  <w:num w:numId="8" w16cid:durableId="296186739">
    <w:abstractNumId w:val="1"/>
  </w:num>
  <w:num w:numId="9" w16cid:durableId="1811706746">
    <w:abstractNumId w:val="43"/>
  </w:num>
  <w:num w:numId="10" w16cid:durableId="2046983341">
    <w:abstractNumId w:val="9"/>
  </w:num>
  <w:num w:numId="11" w16cid:durableId="1993022045">
    <w:abstractNumId w:val="11"/>
  </w:num>
  <w:num w:numId="12" w16cid:durableId="1627931655">
    <w:abstractNumId w:val="7"/>
  </w:num>
  <w:num w:numId="13" w16cid:durableId="1190682980">
    <w:abstractNumId w:val="33"/>
  </w:num>
  <w:num w:numId="14" w16cid:durableId="1020547574">
    <w:abstractNumId w:val="13"/>
  </w:num>
  <w:num w:numId="15" w16cid:durableId="154079457">
    <w:abstractNumId w:val="28"/>
  </w:num>
  <w:num w:numId="16" w16cid:durableId="1933470310">
    <w:abstractNumId w:val="5"/>
  </w:num>
  <w:num w:numId="17" w16cid:durableId="3396293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2597377">
    <w:abstractNumId w:val="12"/>
  </w:num>
  <w:num w:numId="19" w16cid:durableId="1605503624">
    <w:abstractNumId w:val="26"/>
  </w:num>
  <w:num w:numId="20" w16cid:durableId="893929957">
    <w:abstractNumId w:val="36"/>
  </w:num>
  <w:num w:numId="21" w16cid:durableId="1618179822">
    <w:abstractNumId w:val="29"/>
  </w:num>
  <w:num w:numId="22" w16cid:durableId="820465306">
    <w:abstractNumId w:val="17"/>
  </w:num>
  <w:num w:numId="23" w16cid:durableId="1388840383">
    <w:abstractNumId w:val="6"/>
  </w:num>
  <w:num w:numId="24" w16cid:durableId="1360279044">
    <w:abstractNumId w:val="38"/>
  </w:num>
  <w:num w:numId="25" w16cid:durableId="3215501">
    <w:abstractNumId w:val="42"/>
  </w:num>
  <w:num w:numId="26" w16cid:durableId="735593298">
    <w:abstractNumId w:val="10"/>
  </w:num>
  <w:num w:numId="27" w16cid:durableId="1833334185">
    <w:abstractNumId w:val="19"/>
  </w:num>
  <w:num w:numId="28" w16cid:durableId="1744597848">
    <w:abstractNumId w:val="30"/>
  </w:num>
  <w:num w:numId="29" w16cid:durableId="299698342">
    <w:abstractNumId w:val="4"/>
  </w:num>
  <w:num w:numId="30" w16cid:durableId="1453093970">
    <w:abstractNumId w:val="27"/>
  </w:num>
  <w:num w:numId="31" w16cid:durableId="942346356">
    <w:abstractNumId w:val="34"/>
  </w:num>
  <w:num w:numId="32" w16cid:durableId="493183697">
    <w:abstractNumId w:val="20"/>
  </w:num>
  <w:num w:numId="33" w16cid:durableId="1870870448">
    <w:abstractNumId w:val="23"/>
  </w:num>
  <w:num w:numId="34" w16cid:durableId="959652712">
    <w:abstractNumId w:val="41"/>
  </w:num>
  <w:num w:numId="35" w16cid:durableId="1622031020">
    <w:abstractNumId w:val="15"/>
  </w:num>
  <w:num w:numId="36" w16cid:durableId="1894192074">
    <w:abstractNumId w:val="3"/>
  </w:num>
  <w:num w:numId="37" w16cid:durableId="744181402">
    <w:abstractNumId w:val="16"/>
  </w:num>
  <w:num w:numId="38" w16cid:durableId="1881473556">
    <w:abstractNumId w:val="39"/>
  </w:num>
  <w:num w:numId="39" w16cid:durableId="28846579">
    <w:abstractNumId w:val="45"/>
  </w:num>
  <w:num w:numId="40" w16cid:durableId="1476096806">
    <w:abstractNumId w:val="25"/>
  </w:num>
  <w:num w:numId="41" w16cid:durableId="1034959619">
    <w:abstractNumId w:val="24"/>
  </w:num>
  <w:num w:numId="42" w16cid:durableId="1514418767">
    <w:abstractNumId w:val="14"/>
  </w:num>
  <w:num w:numId="43" w16cid:durableId="14294239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8701636">
    <w:abstractNumId w:val="35"/>
  </w:num>
  <w:num w:numId="45" w16cid:durableId="954485434">
    <w:abstractNumId w:val="44"/>
  </w:num>
  <w:num w:numId="46" w16cid:durableId="1044646241">
    <w:abstractNumId w:val="8"/>
  </w:num>
  <w:num w:numId="47" w16cid:durableId="12406789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BC"/>
    <w:rsid w:val="000047EB"/>
    <w:rsid w:val="00007CF6"/>
    <w:rsid w:val="0001097E"/>
    <w:rsid w:val="00010D6D"/>
    <w:rsid w:val="00022349"/>
    <w:rsid w:val="00026A96"/>
    <w:rsid w:val="000464F5"/>
    <w:rsid w:val="00061284"/>
    <w:rsid w:val="00074F9B"/>
    <w:rsid w:val="00075A6B"/>
    <w:rsid w:val="000778F6"/>
    <w:rsid w:val="0008340C"/>
    <w:rsid w:val="00084C38"/>
    <w:rsid w:val="000864F0"/>
    <w:rsid w:val="0009233A"/>
    <w:rsid w:val="00096D00"/>
    <w:rsid w:val="000970D0"/>
    <w:rsid w:val="000A06D0"/>
    <w:rsid w:val="000A5E88"/>
    <w:rsid w:val="000A5F17"/>
    <w:rsid w:val="000B0C06"/>
    <w:rsid w:val="000B125E"/>
    <w:rsid w:val="000B65A0"/>
    <w:rsid w:val="000B7D79"/>
    <w:rsid w:val="000C5164"/>
    <w:rsid w:val="000D079F"/>
    <w:rsid w:val="000D2FAE"/>
    <w:rsid w:val="000F5E59"/>
    <w:rsid w:val="00103FFB"/>
    <w:rsid w:val="00104A20"/>
    <w:rsid w:val="00106DC1"/>
    <w:rsid w:val="0011039C"/>
    <w:rsid w:val="00114EF8"/>
    <w:rsid w:val="00115575"/>
    <w:rsid w:val="00120984"/>
    <w:rsid w:val="00123D68"/>
    <w:rsid w:val="00132280"/>
    <w:rsid w:val="00145230"/>
    <w:rsid w:val="0015192E"/>
    <w:rsid w:val="001529EA"/>
    <w:rsid w:val="00161536"/>
    <w:rsid w:val="00162023"/>
    <w:rsid w:val="00166084"/>
    <w:rsid w:val="00171457"/>
    <w:rsid w:val="00172880"/>
    <w:rsid w:val="00182A12"/>
    <w:rsid w:val="00186541"/>
    <w:rsid w:val="001A7C2E"/>
    <w:rsid w:val="001B1526"/>
    <w:rsid w:val="001B5CD3"/>
    <w:rsid w:val="001C49F1"/>
    <w:rsid w:val="001C515E"/>
    <w:rsid w:val="001D42A9"/>
    <w:rsid w:val="001E19AC"/>
    <w:rsid w:val="001E6C23"/>
    <w:rsid w:val="00204820"/>
    <w:rsid w:val="00206478"/>
    <w:rsid w:val="00206F37"/>
    <w:rsid w:val="00207F1E"/>
    <w:rsid w:val="00211B2D"/>
    <w:rsid w:val="002127E4"/>
    <w:rsid w:val="00214BCA"/>
    <w:rsid w:val="00227C36"/>
    <w:rsid w:val="0026548B"/>
    <w:rsid w:val="00265C12"/>
    <w:rsid w:val="00270BBA"/>
    <w:rsid w:val="00272935"/>
    <w:rsid w:val="00281DF1"/>
    <w:rsid w:val="0029613C"/>
    <w:rsid w:val="002A6303"/>
    <w:rsid w:val="002A7638"/>
    <w:rsid w:val="002B67B9"/>
    <w:rsid w:val="002C5FB0"/>
    <w:rsid w:val="002D2C7D"/>
    <w:rsid w:val="002D5E07"/>
    <w:rsid w:val="002D5E90"/>
    <w:rsid w:val="002E452F"/>
    <w:rsid w:val="002E5CD0"/>
    <w:rsid w:val="002F1BAA"/>
    <w:rsid w:val="002F2735"/>
    <w:rsid w:val="003057CA"/>
    <w:rsid w:val="00306E7D"/>
    <w:rsid w:val="00330BAE"/>
    <w:rsid w:val="003566DA"/>
    <w:rsid w:val="00356ADE"/>
    <w:rsid w:val="0037008D"/>
    <w:rsid w:val="00370A94"/>
    <w:rsid w:val="00375C2A"/>
    <w:rsid w:val="00377CBB"/>
    <w:rsid w:val="003A1130"/>
    <w:rsid w:val="003A1D3B"/>
    <w:rsid w:val="003B31BC"/>
    <w:rsid w:val="003B372D"/>
    <w:rsid w:val="003B3F10"/>
    <w:rsid w:val="003B44D9"/>
    <w:rsid w:val="003C1662"/>
    <w:rsid w:val="003C28BC"/>
    <w:rsid w:val="003C6F80"/>
    <w:rsid w:val="003D2111"/>
    <w:rsid w:val="003D6CD6"/>
    <w:rsid w:val="003E1BD3"/>
    <w:rsid w:val="003E264A"/>
    <w:rsid w:val="003E3BBC"/>
    <w:rsid w:val="003F4F58"/>
    <w:rsid w:val="0040331D"/>
    <w:rsid w:val="00421BBB"/>
    <w:rsid w:val="00422868"/>
    <w:rsid w:val="00425263"/>
    <w:rsid w:val="00427991"/>
    <w:rsid w:val="00434004"/>
    <w:rsid w:val="00437473"/>
    <w:rsid w:val="00444517"/>
    <w:rsid w:val="0044504B"/>
    <w:rsid w:val="00445216"/>
    <w:rsid w:val="00446482"/>
    <w:rsid w:val="00451875"/>
    <w:rsid w:val="004706E3"/>
    <w:rsid w:val="00471C03"/>
    <w:rsid w:val="004873C5"/>
    <w:rsid w:val="00491E87"/>
    <w:rsid w:val="00496011"/>
    <w:rsid w:val="004A1336"/>
    <w:rsid w:val="004B65F9"/>
    <w:rsid w:val="004B68BF"/>
    <w:rsid w:val="004C5765"/>
    <w:rsid w:val="004C765C"/>
    <w:rsid w:val="004D2C1E"/>
    <w:rsid w:val="004D44C4"/>
    <w:rsid w:val="004E4896"/>
    <w:rsid w:val="004E4B42"/>
    <w:rsid w:val="004E6FE9"/>
    <w:rsid w:val="004E7ACD"/>
    <w:rsid w:val="0051484C"/>
    <w:rsid w:val="00515B87"/>
    <w:rsid w:val="0051648D"/>
    <w:rsid w:val="0052629A"/>
    <w:rsid w:val="00530795"/>
    <w:rsid w:val="00540EC4"/>
    <w:rsid w:val="00566D1B"/>
    <w:rsid w:val="005731A9"/>
    <w:rsid w:val="00576D96"/>
    <w:rsid w:val="00577CFE"/>
    <w:rsid w:val="005873BD"/>
    <w:rsid w:val="005B1F70"/>
    <w:rsid w:val="005C2A48"/>
    <w:rsid w:val="005C40BC"/>
    <w:rsid w:val="005C415F"/>
    <w:rsid w:val="005D43CD"/>
    <w:rsid w:val="005D487A"/>
    <w:rsid w:val="005F0317"/>
    <w:rsid w:val="005F08BF"/>
    <w:rsid w:val="005F2F3D"/>
    <w:rsid w:val="005F6C53"/>
    <w:rsid w:val="005F7ED1"/>
    <w:rsid w:val="00600821"/>
    <w:rsid w:val="006056CC"/>
    <w:rsid w:val="006100AF"/>
    <w:rsid w:val="00613FA5"/>
    <w:rsid w:val="00622252"/>
    <w:rsid w:val="0062618E"/>
    <w:rsid w:val="00627CD0"/>
    <w:rsid w:val="0063203E"/>
    <w:rsid w:val="006338E8"/>
    <w:rsid w:val="00643D61"/>
    <w:rsid w:val="006460D6"/>
    <w:rsid w:val="00647C66"/>
    <w:rsid w:val="006568A9"/>
    <w:rsid w:val="00662464"/>
    <w:rsid w:val="006654A3"/>
    <w:rsid w:val="00674323"/>
    <w:rsid w:val="006746E2"/>
    <w:rsid w:val="00680B6F"/>
    <w:rsid w:val="006849E8"/>
    <w:rsid w:val="006920C1"/>
    <w:rsid w:val="00697CEA"/>
    <w:rsid w:val="006A0481"/>
    <w:rsid w:val="006A2634"/>
    <w:rsid w:val="006A71D8"/>
    <w:rsid w:val="006C7C91"/>
    <w:rsid w:val="006D3101"/>
    <w:rsid w:val="006D4190"/>
    <w:rsid w:val="006D600F"/>
    <w:rsid w:val="006E5E7C"/>
    <w:rsid w:val="006E6EC9"/>
    <w:rsid w:val="006F03DA"/>
    <w:rsid w:val="006F224F"/>
    <w:rsid w:val="006F7B8B"/>
    <w:rsid w:val="00703844"/>
    <w:rsid w:val="007050F8"/>
    <w:rsid w:val="007124B8"/>
    <w:rsid w:val="007227A8"/>
    <w:rsid w:val="00734706"/>
    <w:rsid w:val="00736876"/>
    <w:rsid w:val="00736D24"/>
    <w:rsid w:val="0074071C"/>
    <w:rsid w:val="00747969"/>
    <w:rsid w:val="00750231"/>
    <w:rsid w:val="00752E33"/>
    <w:rsid w:val="00761366"/>
    <w:rsid w:val="00761D92"/>
    <w:rsid w:val="00772E66"/>
    <w:rsid w:val="007773B4"/>
    <w:rsid w:val="007837D3"/>
    <w:rsid w:val="007868B6"/>
    <w:rsid w:val="007A3A78"/>
    <w:rsid w:val="007B01E5"/>
    <w:rsid w:val="007C64A6"/>
    <w:rsid w:val="007C74AA"/>
    <w:rsid w:val="007D7BA9"/>
    <w:rsid w:val="007E5F33"/>
    <w:rsid w:val="007E7B73"/>
    <w:rsid w:val="007F0FE3"/>
    <w:rsid w:val="007F58AA"/>
    <w:rsid w:val="007F7CB5"/>
    <w:rsid w:val="00807976"/>
    <w:rsid w:val="00812343"/>
    <w:rsid w:val="008170ED"/>
    <w:rsid w:val="00821E81"/>
    <w:rsid w:val="00853089"/>
    <w:rsid w:val="0086626F"/>
    <w:rsid w:val="00872B1D"/>
    <w:rsid w:val="00876354"/>
    <w:rsid w:val="00877E05"/>
    <w:rsid w:val="00885DD8"/>
    <w:rsid w:val="00892AF6"/>
    <w:rsid w:val="00894B36"/>
    <w:rsid w:val="008A4B55"/>
    <w:rsid w:val="008B1056"/>
    <w:rsid w:val="008D2A41"/>
    <w:rsid w:val="008E6B40"/>
    <w:rsid w:val="008E6C79"/>
    <w:rsid w:val="00911638"/>
    <w:rsid w:val="0091595C"/>
    <w:rsid w:val="00915CD0"/>
    <w:rsid w:val="0093227F"/>
    <w:rsid w:val="009340BB"/>
    <w:rsid w:val="00937DF5"/>
    <w:rsid w:val="00943F44"/>
    <w:rsid w:val="00950267"/>
    <w:rsid w:val="009507B5"/>
    <w:rsid w:val="009511E6"/>
    <w:rsid w:val="009519DC"/>
    <w:rsid w:val="00961F72"/>
    <w:rsid w:val="00964462"/>
    <w:rsid w:val="00967763"/>
    <w:rsid w:val="00971E0C"/>
    <w:rsid w:val="00986D1A"/>
    <w:rsid w:val="00990047"/>
    <w:rsid w:val="009A127B"/>
    <w:rsid w:val="009A1B86"/>
    <w:rsid w:val="009A2390"/>
    <w:rsid w:val="009A49EF"/>
    <w:rsid w:val="009B4497"/>
    <w:rsid w:val="009C638C"/>
    <w:rsid w:val="009D00A2"/>
    <w:rsid w:val="009D1BE6"/>
    <w:rsid w:val="009D2482"/>
    <w:rsid w:val="009D4B4F"/>
    <w:rsid w:val="009E1176"/>
    <w:rsid w:val="009E5DEE"/>
    <w:rsid w:val="00A02E3A"/>
    <w:rsid w:val="00A04792"/>
    <w:rsid w:val="00A064FA"/>
    <w:rsid w:val="00A13718"/>
    <w:rsid w:val="00A17344"/>
    <w:rsid w:val="00A21A93"/>
    <w:rsid w:val="00A26523"/>
    <w:rsid w:val="00A310AA"/>
    <w:rsid w:val="00A3746D"/>
    <w:rsid w:val="00A54BA8"/>
    <w:rsid w:val="00A555B6"/>
    <w:rsid w:val="00A56F26"/>
    <w:rsid w:val="00A62264"/>
    <w:rsid w:val="00A7379B"/>
    <w:rsid w:val="00A7393F"/>
    <w:rsid w:val="00A77374"/>
    <w:rsid w:val="00A846A7"/>
    <w:rsid w:val="00A92D01"/>
    <w:rsid w:val="00AA2138"/>
    <w:rsid w:val="00AA71EB"/>
    <w:rsid w:val="00AB7CA7"/>
    <w:rsid w:val="00AC4E28"/>
    <w:rsid w:val="00AD0F7F"/>
    <w:rsid w:val="00AE0911"/>
    <w:rsid w:val="00AE2067"/>
    <w:rsid w:val="00B20442"/>
    <w:rsid w:val="00B30004"/>
    <w:rsid w:val="00B30A2A"/>
    <w:rsid w:val="00B319E5"/>
    <w:rsid w:val="00B33571"/>
    <w:rsid w:val="00B36D08"/>
    <w:rsid w:val="00B377AA"/>
    <w:rsid w:val="00B40C2B"/>
    <w:rsid w:val="00B4401E"/>
    <w:rsid w:val="00B44A7F"/>
    <w:rsid w:val="00B52991"/>
    <w:rsid w:val="00B54806"/>
    <w:rsid w:val="00B560BF"/>
    <w:rsid w:val="00B56F62"/>
    <w:rsid w:val="00B62999"/>
    <w:rsid w:val="00B72C9D"/>
    <w:rsid w:val="00B81B82"/>
    <w:rsid w:val="00B9357B"/>
    <w:rsid w:val="00B976D2"/>
    <w:rsid w:val="00BA47DD"/>
    <w:rsid w:val="00BA6B54"/>
    <w:rsid w:val="00BA7DA9"/>
    <w:rsid w:val="00BC6903"/>
    <w:rsid w:val="00BD18D6"/>
    <w:rsid w:val="00BD7EBA"/>
    <w:rsid w:val="00BE7F8D"/>
    <w:rsid w:val="00BF1B29"/>
    <w:rsid w:val="00C0649A"/>
    <w:rsid w:val="00C137C6"/>
    <w:rsid w:val="00C2495E"/>
    <w:rsid w:val="00C24E62"/>
    <w:rsid w:val="00C331FB"/>
    <w:rsid w:val="00C42B51"/>
    <w:rsid w:val="00C45BF4"/>
    <w:rsid w:val="00C52194"/>
    <w:rsid w:val="00C61A2F"/>
    <w:rsid w:val="00C669EA"/>
    <w:rsid w:val="00C66BFB"/>
    <w:rsid w:val="00C66C9B"/>
    <w:rsid w:val="00C74181"/>
    <w:rsid w:val="00C802FF"/>
    <w:rsid w:val="00C90365"/>
    <w:rsid w:val="00CA4BF0"/>
    <w:rsid w:val="00CA5E6E"/>
    <w:rsid w:val="00CA63AD"/>
    <w:rsid w:val="00CB3F1C"/>
    <w:rsid w:val="00CB7A00"/>
    <w:rsid w:val="00CC1449"/>
    <w:rsid w:val="00CC4FB4"/>
    <w:rsid w:val="00CD08D7"/>
    <w:rsid w:val="00CD0C13"/>
    <w:rsid w:val="00CD7198"/>
    <w:rsid w:val="00CE035F"/>
    <w:rsid w:val="00CE0928"/>
    <w:rsid w:val="00CE0E48"/>
    <w:rsid w:val="00CE149A"/>
    <w:rsid w:val="00CE1DE7"/>
    <w:rsid w:val="00CF2E89"/>
    <w:rsid w:val="00CF36FC"/>
    <w:rsid w:val="00D03D4B"/>
    <w:rsid w:val="00D10478"/>
    <w:rsid w:val="00D30249"/>
    <w:rsid w:val="00D35063"/>
    <w:rsid w:val="00D3537D"/>
    <w:rsid w:val="00D4107A"/>
    <w:rsid w:val="00D42CA2"/>
    <w:rsid w:val="00D46532"/>
    <w:rsid w:val="00D5466D"/>
    <w:rsid w:val="00D56052"/>
    <w:rsid w:val="00D65CB5"/>
    <w:rsid w:val="00D72972"/>
    <w:rsid w:val="00D75898"/>
    <w:rsid w:val="00D83C57"/>
    <w:rsid w:val="00D86F0D"/>
    <w:rsid w:val="00D90BEB"/>
    <w:rsid w:val="00D943A0"/>
    <w:rsid w:val="00DA0AA1"/>
    <w:rsid w:val="00DB7D73"/>
    <w:rsid w:val="00DC46D9"/>
    <w:rsid w:val="00DD6665"/>
    <w:rsid w:val="00DF4ABA"/>
    <w:rsid w:val="00DF7BCB"/>
    <w:rsid w:val="00E02A22"/>
    <w:rsid w:val="00E07402"/>
    <w:rsid w:val="00E11296"/>
    <w:rsid w:val="00E26470"/>
    <w:rsid w:val="00E6226B"/>
    <w:rsid w:val="00E62B3F"/>
    <w:rsid w:val="00E6348A"/>
    <w:rsid w:val="00E63BA0"/>
    <w:rsid w:val="00E67D4F"/>
    <w:rsid w:val="00E72B9E"/>
    <w:rsid w:val="00E7575B"/>
    <w:rsid w:val="00E80317"/>
    <w:rsid w:val="00E8391A"/>
    <w:rsid w:val="00E906F8"/>
    <w:rsid w:val="00E90BF5"/>
    <w:rsid w:val="00E96C2D"/>
    <w:rsid w:val="00E97AA5"/>
    <w:rsid w:val="00E97B8A"/>
    <w:rsid w:val="00EA3D25"/>
    <w:rsid w:val="00EB57C8"/>
    <w:rsid w:val="00EB6BE4"/>
    <w:rsid w:val="00EC603A"/>
    <w:rsid w:val="00ED0E51"/>
    <w:rsid w:val="00ED15F1"/>
    <w:rsid w:val="00EE0C88"/>
    <w:rsid w:val="00EF0971"/>
    <w:rsid w:val="00EF2212"/>
    <w:rsid w:val="00EF5DA3"/>
    <w:rsid w:val="00EF7010"/>
    <w:rsid w:val="00EF786A"/>
    <w:rsid w:val="00F02B15"/>
    <w:rsid w:val="00F02C59"/>
    <w:rsid w:val="00F1321E"/>
    <w:rsid w:val="00F2622C"/>
    <w:rsid w:val="00F41830"/>
    <w:rsid w:val="00F47B6C"/>
    <w:rsid w:val="00F72AA8"/>
    <w:rsid w:val="00F82C87"/>
    <w:rsid w:val="00F8315C"/>
    <w:rsid w:val="00F90928"/>
    <w:rsid w:val="00F94740"/>
    <w:rsid w:val="00F94F8E"/>
    <w:rsid w:val="00F97A73"/>
    <w:rsid w:val="00FA3BCD"/>
    <w:rsid w:val="00FB11B8"/>
    <w:rsid w:val="00FC1AE9"/>
    <w:rsid w:val="00FD291C"/>
    <w:rsid w:val="00FD2F2F"/>
    <w:rsid w:val="00FD30D5"/>
    <w:rsid w:val="00FE2A67"/>
    <w:rsid w:val="00FE4AC5"/>
    <w:rsid w:val="00FF4C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DE0D0"/>
  <w15:docId w15:val="{29AB1923-12EA-4B10-8046-037D1AD0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C40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5C40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5C40B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C40B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C40B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C40B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40B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40B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40B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40B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5C40B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5C40B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C40B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C40B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C40B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40B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40B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40BC"/>
    <w:rPr>
      <w:rFonts w:eastAsiaTheme="majorEastAsia" w:cstheme="majorBidi"/>
      <w:color w:val="272727" w:themeColor="text1" w:themeTint="D8"/>
    </w:rPr>
  </w:style>
  <w:style w:type="paragraph" w:styleId="Tytu">
    <w:name w:val="Title"/>
    <w:basedOn w:val="Normalny"/>
    <w:next w:val="Normalny"/>
    <w:link w:val="TytuZnak"/>
    <w:uiPriority w:val="10"/>
    <w:qFormat/>
    <w:rsid w:val="005C4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40B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40B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40B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40BC"/>
    <w:pPr>
      <w:spacing w:before="160"/>
      <w:jc w:val="center"/>
    </w:pPr>
    <w:rPr>
      <w:i/>
      <w:iCs/>
      <w:color w:val="404040" w:themeColor="text1" w:themeTint="BF"/>
    </w:rPr>
  </w:style>
  <w:style w:type="character" w:customStyle="1" w:styleId="CytatZnak">
    <w:name w:val="Cytat Znak"/>
    <w:basedOn w:val="Domylnaczcionkaakapitu"/>
    <w:link w:val="Cytat"/>
    <w:uiPriority w:val="29"/>
    <w:rsid w:val="005C40BC"/>
    <w:rPr>
      <w:i/>
      <w:iCs/>
      <w:color w:val="404040" w:themeColor="text1" w:themeTint="BF"/>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34"/>
    <w:qFormat/>
    <w:rsid w:val="005C40BC"/>
    <w:pPr>
      <w:ind w:left="720"/>
      <w:contextualSpacing/>
    </w:pPr>
  </w:style>
  <w:style w:type="character" w:styleId="Wyrnienieintensywne">
    <w:name w:val="Intense Emphasis"/>
    <w:basedOn w:val="Domylnaczcionkaakapitu"/>
    <w:uiPriority w:val="21"/>
    <w:qFormat/>
    <w:rsid w:val="005C40BC"/>
    <w:rPr>
      <w:i/>
      <w:iCs/>
      <w:color w:val="0F4761" w:themeColor="accent1" w:themeShade="BF"/>
    </w:rPr>
  </w:style>
  <w:style w:type="paragraph" w:styleId="Cytatintensywny">
    <w:name w:val="Intense Quote"/>
    <w:basedOn w:val="Normalny"/>
    <w:next w:val="Normalny"/>
    <w:link w:val="CytatintensywnyZnak"/>
    <w:uiPriority w:val="30"/>
    <w:qFormat/>
    <w:rsid w:val="005C4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C40BC"/>
    <w:rPr>
      <w:i/>
      <w:iCs/>
      <w:color w:val="0F4761" w:themeColor="accent1" w:themeShade="BF"/>
    </w:rPr>
  </w:style>
  <w:style w:type="character" w:styleId="Odwoanieintensywne">
    <w:name w:val="Intense Reference"/>
    <w:basedOn w:val="Domylnaczcionkaakapitu"/>
    <w:uiPriority w:val="32"/>
    <w:qFormat/>
    <w:rsid w:val="005C40BC"/>
    <w:rPr>
      <w:b/>
      <w:bCs/>
      <w:smallCaps/>
      <w:color w:val="0F4761" w:themeColor="accent1" w:themeShade="BF"/>
      <w:spacing w:val="5"/>
    </w:rPr>
  </w:style>
  <w:style w:type="character" w:styleId="Odwoaniedokomentarza">
    <w:name w:val="annotation reference"/>
    <w:basedOn w:val="Domylnaczcionkaakapitu"/>
    <w:uiPriority w:val="99"/>
    <w:rsid w:val="00EB6BE4"/>
    <w:rPr>
      <w:sz w:val="16"/>
      <w:szCs w:val="16"/>
    </w:rPr>
  </w:style>
  <w:style w:type="paragraph" w:styleId="Tekstkomentarza">
    <w:name w:val="annotation text"/>
    <w:basedOn w:val="Normalny"/>
    <w:link w:val="TekstkomentarzaZnak"/>
    <w:uiPriority w:val="99"/>
    <w:rsid w:val="00EB6BE4"/>
    <w:pPr>
      <w:spacing w:after="0" w:line="276" w:lineRule="auto"/>
    </w:pPr>
    <w:rPr>
      <w:rFonts w:ascii="Times" w:eastAsia="Times New Roman" w:hAnsi="Times" w:cs="Times New Roman"/>
      <w:kern w:val="0"/>
      <w:szCs w:val="24"/>
      <w14:ligatures w14:val="none"/>
    </w:rPr>
  </w:style>
  <w:style w:type="character" w:customStyle="1" w:styleId="TekstkomentarzaZnak">
    <w:name w:val="Tekst komentarza Znak"/>
    <w:basedOn w:val="Domylnaczcionkaakapitu"/>
    <w:link w:val="Tekstkomentarza"/>
    <w:uiPriority w:val="99"/>
    <w:rsid w:val="00EB6BE4"/>
    <w:rPr>
      <w:rFonts w:ascii="Times" w:eastAsia="Times New Roman" w:hAnsi="Times" w:cs="Times New Roman"/>
      <w:kern w:val="0"/>
      <w:szCs w:val="24"/>
      <w14:ligatures w14:val="none"/>
    </w:rPr>
  </w:style>
  <w:style w:type="paragraph" w:styleId="Tematkomentarza">
    <w:name w:val="annotation subject"/>
    <w:basedOn w:val="Tekstkomentarza"/>
    <w:next w:val="Tekstkomentarza"/>
    <w:link w:val="TematkomentarzaZnak"/>
    <w:uiPriority w:val="99"/>
    <w:semiHidden/>
    <w:unhideWhenUsed/>
    <w:rsid w:val="00422868"/>
    <w:pPr>
      <w:spacing w:after="160" w:line="240" w:lineRule="auto"/>
    </w:pPr>
    <w:rPr>
      <w:rFonts w:asciiTheme="minorHAnsi" w:eastAsiaTheme="minorHAnsi" w:hAnsiTheme="minorHAnsi" w:cstheme="minorBidi"/>
      <w:b/>
      <w:bCs/>
      <w:kern w:val="2"/>
      <w:sz w:val="20"/>
      <w:szCs w:val="20"/>
      <w14:ligatures w14:val="standardContextual"/>
    </w:rPr>
  </w:style>
  <w:style w:type="character" w:customStyle="1" w:styleId="TematkomentarzaZnak">
    <w:name w:val="Temat komentarza Znak"/>
    <w:basedOn w:val="TekstkomentarzaZnak"/>
    <w:link w:val="Tematkomentarza"/>
    <w:uiPriority w:val="99"/>
    <w:semiHidden/>
    <w:rsid w:val="00422868"/>
    <w:rPr>
      <w:rFonts w:ascii="Times" w:eastAsia="Times New Roman" w:hAnsi="Times" w:cs="Times New Roman"/>
      <w:b/>
      <w:bCs/>
      <w:kern w:val="0"/>
      <w:sz w:val="20"/>
      <w:szCs w:val="20"/>
      <w14:ligatures w14:val="none"/>
    </w:rPr>
  </w:style>
  <w:style w:type="paragraph" w:customStyle="1" w:styleId="PKTpunkt">
    <w:name w:val="PKT – punkt"/>
    <w:uiPriority w:val="13"/>
    <w:qFormat/>
    <w:rsid w:val="003D2111"/>
    <w:pPr>
      <w:spacing w:after="0" w:line="360" w:lineRule="auto"/>
      <w:ind w:left="510" w:hanging="510"/>
      <w:jc w:val="both"/>
    </w:pPr>
    <w:rPr>
      <w:rFonts w:ascii="Times" w:eastAsiaTheme="minorEastAsia" w:hAnsi="Times" w:cs="Arial"/>
      <w:bCs/>
      <w:kern w:val="0"/>
      <w:sz w:val="24"/>
      <w:szCs w:val="20"/>
      <w:lang w:eastAsia="pl-PL"/>
      <w14:ligatures w14:val="none"/>
    </w:rPr>
  </w:style>
  <w:style w:type="paragraph" w:customStyle="1" w:styleId="ZUSTzmustartykuempunktem">
    <w:name w:val="Z/UST(§) – zm. ust. (§) artykułem (punktem)"/>
    <w:basedOn w:val="Normalny"/>
    <w:uiPriority w:val="30"/>
    <w:qFormat/>
    <w:rsid w:val="003D2111"/>
    <w:pPr>
      <w:suppressAutoHyphens/>
      <w:autoSpaceDE w:val="0"/>
      <w:autoSpaceDN w:val="0"/>
      <w:adjustRightInd w:val="0"/>
      <w:spacing w:after="0" w:line="360" w:lineRule="auto"/>
      <w:ind w:left="510" w:firstLine="510"/>
      <w:jc w:val="both"/>
    </w:pPr>
    <w:rPr>
      <w:rFonts w:ascii="Times" w:eastAsiaTheme="minorEastAsia" w:hAnsi="Times" w:cs="Arial"/>
      <w:kern w:val="0"/>
      <w:sz w:val="24"/>
      <w:szCs w:val="20"/>
      <w:lang w:eastAsia="pl-PL"/>
      <w14:ligatures w14:val="non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locked/>
    <w:rsid w:val="00961F72"/>
  </w:style>
  <w:style w:type="paragraph" w:styleId="Nagwekspisutreci">
    <w:name w:val="TOC Heading"/>
    <w:basedOn w:val="Nagwek1"/>
    <w:next w:val="Normalny"/>
    <w:uiPriority w:val="39"/>
    <w:unhideWhenUsed/>
    <w:qFormat/>
    <w:rsid w:val="006D600F"/>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4C765C"/>
    <w:pPr>
      <w:tabs>
        <w:tab w:val="left" w:pos="480"/>
        <w:tab w:val="right" w:leader="dot" w:pos="9062"/>
      </w:tabs>
      <w:spacing w:after="100"/>
    </w:pPr>
  </w:style>
  <w:style w:type="character" w:styleId="Hipercze">
    <w:name w:val="Hyperlink"/>
    <w:basedOn w:val="Domylnaczcionkaakapitu"/>
    <w:uiPriority w:val="99"/>
    <w:unhideWhenUsed/>
    <w:rsid w:val="006D600F"/>
    <w:rPr>
      <w:color w:val="467886" w:themeColor="hyperlink"/>
      <w:u w:val="single"/>
    </w:rPr>
  </w:style>
  <w:style w:type="paragraph" w:customStyle="1" w:styleId="ARTartustawynprozporzdzenia">
    <w:name w:val="ART(§) – art. ustawy (§ np. rozporządzenia)"/>
    <w:uiPriority w:val="11"/>
    <w:qFormat/>
    <w:rsid w:val="004706E3"/>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Styl1">
    <w:name w:val="Styl1"/>
    <w:basedOn w:val="Nagwek2"/>
    <w:link w:val="Styl1Znak"/>
    <w:qFormat/>
    <w:rsid w:val="007050F8"/>
    <w:rPr>
      <w:rFonts w:ascii="Times New Roman" w:hAnsi="Times New Roman" w:cs="Times New Roman"/>
      <w:b/>
      <w:bCs/>
      <w:color w:val="auto"/>
      <w:sz w:val="22"/>
      <w:szCs w:val="22"/>
    </w:rPr>
  </w:style>
  <w:style w:type="character" w:customStyle="1" w:styleId="Styl1Znak">
    <w:name w:val="Styl1 Znak"/>
    <w:basedOn w:val="Nagwek2Znak"/>
    <w:link w:val="Styl1"/>
    <w:rsid w:val="007050F8"/>
    <w:rPr>
      <w:rFonts w:ascii="Times New Roman" w:eastAsiaTheme="majorEastAsia" w:hAnsi="Times New Roman" w:cs="Times New Roman"/>
      <w:b/>
      <w:bCs/>
      <w:color w:val="0F4761" w:themeColor="accent1" w:themeShade="BF"/>
      <w:sz w:val="32"/>
      <w:szCs w:val="32"/>
    </w:rPr>
  </w:style>
  <w:style w:type="paragraph" w:styleId="Spistreci2">
    <w:name w:val="toc 2"/>
    <w:basedOn w:val="Normalny"/>
    <w:next w:val="Normalny"/>
    <w:autoRedefine/>
    <w:uiPriority w:val="39"/>
    <w:unhideWhenUsed/>
    <w:rsid w:val="003D6CD6"/>
    <w:pPr>
      <w:tabs>
        <w:tab w:val="right" w:leader="dot" w:pos="9062"/>
      </w:tabs>
      <w:spacing w:after="100"/>
      <w:ind w:left="220"/>
    </w:pPr>
  </w:style>
  <w:style w:type="paragraph" w:styleId="Bezodstpw">
    <w:name w:val="No Spacing"/>
    <w:uiPriority w:val="1"/>
    <w:qFormat/>
    <w:rsid w:val="0009233A"/>
    <w:pPr>
      <w:spacing w:after="0" w:line="240" w:lineRule="auto"/>
    </w:pPr>
  </w:style>
  <w:style w:type="paragraph" w:customStyle="1" w:styleId="pf0">
    <w:name w:val="pf0"/>
    <w:basedOn w:val="Normalny"/>
    <w:rsid w:val="007773B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f01">
    <w:name w:val="cf01"/>
    <w:basedOn w:val="Domylnaczcionkaakapitu"/>
    <w:rsid w:val="007773B4"/>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B204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20442"/>
    <w:rPr>
      <w:sz w:val="20"/>
      <w:szCs w:val="20"/>
    </w:rPr>
  </w:style>
  <w:style w:type="character" w:styleId="Odwoanieprzypisudolnego">
    <w:name w:val="footnote reference"/>
    <w:uiPriority w:val="99"/>
    <w:semiHidden/>
    <w:unhideWhenUsed/>
    <w:rsid w:val="003E3BBC"/>
    <w:rPr>
      <w:vertAlign w:val="superscript"/>
    </w:rPr>
  </w:style>
  <w:style w:type="character" w:customStyle="1" w:styleId="highlight">
    <w:name w:val="highlight"/>
    <w:basedOn w:val="Domylnaczcionkaakapitu"/>
    <w:rsid w:val="00CE035F"/>
  </w:style>
  <w:style w:type="character" w:customStyle="1" w:styleId="markedcontent">
    <w:name w:val="markedcontent"/>
    <w:basedOn w:val="Domylnaczcionkaakapitu"/>
    <w:rsid w:val="00D4107A"/>
  </w:style>
  <w:style w:type="paragraph" w:styleId="Poprawka">
    <w:name w:val="Revision"/>
    <w:hidden/>
    <w:uiPriority w:val="99"/>
    <w:semiHidden/>
    <w:rsid w:val="007E5F33"/>
    <w:pPr>
      <w:spacing w:after="0" w:line="240" w:lineRule="auto"/>
    </w:pPr>
  </w:style>
  <w:style w:type="character" w:styleId="Nierozpoznanawzmianka">
    <w:name w:val="Unresolved Mention"/>
    <w:basedOn w:val="Domylnaczcionkaakapitu"/>
    <w:uiPriority w:val="99"/>
    <w:semiHidden/>
    <w:unhideWhenUsed/>
    <w:rsid w:val="00812343"/>
    <w:rPr>
      <w:color w:val="605E5C"/>
      <w:shd w:val="clear" w:color="auto" w:fill="E1DFDD"/>
    </w:rPr>
  </w:style>
  <w:style w:type="character" w:styleId="UyteHipercze">
    <w:name w:val="FollowedHyperlink"/>
    <w:basedOn w:val="Domylnaczcionkaakapitu"/>
    <w:uiPriority w:val="99"/>
    <w:semiHidden/>
    <w:unhideWhenUsed/>
    <w:rsid w:val="00812343"/>
    <w:rPr>
      <w:color w:val="96607D" w:themeColor="followedHyperlink"/>
      <w:u w:val="single"/>
    </w:rPr>
  </w:style>
  <w:style w:type="paragraph" w:styleId="Nagwek">
    <w:name w:val="header"/>
    <w:basedOn w:val="Normalny"/>
    <w:link w:val="NagwekZnak"/>
    <w:uiPriority w:val="99"/>
    <w:unhideWhenUsed/>
    <w:rsid w:val="00A773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7374"/>
  </w:style>
  <w:style w:type="paragraph" w:styleId="Stopka">
    <w:name w:val="footer"/>
    <w:basedOn w:val="Normalny"/>
    <w:link w:val="StopkaZnak"/>
    <w:uiPriority w:val="99"/>
    <w:unhideWhenUsed/>
    <w:rsid w:val="00A773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7374"/>
  </w:style>
  <w:style w:type="character" w:customStyle="1" w:styleId="Ppogrubienie">
    <w:name w:val="_P_ – pogrubienie"/>
    <w:basedOn w:val="Domylnaczcionkaakapitu"/>
    <w:uiPriority w:val="1"/>
    <w:qFormat/>
    <w:rsid w:val="00330BAE"/>
    <w:rPr>
      <w:b/>
    </w:rPr>
  </w:style>
  <w:style w:type="paragraph" w:customStyle="1" w:styleId="Default">
    <w:name w:val="Default"/>
    <w:rsid w:val="00680B6F"/>
    <w:pPr>
      <w:autoSpaceDE w:val="0"/>
      <w:autoSpaceDN w:val="0"/>
      <w:adjustRightInd w:val="0"/>
      <w:spacing w:after="0" w:line="240" w:lineRule="auto"/>
    </w:pPr>
    <w:rPr>
      <w:rFonts w:ascii="Arial" w:hAnsi="Arial" w:cs="Arial"/>
      <w:color w:val="000000"/>
      <w:kern w:val="0"/>
      <w:sz w:val="24"/>
      <w:szCs w:val="24"/>
    </w:rPr>
  </w:style>
  <w:style w:type="paragraph" w:customStyle="1" w:styleId="USTustnpkodeksu">
    <w:name w:val="UST(§) – ust. (§ np. kodeksu)"/>
    <w:basedOn w:val="ARTartustawynprozporzdzenia"/>
    <w:uiPriority w:val="12"/>
    <w:qFormat/>
    <w:rsid w:val="009D00A2"/>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37814">
      <w:bodyDiv w:val="1"/>
      <w:marLeft w:val="0"/>
      <w:marRight w:val="0"/>
      <w:marTop w:val="0"/>
      <w:marBottom w:val="0"/>
      <w:divBdr>
        <w:top w:val="none" w:sz="0" w:space="0" w:color="auto"/>
        <w:left w:val="none" w:sz="0" w:space="0" w:color="auto"/>
        <w:bottom w:val="none" w:sz="0" w:space="0" w:color="auto"/>
        <w:right w:val="none" w:sz="0" w:space="0" w:color="auto"/>
      </w:divBdr>
    </w:div>
    <w:div w:id="43220009">
      <w:bodyDiv w:val="1"/>
      <w:marLeft w:val="0"/>
      <w:marRight w:val="0"/>
      <w:marTop w:val="0"/>
      <w:marBottom w:val="0"/>
      <w:divBdr>
        <w:top w:val="none" w:sz="0" w:space="0" w:color="auto"/>
        <w:left w:val="none" w:sz="0" w:space="0" w:color="auto"/>
        <w:bottom w:val="none" w:sz="0" w:space="0" w:color="auto"/>
        <w:right w:val="none" w:sz="0" w:space="0" w:color="auto"/>
      </w:divBdr>
    </w:div>
    <w:div w:id="43455392">
      <w:bodyDiv w:val="1"/>
      <w:marLeft w:val="0"/>
      <w:marRight w:val="0"/>
      <w:marTop w:val="0"/>
      <w:marBottom w:val="0"/>
      <w:divBdr>
        <w:top w:val="none" w:sz="0" w:space="0" w:color="auto"/>
        <w:left w:val="none" w:sz="0" w:space="0" w:color="auto"/>
        <w:bottom w:val="none" w:sz="0" w:space="0" w:color="auto"/>
        <w:right w:val="none" w:sz="0" w:space="0" w:color="auto"/>
      </w:divBdr>
    </w:div>
    <w:div w:id="135801978">
      <w:bodyDiv w:val="1"/>
      <w:marLeft w:val="0"/>
      <w:marRight w:val="0"/>
      <w:marTop w:val="0"/>
      <w:marBottom w:val="0"/>
      <w:divBdr>
        <w:top w:val="none" w:sz="0" w:space="0" w:color="auto"/>
        <w:left w:val="none" w:sz="0" w:space="0" w:color="auto"/>
        <w:bottom w:val="none" w:sz="0" w:space="0" w:color="auto"/>
        <w:right w:val="none" w:sz="0" w:space="0" w:color="auto"/>
      </w:divBdr>
    </w:div>
    <w:div w:id="135880118">
      <w:bodyDiv w:val="1"/>
      <w:marLeft w:val="0"/>
      <w:marRight w:val="0"/>
      <w:marTop w:val="0"/>
      <w:marBottom w:val="0"/>
      <w:divBdr>
        <w:top w:val="none" w:sz="0" w:space="0" w:color="auto"/>
        <w:left w:val="none" w:sz="0" w:space="0" w:color="auto"/>
        <w:bottom w:val="none" w:sz="0" w:space="0" w:color="auto"/>
        <w:right w:val="none" w:sz="0" w:space="0" w:color="auto"/>
      </w:divBdr>
    </w:div>
    <w:div w:id="148644023">
      <w:bodyDiv w:val="1"/>
      <w:marLeft w:val="0"/>
      <w:marRight w:val="0"/>
      <w:marTop w:val="0"/>
      <w:marBottom w:val="0"/>
      <w:divBdr>
        <w:top w:val="none" w:sz="0" w:space="0" w:color="auto"/>
        <w:left w:val="none" w:sz="0" w:space="0" w:color="auto"/>
        <w:bottom w:val="none" w:sz="0" w:space="0" w:color="auto"/>
        <w:right w:val="none" w:sz="0" w:space="0" w:color="auto"/>
      </w:divBdr>
    </w:div>
    <w:div w:id="252472264">
      <w:bodyDiv w:val="1"/>
      <w:marLeft w:val="0"/>
      <w:marRight w:val="0"/>
      <w:marTop w:val="0"/>
      <w:marBottom w:val="0"/>
      <w:divBdr>
        <w:top w:val="none" w:sz="0" w:space="0" w:color="auto"/>
        <w:left w:val="none" w:sz="0" w:space="0" w:color="auto"/>
        <w:bottom w:val="none" w:sz="0" w:space="0" w:color="auto"/>
        <w:right w:val="none" w:sz="0" w:space="0" w:color="auto"/>
      </w:divBdr>
    </w:div>
    <w:div w:id="438647773">
      <w:bodyDiv w:val="1"/>
      <w:marLeft w:val="0"/>
      <w:marRight w:val="0"/>
      <w:marTop w:val="0"/>
      <w:marBottom w:val="0"/>
      <w:divBdr>
        <w:top w:val="none" w:sz="0" w:space="0" w:color="auto"/>
        <w:left w:val="none" w:sz="0" w:space="0" w:color="auto"/>
        <w:bottom w:val="none" w:sz="0" w:space="0" w:color="auto"/>
        <w:right w:val="none" w:sz="0" w:space="0" w:color="auto"/>
      </w:divBdr>
    </w:div>
    <w:div w:id="680863536">
      <w:bodyDiv w:val="1"/>
      <w:marLeft w:val="0"/>
      <w:marRight w:val="0"/>
      <w:marTop w:val="0"/>
      <w:marBottom w:val="0"/>
      <w:divBdr>
        <w:top w:val="none" w:sz="0" w:space="0" w:color="auto"/>
        <w:left w:val="none" w:sz="0" w:space="0" w:color="auto"/>
        <w:bottom w:val="none" w:sz="0" w:space="0" w:color="auto"/>
        <w:right w:val="none" w:sz="0" w:space="0" w:color="auto"/>
      </w:divBdr>
    </w:div>
    <w:div w:id="839006530">
      <w:bodyDiv w:val="1"/>
      <w:marLeft w:val="0"/>
      <w:marRight w:val="0"/>
      <w:marTop w:val="0"/>
      <w:marBottom w:val="0"/>
      <w:divBdr>
        <w:top w:val="none" w:sz="0" w:space="0" w:color="auto"/>
        <w:left w:val="none" w:sz="0" w:space="0" w:color="auto"/>
        <w:bottom w:val="none" w:sz="0" w:space="0" w:color="auto"/>
        <w:right w:val="none" w:sz="0" w:space="0" w:color="auto"/>
      </w:divBdr>
    </w:div>
    <w:div w:id="961499499">
      <w:bodyDiv w:val="1"/>
      <w:marLeft w:val="0"/>
      <w:marRight w:val="0"/>
      <w:marTop w:val="0"/>
      <w:marBottom w:val="0"/>
      <w:divBdr>
        <w:top w:val="none" w:sz="0" w:space="0" w:color="auto"/>
        <w:left w:val="none" w:sz="0" w:space="0" w:color="auto"/>
        <w:bottom w:val="none" w:sz="0" w:space="0" w:color="auto"/>
        <w:right w:val="none" w:sz="0" w:space="0" w:color="auto"/>
      </w:divBdr>
    </w:div>
    <w:div w:id="972711740">
      <w:bodyDiv w:val="1"/>
      <w:marLeft w:val="0"/>
      <w:marRight w:val="0"/>
      <w:marTop w:val="0"/>
      <w:marBottom w:val="0"/>
      <w:divBdr>
        <w:top w:val="none" w:sz="0" w:space="0" w:color="auto"/>
        <w:left w:val="none" w:sz="0" w:space="0" w:color="auto"/>
        <w:bottom w:val="none" w:sz="0" w:space="0" w:color="auto"/>
        <w:right w:val="none" w:sz="0" w:space="0" w:color="auto"/>
      </w:divBdr>
    </w:div>
    <w:div w:id="1352292406">
      <w:bodyDiv w:val="1"/>
      <w:marLeft w:val="0"/>
      <w:marRight w:val="0"/>
      <w:marTop w:val="0"/>
      <w:marBottom w:val="0"/>
      <w:divBdr>
        <w:top w:val="none" w:sz="0" w:space="0" w:color="auto"/>
        <w:left w:val="none" w:sz="0" w:space="0" w:color="auto"/>
        <w:bottom w:val="none" w:sz="0" w:space="0" w:color="auto"/>
        <w:right w:val="none" w:sz="0" w:space="0" w:color="auto"/>
      </w:divBdr>
    </w:div>
    <w:div w:id="1494374362">
      <w:bodyDiv w:val="1"/>
      <w:marLeft w:val="0"/>
      <w:marRight w:val="0"/>
      <w:marTop w:val="0"/>
      <w:marBottom w:val="0"/>
      <w:divBdr>
        <w:top w:val="none" w:sz="0" w:space="0" w:color="auto"/>
        <w:left w:val="none" w:sz="0" w:space="0" w:color="auto"/>
        <w:bottom w:val="none" w:sz="0" w:space="0" w:color="auto"/>
        <w:right w:val="none" w:sz="0" w:space="0" w:color="auto"/>
      </w:divBdr>
    </w:div>
    <w:div w:id="1523515529">
      <w:bodyDiv w:val="1"/>
      <w:marLeft w:val="0"/>
      <w:marRight w:val="0"/>
      <w:marTop w:val="0"/>
      <w:marBottom w:val="0"/>
      <w:divBdr>
        <w:top w:val="none" w:sz="0" w:space="0" w:color="auto"/>
        <w:left w:val="none" w:sz="0" w:space="0" w:color="auto"/>
        <w:bottom w:val="none" w:sz="0" w:space="0" w:color="auto"/>
        <w:right w:val="none" w:sz="0" w:space="0" w:color="auto"/>
      </w:divBdr>
    </w:div>
    <w:div w:id="1704819238">
      <w:bodyDiv w:val="1"/>
      <w:marLeft w:val="0"/>
      <w:marRight w:val="0"/>
      <w:marTop w:val="0"/>
      <w:marBottom w:val="0"/>
      <w:divBdr>
        <w:top w:val="none" w:sz="0" w:space="0" w:color="auto"/>
        <w:left w:val="none" w:sz="0" w:space="0" w:color="auto"/>
        <w:bottom w:val="none" w:sz="0" w:space="0" w:color="auto"/>
        <w:right w:val="none" w:sz="0" w:space="0" w:color="auto"/>
      </w:divBdr>
    </w:div>
    <w:div w:id="1719552834">
      <w:bodyDiv w:val="1"/>
      <w:marLeft w:val="0"/>
      <w:marRight w:val="0"/>
      <w:marTop w:val="0"/>
      <w:marBottom w:val="0"/>
      <w:divBdr>
        <w:top w:val="none" w:sz="0" w:space="0" w:color="auto"/>
        <w:left w:val="none" w:sz="0" w:space="0" w:color="auto"/>
        <w:bottom w:val="none" w:sz="0" w:space="0" w:color="auto"/>
        <w:right w:val="none" w:sz="0" w:space="0" w:color="auto"/>
      </w:divBdr>
    </w:div>
    <w:div w:id="1812288380">
      <w:bodyDiv w:val="1"/>
      <w:marLeft w:val="0"/>
      <w:marRight w:val="0"/>
      <w:marTop w:val="0"/>
      <w:marBottom w:val="0"/>
      <w:divBdr>
        <w:top w:val="none" w:sz="0" w:space="0" w:color="auto"/>
        <w:left w:val="none" w:sz="0" w:space="0" w:color="auto"/>
        <w:bottom w:val="none" w:sz="0" w:space="0" w:color="auto"/>
        <w:right w:val="none" w:sz="0" w:space="0" w:color="auto"/>
      </w:divBdr>
    </w:div>
    <w:div w:id="1854373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rldefense.com/v3/__http:/m.in__;!!Jkho33Y!k5_VfOW1FiRd8tATRNoKKKYMFro9U5DaIMQ4eQjwEn3d1vPR4sJNljVfIX8art.Dqm3hxAwvm9VMlSgcTA0_eNO2saQPoFLRRE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sws.ms.gov.pl/pl/baza-statystyczna/opracowania-wieloletnie/" TargetMode="External"/><Relationship Id="rId2" Type="http://schemas.openxmlformats.org/officeDocument/2006/relationships/hyperlink" Target="https://isws.ms.gov.pl/pl/baza-statystyczna/opracowania-wieloletnie/" TargetMode="External"/><Relationship Id="rId1" Type="http://schemas.openxmlformats.org/officeDocument/2006/relationships/hyperlink" Target="https://isws.ms.gov.pl/pl/baza-statystyczna/opracowania-wieloletnie/" TargetMode="External"/><Relationship Id="rId4" Type="http://schemas.openxmlformats.org/officeDocument/2006/relationships/hyperlink" Target="https://isws.ms.gov.pl/pl/baza-statystyczna/opracowania-wieloletn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3F84E-B90B-475A-B804-19125F53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30179</Words>
  <Characters>181074</Characters>
  <Application>Microsoft Office Word</Application>
  <DocSecurity>0</DocSecurity>
  <Lines>1508</Lines>
  <Paragraphs>421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Mariańska-Hołymczuk Magdalena</dc:creator>
  <cp:keywords/>
  <dc:description/>
  <cp:lastModifiedBy>Herman Anna</cp:lastModifiedBy>
  <cp:revision>2</cp:revision>
  <cp:lastPrinted>2024-07-25T08:46:00Z</cp:lastPrinted>
  <dcterms:created xsi:type="dcterms:W3CDTF">2024-08-26T10:18:00Z</dcterms:created>
  <dcterms:modified xsi:type="dcterms:W3CDTF">2024-08-26T10:18:00Z</dcterms:modified>
</cp:coreProperties>
</file>