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560"/>
        <w:gridCol w:w="87"/>
        <w:gridCol w:w="425"/>
        <w:gridCol w:w="197"/>
        <w:gridCol w:w="708"/>
        <w:gridCol w:w="709"/>
        <w:gridCol w:w="678"/>
        <w:gridCol w:w="31"/>
        <w:gridCol w:w="709"/>
        <w:gridCol w:w="64"/>
        <w:gridCol w:w="644"/>
        <w:gridCol w:w="223"/>
        <w:gridCol w:w="71"/>
        <w:gridCol w:w="415"/>
        <w:gridCol w:w="117"/>
        <w:gridCol w:w="405"/>
        <w:gridCol w:w="187"/>
        <w:gridCol w:w="130"/>
        <w:gridCol w:w="579"/>
        <w:gridCol w:w="42"/>
        <w:gridCol w:w="666"/>
        <w:gridCol w:w="272"/>
        <w:gridCol w:w="437"/>
        <w:gridCol w:w="985"/>
        <w:gridCol w:w="10"/>
      </w:tblGrid>
      <w:tr w:rsidR="006A701A" w:rsidRPr="008B4FE6" w14:paraId="3A593C87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3"/>
          </w:tcPr>
          <w:p w14:paraId="6AFFB29D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6E742073" w14:textId="77777777" w:rsidR="006A701A" w:rsidRPr="008B4FE6" w:rsidRDefault="00664730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Ustawa o zmian</w:t>
            </w:r>
            <w:r w:rsidR="00444BA3">
              <w:rPr>
                <w:rFonts w:ascii="Times New Roman" w:hAnsi="Times New Roman"/>
                <w:color w:val="000000"/>
              </w:rPr>
              <w:t>ie ustawy o drogach publicznych</w:t>
            </w:r>
            <w:r w:rsidR="00510044">
              <w:rPr>
                <w:rFonts w:ascii="Times New Roman" w:hAnsi="Times New Roman"/>
                <w:color w:val="000000"/>
              </w:rPr>
              <w:t xml:space="preserve"> oraz niektórych innyc</w:t>
            </w:r>
            <w:r w:rsidR="002C3515">
              <w:rPr>
                <w:rFonts w:ascii="Times New Roman" w:hAnsi="Times New Roman"/>
                <w:color w:val="000000"/>
              </w:rPr>
              <w:t xml:space="preserve">h </w:t>
            </w:r>
            <w:r w:rsidR="00510044">
              <w:rPr>
                <w:rFonts w:ascii="Times New Roman" w:hAnsi="Times New Roman"/>
                <w:color w:val="000000"/>
              </w:rPr>
              <w:t>ust</w:t>
            </w:r>
            <w:r w:rsidR="002C3515">
              <w:rPr>
                <w:rFonts w:ascii="Times New Roman" w:hAnsi="Times New Roman"/>
                <w:color w:val="000000"/>
              </w:rPr>
              <w:t>a</w:t>
            </w:r>
            <w:r w:rsidR="00510044">
              <w:rPr>
                <w:rFonts w:ascii="Times New Roman" w:hAnsi="Times New Roman"/>
                <w:color w:val="000000"/>
              </w:rPr>
              <w:t>w</w:t>
            </w:r>
          </w:p>
          <w:p w14:paraId="780DDFDF" w14:textId="77777777" w:rsidR="006A701A" w:rsidRPr="008B4FE6" w:rsidRDefault="001D06B9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Ministerstwo wiodące:</w:t>
            </w:r>
          </w:p>
          <w:bookmarkEnd w:id="0"/>
          <w:p w14:paraId="47527735" w14:textId="77777777" w:rsidR="006A701A" w:rsidRDefault="00664730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Infrastruktury</w:t>
            </w:r>
          </w:p>
          <w:p w14:paraId="41B3F635" w14:textId="77777777" w:rsidR="001D06B9" w:rsidRDefault="001D06B9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2FF933CF" w14:textId="77777777" w:rsidR="001D06B9" w:rsidRDefault="001D06B9" w:rsidP="00A52ADB">
            <w:pPr>
              <w:spacing w:line="240" w:lineRule="auto"/>
              <w:ind w:hanging="34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M</w:t>
            </w:r>
            <w:r w:rsidRPr="001D06B9">
              <w:rPr>
                <w:rFonts w:ascii="Times New Roman" w:hAnsi="Times New Roman"/>
                <w:b/>
                <w:color w:val="000000"/>
              </w:rPr>
              <w:t>inisterstwa współpracujące</w:t>
            </w:r>
            <w:r>
              <w:rPr>
                <w:rFonts w:ascii="Times New Roman" w:hAnsi="Times New Roman"/>
                <w:b/>
                <w:color w:val="000000"/>
              </w:rPr>
              <w:t>:</w:t>
            </w:r>
            <w:bookmarkStart w:id="1" w:name="_GoBack"/>
            <w:bookmarkEnd w:id="1"/>
          </w:p>
          <w:p w14:paraId="06455CE7" w14:textId="77777777" w:rsidR="001D06B9" w:rsidRPr="001D06B9" w:rsidRDefault="001D06B9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1D06B9">
              <w:rPr>
                <w:rFonts w:ascii="Times New Roman" w:hAnsi="Times New Roman"/>
                <w:color w:val="000000"/>
              </w:rPr>
              <w:t xml:space="preserve">Kancelaria Prezesa Rady Ministrów </w:t>
            </w:r>
            <w:r>
              <w:rPr>
                <w:rFonts w:ascii="Times New Roman" w:hAnsi="Times New Roman"/>
                <w:color w:val="000000"/>
              </w:rPr>
              <w:t>oraz Ministerstwo Finansów</w:t>
            </w:r>
          </w:p>
          <w:p w14:paraId="2E09AF15" w14:textId="77777777" w:rsidR="00664730" w:rsidRDefault="00664730" w:rsidP="001B34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48E9611" w14:textId="77777777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2D1FD10F" w14:textId="77777777" w:rsidR="001B3460" w:rsidRPr="0063060B" w:rsidRDefault="00664730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Rafał Weber – Sekretarz Stanu</w:t>
            </w:r>
            <w:r w:rsidR="00F56B86">
              <w:rPr>
                <w:rFonts w:ascii="Times New Roman" w:hAnsi="Times New Roman"/>
                <w:sz w:val="21"/>
                <w:szCs w:val="21"/>
              </w:rPr>
              <w:t xml:space="preserve"> w Ministerstwie Infrastruktury</w:t>
            </w:r>
          </w:p>
          <w:p w14:paraId="38A3FFD8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069AE1AE" w14:textId="77777777" w:rsidR="00664730" w:rsidRPr="00664730" w:rsidRDefault="00664730" w:rsidP="00664730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664730">
              <w:rPr>
                <w:rFonts w:ascii="Times New Roman" w:hAnsi="Times New Roman"/>
                <w:color w:val="000000"/>
              </w:rPr>
              <w:t xml:space="preserve">Agnieszka Buczma, Naczelnik Wydziału Prawno-Legislacyjnego w Departamencie Dróg Publicznych, Ministerstwo Infrastruktury, tel. 22 630-12-85, e-mail: </w:t>
            </w:r>
            <w:r w:rsidRPr="00F37EB1">
              <w:rPr>
                <w:rFonts w:ascii="Times New Roman" w:hAnsi="Times New Roman"/>
              </w:rPr>
              <w:t>Agnieszka.Buczma@mi.gov.pl</w:t>
            </w:r>
          </w:p>
          <w:p w14:paraId="7ED08C60" w14:textId="77777777" w:rsidR="006A701A" w:rsidRPr="008B4FE6" w:rsidRDefault="006A701A" w:rsidP="00241A6F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14:paraId="21A6399C" w14:textId="46E310B8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-345788683"/>
                <w:placeholder>
                  <w:docPart w:val="DefaultPlaceholder_1082065160"/>
                </w:placeholder>
                <w:date w:fullDate="2022-08-04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2C4148">
                  <w:rPr>
                    <w:rFonts w:ascii="Times New Roman" w:hAnsi="Times New Roman"/>
                    <w:sz w:val="21"/>
                    <w:szCs w:val="21"/>
                  </w:rPr>
                  <w:t>04.08.2022</w:t>
                </w:r>
              </w:sdtContent>
            </w:sdt>
          </w:p>
          <w:p w14:paraId="00FCDD88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FCB654C" w14:textId="77777777" w:rsidR="00877650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</w:p>
          <w:p w14:paraId="38FA0BF9" w14:textId="77777777" w:rsidR="00F76884" w:rsidRPr="00EF290C" w:rsidRDefault="00791BC8" w:rsidP="00F76884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451614635"/>
                <w:placeholder>
                  <w:docPart w:val="DefaultPlaceholder_1082065159"/>
                </w:placeholder>
                <w:dropDownList>
                  <w:listItem w:value="Wybierz element."/>
                  <w:listItem w:displayText="Exposé PRM" w:value="Exposé PRM"/>
                  <w:listItem w:displayText="Decyzja PRM/RM" w:value="Decyzja PRM/RM"/>
                  <w:listItem w:displayText="Prawo UE" w:value="Prawo UE"/>
                  <w:listItem w:displayText="Orzeczenie TK" w:value="Orzeczenie TK"/>
                  <w:listItem w:displayText="Upoważnienie ustawowe" w:value="Upoważnienie ustawowe"/>
                  <w:listItem w:displayText="Strategia" w:value="Strategia"/>
                  <w:listItem w:displayText="Inne" w:value="Inne"/>
                </w:dropDownList>
              </w:sdtPr>
              <w:sdtEndPr/>
              <w:sdtContent>
                <w:r w:rsidR="00664730">
                  <w:rPr>
                    <w:rFonts w:ascii="Times New Roman" w:hAnsi="Times New Roman"/>
                  </w:rPr>
                  <w:t>Prawo UE</w:t>
                </w:r>
              </w:sdtContent>
            </w:sdt>
          </w:p>
          <w:p w14:paraId="6BAA1C1B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7805310A" w14:textId="77777777" w:rsidR="006A701A" w:rsidRPr="008B4FE6" w:rsidRDefault="006A701A" w:rsidP="007943E2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7A3748F0" w14:textId="77777777" w:rsidR="006A701A" w:rsidRPr="008B4FE6" w:rsidRDefault="00431E06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UC88</w:t>
            </w:r>
          </w:p>
          <w:p w14:paraId="35F60637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560B1E5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99CCFF"/>
          </w:tcPr>
          <w:p w14:paraId="0C73EB00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4BA57B63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5"/>
            <w:shd w:val="clear" w:color="auto" w:fill="99CCFF"/>
            <w:vAlign w:val="center"/>
          </w:tcPr>
          <w:p w14:paraId="0396CF90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</w:p>
        </w:tc>
      </w:tr>
      <w:tr w:rsidR="00CD2273" w:rsidRPr="008B4FE6" w14:paraId="6E391143" w14:textId="77777777" w:rsidTr="00BA523E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B6806" w14:textId="77777777" w:rsidR="00CD2273" w:rsidRPr="004949B8" w:rsidRDefault="00CD2273" w:rsidP="00CD2273">
            <w:pPr>
              <w:pStyle w:val="c08dispositif"/>
              <w:spacing w:before="0" w:beforeAutospacing="0" w:after="120" w:afterAutospacing="0" w:line="240" w:lineRule="exact"/>
              <w:jc w:val="both"/>
              <w:rPr>
                <w:bCs/>
                <w:spacing w:val="4"/>
                <w:sz w:val="21"/>
                <w:szCs w:val="21"/>
                <w:lang w:bidi="pl-PL"/>
              </w:rPr>
            </w:pPr>
            <w:r>
              <w:rPr>
                <w:spacing w:val="4"/>
                <w:sz w:val="21"/>
                <w:szCs w:val="21"/>
              </w:rPr>
              <w:t xml:space="preserve">Celem projektu jest wdrożenie przepisów </w:t>
            </w:r>
            <w:r w:rsidRPr="005C2D8B">
              <w:rPr>
                <w:i/>
                <w:spacing w:val="4"/>
                <w:sz w:val="21"/>
                <w:szCs w:val="21"/>
              </w:rPr>
              <w:t>dyrektywy Parlamentu Europejskiego i Rady</w:t>
            </w:r>
            <w:r w:rsidRPr="005C2D8B">
              <w:rPr>
                <w:bCs/>
                <w:i/>
                <w:spacing w:val="4"/>
                <w:sz w:val="21"/>
                <w:szCs w:val="21"/>
                <w:lang w:bidi="pl-PL"/>
              </w:rPr>
              <w:t xml:space="preserve"> (UE) 2019/520 z dnia 19 marca 2019 r. w sprawie interoperacyjności systemów elektronicznego poboru opłat drogowych i ułatwiania transgranicznej wymiany informacji na temat przypadków nieuiszczenia opłat drogowych w Unii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>, zwanej dalej „Dyrektywą”</w:t>
            </w:r>
            <w:r w:rsidRPr="004D613B">
              <w:rPr>
                <w:bCs/>
                <w:spacing w:val="4"/>
                <w:sz w:val="21"/>
                <w:szCs w:val="21"/>
                <w:lang w:bidi="pl-PL"/>
              </w:rPr>
              <w:t>.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 Znacząca c</w:t>
            </w:r>
            <w:r w:rsidRPr="002972E1">
              <w:rPr>
                <w:bCs/>
                <w:spacing w:val="4"/>
                <w:sz w:val="21"/>
                <w:szCs w:val="21"/>
                <w:lang w:bidi="pl-PL"/>
              </w:rPr>
              <w:t xml:space="preserve">zęść zagadnień ujętych w Dyrektywie była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dotychczas </w:t>
            </w:r>
            <w:r w:rsidRPr="002972E1">
              <w:rPr>
                <w:bCs/>
                <w:spacing w:val="4"/>
                <w:sz w:val="21"/>
                <w:szCs w:val="21"/>
                <w:lang w:bidi="pl-PL"/>
              </w:rPr>
              <w:t>przedmiotem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 </w:t>
            </w:r>
            <w:r w:rsidRPr="004949B8">
              <w:rPr>
                <w:bCs/>
                <w:i/>
                <w:spacing w:val="4"/>
                <w:sz w:val="21"/>
                <w:szCs w:val="21"/>
                <w:lang w:bidi="pl-PL"/>
              </w:rPr>
              <w:t xml:space="preserve">dyrektywy Parlamentu Europejskiego i Rady 2004/52/WE z dnia 29 kwietnia 2004 r. w sprawie interoperacyjności systemów elektronicznych opłat drogowych we Wspólnocie </w:t>
            </w:r>
            <w:r w:rsidRPr="004949B8">
              <w:rPr>
                <w:bCs/>
                <w:spacing w:val="4"/>
                <w:sz w:val="21"/>
                <w:szCs w:val="21"/>
                <w:lang w:bidi="pl-PL"/>
              </w:rPr>
              <w:t>oraz wydanej na jej podstawie</w:t>
            </w:r>
            <w:r w:rsidRPr="002972E1">
              <w:rPr>
                <w:bCs/>
                <w:spacing w:val="4"/>
                <w:sz w:val="21"/>
                <w:szCs w:val="21"/>
                <w:lang w:bidi="pl-PL"/>
              </w:rPr>
              <w:t xml:space="preserve"> </w:t>
            </w:r>
            <w:r w:rsidRPr="005C2D8B">
              <w:rPr>
                <w:bCs/>
                <w:i/>
                <w:spacing w:val="4"/>
                <w:sz w:val="21"/>
                <w:szCs w:val="21"/>
                <w:lang w:bidi="pl-PL"/>
              </w:rPr>
              <w:t>decyzji Komisji Europejskiej z dnia 6 października 2009 r. w sprawie definicji europejskiej opłaty elektronicznej oraz jej elementów technicznych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>. Powyższe przepisy unijne stworzyły</w:t>
            </w:r>
            <w:r w:rsidRPr="004949B8">
              <w:rPr>
                <w:bCs/>
                <w:spacing w:val="4"/>
                <w:sz w:val="21"/>
                <w:szCs w:val="21"/>
                <w:lang w:bidi="pl-PL"/>
              </w:rPr>
              <w:t xml:space="preserve"> ramy prawne umożliwiające oferowanie </w:t>
            </w:r>
            <w:r w:rsidRPr="004949B8">
              <w:rPr>
                <w:bCs/>
                <w:iCs/>
                <w:spacing w:val="4"/>
                <w:sz w:val="21"/>
                <w:szCs w:val="21"/>
                <w:lang w:bidi="pl-PL"/>
              </w:rPr>
              <w:t>europejskiej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 usługi opłaty elektronicznej (</w:t>
            </w:r>
            <w:r w:rsidRPr="004949B8">
              <w:rPr>
                <w:bCs/>
                <w:iCs/>
                <w:spacing w:val="4"/>
                <w:sz w:val="21"/>
                <w:szCs w:val="21"/>
                <w:lang w:bidi="pl-PL"/>
              </w:rPr>
              <w:t>European Electronic Toll Service), zwanej dalej „usługą EETS”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>,</w:t>
            </w:r>
            <w:r w:rsidRPr="00065AB0">
              <w:rPr>
                <w:rFonts w:ascii="Calibri" w:eastAsia="Calibri" w:hAnsi="Calibri"/>
                <w:bCs/>
                <w:spacing w:val="4"/>
                <w:sz w:val="21"/>
                <w:szCs w:val="21"/>
                <w:lang w:eastAsia="en-US" w:bidi="pl-PL"/>
              </w:rPr>
              <w:t xml:space="preserve"> </w:t>
            </w:r>
            <w:r w:rsidRPr="00065AB0">
              <w:rPr>
                <w:bCs/>
                <w:iCs/>
                <w:spacing w:val="4"/>
                <w:sz w:val="21"/>
                <w:szCs w:val="21"/>
                <w:lang w:bidi="pl-PL"/>
              </w:rPr>
              <w:t>certyfikowanym dostawcom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>, zwanym dalej „dostawcami EETS”</w:t>
            </w:r>
            <w:r w:rsidRPr="004949B8">
              <w:rPr>
                <w:bCs/>
                <w:iCs/>
                <w:spacing w:val="4"/>
                <w:sz w:val="21"/>
                <w:szCs w:val="21"/>
                <w:lang w:bidi="pl-PL"/>
              </w:rPr>
              <w:t>.</w:t>
            </w:r>
            <w:r w:rsidRPr="004949B8">
              <w:rPr>
                <w:bCs/>
                <w:spacing w:val="4"/>
                <w:sz w:val="21"/>
                <w:szCs w:val="21"/>
                <w:lang w:bidi="pl-PL"/>
              </w:rPr>
              <w:t xml:space="preserve">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Usługa </w:t>
            </w:r>
            <w:r w:rsidRPr="004949B8">
              <w:rPr>
                <w:bCs/>
                <w:iCs/>
                <w:spacing w:val="4"/>
                <w:sz w:val="21"/>
                <w:szCs w:val="21"/>
                <w:lang w:bidi="pl-PL"/>
              </w:rPr>
              <w:t>EETS ma na celu umożliwienie użytkownikom, którzy podpiszą umowę z dostawcą EETS, uiszczanie opłat za przejazdy na terenie Unii Europejskiej w systemach elektronicznych poprzez zawarcie jednej umowy z dostawcą EETS i za pomocą jednego urządzenia pokładowego (tzw. OBU).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 Dotychczas obowiązujące przepisy unijne regulujące usługę EETS zostały wdrożone</w:t>
            </w:r>
            <w:r w:rsidRPr="002972E1">
              <w:rPr>
                <w:bCs/>
                <w:spacing w:val="4"/>
                <w:sz w:val="21"/>
                <w:szCs w:val="21"/>
                <w:lang w:bidi="pl-PL"/>
              </w:rPr>
              <w:t xml:space="preserve"> do prawa polskiego </w:t>
            </w:r>
            <w:r w:rsidRPr="006666CE">
              <w:rPr>
                <w:bCs/>
                <w:i/>
                <w:spacing w:val="4"/>
                <w:sz w:val="21"/>
                <w:szCs w:val="21"/>
                <w:lang w:bidi="pl-PL"/>
              </w:rPr>
              <w:t>ustawą z dnia 13 maja 2016 r. o zmianie ustawy o drogach publicznych oraz ustawy o autostradach płatnych oraz o Krajowym Funduszu Drogowym</w:t>
            </w:r>
            <w:r w:rsidRPr="002972E1">
              <w:rPr>
                <w:bCs/>
                <w:spacing w:val="4"/>
                <w:sz w:val="21"/>
                <w:szCs w:val="21"/>
                <w:lang w:bidi="pl-PL"/>
              </w:rPr>
              <w:t xml:space="preserve">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(Dz. U. poz. 770), która weszła w życie w dniu 18 czerwca 2016 r. 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Obecnie w Polsce żaden dostawca EETS nie 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>świadczy usługi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 EETS, lecz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 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do podmiotów pobierających opłaty 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zgłaszają się 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>dostawcy zainteresowani taką możliwością, prowadzący prace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 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>aby spełnić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 wymagan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>e ku temu warunki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. Usługa EETS jest 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natomiast 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już oferowana w niektórych 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innych 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>k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>rajach UE np. w Niemczech, Belgii czy</w:t>
            </w:r>
            <w:r w:rsidRPr="003E30AB"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 Austrii.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 </w:t>
            </w:r>
          </w:p>
          <w:p w14:paraId="67526699" w14:textId="77777777" w:rsidR="00CD2273" w:rsidRPr="005C3839" w:rsidRDefault="00CD2273" w:rsidP="00CD2273">
            <w:pPr>
              <w:pStyle w:val="c08dispositif"/>
              <w:spacing w:before="0" w:beforeAutospacing="0" w:after="120" w:afterAutospacing="0" w:line="240" w:lineRule="exact"/>
              <w:jc w:val="both"/>
              <w:rPr>
                <w:bCs/>
                <w:iCs/>
                <w:spacing w:val="4"/>
                <w:sz w:val="21"/>
                <w:szCs w:val="21"/>
                <w:lang w:bidi="pl-PL"/>
              </w:rPr>
            </w:pP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Wymaga podkreślenia, że wprowadzenie przez unijnego ustawodawcę ram prawnych dla funkcjonowania usługi EETS nie ma na celu ingerencji w podstawowe zasady poboru opłat za przejazd na obszarze UE. </w:t>
            </w:r>
            <w:r w:rsidRPr="006666CE"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>W związku z powyższym projektowana ustawa</w:t>
            </w:r>
            <w:r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>, wdrażająca Dyrektywę,</w:t>
            </w:r>
            <w:r w:rsidRPr="006666CE"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 xml:space="preserve"> </w:t>
            </w:r>
            <w:r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 xml:space="preserve">w żaden sposób </w:t>
            </w:r>
            <w:r w:rsidRPr="006666CE"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 xml:space="preserve">nie wpływa na </w:t>
            </w:r>
            <w:r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>rodzaje pojazdów objętych o</w:t>
            </w:r>
            <w:r w:rsidRPr="006666CE"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>płatą, wysokość stawek opłat oraz sieć dróg płatnych.</w:t>
            </w:r>
            <w:r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 xml:space="preserve"> Wejście w życie projektowanej ustawy nie spowoduje więc wzrostu obciążeń użytkowników dróg z tytułu opłat za przejazd</w:t>
            </w:r>
            <w:r w:rsidRPr="00DC1670">
              <w:rPr>
                <w:rFonts w:ascii="Calibri" w:eastAsia="Calibri" w:hAnsi="Calibri"/>
                <w:b/>
                <w:bCs/>
                <w:iCs/>
                <w:spacing w:val="4"/>
                <w:sz w:val="21"/>
                <w:szCs w:val="21"/>
                <w:lang w:eastAsia="en-US" w:bidi="pl-PL"/>
              </w:rPr>
              <w:t xml:space="preserve"> </w:t>
            </w:r>
            <w:r w:rsidRPr="00DC1670"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>pobieranych</w:t>
            </w:r>
            <w:r>
              <w:rPr>
                <w:b/>
                <w:bCs/>
                <w:iCs/>
                <w:spacing w:val="4"/>
                <w:sz w:val="21"/>
                <w:szCs w:val="21"/>
                <w:lang w:bidi="pl-PL"/>
              </w:rPr>
              <w:t xml:space="preserve"> na terytorium RP. </w:t>
            </w:r>
            <w:r w:rsidRPr="00DC1670">
              <w:rPr>
                <w:bCs/>
                <w:iCs/>
                <w:spacing w:val="4"/>
                <w:sz w:val="21"/>
                <w:szCs w:val="21"/>
                <w:lang w:bidi="pl-PL"/>
              </w:rPr>
              <w:t>Usługa EETS ma bowiem na celu wyłącznie ułatwienie wnoszenia poboru opłat za przejazd w systemach elektronicznych stosowanych na terytorium UE, a więc reguluje jedynie kwestie dotyczące metod uiszczania tych opłat.</w:t>
            </w:r>
            <w:r>
              <w:rPr>
                <w:bCs/>
                <w:iCs/>
                <w:spacing w:val="4"/>
                <w:sz w:val="21"/>
                <w:szCs w:val="21"/>
                <w:lang w:bidi="pl-PL"/>
              </w:rPr>
              <w:t xml:space="preserve"> Państwa członkowskie zachowują natomiast podstawowe kompetencje dotyczące kształtowania obowiązku ponoszenia opłat drogowych. Oczywiście pamiętać należy, że usługa EETS jest świadczona przez przedsiębiorców na zasadach rynkowych i korzystanie z niej może oznaczać konieczność wypłaty stosownego wynagrodzenia na rzecz dostawców EETS, niemniej usługa ta ma charakter fakultatywny i jedynie do podmiotu obowiązanego do wnoszenia opłat należeć będzie decyzja czy korzyści z usługi EETS przewyższają koszty związane z korzystaniem z niej. Ze względu na charakter usługi EETS zakładać można, że największym zainteresowaniem usługa ta będzie cieszyć się wśród przewoźników drogowych zajmujących się transportem międzynarodowym.</w:t>
            </w:r>
          </w:p>
          <w:p w14:paraId="5F36F32A" w14:textId="0068932F" w:rsidR="00CD2273" w:rsidRDefault="00CD2273" w:rsidP="00CD2273">
            <w:pPr>
              <w:pStyle w:val="c08dispositif"/>
              <w:spacing w:before="0" w:beforeAutospacing="0" w:after="120" w:afterAutospacing="0" w:line="240" w:lineRule="exact"/>
              <w:jc w:val="both"/>
              <w:rPr>
                <w:bCs/>
                <w:spacing w:val="4"/>
                <w:sz w:val="21"/>
                <w:szCs w:val="21"/>
                <w:lang w:bidi="pl-PL"/>
              </w:rPr>
            </w:pPr>
            <w:r w:rsidRPr="003E30AB">
              <w:rPr>
                <w:bCs/>
                <w:spacing w:val="4"/>
                <w:sz w:val="21"/>
                <w:szCs w:val="21"/>
                <w:lang w:bidi="pl-PL"/>
              </w:rPr>
              <w:t xml:space="preserve">W Dyrektywie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co do zasady zachowano podstawowe zasady funkcjonowania usługi EETS, przenosząc do niej stosowne regulacje z powołanej już decyzji 2009/750. Niemniej </w:t>
            </w:r>
            <w:r w:rsidRPr="003E30AB">
              <w:rPr>
                <w:bCs/>
                <w:spacing w:val="4"/>
                <w:sz w:val="21"/>
                <w:szCs w:val="21"/>
                <w:lang w:bidi="pl-PL"/>
              </w:rPr>
              <w:t xml:space="preserve">dokonano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również </w:t>
            </w:r>
            <w:r w:rsidRPr="003E30AB">
              <w:rPr>
                <w:bCs/>
                <w:spacing w:val="4"/>
                <w:sz w:val="21"/>
                <w:szCs w:val="21"/>
                <w:lang w:bidi="pl-PL"/>
              </w:rPr>
              <w:t xml:space="preserve">pewnych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istotnych </w:t>
            </w:r>
            <w:r w:rsidRPr="003E30AB">
              <w:rPr>
                <w:bCs/>
                <w:spacing w:val="4"/>
                <w:sz w:val="21"/>
                <w:szCs w:val="21"/>
                <w:lang w:bidi="pl-PL"/>
              </w:rPr>
              <w:t>zmian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, które zgodnie z założeniem prawodawcy unijnego powinny zwiększyć konkurencyjność usługi EETS oraz zwiększyć jej dostępność dla użytkowników dróg. Najistotniejsze regulacje wynikające z konieczności wdrożenia Dyrektywy wprowadza się w </w:t>
            </w:r>
            <w:r w:rsidRPr="005B36D3">
              <w:rPr>
                <w:bCs/>
                <w:i/>
                <w:spacing w:val="4"/>
                <w:sz w:val="21"/>
                <w:szCs w:val="21"/>
                <w:lang w:bidi="pl-PL"/>
              </w:rPr>
              <w:t>ustawie z d</w:t>
            </w:r>
            <w:r>
              <w:rPr>
                <w:bCs/>
                <w:i/>
                <w:spacing w:val="4"/>
                <w:sz w:val="21"/>
                <w:szCs w:val="21"/>
                <w:lang w:bidi="pl-PL"/>
              </w:rPr>
              <w:t>nia 21 marca 1985 r. o drogach p</w:t>
            </w:r>
            <w:r w:rsidRPr="005B36D3">
              <w:rPr>
                <w:bCs/>
                <w:i/>
                <w:spacing w:val="4"/>
                <w:sz w:val="21"/>
                <w:szCs w:val="21"/>
                <w:lang w:bidi="pl-PL"/>
              </w:rPr>
              <w:t>ublicznych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 (Dz. U. z 202</w:t>
            </w:r>
            <w:r w:rsidR="002C4148">
              <w:rPr>
                <w:bCs/>
                <w:spacing w:val="4"/>
                <w:sz w:val="21"/>
                <w:szCs w:val="21"/>
                <w:lang w:bidi="pl-PL"/>
              </w:rPr>
              <w:t>1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 r. poz. </w:t>
            </w:r>
            <w:r w:rsidR="002C4148">
              <w:rPr>
                <w:bCs/>
                <w:spacing w:val="4"/>
                <w:sz w:val="21"/>
                <w:szCs w:val="21"/>
                <w:lang w:bidi="pl-PL"/>
              </w:rPr>
              <w:t>1376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, z późn. zm.), która zawiera szczegółowe ramy prawne dla świadczenia usługi EETS. Zmiany w pozostałych ustawach stanowią natomiast konsekwencję zmian proponowanych w ww. ustawie. </w:t>
            </w:r>
          </w:p>
          <w:p w14:paraId="5A1B8E90" w14:textId="2A72EE28" w:rsidR="00CD2273" w:rsidRPr="00C56BE0" w:rsidRDefault="00CD2273" w:rsidP="002C4148">
            <w:pPr>
              <w:pStyle w:val="c08dispositif"/>
              <w:spacing w:before="0" w:beforeAutospacing="0" w:after="120" w:afterAutospacing="0" w:line="240" w:lineRule="exact"/>
              <w:jc w:val="both"/>
              <w:rPr>
                <w:bCs/>
                <w:spacing w:val="4"/>
                <w:sz w:val="21"/>
                <w:szCs w:val="21"/>
                <w:lang w:bidi="pl-PL"/>
              </w:rPr>
            </w:pP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Oprócz usługi EETS w Dyrektywie zawarto nowe regulacje mające na celu umożliwienie wymiany danych o podmiotach naruszających obowiązek uiszczenia opłat za przejazd pomiędzy państwami członkowskimi. Dzięki temu rozwiązaniu  każde państwo członkowskie będzie w stanie pozyskać informacje o ww. podmiocie z państwa rejestracji pojazdu, nawet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lastRenderedPageBreak/>
              <w:t xml:space="preserve">jeśli pojazd opuścił terytorium państwa, na którym popełniono naruszenie. Na podstawie uzyskanych w ten sposób informacji będą mogły zostać podjęte czynności w celu wymierzenia sankcji podmiotowi, który dopuścił się naruszenia. Dyrektywa wzoruje się w tym zakresie na rozwiązaniach przyjętych w </w:t>
            </w:r>
            <w:r w:rsidRPr="006D31C6">
              <w:rPr>
                <w:bCs/>
                <w:i/>
                <w:spacing w:val="4"/>
                <w:sz w:val="21"/>
                <w:szCs w:val="21"/>
                <w:lang w:bidi="pl-PL"/>
              </w:rPr>
              <w:t>dyrektywie Parlamentu Europejskiego i Rady (UE) nr 2015/413 z dnia 11 marca 2015 r. w sprawie ułatwień w zakresie transgranicznej wymiany informacji dotyczących przestępstw lub wykroczeń przeciwko bezpieczeństwu ruchu drogowego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, która została wdrożona w dziale III rozdziale 2c ustawy z dnia 20 czerwca 1997 r. – Prawo o ruchu drogowym </w:t>
            </w:r>
            <w:r w:rsidR="00E42CE9" w:rsidRPr="00E42CE9">
              <w:rPr>
                <w:bCs/>
                <w:spacing w:val="4"/>
                <w:sz w:val="21"/>
                <w:szCs w:val="21"/>
                <w:lang w:bidi="pl-PL"/>
              </w:rPr>
              <w:t>(Dz.</w:t>
            </w:r>
            <w:r w:rsidR="00E42CE9">
              <w:rPr>
                <w:bCs/>
                <w:spacing w:val="4"/>
                <w:sz w:val="21"/>
                <w:szCs w:val="21"/>
                <w:lang w:bidi="pl-PL"/>
              </w:rPr>
              <w:t xml:space="preserve"> </w:t>
            </w:r>
            <w:r w:rsidR="00E42CE9" w:rsidRPr="00E42CE9">
              <w:rPr>
                <w:bCs/>
                <w:spacing w:val="4"/>
                <w:sz w:val="21"/>
                <w:szCs w:val="21"/>
                <w:lang w:bidi="pl-PL"/>
              </w:rPr>
              <w:t>U. z 202</w:t>
            </w:r>
            <w:r w:rsidR="002C4148">
              <w:rPr>
                <w:bCs/>
                <w:spacing w:val="4"/>
                <w:sz w:val="21"/>
                <w:szCs w:val="21"/>
                <w:lang w:bidi="pl-PL"/>
              </w:rPr>
              <w:t>2</w:t>
            </w:r>
            <w:r w:rsidR="00E42CE9" w:rsidRPr="00E42CE9">
              <w:rPr>
                <w:bCs/>
                <w:spacing w:val="4"/>
                <w:sz w:val="21"/>
                <w:szCs w:val="21"/>
                <w:lang w:bidi="pl-PL"/>
              </w:rPr>
              <w:t xml:space="preserve"> r. poz. </w:t>
            </w:r>
            <w:r w:rsidR="002C4148">
              <w:rPr>
                <w:bCs/>
                <w:spacing w:val="4"/>
                <w:sz w:val="21"/>
                <w:szCs w:val="21"/>
                <w:lang w:bidi="pl-PL"/>
              </w:rPr>
              <w:t>988 z późn. zm.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). W związku z powyższym projektodawca zakłada, że wymiana danych podmiotów naruszających obowiązek uiszczenia opłat za przejazd odbywać się będzie za pośrednictwem istniejącego już Krajowego Punktu Kontaktowego </w:t>
            </w:r>
            <w:r w:rsidR="009B31E5">
              <w:rPr>
                <w:bCs/>
                <w:spacing w:val="4"/>
                <w:sz w:val="21"/>
                <w:szCs w:val="21"/>
                <w:lang w:bidi="pl-PL"/>
              </w:rPr>
              <w:t xml:space="preserve">(KPK)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utworzonego na mocy przepisów o ruchu drogowym, a  wykorzystywane w tym zakresie rozwiązania techniczne będą zbliżone do tych, które zostały przyjęte dla wymiany </w:t>
            </w:r>
            <w:r w:rsidRPr="002B2659">
              <w:rPr>
                <w:bCs/>
                <w:spacing w:val="4"/>
                <w:sz w:val="21"/>
                <w:szCs w:val="21"/>
                <w:lang w:bidi="pl-PL"/>
              </w:rPr>
              <w:t>informacji dotyczących przestępstw lub wykroczeń przeciwko bezpieczeństwu ruchu drogowego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. </w:t>
            </w:r>
          </w:p>
        </w:tc>
      </w:tr>
      <w:tr w:rsidR="00664730" w:rsidRPr="008B4FE6" w14:paraId="36E4FD7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99CCFF"/>
            <w:vAlign w:val="center"/>
          </w:tcPr>
          <w:p w14:paraId="1E582736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  <w:r w:rsidR="00955298">
              <w:rPr>
                <w:rFonts w:ascii="Times New Roman" w:hAnsi="Times New Roman"/>
                <w:b/>
                <w:color w:val="000000"/>
                <w:spacing w:val="-2"/>
              </w:rPr>
              <w:t>, wynik analizy możliwości osiągnięcia celu za pomocą innych środków</w:t>
            </w:r>
          </w:p>
        </w:tc>
      </w:tr>
      <w:tr w:rsidR="00CD2273" w:rsidRPr="008B4FE6" w14:paraId="452AE065" w14:textId="77777777" w:rsidTr="00BA523E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B7BB8" w14:textId="77777777" w:rsidR="00CD2273" w:rsidRPr="00FC4E6F" w:rsidRDefault="00CD2273" w:rsidP="00555B6E">
            <w:pPr>
              <w:spacing w:after="120"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t>Najistotniejsze rozwiązania ujęte w projekcie ustawy przewidziano w ramach nowelizacji ustawy o drogach publicznych. Oprócz zmian stanowiących konsekwencję przeniesienia regulacji zawartych w decyzji 2009/750 do Dyrektywy, co wymusza odpowiednie dostosowanie obowiązujących przepisów krajowych, w rzeczonej ustawie przewiduje się dodanie przepisów wdrażających nowe rozwiązania wprowadzone w Dyrektywie w zakresie usługi EETS, a w szczególności:</w:t>
            </w:r>
          </w:p>
          <w:p w14:paraId="44260701" w14:textId="77777777" w:rsidR="00CD2273" w:rsidRPr="006356D2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rozszerzenie zakresu stosowania usługi EETS na elektroniczne systemy poboru opłat, w których wykorzystywana jest technologia automatycznego rozpoznawania tablic rejestracyjnych (ANPR),</w:t>
            </w:r>
          </w:p>
          <w:p w14:paraId="01E77DF2" w14:textId="77777777" w:rsidR="00CD2273" w:rsidRPr="006356D2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złagodzenie podstawowych warunków świadczenia usługi EETS dla dostawców EETS, w wyniku czego nie będzie już obowiązku zawarcia przez tych dostawców umów z wszystkimi podmiotami pobierającymi opłaty na obszarach EETS na terytorium UE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 xml:space="preserve"> i zmianie ulegną przesłanki wykreślenia dostawcy EETS z rejestru EETS</w:t>
            </w: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, </w:t>
            </w:r>
          </w:p>
          <w:p w14:paraId="28D75274" w14:textId="77777777" w:rsidR="00CD2273" w:rsidRPr="006356D2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wprowadzenie regulacji dotyczących terminu wdrażania nowych elektronicznych systemów poboru opłat albo 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>dokonywania</w:t>
            </w: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istotnych zmian w tych systemach, z uwzględnieniem konieczności zapewnienia dostawcom EETS możliwości odpowiedniego dostosowania składników interoperacyjności EETS,</w:t>
            </w:r>
          </w:p>
          <w:p w14:paraId="6783060E" w14:textId="77777777" w:rsidR="00CD2273" w:rsidRPr="006356D2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wprowadzenie jednoznacznego obowiązku wypłaty wynagrodzenia dostawcom EETS przez podmioty pobierające opłaty wraz z określeniem podstawowych zasad ustalania jego wysokości,</w:t>
            </w:r>
          </w:p>
          <w:p w14:paraId="288C36BB" w14:textId="77777777" w:rsidR="00CD2273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nałożenie nowych obowiązków na podmioty świadczące krajowe usługi poboru opłat drogowych w zakresie sposobu prowadzenia księgowości i udostępniania organom pojednawczym informacji o wynagrodzeniu otrzymywanym z tytułu świadczenia tej usługi, </w:t>
            </w:r>
          </w:p>
          <w:p w14:paraId="261C7023" w14:textId="77777777" w:rsidR="00CD2273" w:rsidRPr="006356D2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t>szczegółowe określenie zasad wymiany i przetwarzania danych związanych ze świadczeniem usługi EETS pomiędzy dostawcami EETS a podmiotami pobierającymi opłaty lub kontrolującymi prawidłowość ich uiszczenia, a także podmiotami zarządzającymi drogami lub zarządzającymi ruchem na drogach,</w:t>
            </w:r>
          </w:p>
          <w:p w14:paraId="2C06BE24" w14:textId="77777777" w:rsidR="00CD2273" w:rsidRPr="006356D2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obowiązek posiadania przez wszystkie podmioty pobierające opłaty w elektronicznych systemach poboru opłat, w których stosowane są OBU, środowiska testowego dla dostawców EETS w celu weryfikacji oferowanych przez nich OBU EETS,</w:t>
            </w:r>
          </w:p>
          <w:p w14:paraId="19B9333D" w14:textId="77777777" w:rsidR="00CD2273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t xml:space="preserve">wyznaczenie organu dedykowanego </w:t>
            </w: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do wstępnych kontaktów administracyjnych pomiędzy dostawcami EETS a podmiotami pobierającymi opłaty,</w:t>
            </w:r>
          </w:p>
          <w:p w14:paraId="70EF5B90" w14:textId="77777777" w:rsidR="00CD2273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t>szczegółowe określenie obowiązków użytkowników usługi EETS, które mają na celu zapewnienie prawidłowego poboru opłat za przejazd od tych podmiotów i ustalenie klarownego podziału odpowiedzialności w tym zakresie pomiędzy użytkownikami a dostawcami EETS;</w:t>
            </w:r>
          </w:p>
          <w:p w14:paraId="29988A31" w14:textId="77777777" w:rsidR="00CD2273" w:rsidRPr="006356D2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t>określenie podstawowych elementów umowy zawieranej przez użytkownika EETS z dostawcą EETS,</w:t>
            </w:r>
          </w:p>
          <w:p w14:paraId="5BFA3C69" w14:textId="77777777" w:rsidR="00CD2273" w:rsidRPr="006356D2" w:rsidRDefault="00CD2273" w:rsidP="00555B6E">
            <w:pPr>
              <w:pStyle w:val="Akapitzlist"/>
              <w:numPr>
                <w:ilvl w:val="0"/>
                <w:numId w:val="24"/>
              </w:num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wprowadzenia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>, w stosownych przypadkach,</w:t>
            </w: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odesłań do aktów wykonawczych wydawanych przez Komisję </w:t>
            </w:r>
            <w:r w:rsidR="009B31E5">
              <w:rPr>
                <w:rFonts w:ascii="Times New Roman" w:hAnsi="Times New Roman"/>
                <w:spacing w:val="4"/>
                <w:sz w:val="21"/>
                <w:szCs w:val="21"/>
              </w:rPr>
              <w:t xml:space="preserve">(KE) </w:t>
            </w: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w przypadkach określonych w Dyrektywie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 xml:space="preserve">, które mają bezpośrednie zastosowanie i </w:t>
            </w:r>
            <w:r w:rsidR="003938A9">
              <w:rPr>
                <w:rFonts w:ascii="Times New Roman" w:hAnsi="Times New Roman"/>
                <w:spacing w:val="4"/>
                <w:sz w:val="21"/>
                <w:szCs w:val="21"/>
              </w:rPr>
              <w:t xml:space="preserve">co do zasady, z wyjątkiem przypadków, w których nakładają obowiązki, których naruszenie powinno zostać obwarowane sankcją, 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>nie wymagają dodatkowego wdrożenia w przepisach krajowych</w:t>
            </w: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.</w:t>
            </w:r>
          </w:p>
          <w:p w14:paraId="29EC7458" w14:textId="77777777" w:rsidR="00CD2273" w:rsidRDefault="00CD2273" w:rsidP="00555B6E">
            <w:p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6F381288" w14:textId="77777777" w:rsidR="00CD2273" w:rsidRPr="002C06A7" w:rsidRDefault="00CD2273" w:rsidP="00555B6E">
            <w:pPr>
              <w:spacing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t xml:space="preserve">W odniesieniu do </w:t>
            </w:r>
            <w:r w:rsidRPr="002C06A7">
              <w:rPr>
                <w:rFonts w:ascii="Times New Roman" w:hAnsi="Times New Roman"/>
                <w:spacing w:val="4"/>
                <w:sz w:val="21"/>
                <w:szCs w:val="21"/>
              </w:rPr>
              <w:t>przepisów umożliwiających</w:t>
            </w:r>
            <w:r w:rsidRPr="002C06A7">
              <w:rPr>
                <w:bCs/>
                <w:spacing w:val="4"/>
                <w:sz w:val="21"/>
                <w:szCs w:val="21"/>
                <w:lang w:bidi="pl-PL"/>
              </w:rPr>
              <w:t xml:space="preserve"> </w:t>
            </w:r>
            <w:r w:rsidRPr="002C06A7">
              <w:rPr>
                <w:rFonts w:ascii="Times New Roman" w:hAnsi="Times New Roman"/>
                <w:bCs/>
                <w:spacing w:val="4"/>
                <w:sz w:val="21"/>
                <w:szCs w:val="21"/>
                <w:lang w:bidi="pl-PL"/>
              </w:rPr>
              <w:t xml:space="preserve">transgraniczną wymianę informacji na temat przypadków nieuiszczenia opłat drogowych w Unii, </w:t>
            </w:r>
            <w:r>
              <w:rPr>
                <w:rFonts w:ascii="Times New Roman" w:hAnsi="Times New Roman"/>
                <w:bCs/>
                <w:spacing w:val="4"/>
                <w:sz w:val="21"/>
                <w:szCs w:val="21"/>
                <w:lang w:bidi="pl-PL"/>
              </w:rPr>
              <w:t xml:space="preserve">konieczne jest </w:t>
            </w:r>
            <w:r w:rsidRPr="002C06A7">
              <w:rPr>
                <w:rFonts w:ascii="Times New Roman" w:hAnsi="Times New Roman"/>
                <w:spacing w:val="4"/>
                <w:sz w:val="21"/>
                <w:szCs w:val="21"/>
              </w:rPr>
              <w:t xml:space="preserve">wyznaczenie 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 xml:space="preserve">w projektowanej ustawie </w:t>
            </w:r>
            <w:r w:rsidRPr="002C06A7">
              <w:rPr>
                <w:rFonts w:ascii="Times New Roman" w:hAnsi="Times New Roman"/>
                <w:spacing w:val="4"/>
                <w:sz w:val="21"/>
                <w:szCs w:val="21"/>
              </w:rPr>
              <w:t xml:space="preserve">punktu kontaktowego dedykowanego do wymiany danych poprzez rozszerzenie kompetencji istniejącego już </w:t>
            </w:r>
            <w:r w:rsidR="009B31E5">
              <w:rPr>
                <w:rFonts w:ascii="Times New Roman" w:hAnsi="Times New Roman"/>
                <w:spacing w:val="4"/>
                <w:sz w:val="21"/>
                <w:szCs w:val="21"/>
              </w:rPr>
              <w:t>KPK</w:t>
            </w:r>
            <w:r w:rsidRPr="002C06A7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oraz określenie:</w:t>
            </w:r>
          </w:p>
          <w:p w14:paraId="552BDEF2" w14:textId="77777777" w:rsidR="007A2947" w:rsidRPr="002C75B5" w:rsidRDefault="007A2947">
            <w:pPr>
              <w:pStyle w:val="Akapitzlist"/>
              <w:numPr>
                <w:ilvl w:val="0"/>
                <w:numId w:val="23"/>
              </w:numPr>
              <w:spacing w:after="120"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t>krajowych podmiotów uprawnionych do wymiany danych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, to jest 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>Główn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>ego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 xml:space="preserve"> Inspektor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>a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 xml:space="preserve"> Transportu Drogowego – w zakresie naruszeń obowiązku uiszczenia opłaty elektronicznej oraz Szef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>a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 xml:space="preserve"> KAS – w zakresie naruszeń obowiązku wnoszenia opłat za przejazd autostradą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pobieranych przez ten organ</w:t>
            </w:r>
            <w:r w:rsidRPr="002C75B5">
              <w:rPr>
                <w:rFonts w:ascii="Times New Roman" w:hAnsi="Times New Roman"/>
                <w:spacing w:val="4"/>
                <w:sz w:val="21"/>
                <w:szCs w:val="21"/>
              </w:rPr>
              <w:t>,</w:t>
            </w:r>
          </w:p>
          <w:p w14:paraId="0F14C75A" w14:textId="77777777" w:rsidR="00CD2273" w:rsidRPr="000C7F21" w:rsidRDefault="00CD2273">
            <w:pPr>
              <w:pStyle w:val="Akapitzlist"/>
              <w:numPr>
                <w:ilvl w:val="0"/>
                <w:numId w:val="23"/>
              </w:numPr>
              <w:spacing w:after="120"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0C7F21">
              <w:rPr>
                <w:rFonts w:ascii="Times New Roman" w:hAnsi="Times New Roman"/>
                <w:spacing w:val="4"/>
                <w:sz w:val="21"/>
                <w:szCs w:val="21"/>
              </w:rPr>
              <w:t>zakresu danych podlegających wymianie,</w:t>
            </w:r>
          </w:p>
          <w:p w14:paraId="2B308E94" w14:textId="77777777" w:rsidR="00CD2273" w:rsidRPr="006356D2" w:rsidRDefault="00CD2273" w:rsidP="002C75B5">
            <w:pPr>
              <w:pStyle w:val="Akapitzlist"/>
              <w:numPr>
                <w:ilvl w:val="0"/>
                <w:numId w:val="23"/>
              </w:numPr>
              <w:spacing w:line="240" w:lineRule="exact"/>
              <w:ind w:left="714" w:hanging="357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trybu wymiany danych, </w:t>
            </w:r>
          </w:p>
          <w:p w14:paraId="00DA972A" w14:textId="77777777" w:rsidR="001A7F32" w:rsidRPr="001A7F32" w:rsidRDefault="007A2947" w:rsidP="002C75B5">
            <w:pPr>
              <w:pStyle w:val="Akapitzlist"/>
              <w:numPr>
                <w:ilvl w:val="0"/>
                <w:numId w:val="23"/>
              </w:numPr>
              <w:ind w:left="714" w:hanging="357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1A7F3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trybu sporządzania i doręczania </w:t>
            </w:r>
            <w:r w:rsidR="001A7F32" w:rsidRPr="001A7F32">
              <w:rPr>
                <w:rFonts w:ascii="Times New Roman" w:hAnsi="Times New Roman"/>
                <w:spacing w:val="4"/>
                <w:sz w:val="21"/>
                <w:szCs w:val="21"/>
              </w:rPr>
              <w:t>zawiadomień o wszczęciu postęp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owania w sprawie nałożenia kary </w:t>
            </w:r>
            <w:r w:rsidR="001A7F32" w:rsidRPr="001A7F3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administracyjnej 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>za naruszenia obowiązku uiszczenia opłaty elektronicznej oraz</w:t>
            </w:r>
            <w:r w:rsidR="001A7F32" w:rsidRPr="001A7F3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wezwań do zapłaty opłaty dodatkowej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w przypadku stwierdzenia niewniesienia opłaty za przejazd autostradą pobieranej przez Szefa KAS</w:t>
            </w:r>
            <w:r w:rsidR="001A7F32" w:rsidRPr="001A7F32">
              <w:rPr>
                <w:rFonts w:ascii="Times New Roman" w:hAnsi="Times New Roman"/>
                <w:spacing w:val="4"/>
                <w:sz w:val="21"/>
                <w:szCs w:val="21"/>
              </w:rPr>
              <w:t>,</w:t>
            </w:r>
            <w:r w:rsidR="001A7F3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w oparciu o dane uzyskane za pośrednictwem KPK</w:t>
            </w:r>
          </w:p>
          <w:p w14:paraId="5CE5E01A" w14:textId="77777777" w:rsidR="00CD2273" w:rsidRPr="002C75B5" w:rsidRDefault="007A2947" w:rsidP="002C75B5">
            <w:pPr>
              <w:pStyle w:val="Akapitzlist"/>
              <w:numPr>
                <w:ilvl w:val="0"/>
                <w:numId w:val="23"/>
              </w:numPr>
              <w:spacing w:line="240" w:lineRule="exact"/>
              <w:ind w:left="714" w:hanging="357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2C75B5">
              <w:rPr>
                <w:rFonts w:ascii="Times New Roman" w:hAnsi="Times New Roman"/>
                <w:spacing w:val="4"/>
                <w:sz w:val="21"/>
                <w:szCs w:val="21"/>
              </w:rPr>
              <w:t xml:space="preserve">tryb postępowania w przypadku stwierdzenia przejazdu po terytorium RP pojazdu, na którego właściciela/posiadacza nałożono karę pieniężną albo opłatę dodatkową w wyniku wymiany danych,   </w:t>
            </w:r>
            <w:r w:rsidR="00CD2273" w:rsidRPr="002C75B5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</w:t>
            </w:r>
          </w:p>
          <w:p w14:paraId="79D327F9" w14:textId="77777777" w:rsidR="00CD2273" w:rsidRPr="006356D2" w:rsidRDefault="00CD2273" w:rsidP="002C75B5">
            <w:pPr>
              <w:pStyle w:val="Akapitzlist"/>
              <w:numPr>
                <w:ilvl w:val="0"/>
                <w:numId w:val="23"/>
              </w:numPr>
              <w:spacing w:line="240" w:lineRule="exact"/>
              <w:ind w:left="714" w:hanging="357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 xml:space="preserve">trybu sporządzania sprawozdań dotyczących korzystania z danych podlegających wymianie, </w:t>
            </w:r>
          </w:p>
          <w:p w14:paraId="34B181A8" w14:textId="77777777" w:rsidR="00CD2273" w:rsidRPr="006356D2" w:rsidRDefault="00CD2273" w:rsidP="002C75B5">
            <w:pPr>
              <w:pStyle w:val="Akapitzlist"/>
              <w:numPr>
                <w:ilvl w:val="0"/>
                <w:numId w:val="23"/>
              </w:numPr>
              <w:spacing w:line="240" w:lineRule="exact"/>
              <w:ind w:left="714" w:hanging="357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6356D2">
              <w:rPr>
                <w:rFonts w:ascii="Times New Roman" w:hAnsi="Times New Roman"/>
                <w:spacing w:val="4"/>
                <w:sz w:val="21"/>
                <w:szCs w:val="21"/>
              </w:rPr>
              <w:t>szczegółowych zasad ochrony danych osobowych przetwarzanych w związku z wymianą danych.</w:t>
            </w:r>
          </w:p>
          <w:p w14:paraId="18C7C9CC" w14:textId="77777777" w:rsidR="00CD2273" w:rsidRDefault="00CD2273" w:rsidP="00555B6E">
            <w:pPr>
              <w:spacing w:after="120"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lastRenderedPageBreak/>
              <w:t xml:space="preserve">Zmiany wprowadzane w pozostałych nowelizowanych ustawach stanowią </w:t>
            </w:r>
            <w:r w:rsidR="008D245B">
              <w:rPr>
                <w:rFonts w:ascii="Times New Roman" w:hAnsi="Times New Roman"/>
                <w:spacing w:val="4"/>
                <w:sz w:val="21"/>
                <w:szCs w:val="21"/>
              </w:rPr>
              <w:t xml:space="preserve">co do zasady 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>wyłącznie konsekwencję zmian przewidzianych w ustawie o drogach publicznych.</w:t>
            </w:r>
            <w:r w:rsidR="008D245B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Istotna jest natomiast z punktu widzenia stosowania przepisów o transgranicznej wymianie danych zmiana ustawy z dnia 27 października 1994 r. o autostradach płatnych oraz o Krajowym Funduszu Drogowym, która określa podstawowe zasady wystawiania i doręczania wezwań do zapłaty opłaty dodatkowej pobieranej przez Szefa KAS w związku z naruszeniem obowiązku wniesienia opłaty za przejazd autostradą przez podmioty, których dane zostaną ustalone za pośrednictwem KPK. </w:t>
            </w:r>
          </w:p>
          <w:p w14:paraId="439560B0" w14:textId="77777777" w:rsidR="00510044" w:rsidRDefault="002D7C3A" w:rsidP="00CD2273">
            <w:pPr>
              <w:spacing w:after="120" w:line="240" w:lineRule="exact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spacing w:val="4"/>
                <w:sz w:val="21"/>
                <w:szCs w:val="21"/>
              </w:rPr>
              <w:t>Oczekiwanym efektem prac nad projektowanym aktem prawnym jest zapełnienie pełnej zgodności prawodawstwa krajowego z przepisami Dyrektywy</w:t>
            </w:r>
            <w:r w:rsidR="00E5630C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przy jednoczesnym zapewnieniu prawidłowego poboru opłat drogowych na terytorium RP z wykorzystaniem usługi EETS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>.</w:t>
            </w:r>
          </w:p>
          <w:p w14:paraId="54AB2803" w14:textId="23DDEB0F" w:rsidR="00555B6E" w:rsidRPr="00555B6E" w:rsidRDefault="00555B6E" w:rsidP="00AC6EC2">
            <w:pPr>
              <w:pStyle w:val="c08dispositif"/>
              <w:spacing w:before="0" w:beforeAutospacing="0" w:after="120" w:afterAutospacing="0" w:line="240" w:lineRule="exact"/>
              <w:jc w:val="both"/>
              <w:rPr>
                <w:bCs/>
                <w:spacing w:val="4"/>
                <w:sz w:val="21"/>
                <w:szCs w:val="21"/>
                <w:lang w:bidi="pl-PL"/>
              </w:rPr>
            </w:pPr>
            <w:r w:rsidRPr="003E30AB">
              <w:rPr>
                <w:bCs/>
                <w:spacing w:val="4"/>
                <w:sz w:val="21"/>
                <w:szCs w:val="21"/>
                <w:lang w:bidi="pl-PL"/>
              </w:rPr>
              <w:t xml:space="preserve">Zważywszy, że </w:t>
            </w:r>
            <w:r>
              <w:rPr>
                <w:bCs/>
                <w:spacing w:val="4"/>
                <w:sz w:val="21"/>
                <w:szCs w:val="21"/>
                <w:lang w:bidi="pl-PL"/>
              </w:rPr>
              <w:t xml:space="preserve">pierwotne przepisy unijne dotyczące usługi EETS zostały wdrożone do krajowego ustawodawstwa przepisami rangi ustawowej bezwzględnie konieczne jest zastosowanie tego rozwiązania także w tym przypadku. Jest to o tyle uzasadnione, że omawiane regulacje nakładają określone prawa i obowiązki na przedsiębiorców (dostawców EETS), podmioty pobierające opłaty za przejazd, ministra właściwego do spraw transportu oraz użytkowników EETS. </w:t>
            </w:r>
            <w:r w:rsidR="001A7F32">
              <w:rPr>
                <w:bCs/>
                <w:spacing w:val="4"/>
                <w:sz w:val="21"/>
                <w:szCs w:val="21"/>
                <w:lang w:bidi="pl-PL"/>
              </w:rPr>
              <w:t>W tejże ustawie powinny też zostać uregulowane podstawowe zasady transgranicznej wymiany danych w związku z naruszeniami polegającymi na niewniesieniu opłaty za przejazd autostradą pobieraną przez Szefa KAS, która podobnie jak opłata elektroniczną, jest opłatą za korzystanie z dróg publicznych.</w:t>
            </w:r>
          </w:p>
        </w:tc>
      </w:tr>
      <w:tr w:rsidR="00664730" w:rsidRPr="008B4FE6" w14:paraId="2F50BB04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5"/>
            <w:shd w:val="clear" w:color="auto" w:fill="99CCFF"/>
            <w:vAlign w:val="center"/>
          </w:tcPr>
          <w:p w14:paraId="18EF4C59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64730" w:rsidRPr="008B4FE6" w14:paraId="2ED89E7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auto"/>
          </w:tcPr>
          <w:p w14:paraId="47234346" w14:textId="77777777" w:rsidR="00664730" w:rsidRPr="00B37C80" w:rsidRDefault="006C419B" w:rsidP="003938A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Jako, że w przedmiotowym przypadku </w:t>
            </w:r>
            <w:r w:rsidR="003C7EC4">
              <w:rPr>
                <w:rFonts w:ascii="Times New Roman" w:hAnsi="Times New Roman"/>
                <w:color w:val="000000"/>
                <w:spacing w:val="-2"/>
              </w:rPr>
              <w:t xml:space="preserve">mamy do czynienia z przepisami unijnymi (dyrektywa) każde z państw członkowskich jest obowiązane je wdrożyć zgodnie ze swoim krajowym porządkiem prawnym. Projektodawca </w:t>
            </w:r>
            <w:r w:rsidR="003938A9">
              <w:rPr>
                <w:rFonts w:ascii="Times New Roman" w:hAnsi="Times New Roman"/>
                <w:color w:val="000000"/>
                <w:spacing w:val="-2"/>
              </w:rPr>
              <w:t>nie uznaje w związku z tym za zasadne</w:t>
            </w:r>
            <w:r w:rsidR="003C7EC4">
              <w:rPr>
                <w:rFonts w:ascii="Times New Roman" w:hAnsi="Times New Roman"/>
                <w:color w:val="000000"/>
                <w:spacing w:val="-2"/>
              </w:rPr>
              <w:t xml:space="preserve"> korzystania </w:t>
            </w:r>
            <w:r w:rsidR="003938A9">
              <w:rPr>
                <w:rFonts w:ascii="Times New Roman" w:hAnsi="Times New Roman"/>
                <w:color w:val="000000"/>
                <w:spacing w:val="-2"/>
              </w:rPr>
              <w:t xml:space="preserve">w przedmiotowym zakresie </w:t>
            </w:r>
            <w:r w:rsidR="003C7EC4">
              <w:rPr>
                <w:rFonts w:ascii="Times New Roman" w:hAnsi="Times New Roman"/>
                <w:color w:val="000000"/>
                <w:spacing w:val="-2"/>
              </w:rPr>
              <w:t xml:space="preserve">z rozwiązań </w:t>
            </w:r>
            <w:r w:rsidR="003938A9">
              <w:rPr>
                <w:rFonts w:ascii="Times New Roman" w:hAnsi="Times New Roman"/>
                <w:color w:val="000000"/>
                <w:spacing w:val="-2"/>
              </w:rPr>
              <w:t xml:space="preserve">przyjmowanych </w:t>
            </w:r>
            <w:r w:rsidR="003C7EC4">
              <w:rPr>
                <w:rFonts w:ascii="Times New Roman" w:hAnsi="Times New Roman"/>
                <w:color w:val="000000"/>
                <w:spacing w:val="-2"/>
              </w:rPr>
              <w:t xml:space="preserve">w innych </w:t>
            </w:r>
            <w:r w:rsidR="003938A9">
              <w:rPr>
                <w:rFonts w:ascii="Times New Roman" w:hAnsi="Times New Roman"/>
                <w:color w:val="000000"/>
                <w:spacing w:val="-2"/>
              </w:rPr>
              <w:t>państwach członkowskich UE</w:t>
            </w:r>
            <w:r w:rsidR="003C7EC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64730" w:rsidRPr="008B4FE6" w14:paraId="11100B1F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5"/>
            <w:shd w:val="clear" w:color="auto" w:fill="99CCFF"/>
            <w:vAlign w:val="center"/>
          </w:tcPr>
          <w:p w14:paraId="4743DA07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664730" w:rsidRPr="008B4FE6" w14:paraId="61151D29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4"/>
            <w:shd w:val="clear" w:color="auto" w:fill="auto"/>
          </w:tcPr>
          <w:p w14:paraId="2F87702A" w14:textId="77777777" w:rsidR="00664730" w:rsidRPr="008B4FE6" w:rsidRDefault="00664730" w:rsidP="00664730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4"/>
            <w:shd w:val="clear" w:color="auto" w:fill="auto"/>
          </w:tcPr>
          <w:p w14:paraId="79E6D52B" w14:textId="77777777" w:rsidR="00664730" w:rsidRPr="008B4FE6" w:rsidRDefault="00664730" w:rsidP="00664730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1"/>
            <w:shd w:val="clear" w:color="auto" w:fill="auto"/>
          </w:tcPr>
          <w:p w14:paraId="278CD1A0" w14:textId="77777777" w:rsidR="00664730" w:rsidRPr="008B4FE6" w:rsidRDefault="00664730" w:rsidP="00664730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052BC77" w14:textId="77777777" w:rsidR="00664730" w:rsidRPr="008B4FE6" w:rsidRDefault="00664730" w:rsidP="00664730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664730" w:rsidRPr="008B4FE6" w14:paraId="67548F30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4"/>
            <w:shd w:val="clear" w:color="auto" w:fill="auto"/>
          </w:tcPr>
          <w:p w14:paraId="020C985F" w14:textId="77777777" w:rsidR="00664730" w:rsidRPr="008B4FE6" w:rsidRDefault="00664730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Podmioty pobierające opłaty za przejazd z wykorzystaniem elektronicznego systemu poboru opłat</w:t>
            </w:r>
          </w:p>
        </w:tc>
        <w:tc>
          <w:tcPr>
            <w:tcW w:w="2292" w:type="dxa"/>
            <w:gridSpan w:val="4"/>
            <w:shd w:val="clear" w:color="auto" w:fill="auto"/>
          </w:tcPr>
          <w:p w14:paraId="383E2C42" w14:textId="77777777" w:rsidR="00664730" w:rsidRPr="00B37C80" w:rsidRDefault="00A669FB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</w:t>
            </w:r>
            <w:r w:rsidR="00A978E2">
              <w:rPr>
                <w:rFonts w:ascii="Times New Roman" w:hAnsi="Times New Roman"/>
                <w:color w:val="000000"/>
                <w:spacing w:val="-2"/>
              </w:rPr>
              <w:t>:</w:t>
            </w:r>
            <w:r w:rsidR="00F37EB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A978E2">
              <w:rPr>
                <w:rFonts w:ascii="Times New Roman" w:hAnsi="Times New Roman"/>
                <w:color w:val="000000"/>
                <w:spacing w:val="-2"/>
              </w:rPr>
              <w:t>Szef KAS oraz koncesjonariusze Stalexport Autostrada Małopolska S.A. i Gdańsk Transport Company S.A.</w:t>
            </w:r>
          </w:p>
        </w:tc>
        <w:tc>
          <w:tcPr>
            <w:tcW w:w="2996" w:type="dxa"/>
            <w:gridSpan w:val="11"/>
            <w:shd w:val="clear" w:color="auto" w:fill="auto"/>
          </w:tcPr>
          <w:p w14:paraId="4434BF36" w14:textId="77777777" w:rsidR="00664730" w:rsidRPr="00B37C80" w:rsidRDefault="008D1B85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3698664A" w14:textId="77777777" w:rsidR="00664730" w:rsidRDefault="00A669FB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1) 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bowiązek zawierania umów z dostawcami EETS w sprawie świadczenia usługi EETS w przypadku podmiotów pobierających opłaty z wykorzystaniem 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 xml:space="preserve">elektronicznego systemu poboru opłat </w:t>
            </w:r>
            <w:r>
              <w:rPr>
                <w:rFonts w:ascii="Times New Roman" w:hAnsi="Times New Roman"/>
                <w:color w:val="000000"/>
                <w:spacing w:val="-2"/>
              </w:rPr>
              <w:t>ANPR;</w:t>
            </w:r>
          </w:p>
          <w:p w14:paraId="0F98FF66" w14:textId="77777777" w:rsidR="00A669FB" w:rsidRDefault="00A669FB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2) 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9C361B">
              <w:rPr>
                <w:rFonts w:ascii="Times New Roman" w:hAnsi="Times New Roman"/>
                <w:color w:val="000000"/>
                <w:spacing w:val="-2"/>
              </w:rPr>
              <w:t>bowiązek informowania dostawców EETS o planowanym wprowadzeniu istotnych zmian w elektronicznym systemie poboru opłat oraz ustanowienia i przestrzegania harmonogramu ponownej akredytacji dostawców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7B8AAFB6" w14:textId="77777777" w:rsidR="006A0E8A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3) 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Obligatoryjny o</w:t>
            </w:r>
            <w:r w:rsidR="006A0E8A">
              <w:rPr>
                <w:rFonts w:ascii="Times New Roman" w:hAnsi="Times New Roman"/>
                <w:color w:val="000000"/>
                <w:spacing w:val="-2"/>
              </w:rPr>
              <w:t>bowiązek wypłaty wynagrodzenia dostawcy EETS z tytułu świadczenia usługi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283DA26" w14:textId="77777777" w:rsidR="00970CDF" w:rsidRPr="00B37C80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4) O</w:t>
            </w:r>
            <w:r w:rsidR="00970CDF">
              <w:rPr>
                <w:rFonts w:ascii="Times New Roman" w:hAnsi="Times New Roman"/>
                <w:color w:val="000000"/>
                <w:spacing w:val="-2"/>
              </w:rPr>
              <w:t>bowiązek zapewnienia środowiska testowego dla urządzeń, które mogą być stosowane do poboru opłat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 ramach usługi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C361B" w:rsidRPr="008B4FE6" w14:paraId="3590A8C4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4"/>
            <w:shd w:val="clear" w:color="auto" w:fill="auto"/>
          </w:tcPr>
          <w:p w14:paraId="320604CC" w14:textId="77777777" w:rsidR="009C361B" w:rsidRDefault="009C361B" w:rsidP="00F37EB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C361B">
              <w:rPr>
                <w:rFonts w:ascii="Times New Roman" w:hAnsi="Times New Roman"/>
                <w:color w:val="000000"/>
              </w:rPr>
              <w:t xml:space="preserve">Podmioty </w:t>
            </w:r>
            <w:r>
              <w:rPr>
                <w:rFonts w:ascii="Times New Roman" w:hAnsi="Times New Roman"/>
                <w:color w:val="000000"/>
              </w:rPr>
              <w:t>pobierające opłaty za przejazd w inny sposób niż z</w:t>
            </w:r>
            <w:r w:rsidRPr="009C361B">
              <w:rPr>
                <w:rFonts w:ascii="Times New Roman" w:hAnsi="Times New Roman"/>
                <w:color w:val="000000"/>
              </w:rPr>
              <w:t xml:space="preserve"> wykorzystaniem elektronicznego systemu poboru opłat</w:t>
            </w:r>
          </w:p>
        </w:tc>
        <w:tc>
          <w:tcPr>
            <w:tcW w:w="2292" w:type="dxa"/>
            <w:gridSpan w:val="4"/>
            <w:shd w:val="clear" w:color="auto" w:fill="auto"/>
          </w:tcPr>
          <w:p w14:paraId="2BF2D037" w14:textId="77777777" w:rsidR="009C361B" w:rsidRDefault="00A978E2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3:</w:t>
            </w:r>
            <w:r w:rsidR="00F37EB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koncesjonariusze Gdańsk Transport Company S.A., Autostrada Wielkopolska S.A. i Autostrada Wielkopolska II S.A  (</w:t>
            </w:r>
            <w:r w:rsidR="009C361B">
              <w:rPr>
                <w:rFonts w:ascii="Times New Roman" w:hAnsi="Times New Roman"/>
                <w:color w:val="000000"/>
                <w:spacing w:val="-2"/>
              </w:rPr>
              <w:t>jedynie w przypadku gdy podmiot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 xml:space="preserve">y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te 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zdecydują</w:t>
            </w:r>
            <w:r w:rsidR="009C361B">
              <w:rPr>
                <w:rFonts w:ascii="Times New Roman" w:hAnsi="Times New Roman"/>
                <w:color w:val="000000"/>
                <w:spacing w:val="-2"/>
              </w:rPr>
              <w:t xml:space="preserve"> się wprowadzić e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 xml:space="preserve">lektroniczny system 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lastRenderedPageBreak/>
              <w:t>poboru opłat, w którym stosowane są urządzenia pokładowe</w:t>
            </w:r>
            <w:r w:rsidR="009C361B">
              <w:rPr>
                <w:rFonts w:ascii="Times New Roman" w:hAnsi="Times New Roman"/>
                <w:color w:val="000000"/>
                <w:spacing w:val="-2"/>
              </w:rPr>
              <w:t>)</w:t>
            </w:r>
          </w:p>
        </w:tc>
        <w:tc>
          <w:tcPr>
            <w:tcW w:w="2996" w:type="dxa"/>
            <w:gridSpan w:val="11"/>
            <w:shd w:val="clear" w:color="auto" w:fill="auto"/>
          </w:tcPr>
          <w:p w14:paraId="1D2A9A1C" w14:textId="77777777" w:rsidR="009C361B" w:rsidRDefault="006A0E8A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0666ECA2" w14:textId="77777777" w:rsidR="009C361B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9C361B">
              <w:rPr>
                <w:rFonts w:ascii="Times New Roman" w:hAnsi="Times New Roman"/>
                <w:color w:val="000000"/>
                <w:spacing w:val="-2"/>
              </w:rPr>
              <w:t xml:space="preserve">bowiązek informowania dostawców EETS o planowanym wdrożeniu elektronicznego systemu poboru opłat </w:t>
            </w:r>
            <w:r w:rsidR="009C361B" w:rsidRPr="009C361B">
              <w:rPr>
                <w:rFonts w:ascii="Times New Roman" w:hAnsi="Times New Roman"/>
                <w:color w:val="000000"/>
                <w:spacing w:val="-2"/>
              </w:rPr>
              <w:t>oraz ustanowienia i przestrzegania harmonogramu akredytacji dostawców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64730" w:rsidRPr="008B4FE6" w14:paraId="764A1B6A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4"/>
            <w:shd w:val="clear" w:color="auto" w:fill="auto"/>
          </w:tcPr>
          <w:p w14:paraId="09A73D99" w14:textId="77777777" w:rsidR="00664730" w:rsidRPr="008B4FE6" w:rsidRDefault="00A978E2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Korzystający z </w:t>
            </w:r>
            <w:r w:rsidR="00CD2273">
              <w:rPr>
                <w:rFonts w:ascii="Times New Roman" w:hAnsi="Times New Roman"/>
                <w:color w:val="000000"/>
              </w:rPr>
              <w:t>dróg</w:t>
            </w:r>
            <w:r>
              <w:rPr>
                <w:rFonts w:ascii="Times New Roman" w:hAnsi="Times New Roman"/>
                <w:color w:val="000000"/>
              </w:rPr>
              <w:t xml:space="preserve"> publicznych</w:t>
            </w:r>
            <w:r w:rsidR="00CD2273">
              <w:rPr>
                <w:rFonts w:ascii="Times New Roman" w:hAnsi="Times New Roman"/>
                <w:color w:val="000000"/>
              </w:rPr>
              <w:t>, którzy zdecydują się zawrzeć umowy o świadczenie usługi EETS</w:t>
            </w:r>
          </w:p>
        </w:tc>
        <w:tc>
          <w:tcPr>
            <w:tcW w:w="2292" w:type="dxa"/>
            <w:gridSpan w:val="4"/>
            <w:shd w:val="clear" w:color="auto" w:fill="auto"/>
          </w:tcPr>
          <w:p w14:paraId="6FF2DA9D" w14:textId="77777777" w:rsidR="009C361B" w:rsidRDefault="00A669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</w:t>
            </w:r>
            <w:r w:rsidR="00CD2273">
              <w:rPr>
                <w:rFonts w:ascii="Times New Roman" w:hAnsi="Times New Roman"/>
                <w:color w:val="000000"/>
                <w:spacing w:val="-2"/>
              </w:rPr>
              <w:t>ieznana</w:t>
            </w:r>
          </w:p>
          <w:p w14:paraId="52B9B68A" w14:textId="77777777" w:rsidR="00664730" w:rsidRPr="00B37C80" w:rsidRDefault="00E5630C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(usługa jest dobrowolna</w:t>
            </w:r>
            <w:r w:rsidR="001855A9">
              <w:rPr>
                <w:rFonts w:ascii="Times New Roman" w:hAnsi="Times New Roman"/>
                <w:color w:val="000000"/>
                <w:spacing w:val="-2"/>
              </w:rPr>
              <w:t xml:space="preserve"> -</w:t>
            </w:r>
            <w:r w:rsidR="00A669FB">
              <w:rPr>
                <w:rFonts w:ascii="Times New Roman" w:hAnsi="Times New Roman"/>
                <w:color w:val="000000"/>
                <w:spacing w:val="-2"/>
              </w:rPr>
              <w:t xml:space="preserve"> nie jest więc możliwe określenie liczby podmiotów, które zostaną użytkownikami EETS)</w:t>
            </w:r>
          </w:p>
        </w:tc>
        <w:tc>
          <w:tcPr>
            <w:tcW w:w="2996" w:type="dxa"/>
            <w:gridSpan w:val="11"/>
            <w:shd w:val="clear" w:color="auto" w:fill="auto"/>
          </w:tcPr>
          <w:p w14:paraId="399CAF90" w14:textId="77777777" w:rsidR="00664730" w:rsidRPr="00B37C80" w:rsidRDefault="00CD2273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4B080293" w14:textId="77777777" w:rsidR="00664730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1) O</w:t>
            </w:r>
            <w:r w:rsidR="00A27D43">
              <w:rPr>
                <w:rFonts w:ascii="Times New Roman" w:hAnsi="Times New Roman"/>
                <w:color w:val="000000"/>
                <w:spacing w:val="-2"/>
              </w:rPr>
              <w:t>bowiązek zapewnienia prawidłowego funkcjonowania OBU EETS, zgodnie z instrukcją dostarczoną przez dostawcę EETS i przepisa</w:t>
            </w:r>
            <w:r>
              <w:rPr>
                <w:rFonts w:ascii="Times New Roman" w:hAnsi="Times New Roman"/>
                <w:color w:val="000000"/>
                <w:spacing w:val="-2"/>
              </w:rPr>
              <w:t>mi</w:t>
            </w:r>
            <w:r w:rsidR="00A27D43">
              <w:rPr>
                <w:rFonts w:ascii="Times New Roman" w:hAnsi="Times New Roman"/>
                <w:color w:val="000000"/>
                <w:spacing w:val="-2"/>
              </w:rPr>
              <w:t xml:space="preserve">  aktów wykonawczych KE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D57A463" w14:textId="77777777" w:rsidR="00B51305" w:rsidRPr="00B37C80" w:rsidRDefault="00B51305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2) 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Zabezpieczenie interesów użytkowników EETS przez o</w:t>
            </w:r>
            <w:r>
              <w:rPr>
                <w:rFonts w:ascii="Times New Roman" w:hAnsi="Times New Roman"/>
                <w:color w:val="000000"/>
                <w:spacing w:val="-2"/>
              </w:rPr>
              <w:t>kreślenie obligatoryjnych elementów umowy w sprawie świadczenia usługi EETS z dostawcą EETS</w:t>
            </w:r>
          </w:p>
        </w:tc>
      </w:tr>
      <w:tr w:rsidR="001855A9" w:rsidRPr="008B4FE6" w14:paraId="2DA6BA39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4"/>
            <w:shd w:val="clear" w:color="auto" w:fill="auto"/>
          </w:tcPr>
          <w:p w14:paraId="140AAD38" w14:textId="77777777" w:rsidR="001855A9" w:rsidRDefault="001855A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Dostawcy EETS</w:t>
            </w:r>
          </w:p>
        </w:tc>
        <w:tc>
          <w:tcPr>
            <w:tcW w:w="2292" w:type="dxa"/>
            <w:gridSpan w:val="4"/>
            <w:shd w:val="clear" w:color="auto" w:fill="auto"/>
          </w:tcPr>
          <w:p w14:paraId="78A3EC9F" w14:textId="77777777" w:rsidR="009C361B" w:rsidRDefault="001855A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Nieznana</w:t>
            </w:r>
          </w:p>
          <w:p w14:paraId="43B98134" w14:textId="77777777" w:rsidR="001855A9" w:rsidRDefault="001855A9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1855A9">
              <w:rPr>
                <w:rFonts w:ascii="Times New Roman" w:hAnsi="Times New Roman"/>
                <w:color w:val="000000"/>
                <w:spacing w:val="-2"/>
              </w:rPr>
              <w:t>(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dostawcy EETS działają na zasadach rynkowych - </w:t>
            </w:r>
            <w:r w:rsidRPr="001855A9">
              <w:rPr>
                <w:rFonts w:ascii="Times New Roman" w:hAnsi="Times New Roman"/>
                <w:color w:val="000000"/>
                <w:spacing w:val="-2"/>
              </w:rPr>
              <w:t xml:space="preserve"> nie jest więc możliwe określenie liczby </w:t>
            </w:r>
            <w:r>
              <w:rPr>
                <w:rFonts w:ascii="Times New Roman" w:hAnsi="Times New Roman"/>
                <w:color w:val="000000"/>
                <w:spacing w:val="-2"/>
              </w:rPr>
              <w:t>dostawców, którzy zdecydują się świadczyć usługę EETS na terytorium RP</w:t>
            </w:r>
            <w:r w:rsidRPr="001855A9">
              <w:rPr>
                <w:rFonts w:ascii="Times New Roman" w:hAnsi="Times New Roman"/>
                <w:color w:val="000000"/>
                <w:spacing w:val="-2"/>
              </w:rPr>
              <w:t>)</w:t>
            </w:r>
          </w:p>
        </w:tc>
        <w:tc>
          <w:tcPr>
            <w:tcW w:w="2996" w:type="dxa"/>
            <w:gridSpan w:val="11"/>
            <w:shd w:val="clear" w:color="auto" w:fill="auto"/>
          </w:tcPr>
          <w:p w14:paraId="3E9E8208" w14:textId="77777777" w:rsidR="001855A9" w:rsidRDefault="001855A9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1EF3416" w14:textId="77777777" w:rsidR="001855A9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1) O</w:t>
            </w:r>
            <w:r w:rsidR="001855A9">
              <w:rPr>
                <w:rFonts w:ascii="Times New Roman" w:hAnsi="Times New Roman"/>
                <w:color w:val="000000"/>
                <w:spacing w:val="-2"/>
              </w:rPr>
              <w:t>bowiązek przekazywania danych o podmiotach naruszających obowiązek uiszczenia opłaty elektronicznej oraz danych na potrzeby podatkowe</w:t>
            </w:r>
            <w:r>
              <w:t xml:space="preserve"> </w:t>
            </w:r>
            <w:r w:rsidRPr="009A6018">
              <w:rPr>
                <w:rFonts w:ascii="Times New Roman" w:hAnsi="Times New Roman"/>
                <w:color w:val="000000"/>
                <w:spacing w:val="-2"/>
              </w:rPr>
              <w:t>do podmiotów pobierających opłatę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0AE1F43" w14:textId="77777777" w:rsidR="001855A9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2) O</w:t>
            </w:r>
            <w:r w:rsidR="001855A9">
              <w:rPr>
                <w:rFonts w:ascii="Times New Roman" w:hAnsi="Times New Roman"/>
                <w:color w:val="000000"/>
                <w:spacing w:val="-2"/>
              </w:rPr>
              <w:t>bowiązek stosowania przepisów aktów wykonawczych wydawanych przez KE szczegółowo określających zasady świadczenia usługi EETS</w:t>
            </w:r>
            <w:r w:rsidR="00D116AA">
              <w:rPr>
                <w:rFonts w:ascii="Times New Roman" w:hAnsi="Times New Roman"/>
                <w:color w:val="000000"/>
                <w:spacing w:val="-2"/>
              </w:rPr>
              <w:t xml:space="preserve"> (m. in. kwestie techniczne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związane z EETS</w:t>
            </w:r>
            <w:r w:rsidR="00D116AA">
              <w:rPr>
                <w:rFonts w:ascii="Times New Roman" w:hAnsi="Times New Roman"/>
                <w:color w:val="000000"/>
                <w:spacing w:val="-2"/>
              </w:rPr>
              <w:t>)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22F21D11" w14:textId="77777777" w:rsidR="00D116AA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3) O</w:t>
            </w:r>
            <w:r w:rsidR="00D116AA">
              <w:rPr>
                <w:rFonts w:ascii="Times New Roman" w:hAnsi="Times New Roman"/>
                <w:color w:val="000000"/>
                <w:spacing w:val="-2"/>
              </w:rPr>
              <w:t xml:space="preserve">bowiązek pokrywania kosztów podmiotów pobierających opłatę związanych z zapewnieniem zgodności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elektronicznego </w:t>
            </w:r>
            <w:r w:rsidR="00D116AA">
              <w:rPr>
                <w:rFonts w:ascii="Times New Roman" w:hAnsi="Times New Roman"/>
                <w:color w:val="000000"/>
                <w:spacing w:val="-2"/>
              </w:rPr>
              <w:t>systemu poboru opłat z przepisami regulującymi świadczenie usługi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D51D2D8" w14:textId="77777777" w:rsidR="008D266F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3) O</w:t>
            </w:r>
            <w:r w:rsidR="008D266F">
              <w:rPr>
                <w:rFonts w:ascii="Times New Roman" w:hAnsi="Times New Roman"/>
                <w:color w:val="000000"/>
                <w:spacing w:val="-2"/>
              </w:rPr>
              <w:t>bowiązek dostarczania użytkownikom EETS dokumentów księgowych potwierdzających wniesienie opłat za przejazd w ramach usługi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7126EC1" w14:textId="77777777" w:rsidR="00B51305" w:rsidRDefault="00B51305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</w:t>
            </w:r>
            <w:r w:rsidRPr="00B51305">
              <w:rPr>
                <w:rFonts w:ascii="Times New Roman" w:hAnsi="Times New Roman"/>
                <w:color w:val="000000"/>
                <w:spacing w:val="-2"/>
              </w:rPr>
              <w:t xml:space="preserve">) 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O</w:t>
            </w:r>
            <w:r w:rsidRPr="00B51305">
              <w:rPr>
                <w:rFonts w:ascii="Times New Roman" w:hAnsi="Times New Roman"/>
                <w:color w:val="000000"/>
                <w:spacing w:val="-2"/>
              </w:rPr>
              <w:t>kreślenie obligatoryjnych elementów umowy w spr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awie świadczenia usługi EETS 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 xml:space="preserve">zawieranej </w:t>
            </w:r>
            <w:r>
              <w:rPr>
                <w:rFonts w:ascii="Times New Roman" w:hAnsi="Times New Roman"/>
                <w:color w:val="000000"/>
                <w:spacing w:val="-2"/>
              </w:rPr>
              <w:t>z użytkownikiem</w:t>
            </w:r>
            <w:r w:rsidRPr="00B51305">
              <w:rPr>
                <w:rFonts w:ascii="Times New Roman" w:hAnsi="Times New Roman"/>
                <w:color w:val="000000"/>
                <w:spacing w:val="-2"/>
              </w:rPr>
              <w:t xml:space="preserve">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692FA41F" w14:textId="77777777" w:rsidR="006A0E8A" w:rsidRDefault="006A0E8A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5</w:t>
            </w:r>
            <w:r w:rsidRPr="006A0E8A">
              <w:rPr>
                <w:rFonts w:ascii="Times New Roman" w:hAnsi="Times New Roman"/>
                <w:color w:val="000000"/>
                <w:spacing w:val="-2"/>
              </w:rPr>
              <w:t xml:space="preserve">) 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P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rawo do otrzymywania </w:t>
            </w:r>
            <w:r w:rsidRPr="006A0E8A">
              <w:rPr>
                <w:rFonts w:ascii="Times New Roman" w:hAnsi="Times New Roman"/>
                <w:color w:val="000000"/>
                <w:spacing w:val="-2"/>
              </w:rPr>
              <w:t xml:space="preserve"> wynagrodzenia </w:t>
            </w:r>
            <w:r>
              <w:rPr>
                <w:rFonts w:ascii="Times New Roman" w:hAnsi="Times New Roman"/>
                <w:color w:val="000000"/>
                <w:spacing w:val="-2"/>
              </w:rPr>
              <w:t>od podmiotu pobierającego opłaty</w:t>
            </w:r>
            <w:r w:rsidRPr="006A0E8A">
              <w:rPr>
                <w:rFonts w:ascii="Times New Roman" w:hAnsi="Times New Roman"/>
                <w:color w:val="000000"/>
                <w:spacing w:val="-2"/>
              </w:rPr>
              <w:t xml:space="preserve"> z tytułu świadczenia usługi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63B83A70" w14:textId="77777777" w:rsidR="006A0E8A" w:rsidRPr="00B37C80" w:rsidRDefault="009A6018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6) O</w:t>
            </w:r>
            <w:r w:rsidR="00F41CB1">
              <w:rPr>
                <w:rFonts w:ascii="Times New Roman" w:hAnsi="Times New Roman"/>
                <w:color w:val="000000"/>
                <w:spacing w:val="-2"/>
              </w:rPr>
              <w:t>bowiązek przekazywania danych o ruchu użytkowników EETS zarządcom dróg i organom zarządzających ruchem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64730" w:rsidRPr="008B4FE6" w14:paraId="5A66FAB4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4"/>
            <w:shd w:val="clear" w:color="auto" w:fill="auto"/>
          </w:tcPr>
          <w:p w14:paraId="7042E6E2" w14:textId="77777777" w:rsidR="00664730" w:rsidRPr="008B4FE6" w:rsidRDefault="00664730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Minister właściwy do spraw transportu</w:t>
            </w:r>
          </w:p>
        </w:tc>
        <w:tc>
          <w:tcPr>
            <w:tcW w:w="2292" w:type="dxa"/>
            <w:gridSpan w:val="4"/>
            <w:shd w:val="clear" w:color="auto" w:fill="auto"/>
          </w:tcPr>
          <w:p w14:paraId="51A0658F" w14:textId="77777777" w:rsidR="00664730" w:rsidRPr="00B37C80" w:rsidRDefault="008D1B8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1"/>
            <w:shd w:val="clear" w:color="auto" w:fill="auto"/>
          </w:tcPr>
          <w:p w14:paraId="116509BA" w14:textId="77777777" w:rsidR="00664730" w:rsidRPr="00B37C80" w:rsidRDefault="008D1B85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C32D1D3" w14:textId="77777777" w:rsidR="00664730" w:rsidRDefault="00444BA3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1) O</w:t>
            </w:r>
            <w:r w:rsidR="00CB34B5">
              <w:rPr>
                <w:rFonts w:ascii="Times New Roman" w:hAnsi="Times New Roman"/>
                <w:color w:val="000000"/>
                <w:spacing w:val="-2"/>
              </w:rPr>
              <w:t xml:space="preserve">bowiązek przekazywania </w:t>
            </w:r>
            <w:r w:rsidR="001855A9" w:rsidRPr="001855A9">
              <w:rPr>
                <w:rFonts w:ascii="Times New Roman" w:hAnsi="Times New Roman"/>
                <w:color w:val="000000"/>
                <w:spacing w:val="-2"/>
              </w:rPr>
              <w:t>sprawozdań z funkcjonowania KPK</w:t>
            </w:r>
            <w:r w:rsidRPr="00444BA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 </w:t>
            </w:r>
            <w:r w:rsidRPr="00444BA3">
              <w:rPr>
                <w:rFonts w:ascii="Times New Roman" w:hAnsi="Times New Roman"/>
                <w:color w:val="000000"/>
                <w:spacing w:val="-2"/>
              </w:rPr>
              <w:t>K</w:t>
            </w:r>
            <w:r w:rsidR="009B31E5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74A880C3" w14:textId="77777777" w:rsidR="00CB34B5" w:rsidRDefault="00444BA3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2) P</w:t>
            </w:r>
            <w:r w:rsidR="00CB34B5">
              <w:rPr>
                <w:rFonts w:ascii="Times New Roman" w:hAnsi="Times New Roman"/>
                <w:color w:val="000000"/>
                <w:spacing w:val="-2"/>
              </w:rPr>
              <w:t>ełnienie funkcji punktu kontaktowego dla dostawców EETS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7F60B571" w14:textId="77777777" w:rsidR="00970CDF" w:rsidRDefault="00970CDF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3)</w:t>
            </w:r>
            <w:r w:rsidR="00444BA3">
              <w:rPr>
                <w:rFonts w:ascii="Times New Roman" w:hAnsi="Times New Roman"/>
                <w:color w:val="000000"/>
                <w:spacing w:val="-2"/>
              </w:rPr>
              <w:t xml:space="preserve"> Notyfikowanie</w:t>
            </w:r>
            <w:r w:rsidR="00F90F90">
              <w:rPr>
                <w:rFonts w:ascii="Times New Roman" w:hAnsi="Times New Roman"/>
                <w:color w:val="000000"/>
                <w:spacing w:val="-2"/>
              </w:rPr>
              <w:t xml:space="preserve"> autoryzowanych </w:t>
            </w:r>
            <w:r>
              <w:rPr>
                <w:rFonts w:ascii="Times New Roman" w:hAnsi="Times New Roman"/>
                <w:color w:val="000000"/>
                <w:spacing w:val="-2"/>
              </w:rPr>
              <w:t>jednostek</w:t>
            </w:r>
            <w:r w:rsidRPr="00970CD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oceniają</w:t>
            </w:r>
            <w:r w:rsidRPr="00970CDF">
              <w:rPr>
                <w:rFonts w:ascii="Times New Roman" w:hAnsi="Times New Roman"/>
                <w:color w:val="000000"/>
                <w:spacing w:val="-2"/>
              </w:rPr>
              <w:t>cy</w:t>
            </w:r>
            <w:r>
              <w:rPr>
                <w:rFonts w:ascii="Times New Roman" w:hAnsi="Times New Roman"/>
                <w:color w:val="000000"/>
                <w:spacing w:val="-2"/>
              </w:rPr>
              <w:t>ch</w:t>
            </w:r>
            <w:r w:rsidRPr="00970CDF">
              <w:rPr>
                <w:rFonts w:ascii="Times New Roman" w:hAnsi="Times New Roman"/>
                <w:color w:val="000000"/>
                <w:spacing w:val="-2"/>
              </w:rPr>
              <w:t xml:space="preserve"> zgodność składników interoperacyjności EETS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oraz cofanie autoryzacji dla tych jednostek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C1DB2F3" w14:textId="77777777" w:rsidR="00970CDF" w:rsidRPr="00B37C80" w:rsidRDefault="00970CDF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4) </w:t>
            </w:r>
            <w:r w:rsidR="00444BA3"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 xml:space="preserve">bowiązek wydania obwieszczenia zawierającego wykaz aktów wykonawczych </w:t>
            </w:r>
            <w:r w:rsidR="00444BA3">
              <w:rPr>
                <w:rFonts w:ascii="Times New Roman" w:hAnsi="Times New Roman"/>
                <w:color w:val="000000"/>
                <w:spacing w:val="-2"/>
              </w:rPr>
              <w:t>wydanych przez KE na podstawie D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yrektywy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64730" w:rsidRPr="008B4FE6" w14:paraId="0914A35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4"/>
            <w:shd w:val="clear" w:color="auto" w:fill="auto"/>
          </w:tcPr>
          <w:p w14:paraId="3BACB0D8" w14:textId="77777777" w:rsidR="00664730" w:rsidRPr="008B4FE6" w:rsidRDefault="00664730" w:rsidP="00F37EB1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Główny Inspektor Transportu Drogowego</w:t>
            </w:r>
            <w:r w:rsidR="007A2947">
              <w:rPr>
                <w:rFonts w:ascii="Times New Roman" w:hAnsi="Times New Roman"/>
                <w:color w:val="000000"/>
              </w:rPr>
              <w:t xml:space="preserve"> oraz Szef KAS</w:t>
            </w:r>
          </w:p>
        </w:tc>
        <w:tc>
          <w:tcPr>
            <w:tcW w:w="2292" w:type="dxa"/>
            <w:gridSpan w:val="4"/>
            <w:shd w:val="clear" w:color="auto" w:fill="auto"/>
          </w:tcPr>
          <w:p w14:paraId="6B09260F" w14:textId="77777777" w:rsidR="00664730" w:rsidRPr="00B37C80" w:rsidRDefault="008D1B8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1"/>
            <w:shd w:val="clear" w:color="auto" w:fill="auto"/>
          </w:tcPr>
          <w:p w14:paraId="5905F440" w14:textId="77777777" w:rsidR="00664730" w:rsidRPr="00B37C80" w:rsidRDefault="008D1B85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54781D2E" w14:textId="77777777" w:rsidR="00A669FB" w:rsidRDefault="00F56B86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1) </w:t>
            </w:r>
            <w:r w:rsidR="00A669FB" w:rsidRPr="00A669FB">
              <w:rPr>
                <w:rFonts w:ascii="Times New Roman" w:hAnsi="Times New Roman"/>
                <w:color w:val="000000"/>
                <w:spacing w:val="-2"/>
              </w:rPr>
              <w:t xml:space="preserve">Wdrożenie i utrzymanie rozwiązań teleinformatycznych umożliwiających </w:t>
            </w:r>
            <w:r w:rsidR="00A669FB">
              <w:rPr>
                <w:rFonts w:ascii="Times New Roman" w:hAnsi="Times New Roman"/>
                <w:color w:val="000000"/>
                <w:spacing w:val="-2"/>
              </w:rPr>
              <w:t xml:space="preserve">otrzymywanie </w:t>
            </w:r>
            <w:r w:rsidR="00A669FB" w:rsidRPr="00A669FB">
              <w:rPr>
                <w:rFonts w:ascii="Times New Roman" w:hAnsi="Times New Roman"/>
                <w:color w:val="000000"/>
                <w:spacing w:val="-2"/>
              </w:rPr>
              <w:t xml:space="preserve"> danych o </w:t>
            </w:r>
            <w:r w:rsidR="00A669FB">
              <w:rPr>
                <w:rFonts w:ascii="Times New Roman" w:hAnsi="Times New Roman"/>
                <w:color w:val="000000"/>
                <w:spacing w:val="-2"/>
              </w:rPr>
              <w:t>podmiotach zagranicznych popełniających naruszenia</w:t>
            </w:r>
            <w:r w:rsidR="00A669FB" w:rsidRPr="00A669FB">
              <w:rPr>
                <w:rFonts w:ascii="Times New Roman" w:hAnsi="Times New Roman"/>
                <w:color w:val="000000"/>
                <w:spacing w:val="-2"/>
              </w:rPr>
              <w:t xml:space="preserve"> obowiązku uiszczania opłaty elektronicznej </w:t>
            </w:r>
            <w:r w:rsidR="007A2947">
              <w:rPr>
                <w:rFonts w:ascii="Times New Roman" w:hAnsi="Times New Roman"/>
                <w:color w:val="000000"/>
                <w:spacing w:val="-2"/>
              </w:rPr>
              <w:t xml:space="preserve">albo obowiązku wnoszenia opłat za przejazd autostradą </w:t>
            </w:r>
            <w:r w:rsidR="00A669FB" w:rsidRPr="00A669FB">
              <w:rPr>
                <w:rFonts w:ascii="Times New Roman" w:hAnsi="Times New Roman"/>
                <w:color w:val="000000"/>
                <w:spacing w:val="-2"/>
              </w:rPr>
              <w:t xml:space="preserve">za pośrednictwem </w:t>
            </w:r>
            <w:r w:rsidR="001855A9">
              <w:rPr>
                <w:rFonts w:ascii="Times New Roman" w:hAnsi="Times New Roman"/>
                <w:color w:val="000000"/>
                <w:spacing w:val="-2"/>
              </w:rPr>
              <w:t>KPK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F045710" w14:textId="77777777" w:rsidR="00F56B86" w:rsidRDefault="00A669FB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2) </w:t>
            </w:r>
            <w:r w:rsidR="00F56B86">
              <w:rPr>
                <w:rFonts w:ascii="Times New Roman" w:hAnsi="Times New Roman"/>
                <w:color w:val="000000"/>
                <w:spacing w:val="-2"/>
              </w:rPr>
              <w:t xml:space="preserve">Wszczynanie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i prowadzenie </w:t>
            </w:r>
            <w:r w:rsidR="00F56B86">
              <w:rPr>
                <w:rFonts w:ascii="Times New Roman" w:hAnsi="Times New Roman"/>
                <w:color w:val="000000"/>
                <w:spacing w:val="-2"/>
              </w:rPr>
              <w:t xml:space="preserve">postępowań administracyjnych w sprawie nałożenia kary pieniężnej </w:t>
            </w:r>
            <w:r>
              <w:rPr>
                <w:rFonts w:ascii="Times New Roman" w:hAnsi="Times New Roman"/>
                <w:color w:val="000000"/>
                <w:spacing w:val="-2"/>
              </w:rPr>
              <w:t>za naruszenia</w:t>
            </w:r>
            <w:r w:rsidR="00F56B86">
              <w:rPr>
                <w:rFonts w:ascii="Times New Roman" w:hAnsi="Times New Roman"/>
                <w:color w:val="000000"/>
                <w:spacing w:val="-2"/>
              </w:rPr>
              <w:t xml:space="preserve"> obowiązku uiszczenia opłaty elektronicznej </w:t>
            </w:r>
            <w:r w:rsidR="007A2947">
              <w:rPr>
                <w:rFonts w:ascii="Times New Roman" w:hAnsi="Times New Roman"/>
                <w:color w:val="000000"/>
                <w:spacing w:val="-2"/>
              </w:rPr>
              <w:t xml:space="preserve">albo wystawianie i doręczania wezwań do zapłaty opłaty dodatkowej </w:t>
            </w:r>
            <w:r w:rsidR="00F56B86">
              <w:rPr>
                <w:rFonts w:ascii="Times New Roman" w:hAnsi="Times New Roman"/>
                <w:color w:val="000000"/>
                <w:spacing w:val="-2"/>
              </w:rPr>
              <w:t>na podstawie danych uzyskanych za pośrednictwem KPK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48CC321" w14:textId="77777777" w:rsidR="007A2947" w:rsidRDefault="00F56B86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3) </w:t>
            </w:r>
            <w:r w:rsidR="007A2947">
              <w:rPr>
                <w:rFonts w:ascii="Times New Roman" w:hAnsi="Times New Roman"/>
                <w:color w:val="000000"/>
                <w:spacing w:val="-2"/>
              </w:rPr>
              <w:t>Uprawnienie do zatrzymywania na terytorium RP pojazdów, na których właściciela/posiadacza nałożono karę pieniężną za naruszenie obowiązku uiszczenia opłaty elektronicznej w wyniku wymiany danych za pośrednictwem KPK;</w:t>
            </w:r>
          </w:p>
          <w:p w14:paraId="272672F3" w14:textId="77777777" w:rsidR="00F56B86" w:rsidRPr="00B37C80" w:rsidRDefault="007A2947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4) </w:t>
            </w:r>
            <w:r w:rsidR="00F56B86" w:rsidRPr="00F56B86">
              <w:rPr>
                <w:rFonts w:ascii="Times New Roman" w:hAnsi="Times New Roman"/>
                <w:color w:val="000000"/>
                <w:spacing w:val="-2"/>
              </w:rPr>
              <w:t xml:space="preserve">Przygotowywanie danych na potrzeby sprawozdań przekazywanych do </w:t>
            </w:r>
            <w:r w:rsidR="00444BA3">
              <w:rPr>
                <w:rFonts w:ascii="Times New Roman" w:hAnsi="Times New Roman"/>
                <w:color w:val="000000"/>
                <w:spacing w:val="-2"/>
              </w:rPr>
              <w:t>KE</w:t>
            </w:r>
            <w:r w:rsidR="00F56B86" w:rsidRPr="00F56B86">
              <w:rPr>
                <w:rFonts w:ascii="Times New Roman" w:hAnsi="Times New Roman"/>
                <w:color w:val="000000"/>
                <w:spacing w:val="-2"/>
              </w:rPr>
              <w:t xml:space="preserve"> z funkcjonowania KPK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64730" w:rsidRPr="008B4FE6" w14:paraId="0186A324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4"/>
            <w:shd w:val="clear" w:color="auto" w:fill="auto"/>
          </w:tcPr>
          <w:p w14:paraId="77CA9931" w14:textId="77777777" w:rsidR="00664730" w:rsidRPr="008B4FE6" w:rsidRDefault="00A669FB" w:rsidP="00F37EB1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 właściwy do spraw informatyzacji</w:t>
            </w:r>
          </w:p>
        </w:tc>
        <w:tc>
          <w:tcPr>
            <w:tcW w:w="2292" w:type="dxa"/>
            <w:gridSpan w:val="4"/>
            <w:shd w:val="clear" w:color="auto" w:fill="auto"/>
          </w:tcPr>
          <w:p w14:paraId="3263D82D" w14:textId="77777777" w:rsidR="00664730" w:rsidRPr="00B37C80" w:rsidRDefault="008D1B85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1"/>
            <w:shd w:val="clear" w:color="auto" w:fill="auto"/>
          </w:tcPr>
          <w:p w14:paraId="3B68F510" w14:textId="77777777" w:rsidR="00664730" w:rsidRPr="00B37C80" w:rsidRDefault="008D1B85" w:rsidP="00F37E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448E41ED" w14:textId="16273C3E" w:rsidR="00664730" w:rsidRDefault="009D5A31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1) Wdrożenie i utrzymanie rozwiązań teleinformatycznych umożliwiających </w:t>
            </w:r>
            <w:r w:rsidR="00A669FB">
              <w:rPr>
                <w:rFonts w:ascii="Times New Roman" w:hAnsi="Times New Roman"/>
                <w:color w:val="000000"/>
                <w:spacing w:val="-2"/>
              </w:rPr>
              <w:t xml:space="preserve">transgraniczne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przekazywanie danych o </w:t>
            </w:r>
            <w:r w:rsidR="00A918B0">
              <w:rPr>
                <w:rFonts w:ascii="Times New Roman" w:hAnsi="Times New Roman"/>
                <w:color w:val="000000"/>
                <w:spacing w:val="-2"/>
              </w:rPr>
              <w:t xml:space="preserve">pojazdach w związku z </w:t>
            </w:r>
            <w:r>
              <w:rPr>
                <w:rFonts w:ascii="Times New Roman" w:hAnsi="Times New Roman"/>
                <w:color w:val="000000"/>
                <w:spacing w:val="-2"/>
              </w:rPr>
              <w:t>naruszenia</w:t>
            </w:r>
            <w:r w:rsidR="00A918B0">
              <w:rPr>
                <w:rFonts w:ascii="Times New Roman" w:hAnsi="Times New Roman"/>
                <w:color w:val="000000"/>
                <w:spacing w:val="-2"/>
              </w:rPr>
              <w:t>mi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obowiązku uiszczania opłaty elektronicznej za pośrednictwem </w:t>
            </w:r>
            <w:r w:rsidR="00444BA3">
              <w:rPr>
                <w:rFonts w:ascii="Times New Roman" w:hAnsi="Times New Roman"/>
                <w:color w:val="000000"/>
                <w:spacing w:val="-2"/>
              </w:rPr>
              <w:t>KPK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2083F625" w14:textId="77777777" w:rsidR="009D5A31" w:rsidRPr="00B37C80" w:rsidRDefault="009D5A31" w:rsidP="00FA5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2) Przygotowywanie danych na potrzeby sprawozdań </w:t>
            </w:r>
            <w:r w:rsidR="00A669FB" w:rsidRPr="00A669FB">
              <w:rPr>
                <w:rFonts w:ascii="Times New Roman" w:hAnsi="Times New Roman"/>
                <w:color w:val="000000"/>
                <w:spacing w:val="-2"/>
              </w:rPr>
              <w:t xml:space="preserve">z funkcjonowania KPK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przekazywanych do </w:t>
            </w:r>
            <w:r w:rsidR="009B31E5">
              <w:rPr>
                <w:rFonts w:ascii="Times New Roman" w:hAnsi="Times New Roman"/>
                <w:color w:val="000000"/>
                <w:spacing w:val="-2"/>
              </w:rPr>
              <w:t>KE</w:t>
            </w:r>
            <w:r w:rsidR="00E5630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64730" w:rsidRPr="008B4FE6" w14:paraId="55889550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5"/>
            <w:shd w:val="clear" w:color="auto" w:fill="99CCFF"/>
            <w:vAlign w:val="center"/>
          </w:tcPr>
          <w:p w14:paraId="252D4A50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64730" w:rsidRPr="008B4FE6" w14:paraId="3E54F2A8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5"/>
            <w:shd w:val="clear" w:color="auto" w:fill="FFFFFF"/>
          </w:tcPr>
          <w:p w14:paraId="73D4F085" w14:textId="7A3EC37A" w:rsidR="00555B6E" w:rsidRPr="00DC0E2C" w:rsidRDefault="00555B6E" w:rsidP="00555B6E">
            <w:pPr>
              <w:spacing w:line="240" w:lineRule="auto"/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Z</w:t>
            </w:r>
            <w:r w:rsidRPr="00DC0E2C">
              <w:rPr>
                <w:rFonts w:ascii="Times New Roman" w:hAnsi="Times New Roman"/>
                <w:spacing w:val="4"/>
                <w:sz w:val="21"/>
                <w:szCs w:val="21"/>
              </w:rPr>
              <w:t>godnie z art. 5 z dnia 7 lipca 2005 r. o działalności lobbingowej w procesie stanowienia prawa (Dz. U. z 2017 r. poz. 248), projekt ustawy zosta</w:t>
            </w:r>
            <w:r w:rsidR="008B18EF">
              <w:rPr>
                <w:rFonts w:ascii="Times New Roman" w:hAnsi="Times New Roman"/>
                <w:spacing w:val="4"/>
                <w:sz w:val="21"/>
                <w:szCs w:val="21"/>
              </w:rPr>
              <w:t>ł</w:t>
            </w:r>
            <w:r w:rsidRPr="00DC0E2C">
              <w:rPr>
                <w:rFonts w:ascii="Times New Roman" w:hAnsi="Times New Roman"/>
                <w:spacing w:val="4"/>
                <w:sz w:val="21"/>
                <w:szCs w:val="21"/>
              </w:rPr>
              <w:t xml:space="preserve"> udostępniony w Biuletynie Informacji Publicznej Rządowego Centrum Legislacji w zakładce Rządowy Proces Legislacyjny oraz dodatkowo w Biuletynie Informacji Publicznej Ministerstwa Infrastruktury. </w:t>
            </w:r>
          </w:p>
          <w:p w14:paraId="4B1C075E" w14:textId="77777777" w:rsidR="00CD2273" w:rsidRDefault="00F37EB1" w:rsidP="00475F1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Przewiduje się przeprowadzenie 21</w:t>
            </w:r>
            <w:r w:rsidR="00F01B13">
              <w:rPr>
                <w:rFonts w:ascii="Times New Roman" w:hAnsi="Times New Roman"/>
                <w:color w:val="000000"/>
                <w:spacing w:val="-2"/>
              </w:rPr>
              <w:t xml:space="preserve">-dniowych </w:t>
            </w:r>
            <w:r w:rsidR="003C7EC4">
              <w:rPr>
                <w:rFonts w:ascii="Times New Roman" w:hAnsi="Times New Roman"/>
                <w:color w:val="000000"/>
                <w:spacing w:val="-2"/>
              </w:rPr>
              <w:t xml:space="preserve">konsultacji publicznych </w:t>
            </w:r>
            <w:r w:rsidR="00CD2273">
              <w:rPr>
                <w:rFonts w:ascii="Times New Roman" w:hAnsi="Times New Roman"/>
                <w:color w:val="000000"/>
                <w:spacing w:val="-2"/>
              </w:rPr>
              <w:t xml:space="preserve">projektu </w:t>
            </w:r>
            <w:r w:rsidR="003B2BA1">
              <w:rPr>
                <w:rFonts w:ascii="Times New Roman" w:hAnsi="Times New Roman"/>
                <w:color w:val="000000"/>
                <w:spacing w:val="-2"/>
              </w:rPr>
              <w:t xml:space="preserve">ustawy </w:t>
            </w:r>
            <w:r w:rsidR="003C7EC4">
              <w:rPr>
                <w:rFonts w:ascii="Times New Roman" w:hAnsi="Times New Roman"/>
                <w:color w:val="000000"/>
                <w:spacing w:val="-2"/>
              </w:rPr>
              <w:t>z następującymi podmiotami:</w:t>
            </w:r>
          </w:p>
          <w:p w14:paraId="0D536E1A" w14:textId="77777777" w:rsidR="00475F17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Polska Izba Gospodarcza Transp</w:t>
            </w:r>
            <w:r w:rsidR="000553ED" w:rsidRPr="00CD2273">
              <w:rPr>
                <w:rFonts w:ascii="Times New Roman" w:hAnsi="Times New Roman"/>
                <w:color w:val="000000"/>
                <w:spacing w:val="-2"/>
              </w:rPr>
              <w:t>ortu Samochodowego i Spedycji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54B3A3D3" w14:textId="77777777" w:rsidR="00475F17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Polskie Stowarzysze</w:t>
            </w:r>
            <w:r w:rsidR="000553ED" w:rsidRPr="00CD2273">
              <w:rPr>
                <w:rFonts w:ascii="Times New Roman" w:hAnsi="Times New Roman"/>
                <w:color w:val="000000"/>
                <w:spacing w:val="-2"/>
              </w:rPr>
              <w:t>nie Przewoźników Autokarowych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AA0C154" w14:textId="77777777" w:rsidR="00475F17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Zrzeszenie Międzynarodowych Pr</w:t>
            </w:r>
            <w:r w:rsidR="000553ED" w:rsidRPr="00CD2273">
              <w:rPr>
                <w:rFonts w:ascii="Times New Roman" w:hAnsi="Times New Roman"/>
                <w:color w:val="000000"/>
                <w:spacing w:val="-2"/>
              </w:rPr>
              <w:t>zewoźników Drogowych w Polsce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542567AA" w14:textId="77777777" w:rsidR="00475F17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Ogólnopolski Związek P</w:t>
            </w:r>
            <w:r w:rsidR="000553ED" w:rsidRPr="00CD2273">
              <w:rPr>
                <w:rFonts w:ascii="Times New Roman" w:hAnsi="Times New Roman"/>
                <w:color w:val="000000"/>
                <w:spacing w:val="-2"/>
              </w:rPr>
              <w:t>racodawców Transportu Drogowego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A06CEC8" w14:textId="77777777" w:rsidR="00475F17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Związek Pracodawców</w:t>
            </w:r>
            <w:r w:rsidR="000553ED" w:rsidRPr="00CD2273">
              <w:rPr>
                <w:rFonts w:ascii="Times New Roman" w:hAnsi="Times New Roman"/>
                <w:color w:val="000000"/>
                <w:spacing w:val="-2"/>
              </w:rPr>
              <w:t xml:space="preserve"> „Transport i Logistyka Polska”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237A952" w14:textId="77777777" w:rsidR="00475F17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bCs/>
                <w:color w:val="000000"/>
                <w:spacing w:val="-2"/>
              </w:rPr>
              <w:t>Ogólnopolskie Stowarzyszenie Pracodawców Transportu Nienormatywnego</w:t>
            </w:r>
            <w:r w:rsidR="009A6018">
              <w:rPr>
                <w:rFonts w:ascii="Times New Roman" w:hAnsi="Times New Roman"/>
                <w:bCs/>
                <w:color w:val="000000"/>
                <w:spacing w:val="-2"/>
              </w:rPr>
              <w:t>;</w:t>
            </w:r>
          </w:p>
          <w:p w14:paraId="1C678063" w14:textId="77777777" w:rsidR="000553ED" w:rsidRPr="00CD2273" w:rsidRDefault="000553ED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Autostrada Wielkopolska S.A.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9B52863" w14:textId="77777777" w:rsidR="000553ED" w:rsidRPr="00CD2273" w:rsidRDefault="000553ED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Stalexport Autostrada Małopolska S.A.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5DB3050" w14:textId="77777777" w:rsidR="000553ED" w:rsidRPr="00FA59AD" w:rsidRDefault="000553ED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lang w:val="en-GB"/>
              </w:rPr>
            </w:pPr>
            <w:r w:rsidRPr="00FA59AD">
              <w:rPr>
                <w:rFonts w:ascii="Times New Roman" w:hAnsi="Times New Roman"/>
                <w:color w:val="000000"/>
                <w:spacing w:val="-2"/>
                <w:lang w:val="en-GB"/>
              </w:rPr>
              <w:t>Gdańsk Transport Company S.A.</w:t>
            </w:r>
            <w:r w:rsidR="009A6018" w:rsidRPr="00FA59AD">
              <w:rPr>
                <w:rFonts w:ascii="Times New Roman" w:hAnsi="Times New Roman"/>
                <w:color w:val="000000"/>
                <w:spacing w:val="-2"/>
                <w:lang w:val="en-GB"/>
              </w:rPr>
              <w:t>;</w:t>
            </w:r>
          </w:p>
          <w:p w14:paraId="04D93872" w14:textId="77777777" w:rsidR="00664730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Stowarzyszenie Inteligentne Systemy Transportowe ITS POLSKA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C57168D" w14:textId="77777777" w:rsidR="00475F17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color w:val="000000"/>
                <w:spacing w:val="-2"/>
              </w:rPr>
              <w:t>Instytut Transportu Samochodowego</w:t>
            </w:r>
            <w:r w:rsidR="009A6018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5408EE59" w14:textId="77777777" w:rsidR="00664730" w:rsidRPr="00CD2273" w:rsidRDefault="00475F17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bCs/>
                <w:color w:val="000000"/>
                <w:spacing w:val="-2"/>
              </w:rPr>
              <w:t>Stowarzyszenie Polski Kongres Drogowy</w:t>
            </w:r>
            <w:r w:rsidR="009A6018">
              <w:rPr>
                <w:rFonts w:ascii="Times New Roman" w:hAnsi="Times New Roman"/>
                <w:bCs/>
                <w:color w:val="000000"/>
                <w:spacing w:val="-2"/>
              </w:rPr>
              <w:t>;</w:t>
            </w:r>
          </w:p>
          <w:p w14:paraId="75AC9EFA" w14:textId="77777777" w:rsidR="000553ED" w:rsidRPr="00CD2273" w:rsidRDefault="000553ED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bCs/>
                <w:color w:val="000000"/>
                <w:spacing w:val="-2"/>
              </w:rPr>
              <w:t>Ogólnopolska Izba Gospodarcza Drogownictwa</w:t>
            </w:r>
            <w:r w:rsidR="009A6018">
              <w:rPr>
                <w:rFonts w:ascii="Times New Roman" w:hAnsi="Times New Roman"/>
                <w:bCs/>
                <w:color w:val="000000"/>
                <w:spacing w:val="-2"/>
              </w:rPr>
              <w:t>;</w:t>
            </w:r>
          </w:p>
          <w:p w14:paraId="7A5BC411" w14:textId="77777777" w:rsidR="00475F17" w:rsidRPr="00CD2273" w:rsidRDefault="000553ED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bCs/>
                <w:color w:val="000000"/>
                <w:spacing w:val="-2"/>
              </w:rPr>
              <w:t>Polska Izba Informatyki i Telekomunikacji</w:t>
            </w:r>
            <w:r w:rsidR="009A6018">
              <w:rPr>
                <w:rFonts w:ascii="Times New Roman" w:hAnsi="Times New Roman"/>
                <w:bCs/>
                <w:color w:val="000000"/>
                <w:spacing w:val="-2"/>
              </w:rPr>
              <w:t>;</w:t>
            </w:r>
          </w:p>
          <w:p w14:paraId="2D7DCC12" w14:textId="77777777" w:rsidR="009066F8" w:rsidRPr="00CD2273" w:rsidRDefault="009066F8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bCs/>
                <w:color w:val="000000"/>
                <w:spacing w:val="-2"/>
              </w:rPr>
              <w:t>Polskie Towarzystwo Informatyczne</w:t>
            </w:r>
            <w:r w:rsidR="009A6018">
              <w:rPr>
                <w:rFonts w:ascii="Times New Roman" w:hAnsi="Times New Roman"/>
                <w:bCs/>
                <w:color w:val="000000"/>
                <w:spacing w:val="-2"/>
              </w:rPr>
              <w:t>;</w:t>
            </w:r>
          </w:p>
          <w:p w14:paraId="4E0A86CF" w14:textId="77777777" w:rsidR="000553ED" w:rsidRPr="00CD2273" w:rsidRDefault="000553ED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bCs/>
                <w:color w:val="000000"/>
                <w:spacing w:val="-2"/>
              </w:rPr>
              <w:t>Instytut Łączności</w:t>
            </w:r>
            <w:r w:rsidR="009A6018">
              <w:rPr>
                <w:rFonts w:ascii="Times New Roman" w:hAnsi="Times New Roman"/>
                <w:bCs/>
                <w:color w:val="000000"/>
                <w:spacing w:val="-2"/>
              </w:rPr>
              <w:t>;</w:t>
            </w:r>
          </w:p>
          <w:p w14:paraId="04E29CDA" w14:textId="77777777" w:rsidR="00475F17" w:rsidRDefault="000553ED" w:rsidP="00CD2273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CD2273">
              <w:rPr>
                <w:rFonts w:ascii="Times New Roman" w:hAnsi="Times New Roman"/>
                <w:bCs/>
                <w:color w:val="000000"/>
                <w:spacing w:val="-2"/>
              </w:rPr>
              <w:t>Polski Zw</w:t>
            </w:r>
            <w:r w:rsidR="009A6018">
              <w:rPr>
                <w:rFonts w:ascii="Times New Roman" w:hAnsi="Times New Roman"/>
                <w:bCs/>
                <w:color w:val="000000"/>
                <w:spacing w:val="-2"/>
              </w:rPr>
              <w:t>iązek Przemysłu Motoryzacyjnego.</w:t>
            </w:r>
          </w:p>
          <w:p w14:paraId="04A80F05" w14:textId="54DE1EEC" w:rsidR="008B18EF" w:rsidRPr="00FA59AD" w:rsidRDefault="00555B6E" w:rsidP="008B18EF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pacing w:val="4"/>
                <w:sz w:val="21"/>
                <w:szCs w:val="21"/>
                <w:lang w:eastAsia="pl-PL"/>
              </w:rPr>
            </w:pPr>
            <w:r w:rsidRPr="00AC4617"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 xml:space="preserve">Ww. termin konsultacji publicznych </w:t>
            </w:r>
            <w:r w:rsidRPr="00AC4617">
              <w:rPr>
                <w:rFonts w:ascii="Times New Roman" w:hAnsi="Times New Roman"/>
                <w:spacing w:val="4"/>
                <w:sz w:val="21"/>
                <w:szCs w:val="21"/>
              </w:rPr>
              <w:t>został p</w:t>
            </w:r>
            <w:r>
              <w:rPr>
                <w:rFonts w:ascii="Times New Roman" w:hAnsi="Times New Roman"/>
                <w:spacing w:val="4"/>
                <w:sz w:val="21"/>
                <w:szCs w:val="21"/>
              </w:rPr>
              <w:t>odyktowany koniecznością pilnej implementacji przepisów dyrektywy</w:t>
            </w:r>
            <w:r w:rsidRPr="00AC4617"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 xml:space="preserve">. Zgodnie </w:t>
            </w:r>
            <w:r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 xml:space="preserve">z art. </w:t>
            </w:r>
            <w:r w:rsidR="006F3EBD"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>32 ust. 1 Dyrektywy</w:t>
            </w:r>
            <w:r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 xml:space="preserve"> przepisy krajowe </w:t>
            </w:r>
            <w:r w:rsidR="006F3EBD"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 xml:space="preserve">ją wdrażające </w:t>
            </w:r>
            <w:r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 xml:space="preserve">powinny </w:t>
            </w:r>
            <w:r w:rsidR="006F3EBD"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>wejść w życie w dniu</w:t>
            </w:r>
            <w:r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 xml:space="preserve"> 19 października 2021 r.</w:t>
            </w:r>
            <w:r w:rsidR="00BE1E6C">
              <w:rPr>
                <w:rStyle w:val="Pogrubienie"/>
                <w:rFonts w:ascii="Times New Roman" w:hAnsi="Times New Roman"/>
                <w:b w:val="0"/>
                <w:spacing w:val="4"/>
                <w:sz w:val="21"/>
                <w:szCs w:val="21"/>
              </w:rPr>
              <w:t xml:space="preserve"> </w:t>
            </w:r>
            <w:r w:rsidRPr="00555B6E">
              <w:rPr>
                <w:rFonts w:ascii="Times New Roman" w:eastAsia="Times New Roman" w:hAnsi="Times New Roman"/>
                <w:bCs/>
                <w:spacing w:val="4"/>
                <w:sz w:val="21"/>
                <w:szCs w:val="21"/>
                <w:lang w:eastAsia="pl-PL"/>
              </w:rPr>
              <w:t xml:space="preserve">Wyniki konsultacji publicznych oraz opiniowania </w:t>
            </w:r>
            <w:r w:rsidR="008B18EF">
              <w:rPr>
                <w:rFonts w:ascii="Times New Roman" w:eastAsia="Times New Roman" w:hAnsi="Times New Roman"/>
                <w:bCs/>
                <w:spacing w:val="4"/>
                <w:sz w:val="21"/>
                <w:szCs w:val="21"/>
                <w:lang w:eastAsia="pl-PL"/>
              </w:rPr>
              <w:t>zostały</w:t>
            </w:r>
            <w:r w:rsidR="008B18EF" w:rsidRPr="00555B6E">
              <w:rPr>
                <w:rFonts w:ascii="Times New Roman" w:eastAsia="Times New Roman" w:hAnsi="Times New Roman"/>
                <w:bCs/>
                <w:spacing w:val="4"/>
                <w:sz w:val="21"/>
                <w:szCs w:val="21"/>
                <w:lang w:eastAsia="pl-PL"/>
              </w:rPr>
              <w:t xml:space="preserve"> </w:t>
            </w:r>
            <w:r w:rsidRPr="00555B6E">
              <w:rPr>
                <w:rFonts w:ascii="Times New Roman" w:eastAsia="Times New Roman" w:hAnsi="Times New Roman"/>
                <w:bCs/>
                <w:spacing w:val="4"/>
                <w:sz w:val="21"/>
                <w:szCs w:val="21"/>
                <w:lang w:eastAsia="pl-PL"/>
              </w:rPr>
              <w:t>przedstawione w raporcie dołączonym do niniejszej oceny.</w:t>
            </w:r>
          </w:p>
        </w:tc>
      </w:tr>
      <w:tr w:rsidR="00664730" w:rsidRPr="008B4FE6" w14:paraId="50D9FCB8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5"/>
            <w:shd w:val="clear" w:color="auto" w:fill="99CCFF"/>
            <w:vAlign w:val="center"/>
          </w:tcPr>
          <w:p w14:paraId="5BEDE794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664730" w:rsidRPr="008B4FE6" w14:paraId="26F75C01" w14:textId="77777777" w:rsidTr="002C75B5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vMerge w:val="restart"/>
            <w:shd w:val="clear" w:color="auto" w:fill="FFFFFF"/>
          </w:tcPr>
          <w:p w14:paraId="55C10485" w14:textId="77777777" w:rsidR="00664730" w:rsidRPr="00C53F26" w:rsidRDefault="00664730" w:rsidP="00AA329D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AA329D">
              <w:rPr>
                <w:rFonts w:ascii="Times New Roman" w:hAnsi="Times New Roman"/>
                <w:color w:val="000000"/>
                <w:sz w:val="21"/>
                <w:szCs w:val="21"/>
              </w:rPr>
              <w:t>2021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781" w:type="dxa"/>
            <w:gridSpan w:val="23"/>
            <w:shd w:val="clear" w:color="auto" w:fill="FFFFFF"/>
          </w:tcPr>
          <w:p w14:paraId="68D74ECF" w14:textId="77777777" w:rsidR="00664730" w:rsidRPr="00C53F26" w:rsidRDefault="00664730" w:rsidP="00664730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AA329D" w:rsidRPr="008B4FE6" w14:paraId="60F6D164" w14:textId="77777777" w:rsidTr="002C75B5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vMerge/>
            <w:shd w:val="clear" w:color="auto" w:fill="FFFFFF"/>
          </w:tcPr>
          <w:p w14:paraId="7A914F0D" w14:textId="77777777" w:rsidR="00664730" w:rsidRPr="00C53F26" w:rsidRDefault="00664730" w:rsidP="00664730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3392AADF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1CB1FE50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375F99C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FF5B881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14:paraId="60B3F6D1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310947A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E1D0361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A179235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550B94C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4E15B5F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47B1F48" w14:textId="77777777" w:rsidR="00664730" w:rsidRPr="00C53F26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85" w:type="dxa"/>
            <w:shd w:val="clear" w:color="auto" w:fill="FFFFFF"/>
          </w:tcPr>
          <w:p w14:paraId="626BE9D7" w14:textId="77777777" w:rsidR="00664730" w:rsidRPr="00C53F26" w:rsidRDefault="00664730" w:rsidP="00664730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AA329D" w:rsidRPr="008B4FE6" w14:paraId="682748C2" w14:textId="77777777" w:rsidTr="002C75B5">
        <w:trPr>
          <w:trHeight w:val="321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77CBE5EE" w14:textId="77777777" w:rsidR="00AA329D" w:rsidRPr="00C53F26" w:rsidRDefault="00AA329D" w:rsidP="00AA329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440DE49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279C760E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shd w:val="clear" w:color="auto" w:fill="FFFFFF"/>
          </w:tcPr>
          <w:p w14:paraId="3869C144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C2820CC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shd w:val="clear" w:color="auto" w:fill="FFFFFF"/>
          </w:tcPr>
          <w:p w14:paraId="3A7F1CCF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980FDDA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4976711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F59CCF8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3191F1D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5CB46EB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26C85BB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5,4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3853210A" w14:textId="77777777" w:rsidR="00AA329D" w:rsidRPr="008B472A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pacing w:val="-2"/>
                <w:sz w:val="21"/>
                <w:szCs w:val="21"/>
              </w:rPr>
              <w:t>54</w:t>
            </w:r>
          </w:p>
        </w:tc>
      </w:tr>
      <w:tr w:rsidR="00AA329D" w:rsidRPr="008B4FE6" w14:paraId="7F054D0E" w14:textId="77777777" w:rsidTr="002C75B5">
        <w:trPr>
          <w:trHeight w:val="321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461F294C" w14:textId="77777777" w:rsidR="00664730" w:rsidRPr="00C53F2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348014E3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30AE1EDC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14:paraId="22E2A1F5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B6C0B25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14:paraId="2AF46DCC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E24FF8D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C6CB942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20C0EB1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39C5D90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0BE3F2B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D8A3700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3A6CE7CC" w14:textId="77777777" w:rsidR="00664730" w:rsidRPr="00B37C80" w:rsidRDefault="00FB5867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AA329D" w:rsidRPr="008B4FE6" w14:paraId="3010358E" w14:textId="77777777" w:rsidTr="002C75B5">
        <w:trPr>
          <w:trHeight w:val="344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096A0B06" w14:textId="77777777" w:rsidR="00664730" w:rsidRPr="00C53F26" w:rsidRDefault="00FB5867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Krajowy Fundusz Drogowy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4359F40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582B2B52" w14:textId="77777777" w:rsidR="00664730" w:rsidRPr="008772E8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72E8"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shd w:val="clear" w:color="auto" w:fill="FFFFFF"/>
          </w:tcPr>
          <w:p w14:paraId="0B29D729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F3008B9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shd w:val="clear" w:color="auto" w:fill="FFFFFF"/>
          </w:tcPr>
          <w:p w14:paraId="50CB9053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C6CA84E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F817E3E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5D4FC6D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6E4844A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17B3E88C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BECF848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7CFDCF8C" w14:textId="77777777" w:rsidR="00664730" w:rsidRPr="00B37C80" w:rsidRDefault="008772E8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</w:t>
            </w:r>
          </w:p>
        </w:tc>
      </w:tr>
      <w:tr w:rsidR="00AA329D" w:rsidRPr="008B4FE6" w14:paraId="34726100" w14:textId="77777777" w:rsidTr="002C75B5">
        <w:trPr>
          <w:trHeight w:val="344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78E360A0" w14:textId="77777777" w:rsidR="00664730" w:rsidRPr="00C53F2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5FEC460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59C0603B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14:paraId="44388A9B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82A279D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14:paraId="143E7A92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BF0DFEC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2CB3302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8709822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2894A56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7F593FE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33B4D72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6516BD8B" w14:textId="77777777" w:rsidR="00664730" w:rsidRPr="00B37C80" w:rsidRDefault="006D236F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877650" w:rsidRPr="008B4FE6" w14:paraId="4CF69D38" w14:textId="77777777" w:rsidTr="002C75B5">
        <w:trPr>
          <w:trHeight w:val="330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23001F3C" w14:textId="77777777" w:rsidR="00877650" w:rsidRPr="00C53F26" w:rsidRDefault="00877650" w:rsidP="0087765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6BAF94B" w14:textId="77777777" w:rsidR="00877650" w:rsidRPr="008B472A" w:rsidRDefault="00877650" w:rsidP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1,23</w:t>
            </w:r>
          </w:p>
        </w:tc>
        <w:tc>
          <w:tcPr>
            <w:tcW w:w="708" w:type="dxa"/>
            <w:shd w:val="clear" w:color="auto" w:fill="FFFFFF"/>
          </w:tcPr>
          <w:p w14:paraId="5DFA8A6F" w14:textId="264ACBD5" w:rsidR="00877650" w:rsidRPr="008B472A" w:rsidRDefault="00280755" w:rsidP="0028075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</w:t>
            </w:r>
            <w:r w:rsidR="00877650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77</w:t>
            </w:r>
          </w:p>
        </w:tc>
        <w:tc>
          <w:tcPr>
            <w:tcW w:w="709" w:type="dxa"/>
            <w:shd w:val="clear" w:color="auto" w:fill="FFFFFF"/>
          </w:tcPr>
          <w:p w14:paraId="6F9DBC82" w14:textId="1E7A717D" w:rsidR="00877650" w:rsidRPr="008B472A" w:rsidRDefault="00877650" w:rsidP="0028075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155AE8E" w14:textId="5A608A59" w:rsidR="00877650" w:rsidRPr="008B472A" w:rsidRDefault="00877650" w:rsidP="00B2634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62555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58</w:t>
            </w:r>
          </w:p>
        </w:tc>
        <w:tc>
          <w:tcPr>
            <w:tcW w:w="709" w:type="dxa"/>
            <w:shd w:val="clear" w:color="auto" w:fill="FFFFFF"/>
          </w:tcPr>
          <w:p w14:paraId="1F1643A5" w14:textId="44A84C2D" w:rsidR="00877650" w:rsidRPr="008B472A" w:rsidRDefault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62555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58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42DE46A" w14:textId="077F3E02" w:rsidR="00877650" w:rsidRPr="008B472A" w:rsidRDefault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62555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,58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FA07752" w14:textId="377A762B" w:rsidR="00877650" w:rsidRPr="008B472A" w:rsidRDefault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62555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58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A0E6333" w14:textId="7014263C" w:rsidR="00877650" w:rsidRPr="008B472A" w:rsidRDefault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62555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5007046" w14:textId="500BCB19" w:rsidR="00877650" w:rsidRPr="008B472A" w:rsidRDefault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62555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58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CDFF19C" w14:textId="6F7B6F4C" w:rsidR="00877650" w:rsidRPr="008B472A" w:rsidRDefault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62555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644F91D" w14:textId="6D69A20E" w:rsidR="00877650" w:rsidRPr="008B472A" w:rsidRDefault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62555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58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0F15A8BA" w14:textId="087ADF36" w:rsidR="00877650" w:rsidRPr="008B472A" w:rsidRDefault="00280755" w:rsidP="008776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17,22</w:t>
            </w:r>
          </w:p>
        </w:tc>
      </w:tr>
      <w:tr w:rsidR="00AA329D" w:rsidRPr="008B4FE6" w14:paraId="4A7D3F2D" w14:textId="77777777" w:rsidTr="002C75B5">
        <w:trPr>
          <w:trHeight w:val="330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2BFA4948" w14:textId="77777777" w:rsidR="00664730" w:rsidRPr="00C53F2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3BDA2420" w14:textId="77777777" w:rsidR="00664730" w:rsidRPr="00B37C80" w:rsidRDefault="00AA329D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3AA8B8B7" w14:textId="6CD1D249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52</w:t>
            </w:r>
          </w:p>
        </w:tc>
        <w:tc>
          <w:tcPr>
            <w:tcW w:w="709" w:type="dxa"/>
            <w:shd w:val="clear" w:color="auto" w:fill="FFFFFF"/>
          </w:tcPr>
          <w:p w14:paraId="75C31D31" w14:textId="487D3926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943E366" w14:textId="07063FC0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shd w:val="clear" w:color="auto" w:fill="FFFFFF"/>
          </w:tcPr>
          <w:p w14:paraId="1C77B0F9" w14:textId="15C84D2B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6CD1008" w14:textId="404528BD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3ECD8FF" w14:textId="3838A464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04DA386" w14:textId="70075FF9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D87334F" w14:textId="65F9D6E1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6C81931" w14:textId="3CB566A8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57B4F2F" w14:textId="16300A9C" w:rsidR="00664730" w:rsidRPr="00B37C80" w:rsidRDefault="00AA329D" w:rsidP="00461D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33 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06998483" w14:textId="3961F02D" w:rsidR="00664730" w:rsidRPr="00B37C80" w:rsidRDefault="00373BE9" w:rsidP="008644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13,49</w:t>
            </w:r>
          </w:p>
        </w:tc>
      </w:tr>
      <w:tr w:rsidR="00AA329D" w:rsidRPr="008B4FE6" w14:paraId="0543DD89" w14:textId="77777777" w:rsidTr="002C75B5">
        <w:trPr>
          <w:trHeight w:val="351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41ED73EB" w14:textId="77777777" w:rsidR="00AA329D" w:rsidRPr="00C53F26" w:rsidRDefault="00AA329D" w:rsidP="00AA329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D236F">
              <w:rPr>
                <w:rFonts w:ascii="Times New Roman" w:hAnsi="Times New Roman"/>
                <w:color w:val="000000"/>
                <w:sz w:val="21"/>
                <w:szCs w:val="21"/>
              </w:rPr>
              <w:t>Krajowy Fundusz Drogowy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D84DEA7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7D5E962A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14:paraId="30B3BFDF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AD4962A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14:paraId="4891C663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1B74AAFE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5D0A2BF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0005660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7FE644F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55B16D1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2875453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5CBACC7E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423439" w:rsidRPr="008B4FE6" w14:paraId="01ADDFE2" w14:textId="77777777" w:rsidTr="002C75B5">
        <w:trPr>
          <w:trHeight w:val="351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1796897E" w14:textId="77777777" w:rsidR="00423439" w:rsidRPr="00C53F26" w:rsidRDefault="00423439" w:rsidP="0042343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Fundusz</w:t>
            </w:r>
            <w:r w:rsidRPr="00FB5867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Centralna Ewidencja Pojazdów i Kierowców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5256D82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23439">
              <w:rPr>
                <w:rFonts w:ascii="Times New Roman" w:hAnsi="Times New Roman"/>
                <w:color w:val="000000"/>
                <w:sz w:val="21"/>
                <w:szCs w:val="21"/>
              </w:rPr>
              <w:t>1,23</w:t>
            </w:r>
          </w:p>
        </w:tc>
        <w:tc>
          <w:tcPr>
            <w:tcW w:w="708" w:type="dxa"/>
            <w:shd w:val="clear" w:color="auto" w:fill="FFFFFF"/>
          </w:tcPr>
          <w:p w14:paraId="07E6D9B0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9" w:type="dxa"/>
            <w:shd w:val="clear" w:color="auto" w:fill="FFFFFF"/>
          </w:tcPr>
          <w:p w14:paraId="3E39F706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0C682F6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39E4"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9" w:type="dxa"/>
            <w:shd w:val="clear" w:color="auto" w:fill="FFFFFF"/>
          </w:tcPr>
          <w:p w14:paraId="6A9AF2C7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39E4"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560AD35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39E4"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8E1C030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39E4"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796EDE6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39E4"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43138CB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39E4"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F5C8BFA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39E4"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C72D38F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39E4">
              <w:rPr>
                <w:rFonts w:ascii="Times New Roman" w:hAnsi="Times New Roman"/>
                <w:color w:val="000000"/>
                <w:sz w:val="21"/>
                <w:szCs w:val="21"/>
              </w:rPr>
              <w:t>0,25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2C2AD158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3,73</w:t>
            </w:r>
          </w:p>
        </w:tc>
      </w:tr>
      <w:tr w:rsidR="003938A9" w:rsidRPr="008B4FE6" w14:paraId="1799149B" w14:textId="77777777" w:rsidTr="002C75B5">
        <w:trPr>
          <w:trHeight w:val="360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06729C73" w14:textId="77777777" w:rsidR="003938A9" w:rsidRPr="00C53F26" w:rsidRDefault="003938A9" w:rsidP="003938A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5E895DC" w14:textId="77777777" w:rsidR="003938A9" w:rsidRPr="008B472A" w:rsidRDefault="003938A9" w:rsidP="003938A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-1,23</w:t>
            </w:r>
          </w:p>
        </w:tc>
        <w:tc>
          <w:tcPr>
            <w:tcW w:w="708" w:type="dxa"/>
            <w:shd w:val="clear" w:color="auto" w:fill="FFFFFF"/>
          </w:tcPr>
          <w:p w14:paraId="76C9FE96" w14:textId="37E0E12C" w:rsidR="003938A9" w:rsidRPr="008B472A" w:rsidRDefault="00280755" w:rsidP="003938A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3,63</w:t>
            </w:r>
          </w:p>
        </w:tc>
        <w:tc>
          <w:tcPr>
            <w:tcW w:w="709" w:type="dxa"/>
            <w:shd w:val="clear" w:color="auto" w:fill="FFFFFF"/>
          </w:tcPr>
          <w:p w14:paraId="3E38C424" w14:textId="492B339E" w:rsidR="003938A9" w:rsidRPr="008B472A" w:rsidRDefault="003938A9" w:rsidP="00B2634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2C97877" w14:textId="19681E0D" w:rsidR="003938A9" w:rsidRPr="008B472A" w:rsidRDefault="003938A9">
            <w:pPr>
              <w:jc w:val="center"/>
              <w:rPr>
                <w:b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709" w:type="dxa"/>
            <w:shd w:val="clear" w:color="auto" w:fill="FFFFFF"/>
          </w:tcPr>
          <w:p w14:paraId="261F297A" w14:textId="4A55908B" w:rsidR="003938A9" w:rsidRPr="008B472A" w:rsidRDefault="003938A9">
            <w:pPr>
              <w:jc w:val="center"/>
              <w:rPr>
                <w:b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1486E24C" w14:textId="4F970AB3" w:rsidR="003938A9" w:rsidRPr="008B472A" w:rsidRDefault="003938A9">
            <w:pPr>
              <w:jc w:val="center"/>
              <w:rPr>
                <w:b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5A44133" w14:textId="70824593" w:rsidR="003938A9" w:rsidRPr="008B472A" w:rsidRDefault="003938A9">
            <w:pPr>
              <w:jc w:val="center"/>
              <w:rPr>
                <w:b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965EEDC" w14:textId="50B3FC5B" w:rsidR="003938A9" w:rsidRPr="008B472A" w:rsidRDefault="003938A9">
            <w:pPr>
              <w:jc w:val="center"/>
              <w:rPr>
                <w:b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68943A4" w14:textId="23E514E3" w:rsidR="003938A9" w:rsidRPr="008B472A" w:rsidRDefault="003938A9">
            <w:pPr>
              <w:jc w:val="center"/>
              <w:rPr>
                <w:b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AF4BCA0" w14:textId="265F1C89" w:rsidR="003938A9" w:rsidRPr="008B472A" w:rsidRDefault="003938A9">
            <w:pPr>
              <w:jc w:val="center"/>
              <w:rPr>
                <w:b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9F51BFF" w14:textId="29D685F8" w:rsidR="003938A9" w:rsidRPr="008B472A" w:rsidRDefault="003938A9">
            <w:pPr>
              <w:jc w:val="center"/>
              <w:rPr>
                <w:b/>
              </w:rPr>
            </w:pPr>
            <w:r w:rsidRPr="008B472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82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3B3FBF42" w14:textId="25DE3889" w:rsidR="003938A9" w:rsidRPr="008B472A" w:rsidRDefault="00373BE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3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,</w:t>
            </w:r>
            <w:r w:rsidR="0028075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78</w:t>
            </w:r>
          </w:p>
        </w:tc>
      </w:tr>
      <w:tr w:rsidR="00AA329D" w:rsidRPr="008B4FE6" w14:paraId="387F4603" w14:textId="77777777" w:rsidTr="002C75B5">
        <w:trPr>
          <w:trHeight w:val="360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66B838AD" w14:textId="77777777" w:rsidR="00AA329D" w:rsidRPr="00C53F26" w:rsidRDefault="00AA329D" w:rsidP="00AA329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46331CB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2C7A16A2" w14:textId="7D47D033" w:rsidR="00AA329D" w:rsidRPr="00B37C80" w:rsidRDefault="00AA329D" w:rsidP="0028075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52</w:t>
            </w:r>
          </w:p>
        </w:tc>
        <w:tc>
          <w:tcPr>
            <w:tcW w:w="709" w:type="dxa"/>
            <w:shd w:val="clear" w:color="auto" w:fill="FFFFFF"/>
          </w:tcPr>
          <w:p w14:paraId="62C30F2E" w14:textId="470B3D45" w:rsidR="00AA329D" w:rsidRPr="00B37C80" w:rsidRDefault="00AA329D" w:rsidP="0028075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02A38BE" w14:textId="153A6CF1" w:rsidR="00AA329D" w:rsidRPr="00B37C80" w:rsidRDefault="00AA329D" w:rsidP="0028075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shd w:val="clear" w:color="auto" w:fill="FFFFFF"/>
          </w:tcPr>
          <w:p w14:paraId="1ECFB37B" w14:textId="1AFA7C43" w:rsidR="00AA329D" w:rsidRPr="00B37C80" w:rsidRDefault="00AA329D" w:rsidP="00B2634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,33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125433D" w14:textId="167DD0B6" w:rsidR="00AA329D" w:rsidRPr="00B37C80" w:rsidRDefault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D912E90" w14:textId="73BC9CB2" w:rsidR="00AA329D" w:rsidRPr="00B37C80" w:rsidRDefault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35B41504" w14:textId="25D45CEA" w:rsidR="00AA329D" w:rsidRPr="00B37C80" w:rsidRDefault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89717F6" w14:textId="5EFD4769" w:rsidR="00AA329D" w:rsidRPr="00B37C80" w:rsidRDefault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77F2C95" w14:textId="35A96F25" w:rsidR="00AA329D" w:rsidRPr="00B37C80" w:rsidRDefault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4DE1F68" w14:textId="4019BCC7" w:rsidR="00AA329D" w:rsidRPr="00B37C80" w:rsidRDefault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786792FF" w14:textId="654C36D8" w:rsidR="00AA329D" w:rsidRPr="00B37C80" w:rsidRDefault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  <w:r w:rsidR="00877650"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="00280755">
              <w:rPr>
                <w:rFonts w:ascii="Times New Roman" w:hAnsi="Times New Roman"/>
                <w:color w:val="000000"/>
                <w:sz w:val="21"/>
                <w:szCs w:val="21"/>
              </w:rPr>
              <w:t>49</w:t>
            </w:r>
          </w:p>
        </w:tc>
      </w:tr>
      <w:tr w:rsidR="00AA329D" w:rsidRPr="008B4FE6" w14:paraId="5FD59302" w14:textId="77777777" w:rsidTr="002C75B5">
        <w:trPr>
          <w:trHeight w:val="357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05ADA0DC" w14:textId="77777777" w:rsidR="00AA329D" w:rsidRPr="00C53F26" w:rsidRDefault="00AA329D" w:rsidP="00AA329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Krajowy Fundusz Drogowy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100BB23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441815CA" w14:textId="77777777" w:rsidR="00AA329D" w:rsidRPr="008772E8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72E8"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shd w:val="clear" w:color="auto" w:fill="FFFFFF"/>
          </w:tcPr>
          <w:p w14:paraId="6B08CBC2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B7DC876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shd w:val="clear" w:color="auto" w:fill="FFFFFF"/>
          </w:tcPr>
          <w:p w14:paraId="338041CA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A68C3F0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031BB10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EE2055F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FF4B59A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9E79D9C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5962C58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6D2FDA46" w14:textId="77777777" w:rsidR="00AA329D" w:rsidRPr="00B37C80" w:rsidRDefault="00AA329D" w:rsidP="00AA32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</w:t>
            </w:r>
          </w:p>
        </w:tc>
      </w:tr>
      <w:tr w:rsidR="00423439" w:rsidRPr="008B4FE6" w14:paraId="5FD25237" w14:textId="77777777" w:rsidTr="002C75B5">
        <w:trPr>
          <w:trHeight w:val="357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1F759D01" w14:textId="77777777" w:rsidR="00423439" w:rsidRPr="00C53F26" w:rsidRDefault="00423439" w:rsidP="0042343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5867">
              <w:rPr>
                <w:rFonts w:ascii="Times New Roman" w:hAnsi="Times New Roman"/>
                <w:color w:val="000000"/>
                <w:sz w:val="21"/>
                <w:szCs w:val="21"/>
              </w:rPr>
              <w:t>Fundusz – Centralna Ewidencja Pojazdów i Kierowców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E14EAB4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-1,23</w:t>
            </w:r>
          </w:p>
        </w:tc>
        <w:tc>
          <w:tcPr>
            <w:tcW w:w="708" w:type="dxa"/>
            <w:shd w:val="clear" w:color="auto" w:fill="FFFFFF"/>
          </w:tcPr>
          <w:p w14:paraId="037CF634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9" w:type="dxa"/>
            <w:shd w:val="clear" w:color="auto" w:fill="FFFFFF"/>
          </w:tcPr>
          <w:p w14:paraId="6BFDD146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35266F7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9" w:type="dxa"/>
            <w:shd w:val="clear" w:color="auto" w:fill="FFFFFF"/>
          </w:tcPr>
          <w:p w14:paraId="0B44C104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7AD5B2B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08F719C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A060E91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569A08C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0411853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C4F1B52" w14:textId="77777777" w:rsidR="00423439" w:rsidRPr="00B37C80" w:rsidRDefault="00423439" w:rsidP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029B7">
              <w:rPr>
                <w:rFonts w:ascii="Times New Roman" w:hAnsi="Times New Roman"/>
                <w:color w:val="000000"/>
                <w:sz w:val="21"/>
                <w:szCs w:val="21"/>
              </w:rPr>
              <w:t>-0,25</w:t>
            </w:r>
          </w:p>
        </w:tc>
        <w:tc>
          <w:tcPr>
            <w:tcW w:w="995" w:type="dxa"/>
            <w:gridSpan w:val="2"/>
            <w:shd w:val="clear" w:color="auto" w:fill="FFFFFF"/>
          </w:tcPr>
          <w:p w14:paraId="51D7D34F" w14:textId="77777777" w:rsidR="00423439" w:rsidRPr="00B37C80" w:rsidRDefault="0042343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-3,73</w:t>
            </w:r>
          </w:p>
        </w:tc>
      </w:tr>
      <w:tr w:rsidR="00664730" w:rsidRPr="008B4FE6" w14:paraId="3E4082E6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22A903FD" w14:textId="77777777" w:rsidR="00664730" w:rsidRPr="00C53F2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4" w:type="dxa"/>
            <w:gridSpan w:val="22"/>
            <w:shd w:val="clear" w:color="auto" w:fill="FFFFFF"/>
            <w:vAlign w:val="center"/>
          </w:tcPr>
          <w:p w14:paraId="490ACBFD" w14:textId="77777777" w:rsidR="00664730" w:rsidRPr="00B37C80" w:rsidRDefault="005B41D2" w:rsidP="0066473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Środki na zapewnienie dodatkowych etatów dla GITD </w:t>
            </w:r>
            <w:r w:rsidR="00BA523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na obsługę wymiany danych </w:t>
            </w:r>
            <w:r w:rsidR="00E42CE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 naruszeniach obowiązku uiszczenia opłaty elektronicznej </w:t>
            </w:r>
            <w:r w:rsidR="00BA523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za pośrednictwem KPK i prowadzenie postępowań wobec podmiotów zagranicznych, których dane ustalono w ten sposób, będą pochodzić z budżetu państwa. Natomiast koszty budowy i implementacji rozwiązań umożliwiających transgraniczną wymianę danych z wykorzystaniem KPK działającego przy CEPiK zostaną pokryte ze środków </w:t>
            </w:r>
            <w:r w:rsidR="008B472A" w:rsidRPr="008B472A">
              <w:rPr>
                <w:rFonts w:ascii="Times New Roman" w:hAnsi="Times New Roman"/>
                <w:color w:val="000000"/>
                <w:sz w:val="21"/>
                <w:szCs w:val="21"/>
              </w:rPr>
              <w:t>Funduszu – Centralna Ewidencja Pojazdów i Kierowców</w:t>
            </w:r>
            <w:r w:rsidR="00BA523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, o którym mowa w art. </w:t>
            </w:r>
            <w:r w:rsidR="00E42CE9">
              <w:rPr>
                <w:rFonts w:ascii="Times New Roman" w:hAnsi="Times New Roman"/>
                <w:color w:val="000000"/>
                <w:sz w:val="21"/>
                <w:szCs w:val="21"/>
              </w:rPr>
              <w:t>80d ust. 2 ustawy – Prawo o ruchu drogowym</w:t>
            </w:r>
            <w:r w:rsidR="0042343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(podane kwoty są kwotami brutto)</w:t>
            </w:r>
            <w:r w:rsidR="008B472A" w:rsidRPr="008B472A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</w:tr>
      <w:tr w:rsidR="00A9662F" w:rsidRPr="008B4FE6" w14:paraId="02773952" w14:textId="77777777" w:rsidTr="008D1B85">
        <w:trPr>
          <w:gridAfter w:val="1"/>
          <w:wAfter w:w="10" w:type="dxa"/>
          <w:trHeight w:val="1301"/>
        </w:trPr>
        <w:tc>
          <w:tcPr>
            <w:tcW w:w="2243" w:type="dxa"/>
            <w:gridSpan w:val="3"/>
            <w:shd w:val="clear" w:color="auto" w:fill="FFFFFF"/>
          </w:tcPr>
          <w:p w14:paraId="4BEA912A" w14:textId="77777777" w:rsidR="00A9662F" w:rsidRPr="00C53F26" w:rsidRDefault="00A9662F" w:rsidP="00A9662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2"/>
            <w:shd w:val="clear" w:color="auto" w:fill="FFFFFF"/>
          </w:tcPr>
          <w:p w14:paraId="00CFC969" w14:textId="77777777" w:rsidR="00A9662F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42CE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Założenia do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</w:t>
            </w:r>
            <w:r w:rsidRPr="00E42CE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szacowania kosztów administracyjnych prowadzonych postępowań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przez GITD </w:t>
            </w:r>
            <w:r w:rsidRPr="00E42CE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oraz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wysokości </w:t>
            </w:r>
            <w:r w:rsidRPr="00E42CE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przychodów z tytułu zapłaconych kar,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 których mowa w art. 13k ustawy o drogach publicznych, wynikających z uruchomienia transgranicznej wymiany danych o naruszeniach obowiązku uiszczenia opłaty elektronicznej, zostały oparte na następujących założeniach:</w:t>
            </w:r>
          </w:p>
          <w:p w14:paraId="3E6E69C2" w14:textId="77777777" w:rsidR="00A9662F" w:rsidRPr="00E42CE9" w:rsidRDefault="00A9662F" w:rsidP="00A9662F">
            <w:pPr>
              <w:pStyle w:val="Akapitzlis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</w:t>
            </w:r>
            <w:r w:rsidR="00F90F90">
              <w:rPr>
                <w:rFonts w:ascii="Times New Roman" w:hAnsi="Times New Roman"/>
                <w:color w:val="000000"/>
                <w:sz w:val="21"/>
                <w:szCs w:val="21"/>
              </w:rPr>
              <w:t>ostępowania</w:t>
            </w:r>
            <w:r w:rsidRPr="00E42CE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będą prowadzone </w:t>
            </w:r>
            <w:r w:rsidRPr="00E42CE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wyłącznie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przypadku </w:t>
            </w:r>
            <w:r w:rsidRPr="00E42CE9">
              <w:rPr>
                <w:rFonts w:ascii="Times New Roman" w:hAnsi="Times New Roman"/>
                <w:color w:val="000000"/>
                <w:sz w:val="21"/>
                <w:szCs w:val="21"/>
              </w:rPr>
              <w:t>na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ruszeń</w:t>
            </w:r>
            <w:r w:rsidRPr="00E42CE9">
              <w:rPr>
                <w:rFonts w:ascii="Times New Roman" w:hAnsi="Times New Roman"/>
                <w:color w:val="000000"/>
                <w:sz w:val="21"/>
                <w:szCs w:val="21"/>
              </w:rPr>
              <w:t>, za które odpowiadają właścic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iele i posiadacze pojazdów, ponieważ dane o tych podmiotach są przekazywane na mocy Dyrektywy;</w:t>
            </w:r>
          </w:p>
          <w:p w14:paraId="2CDBFC30" w14:textId="77777777" w:rsidR="00A9662F" w:rsidRPr="005B41D2" w:rsidRDefault="00A9662F" w:rsidP="00A9662F">
            <w:pPr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15FE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przewiduje się </w:t>
            </w:r>
            <w:r w:rsidRPr="00F90F90">
              <w:rPr>
                <w:rFonts w:ascii="Times New Roman" w:hAnsi="Times New Roman"/>
                <w:sz w:val="21"/>
                <w:szCs w:val="21"/>
              </w:rPr>
              <w:t xml:space="preserve">ok. 32 000 </w:t>
            </w:r>
            <w:r w:rsidRPr="00D15FEE">
              <w:rPr>
                <w:rFonts w:ascii="Times New Roman" w:hAnsi="Times New Roman"/>
                <w:color w:val="000000"/>
                <w:sz w:val="21"/>
                <w:szCs w:val="21"/>
              </w:rPr>
              <w:t>naruszeń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rocznie</w:t>
            </w:r>
            <w:r w:rsidRPr="00D15FEE">
              <w:rPr>
                <w:rFonts w:ascii="Times New Roman" w:hAnsi="Times New Roman"/>
                <w:color w:val="000000"/>
                <w:sz w:val="21"/>
                <w:szCs w:val="21"/>
              </w:rPr>
              <w:t>, w stosunku do których mogł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yby być prowadzone postępowania (na podstawie danych GITD za rok 2020);</w:t>
            </w:r>
          </w:p>
          <w:p w14:paraId="0E669209" w14:textId="77777777" w:rsidR="00A9662F" w:rsidRPr="00F90F90" w:rsidRDefault="00A9662F" w:rsidP="00A9662F">
            <w:pPr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prowadzone będą postępowania na podstawie art. 13k ust. 1 ustawy o drogach publicznych, w przypadku których wysokość</w:t>
            </w:r>
            <w:r w:rsidR="00F90F9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kary pieniężnej wynosi 1500 zł</w:t>
            </w:r>
            <w:r w:rsidRPr="00F90F90">
              <w:rPr>
                <w:rFonts w:ascii="Times New Roman" w:hAnsi="Times New Roman"/>
                <w:sz w:val="21"/>
                <w:szCs w:val="21"/>
              </w:rPr>
              <w:t>;</w:t>
            </w:r>
          </w:p>
          <w:p w14:paraId="0FFD1985" w14:textId="77777777" w:rsidR="00A9662F" w:rsidRPr="005B41D2" w:rsidRDefault="00A9662F" w:rsidP="00A9662F">
            <w:pPr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B41D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 pracownik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GITD wydaje ok.</w:t>
            </w:r>
            <w:r w:rsidRPr="005B41D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30 decyzji na miesiąc, a więc 360 rocznie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(na podstawie danych GITD);</w:t>
            </w:r>
          </w:p>
          <w:p w14:paraId="7BC8CA45" w14:textId="77777777" w:rsidR="00A9662F" w:rsidRPr="00962472" w:rsidRDefault="00A9662F" w:rsidP="00A9662F">
            <w:pPr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14F46">
              <w:rPr>
                <w:rFonts w:ascii="Times New Roman" w:hAnsi="Times New Roman"/>
                <w:sz w:val="21"/>
                <w:szCs w:val="21"/>
              </w:rPr>
              <w:t xml:space="preserve">liczba nowozatrudnionych pracowników GITD wyniesie 10,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a </w:t>
            </w:r>
            <w:r w:rsidRPr="005B41D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zatem liczba decyzji o </w:t>
            </w:r>
            <w:r w:rsidRPr="00962472">
              <w:rPr>
                <w:rFonts w:ascii="Times New Roman" w:hAnsi="Times New Roman"/>
                <w:color w:val="000000"/>
                <w:sz w:val="21"/>
                <w:szCs w:val="21"/>
              </w:rPr>
              <w:t>nałożeniu kary wyniesie 3600 rocznie;</w:t>
            </w:r>
          </w:p>
          <w:p w14:paraId="6104B9CB" w14:textId="77777777" w:rsidR="00A9662F" w:rsidRPr="00F90F90" w:rsidRDefault="00A9662F" w:rsidP="00A9662F">
            <w:pPr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6247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szacowana wielkość przychodów z tytułu </w:t>
            </w:r>
            <w:r w:rsidRPr="00F90F90">
              <w:rPr>
                <w:rFonts w:ascii="Times New Roman" w:hAnsi="Times New Roman"/>
                <w:sz w:val="21"/>
                <w:szCs w:val="21"/>
              </w:rPr>
              <w:t>nałożonych kar, przy założeniu 100% ściągalności należności, oraz obsługi kar tylko o wyższej wysokości wyniesie 5 400 000 zł (3600*1500);</w:t>
            </w:r>
          </w:p>
          <w:p w14:paraId="0D587CFC" w14:textId="77777777" w:rsidR="00A9662F" w:rsidRPr="00962472" w:rsidRDefault="00A9662F" w:rsidP="00A9662F">
            <w:pPr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90F90">
              <w:rPr>
                <w:rFonts w:ascii="Times New Roman" w:hAnsi="Times New Roman"/>
                <w:sz w:val="21"/>
                <w:szCs w:val="21"/>
              </w:rPr>
              <w:t xml:space="preserve">na podstawie szacunków GITD należy założyć, </w:t>
            </w:r>
            <w:r w:rsidRPr="00962472">
              <w:rPr>
                <w:rFonts w:ascii="Times New Roman" w:hAnsi="Times New Roman"/>
                <w:color w:val="000000"/>
                <w:sz w:val="21"/>
                <w:szCs w:val="21"/>
              </w:rPr>
              <w:t>że uśrednione koszty obsługi administracyjnej 3600 postępowań wyniosą do 540 000 zł rocznie, a więc nie przekroczą 10% wartości nakładanej kary;</w:t>
            </w:r>
          </w:p>
          <w:p w14:paraId="16BF9A07" w14:textId="77777777" w:rsidR="00A9662F" w:rsidRPr="00962472" w:rsidRDefault="00A9662F" w:rsidP="00A9662F">
            <w:pPr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62472">
              <w:rPr>
                <w:rFonts w:ascii="Times New Roman" w:hAnsi="Times New Roman"/>
                <w:color w:val="000000"/>
                <w:sz w:val="21"/>
                <w:szCs w:val="21"/>
              </w:rPr>
              <w:t>szacowany koszt obsługi postępowań administracyjnych wyniesie ok. 540 000 zł rocznie.</w:t>
            </w:r>
          </w:p>
          <w:p w14:paraId="4F84C726" w14:textId="77777777" w:rsidR="00A9662F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33D8D705" w14:textId="77777777" w:rsidR="00A9662F" w:rsidRPr="003B257C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>Zadania GITD polegające na pozyskiwaniu danych o naruszeniach obowiązku uiszczania opłat za pośrednictwem Krajowego Punktu Kontaktowego oraz prowadzeniu postępowań na ich postawie są zadaniami nowymi, których realizacja nie była wcześniej planowana przez GITD i na którą GITD nie posiada zabezpieczonych zasobów osobowych i sprz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ętowych. R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ealizacja ww. zadań obecnymi zasobami kadrowymi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bez otrzymania dodatkowych środków z budżetu państwa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>wiązałaby się z koniecznością wykonywania nowych zadań zamiast zadań dotychczas realizowanych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, ponieważ na ten moment w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>GITD ma miejsce maksymalne obłożenie pracą zatrudnionych obecnie pracowników administracyjnych.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Konieczne jest zatem pozyskanie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począwszy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od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roku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>2022 roku odpowiednich środków na zasoby osobowe (etaty administracyjne) oraz sprzętowe (komputery wraz z urządzeniami wielofunkcyjnymi z funkcją wydruku i skanowania), tj. na minimum 10 etatów w kwotach:</w:t>
            </w:r>
          </w:p>
          <w:p w14:paraId="20BDA8F8" w14:textId="77777777" w:rsidR="00A9662F" w:rsidRPr="003B257C" w:rsidRDefault="00A9662F" w:rsidP="00A9662F">
            <w:pPr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k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oszty utworzenia 10 </w:t>
            </w:r>
            <w:r w:rsidR="006908C2">
              <w:rPr>
                <w:rFonts w:ascii="Times New Roman" w:hAnsi="Times New Roman"/>
                <w:color w:val="000000"/>
                <w:sz w:val="21"/>
                <w:szCs w:val="21"/>
              </w:rPr>
              <w:t>stanowisk pracy - 41 700 zł;</w:t>
            </w:r>
          </w:p>
          <w:p w14:paraId="2707F6E1" w14:textId="77777777" w:rsidR="00A9662F" w:rsidRPr="003B257C" w:rsidRDefault="00A9662F" w:rsidP="00A9662F">
            <w:pPr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r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oczne koszty utrzymania 10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stanowisk pracy - </w:t>
            </w:r>
            <w:r w:rsidR="006908C2">
              <w:rPr>
                <w:rFonts w:ascii="Times New Roman" w:hAnsi="Times New Roman"/>
                <w:color w:val="000000"/>
                <w:sz w:val="21"/>
                <w:szCs w:val="21"/>
              </w:rPr>
              <w:t>175 000 zł;</w:t>
            </w:r>
          </w:p>
          <w:p w14:paraId="7796E5D5" w14:textId="77777777" w:rsidR="00A9662F" w:rsidRPr="003B257C" w:rsidRDefault="00A9662F" w:rsidP="00A9662F">
            <w:pPr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k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>oszty wyposażenia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>10 stanowisk pracy w sprzęt teleinformatyczny (komputer, urządzenie wielofunk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cyjne) wraz z oprogramowaniem -</w:t>
            </w:r>
            <w:r w:rsidR="006908C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150 000 zł;</w:t>
            </w:r>
          </w:p>
          <w:p w14:paraId="72FC233F" w14:textId="77777777" w:rsidR="00A9662F" w:rsidRPr="003B257C" w:rsidRDefault="00A9662F" w:rsidP="00A9662F">
            <w:pPr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r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>oczne koszty wynagrodzeń wraz z pochodnymi 10 etatów administracyjnych – 960 000 zł.</w:t>
            </w:r>
          </w:p>
          <w:p w14:paraId="4DE1264A" w14:textId="77777777" w:rsidR="00A9662F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186CF35" w14:textId="77777777" w:rsidR="00A9662F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D</w:t>
            </w:r>
            <w:r w:rsidRPr="001A026A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 </w:t>
            </w:r>
            <w:r w:rsidR="006908C2">
              <w:rPr>
                <w:rFonts w:ascii="Times New Roman" w:hAnsi="Times New Roman"/>
                <w:color w:val="000000"/>
                <w:sz w:val="21"/>
                <w:szCs w:val="21"/>
              </w:rPr>
              <w:t>ustalenia kosztów wynagrodzeń p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rzyjęto następujące założenia</w:t>
            </w:r>
            <w:r w:rsidRPr="001A026A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: </w:t>
            </w:r>
          </w:p>
          <w:p w14:paraId="3BC7F46E" w14:textId="77777777" w:rsidR="00A9662F" w:rsidRDefault="00A9662F" w:rsidP="00A9662F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A026A">
              <w:rPr>
                <w:rFonts w:ascii="Times New Roman" w:hAnsi="Times New Roman"/>
                <w:color w:val="000000"/>
                <w:sz w:val="21"/>
                <w:szCs w:val="21"/>
              </w:rPr>
              <w:t>mnożnik 2.8 plus dodatek stażowy 16% (uzasadnienie:  do realizacji przedmiotowych zadań dedykujemy pracowników doświadczonych z językiem angiels</w:t>
            </w:r>
            <w:r w:rsidR="00390164">
              <w:rPr>
                <w:rFonts w:ascii="Times New Roman" w:hAnsi="Times New Roman"/>
                <w:color w:val="000000"/>
                <w:sz w:val="21"/>
                <w:szCs w:val="21"/>
              </w:rPr>
              <w:t>kim na poziomie komunikatywnym).</w:t>
            </w:r>
          </w:p>
          <w:p w14:paraId="00F8E114" w14:textId="77777777" w:rsidR="00A9662F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66DF69D2" w14:textId="592BB782" w:rsidR="00A9662F" w:rsidRPr="003B257C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9662F">
              <w:rPr>
                <w:rFonts w:ascii="Times New Roman" w:hAnsi="Times New Roman"/>
                <w:color w:val="000000"/>
                <w:sz w:val="21"/>
                <w:szCs w:val="21"/>
              </w:rPr>
              <w:t>W rezultacie szacowane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  <w:t xml:space="preserve"> r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oczne koszty postępowań oraz koszty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osobowe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i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sprzętowe dla 10 etatów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wynoszą po stronie GITD</w:t>
            </w:r>
            <w:r w:rsidR="003938A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ok.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: </w:t>
            </w:r>
            <w:r w:rsidRPr="00A9662F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  <w:r w:rsidR="003938A9"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326 </w:t>
            </w:r>
            <w:r w:rsidR="003938A9">
              <w:rPr>
                <w:rFonts w:ascii="Times New Roman" w:hAnsi="Times New Roman"/>
                <w:color w:val="000000"/>
                <w:sz w:val="21"/>
                <w:szCs w:val="21"/>
              </w:rPr>
              <w:t>mln</w:t>
            </w:r>
            <w:r w:rsidRPr="00A9662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zł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  <w:r w:rsidR="003938A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Oprócz tego przewiduje się jednorazowy wydatek na pokrycie kosztów utworzenia i wyposażenia miejsc pracy w kwocie ok. 0,19 mln zł.</w:t>
            </w:r>
            <w:r w:rsidR="00461D0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  <w:p w14:paraId="23EB87EA" w14:textId="77777777" w:rsidR="00A9662F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1DC9ED28" w14:textId="77777777" w:rsidR="00A9662F" w:rsidRPr="00C53F26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Środki konieczne na wdrożenie nowych funkcjonalności w KPK dotyczących transgranicznej wymiany danych o naruszeniach obowiązku uiszczenia opłat drogowych oszacował jego operator – minister właściwy do spraw informatyzacji - na podstawie dotychczasowych doświadczeń związanych z obsługą KPK.</w:t>
            </w:r>
            <w:r w:rsidR="007D780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Koszty uwzględniają kwotę rocznej składki na EUCARIS, która w roku 0 wynosi 10 474,2 zł. </w:t>
            </w:r>
          </w:p>
          <w:p w14:paraId="669BE681" w14:textId="77777777" w:rsidR="00A9662F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05E6CDF1" w14:textId="77777777" w:rsidR="00A9662F" w:rsidRPr="00C53F26" w:rsidRDefault="00A9662F" w:rsidP="00A9662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Niezależnie od powyższego należy wyjaśnić, że s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ystem KSPO KAS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(w ramach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>moduł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 służącego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do prowadzenia postępowań administracyjnych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)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zakłada integrację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KPK w celu wymiany danych za pomocą interfejsu</w:t>
            </w:r>
            <w:r w:rsidR="00BE1E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. Zakładano, że </w:t>
            </w:r>
            <w:r w:rsidR="00423439">
              <w:rPr>
                <w:rFonts w:ascii="Times New Roman" w:hAnsi="Times New Roman"/>
                <w:color w:val="000000"/>
                <w:sz w:val="21"/>
                <w:szCs w:val="21"/>
              </w:rPr>
              <w:t>w</w:t>
            </w:r>
            <w:r w:rsidRPr="00962472">
              <w:rPr>
                <w:rFonts w:ascii="Times New Roman" w:hAnsi="Times New Roman"/>
                <w:color w:val="000000"/>
                <w:sz w:val="21"/>
                <w:szCs w:val="21"/>
              </w:rPr>
              <w:t>szystkie koszty związane z tym d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ziałaniem zostaną finansowane ze środków już </w:t>
            </w:r>
            <w:r w:rsidRPr="00962472">
              <w:rPr>
                <w:rFonts w:ascii="Times New Roman" w:hAnsi="Times New Roman"/>
                <w:color w:val="000000"/>
                <w:sz w:val="21"/>
                <w:szCs w:val="21"/>
              </w:rPr>
              <w:t>przeznaczon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ych</w:t>
            </w:r>
            <w:r w:rsidRPr="0096247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na budowę i wdrożenie KSPO KAS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w ramach KFD</w:t>
            </w:r>
            <w:r w:rsidRPr="00962472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W związku z powyższym 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po stronie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KFD, ani budżetu państwa</w:t>
            </w:r>
            <w:r w:rsidRPr="003B25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 będzie konieczności ponoszenia dodatkowych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wydatków z tego tytułu.</w:t>
            </w:r>
          </w:p>
        </w:tc>
      </w:tr>
      <w:tr w:rsidR="00664730" w:rsidRPr="008B4FE6" w14:paraId="260799C2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5"/>
            <w:shd w:val="clear" w:color="auto" w:fill="99CCFF"/>
          </w:tcPr>
          <w:p w14:paraId="32DEBD0E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</w:t>
            </w:r>
            <w:r w:rsidR="00555B6E">
              <w:rPr>
                <w:rFonts w:ascii="Times New Roman" w:hAnsi="Times New Roman"/>
                <w:b/>
                <w:color w:val="000000"/>
              </w:rPr>
              <w:t>obywateli i gospodarstwa domowe,</w:t>
            </w:r>
            <w:r w:rsidR="00555B6E">
              <w:rPr>
                <w:rFonts w:ascii="Times New Roman" w:hAnsi="Times New Roman"/>
                <w:b/>
              </w:rPr>
              <w:t xml:space="preserve"> osoby niepełnosprawne i osoby starsze</w:t>
            </w:r>
          </w:p>
        </w:tc>
      </w:tr>
      <w:tr w:rsidR="00664730" w:rsidRPr="008B4FE6" w14:paraId="4C376C6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FFFFFF"/>
          </w:tcPr>
          <w:p w14:paraId="0CA25F87" w14:textId="77777777" w:rsidR="00664730" w:rsidRPr="00301959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664730" w:rsidRPr="008B4FE6" w14:paraId="6BAC6A49" w14:textId="77777777" w:rsidTr="00AA329D">
        <w:trPr>
          <w:gridAfter w:val="1"/>
          <w:wAfter w:w="10" w:type="dxa"/>
          <w:trHeight w:val="142"/>
        </w:trPr>
        <w:tc>
          <w:tcPr>
            <w:tcW w:w="2865" w:type="dxa"/>
            <w:gridSpan w:val="5"/>
            <w:shd w:val="clear" w:color="auto" w:fill="FFFFFF"/>
          </w:tcPr>
          <w:p w14:paraId="054755C9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Czas w latach od wejścia w życie zmian</w:t>
            </w:r>
          </w:p>
        </w:tc>
        <w:tc>
          <w:tcPr>
            <w:tcW w:w="1417" w:type="dxa"/>
            <w:gridSpan w:val="2"/>
            <w:shd w:val="clear" w:color="auto" w:fill="FFFFFF"/>
          </w:tcPr>
          <w:p w14:paraId="1CB2BEBD" w14:textId="77777777" w:rsidR="00664730" w:rsidRPr="00301959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82" w:type="dxa"/>
            <w:gridSpan w:val="4"/>
            <w:shd w:val="clear" w:color="auto" w:fill="FFFFFF"/>
          </w:tcPr>
          <w:p w14:paraId="104C0D6A" w14:textId="77777777" w:rsidR="00664730" w:rsidRPr="00301959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0AB4A30" w14:textId="77777777" w:rsidR="00664730" w:rsidRPr="00301959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649F37F" w14:textId="77777777" w:rsidR="00664730" w:rsidRPr="00301959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E0F23BA" w14:textId="77777777" w:rsidR="00664730" w:rsidRPr="00301959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55DA998B" w14:textId="77777777" w:rsidR="00664730" w:rsidRPr="00301959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gridSpan w:val="2"/>
            <w:shd w:val="clear" w:color="auto" w:fill="FFFFFF"/>
          </w:tcPr>
          <w:p w14:paraId="3E4156D1" w14:textId="77777777" w:rsidR="00664730" w:rsidRPr="001B3460" w:rsidRDefault="00664730" w:rsidP="00664730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664730" w:rsidRPr="008B4FE6" w14:paraId="0133C421" w14:textId="77777777" w:rsidTr="00AA329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07674F8" w14:textId="77777777" w:rsidR="00664730" w:rsidRDefault="00664730" w:rsidP="0066473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6B723112" w14:textId="77777777" w:rsidR="00664730" w:rsidRDefault="00664730" w:rsidP="00664730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16D17DB9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1269" w:type="dxa"/>
            <w:gridSpan w:val="4"/>
            <w:shd w:val="clear" w:color="auto" w:fill="FFFFFF"/>
          </w:tcPr>
          <w:p w14:paraId="7DD0D12F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1417" w:type="dxa"/>
            <w:gridSpan w:val="2"/>
            <w:shd w:val="clear" w:color="auto" w:fill="FFFFFF"/>
          </w:tcPr>
          <w:p w14:paraId="4EF5F401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shd w:val="clear" w:color="auto" w:fill="FFFFFF"/>
          </w:tcPr>
          <w:p w14:paraId="4C9EB4FC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7F921397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22068536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6F313E1C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2"/>
            <w:shd w:val="clear" w:color="auto" w:fill="FFFFFF"/>
          </w:tcPr>
          <w:p w14:paraId="4F289BAD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gridSpan w:val="2"/>
            <w:shd w:val="clear" w:color="auto" w:fill="FFFFFF"/>
          </w:tcPr>
          <w:p w14:paraId="63E91E14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64730" w:rsidRPr="008B4FE6" w14:paraId="25803577" w14:textId="77777777" w:rsidTr="00AA329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9F7D7D1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4"/>
            <w:shd w:val="clear" w:color="auto" w:fill="FFFFFF"/>
          </w:tcPr>
          <w:p w14:paraId="741F3EBF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1417" w:type="dxa"/>
            <w:gridSpan w:val="2"/>
            <w:shd w:val="clear" w:color="auto" w:fill="FFFFFF"/>
          </w:tcPr>
          <w:p w14:paraId="6DB7182D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shd w:val="clear" w:color="auto" w:fill="FFFFFF"/>
          </w:tcPr>
          <w:p w14:paraId="24275AAE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14CE8115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513ABB20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52992D1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2"/>
            <w:shd w:val="clear" w:color="auto" w:fill="FFFFFF"/>
          </w:tcPr>
          <w:p w14:paraId="36F22DC0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gridSpan w:val="2"/>
            <w:shd w:val="clear" w:color="auto" w:fill="FFFFFF"/>
          </w:tcPr>
          <w:p w14:paraId="03D1DFB8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64730" w:rsidRPr="008B4FE6" w14:paraId="0A5F1A9A" w14:textId="77777777" w:rsidTr="00AA329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28FE2BC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4"/>
            <w:shd w:val="clear" w:color="auto" w:fill="FFFFFF"/>
          </w:tcPr>
          <w:p w14:paraId="24FA0B3C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="00555B6E">
              <w:rPr>
                <w:rFonts w:ascii="Times New Roman" w:hAnsi="Times New Roman"/>
              </w:rPr>
              <w:t xml:space="preserve"> osoby niepełnosprawne i osoby starsze</w:t>
            </w:r>
          </w:p>
        </w:tc>
        <w:tc>
          <w:tcPr>
            <w:tcW w:w="1417" w:type="dxa"/>
            <w:gridSpan w:val="2"/>
            <w:shd w:val="clear" w:color="auto" w:fill="FFFFFF"/>
          </w:tcPr>
          <w:p w14:paraId="278DB478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shd w:val="clear" w:color="auto" w:fill="FFFFFF"/>
          </w:tcPr>
          <w:p w14:paraId="025137DD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00D8CBB7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180BE854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1BDC9582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2"/>
            <w:shd w:val="clear" w:color="auto" w:fill="FFFFFF"/>
          </w:tcPr>
          <w:p w14:paraId="78606F60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gridSpan w:val="2"/>
            <w:shd w:val="clear" w:color="auto" w:fill="FFFFFF"/>
          </w:tcPr>
          <w:p w14:paraId="269DAF69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64730" w:rsidRPr="008B4FE6" w14:paraId="526A3228" w14:textId="77777777" w:rsidTr="00AA329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D8C360C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1269" w:type="dxa"/>
            <w:gridSpan w:val="4"/>
            <w:shd w:val="clear" w:color="auto" w:fill="FFFFFF"/>
          </w:tcPr>
          <w:p w14:paraId="07025BBB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8072" w:type="dxa"/>
            <w:gridSpan w:val="20"/>
            <w:shd w:val="clear" w:color="auto" w:fill="FFFFFF"/>
          </w:tcPr>
          <w:p w14:paraId="0085C1AC" w14:textId="77777777" w:rsidR="006D236F" w:rsidRDefault="00D21F2F" w:rsidP="00BE1E6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Projektowana ustawa może mieć, ze względu na potencjalne zwiększenie konkurencyjności usługi EETS, pozytywny wpływ na funkcjonowanie dużych przedsiębiorstw przewozowych, które zajmują się transportem międzynarodowym.</w:t>
            </w:r>
            <w:r w:rsidR="00BE1E6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W przypadku gdy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w wyniku wejścia w życie projektowanej ustawy, przewoźnicy w większym zakresie 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korzysta</w:t>
            </w:r>
            <w:r w:rsidR="00BE1E6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ją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z usługi EETS 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to 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osiągną oni korzyści w postaci konieczności posiadania tylko jednego urządzenia pokładowego do poboru opłat w 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systemach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elektroniczny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ch stosowanych na obszarze UE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oraz 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prawo do otrzymywania jednego 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dokumentu księgowego 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 tego tytułu</w:t>
            </w:r>
            <w:r w:rsidR="00BE1E6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zamiast 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konieczności </w:t>
            </w:r>
            <w:r w:rsid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uzyskiwania dokumentów odrębnie dla każdego z tych systemów. </w:t>
            </w:r>
          </w:p>
          <w:p w14:paraId="26638175" w14:textId="77777777" w:rsidR="00664730" w:rsidRPr="00B37C80" w:rsidRDefault="006D236F" w:rsidP="00BE1E6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Zwiększenie konkurencyjności usługi EETS na mocy projektowanej ustawy może też mieć pozytywny wpływ na działalność gospodarczą prowadzoną przez dostawców EETS, a co za tym idzie </w:t>
            </w:r>
            <w:r w:rsidR="00BE1E6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m</w:t>
            </w:r>
            <w:r w:rsidR="0007064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a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zwiększyć szansę na</w:t>
            </w:r>
            <w:r w:rsidR="0007064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pojawienie się w RP przedsiębiorców świadczących tę usługę z korzyścią dla użytkowników dróg.</w:t>
            </w:r>
          </w:p>
        </w:tc>
      </w:tr>
      <w:tr w:rsidR="00664730" w:rsidRPr="008B4FE6" w14:paraId="74193EC6" w14:textId="77777777" w:rsidTr="00AA329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F1306E7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4"/>
            <w:shd w:val="clear" w:color="auto" w:fill="FFFFFF"/>
          </w:tcPr>
          <w:p w14:paraId="27FCB053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8072" w:type="dxa"/>
            <w:gridSpan w:val="20"/>
            <w:shd w:val="clear" w:color="auto" w:fill="FFFFFF"/>
          </w:tcPr>
          <w:p w14:paraId="240522EA" w14:textId="77777777" w:rsidR="00664730" w:rsidRPr="00B37C80" w:rsidRDefault="006D236F" w:rsidP="00BE1E6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W przypadku mniejszych przedsiębiorstw przewozowych, które wykonują transport międzynarodowy korzyści wynikające z projektu mogą być podobne do tych, które opisano w części dotyczącej dużych przedsiębiorstw przewozowych.</w:t>
            </w:r>
          </w:p>
        </w:tc>
      </w:tr>
      <w:tr w:rsidR="00664730" w:rsidRPr="008B4FE6" w14:paraId="66BF32AE" w14:textId="77777777" w:rsidTr="00AA329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078A34FC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4"/>
            <w:shd w:val="clear" w:color="auto" w:fill="FFFFFF"/>
          </w:tcPr>
          <w:p w14:paraId="5C1F4F2F" w14:textId="77777777" w:rsidR="00664730" w:rsidRPr="00301959" w:rsidRDefault="00664730" w:rsidP="00664730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072" w:type="dxa"/>
            <w:gridSpan w:val="20"/>
            <w:shd w:val="clear" w:color="auto" w:fill="FFFFFF"/>
          </w:tcPr>
          <w:p w14:paraId="382D9B49" w14:textId="77777777" w:rsidR="006D236F" w:rsidRDefault="006D236F" w:rsidP="00BE1E6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Projekt może mieć pozytywny wpływ na obywateli, którzy 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wykonują przejazdy drogami 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płatny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mi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, ponieważ </w:t>
            </w:r>
            <w:r w:rsidR="003B2BA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możliwość skorzystania przez nich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z bardziej dostępnej usługi EETS powinno uprościć wnoszenie opłat drogowych i skutkować łatwiejszym rozliczaniem się z podmiotami pobierającymi opłaty w systemach elektronicznych.</w:t>
            </w:r>
          </w:p>
          <w:p w14:paraId="48AB17DC" w14:textId="77777777" w:rsidR="00664730" w:rsidRPr="00B37C80" w:rsidRDefault="006D236F" w:rsidP="003B2BA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Nie przewiduje się </w:t>
            </w:r>
            <w:r w:rsidR="00A978E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natomiast 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wpływu projektu ustawy na rodzinę</w:t>
            </w:r>
            <w:r w:rsidRP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oraz gospodarstwa domowe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  <w:tr w:rsidR="006D236F" w:rsidRPr="008B4FE6" w14:paraId="3AECC50C" w14:textId="77777777" w:rsidTr="00AA329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50081C4B" w14:textId="77777777" w:rsidR="006D236F" w:rsidRPr="00301959" w:rsidRDefault="006D236F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4"/>
            <w:shd w:val="clear" w:color="auto" w:fill="FFFFFF"/>
          </w:tcPr>
          <w:p w14:paraId="62325657" w14:textId="77777777" w:rsidR="006D236F" w:rsidRDefault="006D236F" w:rsidP="006D236F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Osoby </w:t>
            </w:r>
            <w:r w:rsidRPr="006D236F">
              <w:rPr>
                <w:rFonts w:ascii="Times New Roman" w:hAnsi="Times New Roman"/>
                <w:sz w:val="21"/>
                <w:szCs w:val="21"/>
              </w:rPr>
              <w:t>niepełnosprawn</w:t>
            </w:r>
            <w:r>
              <w:rPr>
                <w:rFonts w:ascii="Times New Roman" w:hAnsi="Times New Roman"/>
                <w:sz w:val="21"/>
                <w:szCs w:val="21"/>
              </w:rPr>
              <w:t>e</w:t>
            </w:r>
            <w:r w:rsidRPr="006D236F">
              <w:rPr>
                <w:rFonts w:ascii="Times New Roman" w:hAnsi="Times New Roman"/>
                <w:sz w:val="21"/>
                <w:szCs w:val="21"/>
              </w:rPr>
              <w:t xml:space="preserve"> oraz os</w:t>
            </w:r>
            <w:r>
              <w:rPr>
                <w:rFonts w:ascii="Times New Roman" w:hAnsi="Times New Roman"/>
                <w:sz w:val="21"/>
                <w:szCs w:val="21"/>
              </w:rPr>
              <w:t>o</w:t>
            </w:r>
            <w:r w:rsidRPr="006D236F">
              <w:rPr>
                <w:rFonts w:ascii="Times New Roman" w:hAnsi="Times New Roman"/>
                <w:sz w:val="21"/>
                <w:szCs w:val="21"/>
              </w:rPr>
              <w:t>b</w:t>
            </w:r>
            <w:r>
              <w:rPr>
                <w:rFonts w:ascii="Times New Roman" w:hAnsi="Times New Roman"/>
                <w:sz w:val="21"/>
                <w:szCs w:val="21"/>
              </w:rPr>
              <w:t>y</w:t>
            </w:r>
            <w:r w:rsidRPr="006D236F">
              <w:rPr>
                <w:rFonts w:ascii="Times New Roman" w:hAnsi="Times New Roman"/>
                <w:sz w:val="21"/>
                <w:szCs w:val="21"/>
              </w:rPr>
              <w:t xml:space="preserve"> starsz</w:t>
            </w:r>
            <w:r>
              <w:rPr>
                <w:rFonts w:ascii="Times New Roman" w:hAnsi="Times New Roman"/>
                <w:sz w:val="21"/>
                <w:szCs w:val="21"/>
              </w:rPr>
              <w:t>e</w:t>
            </w:r>
          </w:p>
        </w:tc>
        <w:tc>
          <w:tcPr>
            <w:tcW w:w="8072" w:type="dxa"/>
            <w:gridSpan w:val="20"/>
            <w:shd w:val="clear" w:color="auto" w:fill="FFFFFF"/>
          </w:tcPr>
          <w:p w14:paraId="4027336D" w14:textId="77777777" w:rsidR="006D236F" w:rsidRDefault="006D236F" w:rsidP="006D236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Nie przewiduje się wpływu projektu ustawy na 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osoby niepełnosprawne oraz osoby starsze</w:t>
            </w:r>
            <w:r w:rsidRPr="006D236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  <w:tr w:rsidR="00664730" w:rsidRPr="008B4FE6" w14:paraId="0B805D18" w14:textId="77777777" w:rsidTr="00AA329D">
        <w:trPr>
          <w:gridAfter w:val="1"/>
          <w:wAfter w:w="10" w:type="dxa"/>
          <w:trHeight w:val="142"/>
        </w:trPr>
        <w:tc>
          <w:tcPr>
            <w:tcW w:w="1596" w:type="dxa"/>
            <w:shd w:val="clear" w:color="auto" w:fill="FFFFFF"/>
          </w:tcPr>
          <w:p w14:paraId="28503F24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1269" w:type="dxa"/>
            <w:gridSpan w:val="4"/>
            <w:shd w:val="clear" w:color="auto" w:fill="FFFFFF"/>
          </w:tcPr>
          <w:p w14:paraId="2993237E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8072" w:type="dxa"/>
            <w:gridSpan w:val="20"/>
            <w:shd w:val="clear" w:color="auto" w:fill="FFFFFF"/>
          </w:tcPr>
          <w:p w14:paraId="0CC56355" w14:textId="77777777" w:rsidR="00664730" w:rsidRPr="00B37C80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64730" w:rsidRPr="008B4FE6" w14:paraId="428B0B70" w14:textId="77777777" w:rsidTr="001C3544">
        <w:trPr>
          <w:gridAfter w:val="1"/>
          <w:wAfter w:w="10" w:type="dxa"/>
          <w:trHeight w:val="833"/>
        </w:trPr>
        <w:tc>
          <w:tcPr>
            <w:tcW w:w="2243" w:type="dxa"/>
            <w:gridSpan w:val="3"/>
            <w:shd w:val="clear" w:color="auto" w:fill="FFFFFF"/>
          </w:tcPr>
          <w:p w14:paraId="56801172" w14:textId="77777777" w:rsidR="00664730" w:rsidRPr="00301959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2"/>
            <w:shd w:val="clear" w:color="auto" w:fill="FFFFFF"/>
            <w:vAlign w:val="center"/>
          </w:tcPr>
          <w:p w14:paraId="0A2A374E" w14:textId="77777777" w:rsidR="00664730" w:rsidRPr="00301959" w:rsidRDefault="00664730" w:rsidP="0066473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10986C9A" w14:textId="77777777" w:rsidR="00664730" w:rsidRPr="00301959" w:rsidRDefault="00664730" w:rsidP="0066473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664730" w:rsidRPr="008B4FE6" w14:paraId="77833AF8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5"/>
            <w:shd w:val="clear" w:color="auto" w:fill="99CCFF"/>
            <w:vAlign w:val="center"/>
          </w:tcPr>
          <w:p w14:paraId="6B42AA11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664730" w:rsidRPr="008B4FE6" w14:paraId="6AEC926D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5"/>
            <w:shd w:val="clear" w:color="auto" w:fill="FFFFFF"/>
          </w:tcPr>
          <w:p w14:paraId="007A3269" w14:textId="7D2BEAF6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8E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664730" w:rsidRPr="008B4FE6" w14:paraId="39D8196A" w14:textId="77777777" w:rsidTr="00AA329D">
        <w:trPr>
          <w:gridAfter w:val="1"/>
          <w:wAfter w:w="10" w:type="dxa"/>
          <w:trHeight w:val="946"/>
        </w:trPr>
        <w:tc>
          <w:tcPr>
            <w:tcW w:w="4991" w:type="dxa"/>
            <w:gridSpan w:val="9"/>
            <w:shd w:val="clear" w:color="auto" w:fill="FFFFFF"/>
          </w:tcPr>
          <w:p w14:paraId="10BA46DA" w14:textId="77777777" w:rsidR="00664730" w:rsidRDefault="00664730" w:rsidP="0066473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946" w:type="dxa"/>
            <w:gridSpan w:val="16"/>
            <w:shd w:val="clear" w:color="auto" w:fill="FFFFFF"/>
          </w:tcPr>
          <w:p w14:paraId="553CE3BF" w14:textId="32FA346F" w:rsidR="00664730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7A1E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1BFA0C54" w14:textId="54F8BEB8" w:rsidR="00664730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7A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2B7A23E" w14:textId="77777777" w:rsidR="00664730" w:rsidRDefault="00791BC8" w:rsidP="00664730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664730" w:rsidRPr="008B4FE6" w14:paraId="664D6932" w14:textId="77777777" w:rsidTr="00AA329D">
        <w:trPr>
          <w:gridAfter w:val="1"/>
          <w:wAfter w:w="10" w:type="dxa"/>
          <w:trHeight w:val="1245"/>
        </w:trPr>
        <w:tc>
          <w:tcPr>
            <w:tcW w:w="4991" w:type="dxa"/>
            <w:gridSpan w:val="9"/>
            <w:shd w:val="clear" w:color="auto" w:fill="FFFFFF"/>
          </w:tcPr>
          <w:p w14:paraId="3253B8C6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0E43F6C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5F61F49D" w14:textId="77777777" w:rsidR="00664730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BF217D5" w14:textId="77777777" w:rsidR="00664730" w:rsidRPr="008B4FE6" w:rsidRDefault="00791BC8" w:rsidP="00664730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66473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664730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5946" w:type="dxa"/>
            <w:gridSpan w:val="16"/>
            <w:shd w:val="clear" w:color="auto" w:fill="FFFFFF"/>
          </w:tcPr>
          <w:p w14:paraId="21891654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232A6717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2CC19747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19D541EE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66473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664730">
              <w:rPr>
                <w:rFonts w:ascii="Times New Roman" w:hAnsi="Times New Roman"/>
                <w:color w:val="000000"/>
              </w:rPr>
              <w:t>…</w:t>
            </w:r>
          </w:p>
          <w:p w14:paraId="254F17B6" w14:textId="77777777" w:rsidR="00664730" w:rsidRPr="008B4FE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64730" w:rsidRPr="008B4FE6" w14:paraId="485E3591" w14:textId="77777777" w:rsidTr="00AA329D">
        <w:trPr>
          <w:gridAfter w:val="1"/>
          <w:wAfter w:w="10" w:type="dxa"/>
          <w:trHeight w:val="870"/>
        </w:trPr>
        <w:tc>
          <w:tcPr>
            <w:tcW w:w="4991" w:type="dxa"/>
            <w:gridSpan w:val="9"/>
            <w:shd w:val="clear" w:color="auto" w:fill="FFFFFF"/>
          </w:tcPr>
          <w:p w14:paraId="42C99953" w14:textId="77777777" w:rsidR="00664730" w:rsidRPr="008B4FE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946" w:type="dxa"/>
            <w:gridSpan w:val="16"/>
            <w:shd w:val="clear" w:color="auto" w:fill="FFFFFF"/>
          </w:tcPr>
          <w:p w14:paraId="4B0BF026" w14:textId="77777777" w:rsidR="00664730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408CA55" w14:textId="77777777" w:rsidR="00664730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046E145" w14:textId="77777777" w:rsidR="00664730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3A3CC4FF" w14:textId="77777777" w:rsidR="00664730" w:rsidRPr="008B4FE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64730" w:rsidRPr="008B4FE6" w14:paraId="02D7F998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5"/>
            <w:shd w:val="clear" w:color="auto" w:fill="FFFFFF"/>
          </w:tcPr>
          <w:p w14:paraId="6139D61D" w14:textId="77777777" w:rsidR="00664730" w:rsidRPr="008B4FE6" w:rsidRDefault="00664730" w:rsidP="003B2BA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  <w:r w:rsidR="00070640">
              <w:rPr>
                <w:rFonts w:ascii="Times New Roman" w:hAnsi="Times New Roman"/>
                <w:color w:val="000000"/>
              </w:rPr>
              <w:t xml:space="preserve"> O ile korzystanie z usługi EETS wymaga dopełnienia określonych formalności (np. zawarcia umowy z dostawcą EETS i podania danych niezbędnych do jej realizacji) to należy podkreślić, że usługa ta będzie miała charakter całkowicie </w:t>
            </w:r>
            <w:r w:rsidR="003B2BA1">
              <w:rPr>
                <w:rFonts w:ascii="Times New Roman" w:hAnsi="Times New Roman"/>
                <w:color w:val="000000"/>
              </w:rPr>
              <w:t>dobrowolny</w:t>
            </w:r>
            <w:r w:rsidR="00070640">
              <w:rPr>
                <w:rFonts w:ascii="Times New Roman" w:hAnsi="Times New Roman"/>
                <w:color w:val="000000"/>
              </w:rPr>
              <w:t>, a więc skorzystanie z niej pozostanie w wyłącznej gestii korzystającego z drogi. W zamian podmiot ten otrzyma możliwość uiszczania opłat na bardziej przyjaznych zasadach, z wykorzystaniem jednego urządzenia pokładowego i na podstawie jednego rachunku księgowego otrzymywanego od dostawcy EETS. Docelowo więc obciążenia regulacyjne dotychczas nałożone na korzystających z dróg powinny ulec zmniejszeniu.</w:t>
            </w:r>
          </w:p>
        </w:tc>
      </w:tr>
      <w:tr w:rsidR="00664730" w:rsidRPr="008B4FE6" w14:paraId="314C08C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99CCFF"/>
          </w:tcPr>
          <w:p w14:paraId="328EF4A4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664730" w:rsidRPr="008B4FE6" w14:paraId="43101FC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auto"/>
          </w:tcPr>
          <w:p w14:paraId="4CFA8D6B" w14:textId="77777777" w:rsidR="00664730" w:rsidRPr="008B4FE6" w:rsidRDefault="00CD2273" w:rsidP="003B2BA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Projekt ustawy </w:t>
            </w:r>
            <w:r w:rsidR="00134839">
              <w:rPr>
                <w:rFonts w:ascii="Times New Roman" w:hAnsi="Times New Roman"/>
                <w:color w:val="000000"/>
              </w:rPr>
              <w:t>powinien mieć pozytywny wpływ na rynek pracy. P</w:t>
            </w:r>
            <w:r>
              <w:rPr>
                <w:rFonts w:ascii="Times New Roman" w:hAnsi="Times New Roman"/>
                <w:color w:val="000000"/>
              </w:rPr>
              <w:t xml:space="preserve">rzewiduje </w:t>
            </w:r>
            <w:r w:rsidR="00134839">
              <w:rPr>
                <w:rFonts w:ascii="Times New Roman" w:hAnsi="Times New Roman"/>
                <w:color w:val="000000"/>
              </w:rPr>
              <w:t xml:space="preserve">bowiem </w:t>
            </w:r>
            <w:r>
              <w:rPr>
                <w:rFonts w:ascii="Times New Roman" w:hAnsi="Times New Roman"/>
                <w:color w:val="000000"/>
              </w:rPr>
              <w:t xml:space="preserve">zwiększenie zatrudnienia w Głównym Inspektoracie Transportu Drogowego w związku z transgraniczną wymianą danych o naruszeniach obowiązku uiszczenia opłaty elektronicznej (o </w:t>
            </w:r>
            <w:r w:rsidR="003B2BA1"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etatów). Dodatkowo </w:t>
            </w:r>
            <w:r w:rsidR="00AD43FB">
              <w:rPr>
                <w:rFonts w:ascii="Times New Roman" w:hAnsi="Times New Roman"/>
                <w:color w:val="000000"/>
              </w:rPr>
              <w:t>zwiększenie konkurencyjności usługi EETS w wyniku przyjęcia rozwiązań proponowanych w projektowanej ustawie może skutkować pojawieniem się dostawców EETS świadczących usługę na terytorium RP, co może z kolei oznaczać konieczność rozpoczęcia przez zatrudnienie pracowników w celu obsługi użytkowników EETS.</w:t>
            </w:r>
          </w:p>
        </w:tc>
      </w:tr>
      <w:tr w:rsidR="00664730" w:rsidRPr="008B4FE6" w14:paraId="5F9402D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99CCFF"/>
          </w:tcPr>
          <w:p w14:paraId="5C9F1FCE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664730" w:rsidRPr="008B4FE6" w14:paraId="3692824F" w14:textId="77777777" w:rsidTr="00AA329D">
        <w:trPr>
          <w:gridAfter w:val="1"/>
          <w:wAfter w:w="10" w:type="dxa"/>
          <w:trHeight w:val="1031"/>
        </w:trPr>
        <w:tc>
          <w:tcPr>
            <w:tcW w:w="2865" w:type="dxa"/>
            <w:gridSpan w:val="5"/>
            <w:shd w:val="clear" w:color="auto" w:fill="FFFFFF"/>
          </w:tcPr>
          <w:p w14:paraId="4C3EE11B" w14:textId="77777777" w:rsidR="00664730" w:rsidRPr="008B4FE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4E9636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18E56173" w14:textId="77777777" w:rsidR="00664730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2D8255C" w14:textId="77777777" w:rsidR="008B18EF" w:rsidRPr="008B18EF" w:rsidRDefault="008B18EF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MS Gothic" w:eastAsia="MS Gothic" w:hAnsi="MS Gothic" w:hint="eastAsia"/>
                <w:color w:val="000000"/>
                <w:spacing w:val="-2"/>
              </w:rPr>
              <w:t xml:space="preserve">☐ </w:t>
            </w:r>
            <w:r w:rsidRPr="00FA59AD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  <w:p w14:paraId="291E172F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8E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="00510044">
              <w:rPr>
                <w:rFonts w:ascii="Times New Roman" w:hAnsi="Times New Roman"/>
                <w:color w:val="000000"/>
              </w:rPr>
              <w:t>ochrona danych osobowych</w:t>
            </w:r>
          </w:p>
        </w:tc>
        <w:tc>
          <w:tcPr>
            <w:tcW w:w="4369" w:type="dxa"/>
            <w:gridSpan w:val="11"/>
            <w:shd w:val="clear" w:color="auto" w:fill="FFFFFF"/>
          </w:tcPr>
          <w:p w14:paraId="026C3AF9" w14:textId="77777777" w:rsidR="00664730" w:rsidRPr="008B4FE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D1F0E38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7B7130D1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406AB4C8" w14:textId="77777777" w:rsidR="00664730" w:rsidRPr="008B4FE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8A638BE" w14:textId="77777777" w:rsidR="00664730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B85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6473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BDBB3ED" w14:textId="77777777" w:rsidR="00664730" w:rsidRPr="008B4FE6" w:rsidRDefault="00791BC8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30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664730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664730" w:rsidRPr="008B4FE6" w14:paraId="535AF1E3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2D9DEA3D" w14:textId="77777777" w:rsidR="00664730" w:rsidRPr="008B4FE6" w:rsidRDefault="00664730" w:rsidP="006647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2"/>
            <w:shd w:val="clear" w:color="auto" w:fill="FFFFFF"/>
            <w:vAlign w:val="center"/>
          </w:tcPr>
          <w:p w14:paraId="1E300253" w14:textId="77777777" w:rsidR="00664730" w:rsidRDefault="00070640" w:rsidP="0066473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pozytywnie wpłynie na informatyzację zadań realizowanych przez organy państwa. Przewiduje się bowiem rozszerzenie kompetencji KPK, który działa w systemie teleinformatycznym przy Centralnej Ewidencji Pojazdów i Kierowców, dzięki czemu w prosty i szybki sposób możliwe będzie ustalenie danych podmiotu zagranicznego naruszającego obowiązek uiszczania opłaty elektronicznej.</w:t>
            </w:r>
            <w:r w:rsidR="0051004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C3544">
              <w:rPr>
                <w:rFonts w:ascii="Times New Roman" w:hAnsi="Times New Roman"/>
                <w:color w:val="000000"/>
                <w:spacing w:val="-2"/>
              </w:rPr>
              <w:t>Oprócz tego pojawienie się w RP dostawców EETS może pozytywnie wpłynąć na rozpowszechnienie nowoczesnych, elektronicznych metod płatności z tytułu opłat drogowych.</w:t>
            </w:r>
          </w:p>
          <w:p w14:paraId="32D5EDAA" w14:textId="77777777" w:rsidR="00510044" w:rsidRDefault="005100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40B5F7C" w14:textId="4C7C2246" w:rsidR="00664730" w:rsidRPr="003B2BA1" w:rsidRDefault="00510044" w:rsidP="00FE0C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Dyrektywa, a co za tym idzie projektowana ustawa, przewidują przetwarzanie ściśle określonych danych osobowych właścicieli i posiadaczy pojazdów w celu transgranicznej wymiany informacji o naruszeniach obowiązku uiszczenia opłat uiszczanych w sposób elektroniczny. Wymiana ta będzie następować z wykorzystaniem elektronicznych baz zawierających dane o pojazdach oraz ich właścicielach i posiadaczach. O ile więc można mówić tu o przetwarzaniu danych osobowych z wykorzystaniem nowych technologii</w:t>
            </w:r>
            <w:r w:rsidR="00B67635">
              <w:rPr>
                <w:rFonts w:ascii="Times New Roman" w:hAnsi="Times New Roman"/>
                <w:color w:val="000000"/>
                <w:spacing w:val="-2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C3515">
              <w:rPr>
                <w:rFonts w:ascii="Times New Roman" w:hAnsi="Times New Roman"/>
                <w:color w:val="000000"/>
                <w:spacing w:val="-2"/>
              </w:rPr>
              <w:t xml:space="preserve">zdaniem projektodawcy przepisy art. 35 i 36 </w:t>
            </w:r>
            <w:r w:rsidR="002C3515" w:rsidRPr="002C3515">
              <w:rPr>
                <w:rFonts w:ascii="Times New Roman" w:hAnsi="Times New Roman"/>
                <w:bCs/>
                <w:i/>
                <w:color w:val="000000"/>
                <w:spacing w:val="-2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  <w:r w:rsidR="002C3515"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 </w:t>
            </w:r>
            <w:r w:rsidR="002C3515" w:rsidRPr="002C3515">
              <w:rPr>
                <w:rFonts w:ascii="Times New Roman" w:hAnsi="Times New Roman"/>
                <w:bCs/>
                <w:color w:val="000000"/>
                <w:spacing w:val="-2"/>
              </w:rPr>
              <w:t>regulujące przypadki, w których konieczne jest przeprowadzenie o</w:t>
            </w:r>
            <w:r w:rsidR="002C3515" w:rsidRPr="002C3515">
              <w:rPr>
                <w:rFonts w:ascii="Times New Roman" w:hAnsi="Times New Roman"/>
                <w:color w:val="000000"/>
                <w:spacing w:val="-2"/>
              </w:rPr>
              <w:t>ceny skutków dla ochrony danych</w:t>
            </w:r>
            <w:r w:rsidR="002C3515">
              <w:rPr>
                <w:rFonts w:ascii="Times New Roman" w:hAnsi="Times New Roman"/>
                <w:color w:val="000000"/>
                <w:spacing w:val="-2"/>
              </w:rPr>
              <w:t xml:space="preserve"> nie mają tu zastosowania. Wynika to z faktu, że zakładane rozwiązanie korzysta już z istniejących baz danych prowadzonych w systemie teleinformatycznym, co oznacza, że czynności przetwarzania danych osobowych w ramach transgranicznej wymiany danych będą stanowić działalność niejako uboczną (wtórną) jaką jest prowadzenie przez państwa członkowskie UE bazy danych o pojazdach oraz ich właścicielach i posiadaczach.</w:t>
            </w:r>
            <w:r w:rsidR="001137E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137E5" w:rsidRPr="00FA59AD">
              <w:rPr>
                <w:rFonts w:ascii="Times New Roman" w:hAnsi="Times New Roman"/>
              </w:rPr>
              <w:t>Niemniej, w celu zminimalizowania ryzyka naruszenia praw lub wolności osób fizycznych, w projekcie ustawy nałożono na organy przetwarzające dane osobowe w omawianym zakresie obowiązek stosowania przepisu art. 39 ustawy z dnia 14 grudnia 2019 r. o ochronie danych osobowych przetwarzanych w związku z zapobieganiem i zwalczaniem przestępczości (Dz. U. z 2019 r. poz. 125), co powinno w pełni zabezpieczyć proces przetwarzania danych osobowych.</w:t>
            </w:r>
            <w:r w:rsidR="001137E5">
              <w:rPr>
                <w:rFonts w:ascii="Arial" w:hAnsi="Arial" w:cs="Arial"/>
                <w:sz w:val="20"/>
              </w:rPr>
              <w:t xml:space="preserve"> </w:t>
            </w:r>
            <w:r w:rsidR="002C351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664730" w:rsidRPr="008B4FE6" w14:paraId="542E0F1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99CCFF"/>
          </w:tcPr>
          <w:p w14:paraId="62FE6323" w14:textId="77777777" w:rsidR="00664730" w:rsidRPr="00627221" w:rsidRDefault="00134839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lastRenderedPageBreak/>
              <w:t xml:space="preserve"> </w:t>
            </w:r>
            <w:r w:rsidR="00664730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="00664730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664730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64730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664730" w:rsidRPr="008B4FE6" w14:paraId="3AC61E0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FFFFFF"/>
          </w:tcPr>
          <w:p w14:paraId="06064D0A" w14:textId="79CA58B6" w:rsidR="00664730" w:rsidRPr="00B37C80" w:rsidRDefault="00AE7327" w:rsidP="007920C2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Kancelaria Prezesa Rady Ministrów, która w obecnym stanie prawnym odpowiada za sprawy informatyzacji, równolegle do prac toczących się nad implementacją Dyrektywy podejmuje działania mające na celu zapewnienie funkcjonowania nowych funkcjonalności KPK w zakresie transgranicznej wymiany danych o naruszeniach obowiązku uiszczania opłat drogowych od dnia wejścia w życie </w:t>
            </w:r>
            <w:r w:rsidR="007920C2">
              <w:rPr>
                <w:rFonts w:ascii="Times New Roman" w:hAnsi="Times New Roman"/>
                <w:spacing w:val="-2"/>
              </w:rPr>
              <w:t>ustawy</w:t>
            </w:r>
            <w:r w:rsidR="00657866">
              <w:rPr>
                <w:rFonts w:ascii="Times New Roman" w:hAnsi="Times New Roman"/>
                <w:spacing w:val="-2"/>
              </w:rPr>
              <w:t>. F</w:t>
            </w:r>
            <w:r>
              <w:rPr>
                <w:rFonts w:ascii="Times New Roman" w:hAnsi="Times New Roman"/>
                <w:spacing w:val="-2"/>
              </w:rPr>
              <w:t xml:space="preserve">aktyczne wdrożenie nowych funkcjonalności będzie uzależnione od ostatecznej daty wejścia w życie przedmiotowego projektu ustawy. </w:t>
            </w:r>
          </w:p>
        </w:tc>
      </w:tr>
      <w:tr w:rsidR="00664730" w:rsidRPr="008B4FE6" w14:paraId="432C176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99CCFF"/>
          </w:tcPr>
          <w:p w14:paraId="5D7A9828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664730" w:rsidRPr="008B4FE6" w14:paraId="2B3F6C3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FFFFFF"/>
          </w:tcPr>
          <w:p w14:paraId="0D8B1208" w14:textId="77777777" w:rsidR="00664730" w:rsidRPr="00B37C80" w:rsidRDefault="00AD43FB" w:rsidP="0066473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 przedmiotowym przypadku mamy do czynienia z aktem prawnym wdrażającym przepisy unijne. W związku z powyższym ewaluację efektów projektu prowadzić będzie, m. in. na podstawie sprawozdań państw członkowskich, </w:t>
            </w:r>
            <w:r w:rsidR="009B31E5">
              <w:rPr>
                <w:rFonts w:ascii="Times New Roman" w:hAnsi="Times New Roman"/>
                <w:color w:val="000000"/>
                <w:spacing w:val="-2"/>
              </w:rPr>
              <w:t>KE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która, w razie stwierdzenia takiej potrzeby, może zaproponować nowelę Dyrektywy. W konsekwencji nie przewiduje się ewaluacji projektu na poziomie krajowym. </w:t>
            </w:r>
          </w:p>
        </w:tc>
      </w:tr>
      <w:tr w:rsidR="00664730" w:rsidRPr="008B4FE6" w14:paraId="4452F9F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99CCFF"/>
          </w:tcPr>
          <w:p w14:paraId="3B263884" w14:textId="77777777" w:rsidR="00664730" w:rsidRPr="008B4FE6" w:rsidRDefault="00664730" w:rsidP="00664730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664730" w:rsidRPr="008B4FE6" w14:paraId="6F67600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5"/>
            <w:shd w:val="clear" w:color="auto" w:fill="FFFFFF"/>
          </w:tcPr>
          <w:p w14:paraId="3E4B7229" w14:textId="77777777" w:rsidR="00664730" w:rsidRPr="00B37C80" w:rsidRDefault="00EE3753" w:rsidP="00EE375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</w:tbl>
    <w:p w14:paraId="6BDC54F8" w14:textId="77777777" w:rsidR="006176ED" w:rsidRPr="00522D94" w:rsidRDefault="006176ED" w:rsidP="00F56B86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100BF" w14:textId="77777777" w:rsidR="00791BC8" w:rsidRDefault="00791BC8" w:rsidP="00044739">
      <w:pPr>
        <w:spacing w:line="240" w:lineRule="auto"/>
      </w:pPr>
      <w:r>
        <w:separator/>
      </w:r>
    </w:p>
  </w:endnote>
  <w:endnote w:type="continuationSeparator" w:id="0">
    <w:p w14:paraId="6066B3CF" w14:textId="77777777" w:rsidR="00791BC8" w:rsidRDefault="00791BC8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A223A" w14:textId="77777777" w:rsidR="00791BC8" w:rsidRDefault="00791BC8" w:rsidP="00044739">
      <w:pPr>
        <w:spacing w:line="240" w:lineRule="auto"/>
      </w:pPr>
      <w:r>
        <w:separator/>
      </w:r>
    </w:p>
  </w:footnote>
  <w:footnote w:type="continuationSeparator" w:id="0">
    <w:p w14:paraId="6ED1CB51" w14:textId="77777777" w:rsidR="00791BC8" w:rsidRDefault="00791BC8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E38BE"/>
    <w:multiLevelType w:val="hybridMultilevel"/>
    <w:tmpl w:val="13A89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67357"/>
    <w:multiLevelType w:val="hybridMultilevel"/>
    <w:tmpl w:val="2C88E9FA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FA0024"/>
    <w:multiLevelType w:val="hybridMultilevel"/>
    <w:tmpl w:val="369C8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E39F6"/>
    <w:multiLevelType w:val="hybridMultilevel"/>
    <w:tmpl w:val="B372B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776A2"/>
    <w:multiLevelType w:val="hybridMultilevel"/>
    <w:tmpl w:val="7A464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1154C"/>
    <w:multiLevelType w:val="hybridMultilevel"/>
    <w:tmpl w:val="9216F146"/>
    <w:lvl w:ilvl="0" w:tplc="CF3496C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6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DEC542F"/>
    <w:multiLevelType w:val="hybridMultilevel"/>
    <w:tmpl w:val="6B5CFF70"/>
    <w:lvl w:ilvl="0" w:tplc="C262B74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25032"/>
    <w:multiLevelType w:val="hybridMultilevel"/>
    <w:tmpl w:val="BFFC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32E93"/>
    <w:multiLevelType w:val="hybridMultilevel"/>
    <w:tmpl w:val="18D03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2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611A6EB2"/>
    <w:multiLevelType w:val="hybridMultilevel"/>
    <w:tmpl w:val="CAF824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9" w15:restartNumberingAfterBreak="0">
    <w:nsid w:val="69511DF4"/>
    <w:multiLevelType w:val="hybridMultilevel"/>
    <w:tmpl w:val="B372B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954985"/>
    <w:multiLevelType w:val="hybridMultilevel"/>
    <w:tmpl w:val="C6123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27"/>
  </w:num>
  <w:num w:numId="5">
    <w:abstractNumId w:val="2"/>
  </w:num>
  <w:num w:numId="6">
    <w:abstractNumId w:val="10"/>
  </w:num>
  <w:num w:numId="7">
    <w:abstractNumId w:val="20"/>
  </w:num>
  <w:num w:numId="8">
    <w:abstractNumId w:val="6"/>
  </w:num>
  <w:num w:numId="9">
    <w:abstractNumId w:val="22"/>
  </w:num>
  <w:num w:numId="10">
    <w:abstractNumId w:val="16"/>
  </w:num>
  <w:num w:numId="11">
    <w:abstractNumId w:val="21"/>
  </w:num>
  <w:num w:numId="12">
    <w:abstractNumId w:val="4"/>
  </w:num>
  <w:num w:numId="13">
    <w:abstractNumId w:val="15"/>
  </w:num>
  <w:num w:numId="14">
    <w:abstractNumId w:val="28"/>
  </w:num>
  <w:num w:numId="15">
    <w:abstractNumId w:val="23"/>
  </w:num>
  <w:num w:numId="16">
    <w:abstractNumId w:val="25"/>
  </w:num>
  <w:num w:numId="17">
    <w:abstractNumId w:val="8"/>
  </w:num>
  <w:num w:numId="18">
    <w:abstractNumId w:val="30"/>
  </w:num>
  <w:num w:numId="19">
    <w:abstractNumId w:val="32"/>
  </w:num>
  <w:num w:numId="20">
    <w:abstractNumId w:val="24"/>
  </w:num>
  <w:num w:numId="21">
    <w:abstractNumId w:val="9"/>
  </w:num>
  <w:num w:numId="22">
    <w:abstractNumId w:val="1"/>
  </w:num>
  <w:num w:numId="23">
    <w:abstractNumId w:val="7"/>
  </w:num>
  <w:num w:numId="24">
    <w:abstractNumId w:val="26"/>
  </w:num>
  <w:num w:numId="25">
    <w:abstractNumId w:val="31"/>
  </w:num>
  <w:num w:numId="26">
    <w:abstractNumId w:val="29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9"/>
  </w:num>
  <w:num w:numId="32">
    <w:abstractNumId w:val="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4C6A"/>
    <w:rsid w:val="00012D11"/>
    <w:rsid w:val="00013EB5"/>
    <w:rsid w:val="00023836"/>
    <w:rsid w:val="000356A9"/>
    <w:rsid w:val="00044138"/>
    <w:rsid w:val="00044739"/>
    <w:rsid w:val="00051637"/>
    <w:rsid w:val="000553ED"/>
    <w:rsid w:val="00056681"/>
    <w:rsid w:val="000648A7"/>
    <w:rsid w:val="0006618B"/>
    <w:rsid w:val="000670C0"/>
    <w:rsid w:val="00070640"/>
    <w:rsid w:val="00070F4E"/>
    <w:rsid w:val="00071B99"/>
    <w:rsid w:val="000756E5"/>
    <w:rsid w:val="0007704E"/>
    <w:rsid w:val="00080EC8"/>
    <w:rsid w:val="00082BBB"/>
    <w:rsid w:val="000944AC"/>
    <w:rsid w:val="00094CB9"/>
    <w:rsid w:val="000956B2"/>
    <w:rsid w:val="000969E7"/>
    <w:rsid w:val="000A23DE"/>
    <w:rsid w:val="000A4020"/>
    <w:rsid w:val="000B54FB"/>
    <w:rsid w:val="000C29B0"/>
    <w:rsid w:val="000C76FC"/>
    <w:rsid w:val="000D38FC"/>
    <w:rsid w:val="000D4D90"/>
    <w:rsid w:val="000E2D10"/>
    <w:rsid w:val="000E6A96"/>
    <w:rsid w:val="000F3204"/>
    <w:rsid w:val="0010548B"/>
    <w:rsid w:val="001072D1"/>
    <w:rsid w:val="001137E5"/>
    <w:rsid w:val="00117017"/>
    <w:rsid w:val="00130E8E"/>
    <w:rsid w:val="0013216E"/>
    <w:rsid w:val="00134839"/>
    <w:rsid w:val="001401B5"/>
    <w:rsid w:val="001422B9"/>
    <w:rsid w:val="0014665F"/>
    <w:rsid w:val="001518CF"/>
    <w:rsid w:val="00153464"/>
    <w:rsid w:val="001541B3"/>
    <w:rsid w:val="00155B15"/>
    <w:rsid w:val="001625BE"/>
    <w:rsid w:val="001643A4"/>
    <w:rsid w:val="00166823"/>
    <w:rsid w:val="001727BB"/>
    <w:rsid w:val="00173E28"/>
    <w:rsid w:val="00180D25"/>
    <w:rsid w:val="00181813"/>
    <w:rsid w:val="0018318D"/>
    <w:rsid w:val="001855A9"/>
    <w:rsid w:val="0018572C"/>
    <w:rsid w:val="00187E79"/>
    <w:rsid w:val="00187F0D"/>
    <w:rsid w:val="00192CC5"/>
    <w:rsid w:val="001956A7"/>
    <w:rsid w:val="001A026A"/>
    <w:rsid w:val="001A118A"/>
    <w:rsid w:val="001A27F4"/>
    <w:rsid w:val="001A2D95"/>
    <w:rsid w:val="001A7F32"/>
    <w:rsid w:val="001B3460"/>
    <w:rsid w:val="001B4CA1"/>
    <w:rsid w:val="001B75D8"/>
    <w:rsid w:val="001C1060"/>
    <w:rsid w:val="001C3544"/>
    <w:rsid w:val="001C3C63"/>
    <w:rsid w:val="001D06B9"/>
    <w:rsid w:val="001D4732"/>
    <w:rsid w:val="001D6A3C"/>
    <w:rsid w:val="001D6D51"/>
    <w:rsid w:val="001F3A98"/>
    <w:rsid w:val="001F653A"/>
    <w:rsid w:val="001F6979"/>
    <w:rsid w:val="00202BC6"/>
    <w:rsid w:val="00205141"/>
    <w:rsid w:val="0020516B"/>
    <w:rsid w:val="00213559"/>
    <w:rsid w:val="00213EFD"/>
    <w:rsid w:val="002172F1"/>
    <w:rsid w:val="002234F9"/>
    <w:rsid w:val="00223C7B"/>
    <w:rsid w:val="00224AB1"/>
    <w:rsid w:val="0022687A"/>
    <w:rsid w:val="00230728"/>
    <w:rsid w:val="00234040"/>
    <w:rsid w:val="00235CD2"/>
    <w:rsid w:val="00241A6F"/>
    <w:rsid w:val="002522DA"/>
    <w:rsid w:val="00254DED"/>
    <w:rsid w:val="00255619"/>
    <w:rsid w:val="00255DAD"/>
    <w:rsid w:val="00256108"/>
    <w:rsid w:val="00260F33"/>
    <w:rsid w:val="002613BD"/>
    <w:rsid w:val="002624F1"/>
    <w:rsid w:val="00270C81"/>
    <w:rsid w:val="00271558"/>
    <w:rsid w:val="00274862"/>
    <w:rsid w:val="00280755"/>
    <w:rsid w:val="00282D72"/>
    <w:rsid w:val="00283402"/>
    <w:rsid w:val="00290FD6"/>
    <w:rsid w:val="00294259"/>
    <w:rsid w:val="002A1BDD"/>
    <w:rsid w:val="002A2C81"/>
    <w:rsid w:val="002B2043"/>
    <w:rsid w:val="002B3D1A"/>
    <w:rsid w:val="002C27D0"/>
    <w:rsid w:val="002C2C9B"/>
    <w:rsid w:val="002C3515"/>
    <w:rsid w:val="002C4148"/>
    <w:rsid w:val="002C75B5"/>
    <w:rsid w:val="002D17D6"/>
    <w:rsid w:val="002D18D7"/>
    <w:rsid w:val="002D21CE"/>
    <w:rsid w:val="002D7C3A"/>
    <w:rsid w:val="002E3DA3"/>
    <w:rsid w:val="002E450F"/>
    <w:rsid w:val="002E6B38"/>
    <w:rsid w:val="002E6D63"/>
    <w:rsid w:val="002E6E2B"/>
    <w:rsid w:val="002F500B"/>
    <w:rsid w:val="00300991"/>
    <w:rsid w:val="00301959"/>
    <w:rsid w:val="00305B8A"/>
    <w:rsid w:val="003168C0"/>
    <w:rsid w:val="0032307E"/>
    <w:rsid w:val="00331BF9"/>
    <w:rsid w:val="0033495E"/>
    <w:rsid w:val="00334A79"/>
    <w:rsid w:val="00334D8D"/>
    <w:rsid w:val="00337345"/>
    <w:rsid w:val="00337DD2"/>
    <w:rsid w:val="003404D1"/>
    <w:rsid w:val="003414A6"/>
    <w:rsid w:val="003443FF"/>
    <w:rsid w:val="003532E1"/>
    <w:rsid w:val="00355808"/>
    <w:rsid w:val="00357BAF"/>
    <w:rsid w:val="00362C7E"/>
    <w:rsid w:val="00363309"/>
    <w:rsid w:val="00363601"/>
    <w:rsid w:val="00371857"/>
    <w:rsid w:val="00373BE9"/>
    <w:rsid w:val="00376AC9"/>
    <w:rsid w:val="00390164"/>
    <w:rsid w:val="00393032"/>
    <w:rsid w:val="003938A9"/>
    <w:rsid w:val="00394B69"/>
    <w:rsid w:val="00397078"/>
    <w:rsid w:val="003A6953"/>
    <w:rsid w:val="003B257C"/>
    <w:rsid w:val="003B2BA1"/>
    <w:rsid w:val="003B6083"/>
    <w:rsid w:val="003C1525"/>
    <w:rsid w:val="003C3838"/>
    <w:rsid w:val="003C5847"/>
    <w:rsid w:val="003C7EC4"/>
    <w:rsid w:val="003D0681"/>
    <w:rsid w:val="003D12F6"/>
    <w:rsid w:val="003D1426"/>
    <w:rsid w:val="003E2F4E"/>
    <w:rsid w:val="003E720A"/>
    <w:rsid w:val="00403E6E"/>
    <w:rsid w:val="004129B4"/>
    <w:rsid w:val="00417EF0"/>
    <w:rsid w:val="00422181"/>
    <w:rsid w:val="00423439"/>
    <w:rsid w:val="004244A8"/>
    <w:rsid w:val="00425F72"/>
    <w:rsid w:val="00427736"/>
    <w:rsid w:val="00431E06"/>
    <w:rsid w:val="00441787"/>
    <w:rsid w:val="00444BA3"/>
    <w:rsid w:val="00444F2D"/>
    <w:rsid w:val="00452034"/>
    <w:rsid w:val="00455FA6"/>
    <w:rsid w:val="00461D09"/>
    <w:rsid w:val="00466C70"/>
    <w:rsid w:val="004702C9"/>
    <w:rsid w:val="00472E45"/>
    <w:rsid w:val="00473FEA"/>
    <w:rsid w:val="0047579D"/>
    <w:rsid w:val="00475F17"/>
    <w:rsid w:val="00483262"/>
    <w:rsid w:val="00484107"/>
    <w:rsid w:val="00485CC5"/>
    <w:rsid w:val="0049343F"/>
    <w:rsid w:val="00495AAE"/>
    <w:rsid w:val="004964FC"/>
    <w:rsid w:val="004A145E"/>
    <w:rsid w:val="004A1F15"/>
    <w:rsid w:val="004A2A81"/>
    <w:rsid w:val="004A69FF"/>
    <w:rsid w:val="004A7BD7"/>
    <w:rsid w:val="004C15C2"/>
    <w:rsid w:val="004C36D8"/>
    <w:rsid w:val="004D1248"/>
    <w:rsid w:val="004D1E3C"/>
    <w:rsid w:val="004D4169"/>
    <w:rsid w:val="004D6E14"/>
    <w:rsid w:val="004F0575"/>
    <w:rsid w:val="004F468B"/>
    <w:rsid w:val="004F4E17"/>
    <w:rsid w:val="0050082F"/>
    <w:rsid w:val="00500C56"/>
    <w:rsid w:val="00501713"/>
    <w:rsid w:val="00506568"/>
    <w:rsid w:val="00510044"/>
    <w:rsid w:val="005127F5"/>
    <w:rsid w:val="0051551B"/>
    <w:rsid w:val="00520C57"/>
    <w:rsid w:val="00522D94"/>
    <w:rsid w:val="00533D89"/>
    <w:rsid w:val="00536564"/>
    <w:rsid w:val="0054380F"/>
    <w:rsid w:val="00544597"/>
    <w:rsid w:val="00544FFE"/>
    <w:rsid w:val="005473F5"/>
    <w:rsid w:val="005477E7"/>
    <w:rsid w:val="00552794"/>
    <w:rsid w:val="00555B6E"/>
    <w:rsid w:val="00555F8F"/>
    <w:rsid w:val="00563199"/>
    <w:rsid w:val="00564874"/>
    <w:rsid w:val="0056643A"/>
    <w:rsid w:val="00567963"/>
    <w:rsid w:val="0057009A"/>
    <w:rsid w:val="00571260"/>
    <w:rsid w:val="0057189C"/>
    <w:rsid w:val="00573FC1"/>
    <w:rsid w:val="005741EE"/>
    <w:rsid w:val="0057668E"/>
    <w:rsid w:val="005837A3"/>
    <w:rsid w:val="00595E83"/>
    <w:rsid w:val="00596530"/>
    <w:rsid w:val="005967F3"/>
    <w:rsid w:val="005A06DF"/>
    <w:rsid w:val="005A5527"/>
    <w:rsid w:val="005A5AE6"/>
    <w:rsid w:val="005B1206"/>
    <w:rsid w:val="005B37E8"/>
    <w:rsid w:val="005B41D2"/>
    <w:rsid w:val="005C0056"/>
    <w:rsid w:val="005D61D6"/>
    <w:rsid w:val="005E0D13"/>
    <w:rsid w:val="005E2EF7"/>
    <w:rsid w:val="005E5047"/>
    <w:rsid w:val="005E7205"/>
    <w:rsid w:val="005E7371"/>
    <w:rsid w:val="005F116C"/>
    <w:rsid w:val="005F2131"/>
    <w:rsid w:val="005F3521"/>
    <w:rsid w:val="005F7A1E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7221"/>
    <w:rsid w:val="00627EE8"/>
    <w:rsid w:val="006316FA"/>
    <w:rsid w:val="0063275A"/>
    <w:rsid w:val="006370D2"/>
    <w:rsid w:val="00637CA0"/>
    <w:rsid w:val="0064074F"/>
    <w:rsid w:val="00641F55"/>
    <w:rsid w:val="00642947"/>
    <w:rsid w:val="00645E4A"/>
    <w:rsid w:val="00653688"/>
    <w:rsid w:val="00657866"/>
    <w:rsid w:val="0066091B"/>
    <w:rsid w:val="00664730"/>
    <w:rsid w:val="006660E9"/>
    <w:rsid w:val="00667249"/>
    <w:rsid w:val="00667558"/>
    <w:rsid w:val="00671523"/>
    <w:rsid w:val="006754EF"/>
    <w:rsid w:val="00676C8D"/>
    <w:rsid w:val="00676F1F"/>
    <w:rsid w:val="00677381"/>
    <w:rsid w:val="00677414"/>
    <w:rsid w:val="006832CF"/>
    <w:rsid w:val="0068601E"/>
    <w:rsid w:val="006908C2"/>
    <w:rsid w:val="0069486B"/>
    <w:rsid w:val="006A0E8A"/>
    <w:rsid w:val="006A42B8"/>
    <w:rsid w:val="006A4904"/>
    <w:rsid w:val="006A548F"/>
    <w:rsid w:val="006A701A"/>
    <w:rsid w:val="006B3850"/>
    <w:rsid w:val="006B64DC"/>
    <w:rsid w:val="006B7A91"/>
    <w:rsid w:val="006C419B"/>
    <w:rsid w:val="006D236F"/>
    <w:rsid w:val="006D4704"/>
    <w:rsid w:val="006D6A2D"/>
    <w:rsid w:val="006D7468"/>
    <w:rsid w:val="006E1E18"/>
    <w:rsid w:val="006E31CE"/>
    <w:rsid w:val="006E34D3"/>
    <w:rsid w:val="006F1435"/>
    <w:rsid w:val="006F3EBD"/>
    <w:rsid w:val="006F78C4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15D0"/>
    <w:rsid w:val="00744BF9"/>
    <w:rsid w:val="00752623"/>
    <w:rsid w:val="00760F1F"/>
    <w:rsid w:val="0076423E"/>
    <w:rsid w:val="007646CB"/>
    <w:rsid w:val="0076658F"/>
    <w:rsid w:val="0077040A"/>
    <w:rsid w:val="00772D64"/>
    <w:rsid w:val="00791BC8"/>
    <w:rsid w:val="007920C2"/>
    <w:rsid w:val="00792609"/>
    <w:rsid w:val="00792887"/>
    <w:rsid w:val="007943E2"/>
    <w:rsid w:val="00794F2C"/>
    <w:rsid w:val="007A2947"/>
    <w:rsid w:val="007A3BC7"/>
    <w:rsid w:val="007A5AC4"/>
    <w:rsid w:val="007B0FDD"/>
    <w:rsid w:val="007B4802"/>
    <w:rsid w:val="007B6668"/>
    <w:rsid w:val="007B6B33"/>
    <w:rsid w:val="007C2701"/>
    <w:rsid w:val="007C3E3C"/>
    <w:rsid w:val="007D2192"/>
    <w:rsid w:val="007D780B"/>
    <w:rsid w:val="007F0021"/>
    <w:rsid w:val="007F2F52"/>
    <w:rsid w:val="00801F71"/>
    <w:rsid w:val="00805F28"/>
    <w:rsid w:val="0080749F"/>
    <w:rsid w:val="00811D46"/>
    <w:rsid w:val="008125B0"/>
    <w:rsid w:val="008144CB"/>
    <w:rsid w:val="00821717"/>
    <w:rsid w:val="00824210"/>
    <w:rsid w:val="008263C0"/>
    <w:rsid w:val="00841422"/>
    <w:rsid w:val="00841D3B"/>
    <w:rsid w:val="0084314C"/>
    <w:rsid w:val="00843171"/>
    <w:rsid w:val="00856799"/>
    <w:rsid w:val="008575C3"/>
    <w:rsid w:val="00863D28"/>
    <w:rsid w:val="008640EF"/>
    <w:rsid w:val="008644D8"/>
    <w:rsid w:val="008648C3"/>
    <w:rsid w:val="008772E8"/>
    <w:rsid w:val="00877650"/>
    <w:rsid w:val="00880F26"/>
    <w:rsid w:val="00896C2E"/>
    <w:rsid w:val="008A5095"/>
    <w:rsid w:val="008A608F"/>
    <w:rsid w:val="008B18EF"/>
    <w:rsid w:val="008B1A9A"/>
    <w:rsid w:val="008B472A"/>
    <w:rsid w:val="008B4FE6"/>
    <w:rsid w:val="008B6C37"/>
    <w:rsid w:val="008D1B85"/>
    <w:rsid w:val="008D245B"/>
    <w:rsid w:val="008D266F"/>
    <w:rsid w:val="008E18F7"/>
    <w:rsid w:val="008E1E10"/>
    <w:rsid w:val="008E291B"/>
    <w:rsid w:val="008E4F2F"/>
    <w:rsid w:val="008E74B0"/>
    <w:rsid w:val="009008A8"/>
    <w:rsid w:val="009063B0"/>
    <w:rsid w:val="009066F8"/>
    <w:rsid w:val="00907106"/>
    <w:rsid w:val="009107FD"/>
    <w:rsid w:val="0091137C"/>
    <w:rsid w:val="00911567"/>
    <w:rsid w:val="00914F46"/>
    <w:rsid w:val="00917AAE"/>
    <w:rsid w:val="009251A9"/>
    <w:rsid w:val="00930699"/>
    <w:rsid w:val="00931F69"/>
    <w:rsid w:val="00934123"/>
    <w:rsid w:val="00950D77"/>
    <w:rsid w:val="00955298"/>
    <w:rsid w:val="00955774"/>
    <w:rsid w:val="009560B5"/>
    <w:rsid w:val="00962472"/>
    <w:rsid w:val="009703D6"/>
    <w:rsid w:val="00970CDF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0658"/>
    <w:rsid w:val="009A1D86"/>
    <w:rsid w:val="009A6018"/>
    <w:rsid w:val="009B049C"/>
    <w:rsid w:val="009B11C8"/>
    <w:rsid w:val="009B2BCF"/>
    <w:rsid w:val="009B2FF8"/>
    <w:rsid w:val="009B31E5"/>
    <w:rsid w:val="009B5BA3"/>
    <w:rsid w:val="009B5E52"/>
    <w:rsid w:val="009C361B"/>
    <w:rsid w:val="009D0027"/>
    <w:rsid w:val="009D0655"/>
    <w:rsid w:val="009D095D"/>
    <w:rsid w:val="009D5A31"/>
    <w:rsid w:val="009D7C03"/>
    <w:rsid w:val="009E1E98"/>
    <w:rsid w:val="009E3ABE"/>
    <w:rsid w:val="009E3C4B"/>
    <w:rsid w:val="009F0637"/>
    <w:rsid w:val="009F62A6"/>
    <w:rsid w:val="009F674F"/>
    <w:rsid w:val="009F799E"/>
    <w:rsid w:val="00A02020"/>
    <w:rsid w:val="00A056CB"/>
    <w:rsid w:val="00A07A29"/>
    <w:rsid w:val="00A10FF1"/>
    <w:rsid w:val="00A1506B"/>
    <w:rsid w:val="00A17CB2"/>
    <w:rsid w:val="00A23191"/>
    <w:rsid w:val="00A27D43"/>
    <w:rsid w:val="00A319C0"/>
    <w:rsid w:val="00A33560"/>
    <w:rsid w:val="00A356E2"/>
    <w:rsid w:val="00A364E4"/>
    <w:rsid w:val="00A371A5"/>
    <w:rsid w:val="00A45CA1"/>
    <w:rsid w:val="00A47BDF"/>
    <w:rsid w:val="00A5076B"/>
    <w:rsid w:val="00A51CD7"/>
    <w:rsid w:val="00A52ADB"/>
    <w:rsid w:val="00A533E8"/>
    <w:rsid w:val="00A542D9"/>
    <w:rsid w:val="00A56E64"/>
    <w:rsid w:val="00A624C3"/>
    <w:rsid w:val="00A6610C"/>
    <w:rsid w:val="00A6641C"/>
    <w:rsid w:val="00A669FB"/>
    <w:rsid w:val="00A767D2"/>
    <w:rsid w:val="00A77616"/>
    <w:rsid w:val="00A805DA"/>
    <w:rsid w:val="00A811B4"/>
    <w:rsid w:val="00A821DA"/>
    <w:rsid w:val="00A87CDE"/>
    <w:rsid w:val="00A918B0"/>
    <w:rsid w:val="00A92BAF"/>
    <w:rsid w:val="00A94737"/>
    <w:rsid w:val="00A94BA3"/>
    <w:rsid w:val="00A9662F"/>
    <w:rsid w:val="00A96CBA"/>
    <w:rsid w:val="00A978E2"/>
    <w:rsid w:val="00AA329D"/>
    <w:rsid w:val="00AB1ACD"/>
    <w:rsid w:val="00AB277F"/>
    <w:rsid w:val="00AB4099"/>
    <w:rsid w:val="00AB449A"/>
    <w:rsid w:val="00AC6EC2"/>
    <w:rsid w:val="00AD14F9"/>
    <w:rsid w:val="00AD35D6"/>
    <w:rsid w:val="00AD43FB"/>
    <w:rsid w:val="00AD58C5"/>
    <w:rsid w:val="00AE36C4"/>
    <w:rsid w:val="00AE472C"/>
    <w:rsid w:val="00AE5375"/>
    <w:rsid w:val="00AE6CF8"/>
    <w:rsid w:val="00AE7327"/>
    <w:rsid w:val="00AF4CAC"/>
    <w:rsid w:val="00B03E0D"/>
    <w:rsid w:val="00B054F8"/>
    <w:rsid w:val="00B2219A"/>
    <w:rsid w:val="00B26342"/>
    <w:rsid w:val="00B3581B"/>
    <w:rsid w:val="00B36B81"/>
    <w:rsid w:val="00B36FEE"/>
    <w:rsid w:val="00B37C80"/>
    <w:rsid w:val="00B5092B"/>
    <w:rsid w:val="00B51305"/>
    <w:rsid w:val="00B5194E"/>
    <w:rsid w:val="00B51AF5"/>
    <w:rsid w:val="00B531FC"/>
    <w:rsid w:val="00B55347"/>
    <w:rsid w:val="00B57E5E"/>
    <w:rsid w:val="00B61F37"/>
    <w:rsid w:val="00B63F0B"/>
    <w:rsid w:val="00B6763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189C"/>
    <w:rsid w:val="00B93834"/>
    <w:rsid w:val="00B96469"/>
    <w:rsid w:val="00BA0DA2"/>
    <w:rsid w:val="00BA2981"/>
    <w:rsid w:val="00BA2BB7"/>
    <w:rsid w:val="00BA42EE"/>
    <w:rsid w:val="00BA48F9"/>
    <w:rsid w:val="00BA523E"/>
    <w:rsid w:val="00BB0DCA"/>
    <w:rsid w:val="00BB2666"/>
    <w:rsid w:val="00BB6B80"/>
    <w:rsid w:val="00BC3773"/>
    <w:rsid w:val="00BC381A"/>
    <w:rsid w:val="00BD0962"/>
    <w:rsid w:val="00BD1EED"/>
    <w:rsid w:val="00BE1E6C"/>
    <w:rsid w:val="00BE43BB"/>
    <w:rsid w:val="00BF0DA2"/>
    <w:rsid w:val="00BF109C"/>
    <w:rsid w:val="00BF34FA"/>
    <w:rsid w:val="00C004B6"/>
    <w:rsid w:val="00C047A7"/>
    <w:rsid w:val="00C05DE5"/>
    <w:rsid w:val="00C1662B"/>
    <w:rsid w:val="00C33027"/>
    <w:rsid w:val="00C37667"/>
    <w:rsid w:val="00C435DB"/>
    <w:rsid w:val="00C44D73"/>
    <w:rsid w:val="00C50B42"/>
    <w:rsid w:val="00C516FF"/>
    <w:rsid w:val="00C52BFA"/>
    <w:rsid w:val="00C53D1D"/>
    <w:rsid w:val="00C53F26"/>
    <w:rsid w:val="00C540BC"/>
    <w:rsid w:val="00C5499D"/>
    <w:rsid w:val="00C64F7D"/>
    <w:rsid w:val="00C67309"/>
    <w:rsid w:val="00C7614E"/>
    <w:rsid w:val="00C77BF1"/>
    <w:rsid w:val="00C80D60"/>
    <w:rsid w:val="00C82FBD"/>
    <w:rsid w:val="00C85267"/>
    <w:rsid w:val="00C8721B"/>
    <w:rsid w:val="00C9372C"/>
    <w:rsid w:val="00C9470E"/>
    <w:rsid w:val="00C95CEB"/>
    <w:rsid w:val="00CA1054"/>
    <w:rsid w:val="00CA63EB"/>
    <w:rsid w:val="00CA69F1"/>
    <w:rsid w:val="00CB34B5"/>
    <w:rsid w:val="00CB6991"/>
    <w:rsid w:val="00CC6194"/>
    <w:rsid w:val="00CC6305"/>
    <w:rsid w:val="00CC78A5"/>
    <w:rsid w:val="00CD0516"/>
    <w:rsid w:val="00CD2273"/>
    <w:rsid w:val="00CD756B"/>
    <w:rsid w:val="00CE734F"/>
    <w:rsid w:val="00CF112E"/>
    <w:rsid w:val="00CF2264"/>
    <w:rsid w:val="00CF341C"/>
    <w:rsid w:val="00CF5F4F"/>
    <w:rsid w:val="00D116AA"/>
    <w:rsid w:val="00D15FEE"/>
    <w:rsid w:val="00D218DC"/>
    <w:rsid w:val="00D21F2F"/>
    <w:rsid w:val="00D24E56"/>
    <w:rsid w:val="00D31643"/>
    <w:rsid w:val="00D31AEB"/>
    <w:rsid w:val="00D32ECD"/>
    <w:rsid w:val="00D361E4"/>
    <w:rsid w:val="00D36676"/>
    <w:rsid w:val="00D42A8F"/>
    <w:rsid w:val="00D439F6"/>
    <w:rsid w:val="00D459C6"/>
    <w:rsid w:val="00D4763B"/>
    <w:rsid w:val="00D50729"/>
    <w:rsid w:val="00D50C19"/>
    <w:rsid w:val="00D5379E"/>
    <w:rsid w:val="00D62643"/>
    <w:rsid w:val="00D64C0F"/>
    <w:rsid w:val="00D72EFE"/>
    <w:rsid w:val="00D76227"/>
    <w:rsid w:val="00D77DF1"/>
    <w:rsid w:val="00D86AFF"/>
    <w:rsid w:val="00D92E64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02D9"/>
    <w:rsid w:val="00E172B8"/>
    <w:rsid w:val="00E17FB4"/>
    <w:rsid w:val="00E20B75"/>
    <w:rsid w:val="00E214F2"/>
    <w:rsid w:val="00E2371E"/>
    <w:rsid w:val="00E24BD7"/>
    <w:rsid w:val="00E26523"/>
    <w:rsid w:val="00E26809"/>
    <w:rsid w:val="00E3412D"/>
    <w:rsid w:val="00E35F8A"/>
    <w:rsid w:val="00E42CE9"/>
    <w:rsid w:val="00E5630C"/>
    <w:rsid w:val="00E57322"/>
    <w:rsid w:val="00E628CB"/>
    <w:rsid w:val="00E62AD9"/>
    <w:rsid w:val="00E638C8"/>
    <w:rsid w:val="00E7509B"/>
    <w:rsid w:val="00E86590"/>
    <w:rsid w:val="00E907FF"/>
    <w:rsid w:val="00E96736"/>
    <w:rsid w:val="00EA42D1"/>
    <w:rsid w:val="00EA42EF"/>
    <w:rsid w:val="00EA59C2"/>
    <w:rsid w:val="00EB2DD1"/>
    <w:rsid w:val="00EB6B37"/>
    <w:rsid w:val="00EC29FE"/>
    <w:rsid w:val="00EC3C70"/>
    <w:rsid w:val="00ED3A3D"/>
    <w:rsid w:val="00ED538A"/>
    <w:rsid w:val="00ED6FBC"/>
    <w:rsid w:val="00EE2F16"/>
    <w:rsid w:val="00EE3753"/>
    <w:rsid w:val="00EE3861"/>
    <w:rsid w:val="00EF1A21"/>
    <w:rsid w:val="00EF290C"/>
    <w:rsid w:val="00EF2A29"/>
    <w:rsid w:val="00EF2E73"/>
    <w:rsid w:val="00EF7683"/>
    <w:rsid w:val="00EF7A2D"/>
    <w:rsid w:val="00F0155D"/>
    <w:rsid w:val="00F01B13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37EB1"/>
    <w:rsid w:val="00F41AC6"/>
    <w:rsid w:val="00F41CB1"/>
    <w:rsid w:val="00F4376D"/>
    <w:rsid w:val="00F45399"/>
    <w:rsid w:val="00F465EA"/>
    <w:rsid w:val="00F54E7B"/>
    <w:rsid w:val="00F55A88"/>
    <w:rsid w:val="00F56B86"/>
    <w:rsid w:val="00F74005"/>
    <w:rsid w:val="00F76884"/>
    <w:rsid w:val="00F83D24"/>
    <w:rsid w:val="00F83DD9"/>
    <w:rsid w:val="00F83F40"/>
    <w:rsid w:val="00F90F90"/>
    <w:rsid w:val="00FA117A"/>
    <w:rsid w:val="00FA59AD"/>
    <w:rsid w:val="00FB386A"/>
    <w:rsid w:val="00FB5867"/>
    <w:rsid w:val="00FC0786"/>
    <w:rsid w:val="00FC49EF"/>
    <w:rsid w:val="00FE0CFC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4C12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aliases w:val="Dot pt,F5 List Paragraph,List Paragraph1,Recommendation,List Paragraph11,List Paragraph,Numerowanie,Kolorowa lista — akcent 11,Listaszerű bekezdés1,List Paragraph à moi,Akapit z listą1,Akapit z listą11,Numbered Para 1,No Spacing1,2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paragraph" w:customStyle="1" w:styleId="c08dispositif">
    <w:name w:val="c08dispositif"/>
    <w:basedOn w:val="Normalny"/>
    <w:rsid w:val="00664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55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1BFA08-CA9F-4AF9-91D6-5D6458516FEB}"/>
      </w:docPartPr>
      <w:docPartBody>
        <w:p w:rsidR="00F523DD" w:rsidRDefault="00AD66A9">
          <w:r w:rsidRPr="008D2484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A9"/>
    <w:rsid w:val="000A0379"/>
    <w:rsid w:val="000B3D34"/>
    <w:rsid w:val="000C0D6E"/>
    <w:rsid w:val="000E053B"/>
    <w:rsid w:val="002262BA"/>
    <w:rsid w:val="0030439E"/>
    <w:rsid w:val="00393D7C"/>
    <w:rsid w:val="004034AB"/>
    <w:rsid w:val="00435139"/>
    <w:rsid w:val="00470F4A"/>
    <w:rsid w:val="005D17F5"/>
    <w:rsid w:val="005F61C1"/>
    <w:rsid w:val="006E0D46"/>
    <w:rsid w:val="0071117B"/>
    <w:rsid w:val="00780CAD"/>
    <w:rsid w:val="00782A91"/>
    <w:rsid w:val="008C7CA2"/>
    <w:rsid w:val="008E2713"/>
    <w:rsid w:val="009348C1"/>
    <w:rsid w:val="009A35E3"/>
    <w:rsid w:val="009E217B"/>
    <w:rsid w:val="00A84FEA"/>
    <w:rsid w:val="00AD66A9"/>
    <w:rsid w:val="00C22629"/>
    <w:rsid w:val="00CE14F6"/>
    <w:rsid w:val="00E00E2F"/>
    <w:rsid w:val="00E67548"/>
    <w:rsid w:val="00EF3405"/>
    <w:rsid w:val="00F46BBC"/>
    <w:rsid w:val="00F523DD"/>
    <w:rsid w:val="00F7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D998F-A3F8-45A6-8574-BF4B1773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4742</Words>
  <Characters>28457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LinksUpToDate>false</LinksUpToDate>
  <CharactersWithSpaces>33133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creator/>
  <cp:keywords>ocena skutków regulacji</cp:keywords>
  <cp:lastModifiedBy/>
  <cp:revision>1</cp:revision>
  <dcterms:created xsi:type="dcterms:W3CDTF">2022-08-10T08:01:00Z</dcterms:created>
  <dcterms:modified xsi:type="dcterms:W3CDTF">2022-08-10T08:01:00Z</dcterms:modified>
</cp:coreProperties>
</file>