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F99D0A" w14:textId="56BC353A" w:rsidR="001A0F1E" w:rsidRDefault="003F3C12" w:rsidP="003F3C12">
      <w:pPr>
        <w:jc w:val="right"/>
      </w:pPr>
      <w:r>
        <w:t>Załącznik nr 2.</w:t>
      </w:r>
      <w:r w:rsidR="000D5A97">
        <w:t>2</w:t>
      </w:r>
      <w:r>
        <w:t xml:space="preserve">. – Szczegółowy formularz </w:t>
      </w:r>
      <w:r w:rsidR="002B60AB">
        <w:t>cenowy</w:t>
      </w:r>
      <w:r w:rsidR="004D1C3A">
        <w:t xml:space="preserve">- Pakiet </w:t>
      </w:r>
      <w:r w:rsidR="000D5A97">
        <w:t>2</w:t>
      </w:r>
    </w:p>
    <w:p w14:paraId="5104912B" w14:textId="77777777" w:rsidR="003F3C12" w:rsidRDefault="003F3C12" w:rsidP="003F3C12">
      <w:pPr>
        <w:jc w:val="right"/>
      </w:pPr>
    </w:p>
    <w:tbl>
      <w:tblPr>
        <w:tblW w:w="150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4940"/>
        <w:gridCol w:w="1300"/>
        <w:gridCol w:w="1000"/>
        <w:gridCol w:w="1215"/>
        <w:gridCol w:w="780"/>
        <w:gridCol w:w="1215"/>
        <w:gridCol w:w="1320"/>
        <w:gridCol w:w="960"/>
        <w:gridCol w:w="1960"/>
      </w:tblGrid>
      <w:tr w:rsidR="003F3C12" w:rsidRPr="003F3C12" w14:paraId="173659D2" w14:textId="77777777" w:rsidTr="00335859">
        <w:trPr>
          <w:trHeight w:val="300"/>
        </w:trPr>
        <w:tc>
          <w:tcPr>
            <w:tcW w:w="15090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5FA1CF8" w14:textId="7A80BD84" w:rsidR="003F3C12" w:rsidRPr="003F3C12" w:rsidRDefault="003F3C12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ODCZYNNIKI </w:t>
            </w:r>
            <w:r w:rsidR="000D5A9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DO CHROMATOGRAFII</w:t>
            </w:r>
          </w:p>
        </w:tc>
      </w:tr>
      <w:tr w:rsidR="003F3C12" w:rsidRPr="003F3C12" w14:paraId="21449043" w14:textId="77777777" w:rsidTr="00335859">
        <w:trPr>
          <w:trHeight w:val="765"/>
        </w:trPr>
        <w:tc>
          <w:tcPr>
            <w:tcW w:w="4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1B208D5B" w14:textId="77777777" w:rsidR="003F3C12" w:rsidRPr="003F3C12" w:rsidRDefault="003F3C12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49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4ADB9B26" w14:textId="77777777" w:rsidR="003F3C12" w:rsidRPr="003F3C12" w:rsidRDefault="003F3C12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 towaru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65DBD865" w14:textId="77777777" w:rsidR="003F3C12" w:rsidRPr="003F3C12" w:rsidRDefault="003F3C12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wielk</w:t>
            </w:r>
            <w:proofErr w:type="spellEnd"/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 opak.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3E09817E" w14:textId="77777777" w:rsidR="003F3C12" w:rsidRPr="003F3C12" w:rsidRDefault="003F3C12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 zam. op.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0DB9A0B5" w14:textId="74C0667A" w:rsidR="003F3C12" w:rsidRPr="003F3C12" w:rsidRDefault="003F3C12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Cena </w:t>
            </w:r>
            <w:r w:rsidR="00C2544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jednostkowa </w:t>
            </w: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netto [zł]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255702BE" w14:textId="77777777" w:rsidR="003F3C12" w:rsidRPr="003F3C12" w:rsidRDefault="003F3C12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VAT %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1610F556" w14:textId="0F7B1121" w:rsidR="003F3C12" w:rsidRPr="003F3C12" w:rsidRDefault="003F3C12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Cena </w:t>
            </w:r>
            <w:r w:rsidR="00C2544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jednostkowa </w:t>
            </w: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brutto [zł]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23A0B491" w14:textId="77777777" w:rsidR="003F3C12" w:rsidRPr="003F3C12" w:rsidRDefault="003F3C12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Wartość netto [zł]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673BEDB9" w14:textId="77777777" w:rsidR="003F3C12" w:rsidRPr="003F3C12" w:rsidRDefault="003F3C12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Wartość brutto [zł]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011BC441" w14:textId="77777777" w:rsidR="003F3C12" w:rsidRPr="003F3C12" w:rsidRDefault="003F3C12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Oferowany produkt (producent, nr katalogowy)</w:t>
            </w:r>
          </w:p>
        </w:tc>
      </w:tr>
      <w:tr w:rsidR="00591E57" w:rsidRPr="003F3C12" w14:paraId="5B142F1C" w14:textId="77777777" w:rsidTr="00335859">
        <w:trPr>
          <w:trHeight w:val="30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F18FB" w14:textId="79D1B87F" w:rsidR="00591E57" w:rsidRPr="003F3C12" w:rsidRDefault="00591E57" w:rsidP="00591E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E34D5" w14:textId="7D9FDE03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Aceton DO HPLC,</w:t>
            </w:r>
            <w:r>
              <w:rPr>
                <w:rFonts w:ascii="Arial" w:hAnsi="Arial" w:cs="Arial"/>
                <w:sz w:val="20"/>
                <w:szCs w:val="20"/>
              </w:rPr>
              <w:t xml:space="preserve"> aceton do chromatografii cieczowej , czystość  (GC)≥ 99.8 %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zgodność z tożsamością (IR) </w:t>
            </w:r>
            <w:r>
              <w:rPr>
                <w:rFonts w:ascii="Arial" w:hAnsi="Arial" w:cs="Arial"/>
                <w:sz w:val="20"/>
                <w:szCs w:val="20"/>
              </w:rPr>
              <w:br/>
              <w:t>pozostałości po odparowaniu ≤ 2.0 mg/l</w:t>
            </w:r>
            <w:r>
              <w:rPr>
                <w:rFonts w:ascii="Arial" w:hAnsi="Arial" w:cs="Arial"/>
                <w:sz w:val="20"/>
                <w:szCs w:val="20"/>
              </w:rPr>
              <w:br/>
              <w:t>zawartość wody  ≤ 0.05 %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wolne kwasy  ≤ 0.0002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meq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/g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wolne zasady  ≤ 0.0002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meq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/g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transmisja w 335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 ≥ 50 %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transmisja w 340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≥ 80 %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transmisja od 350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 ≥ 98 %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filtrowany przez filtr 0.2 µm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filter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             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4D90DE" w14:textId="79151F49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2,5 l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B650D" w14:textId="3A5E19A6" w:rsidR="00591E57" w:rsidRPr="003F3C12" w:rsidRDefault="00591E57" w:rsidP="00591E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05EE0" w14:textId="080CD23E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4B3F1" w14:textId="48E804CC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810D3" w14:textId="1D0AF865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0A3430" w14:textId="4DD5C59D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0DE7E" w14:textId="64F60975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4656F" w14:textId="152FC71B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91E57" w:rsidRPr="003F3C12" w14:paraId="21FFF2A1" w14:textId="77777777" w:rsidTr="0033585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03292" w14:textId="470ABEF6" w:rsidR="00591E57" w:rsidRPr="003F3C12" w:rsidRDefault="00591E57" w:rsidP="00591E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0C601" w14:textId="024CAC0D" w:rsidR="00591E57" w:rsidRPr="003F3C12" w:rsidRDefault="00591E57" w:rsidP="00591E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Acetonitryl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do HPLC , odpowiedni do UHPLC</w:t>
            </w:r>
            <w:r>
              <w:rPr>
                <w:rFonts w:ascii="Arial" w:hAnsi="Arial" w:cs="Arial"/>
                <w:sz w:val="18"/>
                <w:szCs w:val="18"/>
              </w:rPr>
              <w:t xml:space="preserve"> - czystość (GC) &gt; 99,9% pozostałości po odparowaniu ≤ 2 mg/l; wolne kwasy ≤ 0,0002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meq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/g, wolne zasady ≤ 0,0002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meq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/g, zawartość wody  ≤ 0.02%, szum w gradiencie (210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) ≤ 1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mAU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szum w gradiencie (254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) ≤ 0,5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mAU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Transmisja w 195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≥ 80% Transmisja w 230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≥ 98% Fluorescencja (chinina) w 254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≤ 1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ppb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Fluorescencja (chinina) w 365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≤ 0,5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ppb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 filtrowany przez filtr 0,2 µm, certyfikat jakości oraz aktualna karta charakterystyki substancji chemicznej. Termin ważności min 2 lata od dostawy.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912B1" w14:textId="5271298A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l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8EF3BA" w14:textId="5A538387" w:rsidR="00591E57" w:rsidRPr="003F3C12" w:rsidRDefault="00591E57" w:rsidP="00591E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92832" w14:textId="0E77F21F" w:rsidR="00591E57" w:rsidRPr="003F3C12" w:rsidRDefault="00591E57" w:rsidP="00591E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7E94B" w14:textId="461E2B82" w:rsidR="00591E57" w:rsidRPr="003F3C12" w:rsidRDefault="00591E57" w:rsidP="00591E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DC801" w14:textId="49F7E522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7519" w14:textId="45A79B26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CF3CC5" w14:textId="730C9B1D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5AFF46" w14:textId="4B5ABCDF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91E57" w:rsidRPr="003F3C12" w14:paraId="750A87DA" w14:textId="77777777" w:rsidTr="00335859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BC7ED" w14:textId="50E9AE34" w:rsidR="00591E57" w:rsidRPr="003F3C12" w:rsidRDefault="00591E57" w:rsidP="00591E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1CD34" w14:textId="2FCCEAC4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Acetonitryl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do HPLC gradient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grade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odpowiedni do UHPLC - czystość (GC) &gt; 99,9% pozostałości po odparowaniu ≤ 2 mg/l; wolne kwasy ≤ 0,0002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meq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/g, wolne zasady ≤ 0,0002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meq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/g, zawartość wody  ≤ 0.02%, szum w gradiencie (210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nm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) ≤ 1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mAU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szum w gradiencie (254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nm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) ≤ 0,5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mAU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Transmisja w 195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nm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≥ 80% Transmisja w 230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nm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≥ 98% Fluorescencja (chinina) w 254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nm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≤ 1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ppb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Fluorescencja (chinina) w 365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nm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≤ 0,5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ppb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filtrowany przez filtr 0,2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µ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m, certyfikat jakości oraz aktualna karta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charakterystyki substancji chemicznej. Termin ważności min 2 lata od dostawy.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A1258" w14:textId="63572DEE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2,5 l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E7444" w14:textId="2289DD4D" w:rsidR="00591E57" w:rsidRPr="003F3C12" w:rsidRDefault="00591E57" w:rsidP="00591E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F1452" w14:textId="7CF341DD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B496E" w14:textId="3D3031CC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CF147" w14:textId="3D714350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1156C" w14:textId="24DFEC19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FA7FA" w14:textId="4120DD8B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BF032" w14:textId="33D658FE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91E57" w:rsidRPr="003F3C12" w14:paraId="56BFCCE5" w14:textId="77777777" w:rsidTr="00335859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305D9F" w14:textId="1DFBA4A6" w:rsidR="00591E57" w:rsidRPr="003F3C12" w:rsidRDefault="00591E57" w:rsidP="00591E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460B8" w14:textId="59E82754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Acetonitryl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LC-MS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hypergrade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- czystość (GC) &gt; 99,97% pozostałości po odparowaniu ≤ 1 mg/l; wolne kwasy (jako CH3COOH) ≤ 0,0001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meq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/g, wolne zasady (jako NH3) ≤ 0,0002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meq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/g, zawartość wody (KF) ≤ 0.01%, szum w gradiencie (210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nm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) ≤ 1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mAU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szum w gradiencie (254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nm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) ≤ 0,5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mAU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Transmisja w 195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nm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≥ 85% Fluorescencja (chinina) w 254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nm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≤ 1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ppb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Fluorescencja (chinina) w 365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nm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≤ 0,5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ppb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Zawartość jonów (nie więcej niż) Sód - 50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ppb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Potas - 5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ppb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Magnez - 10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ppb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Glin - 10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ppb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Wapń - 10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ppb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Żelazo - 10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ppb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' Intensywność pików tła w oparciu o rezerpinę (APCI/ESI pozytywny) - 2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ppb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Intensywność pików tła w oparciu o rezerpinę (APCI/ESI negatywny) - 20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ppb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filtrowany przez filtr 0,2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µ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m, certyfikat jakości oraz aktualna karta charakterystyki substancji chemicznej, Termin ważności min 2 lata od dostawy.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F6962" w14:textId="3A39B61B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2,5 l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FA95DE" w14:textId="530BF58F" w:rsidR="00591E57" w:rsidRPr="003F3C12" w:rsidRDefault="00591E57" w:rsidP="00591E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542125" w14:textId="77777777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84475" w14:textId="77777777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B7294D" w14:textId="77777777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83EEB" w14:textId="77777777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2B64F" w14:textId="77777777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8AE9E" w14:textId="77777777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91E57" w:rsidRPr="003F3C12" w14:paraId="4B36DBD2" w14:textId="77777777" w:rsidTr="00335859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67C519" w14:textId="0CD8614B" w:rsidR="00591E57" w:rsidRPr="003F3C12" w:rsidRDefault="00591E57" w:rsidP="00591E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10CDA" w14:textId="641934C3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Cyklohexan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do HPLC,   99,9%  CAS: 110-82-7   Wzór sum.: C6H12 Zawartość % min. 99,9; gęstość pary 2,9 (w porównaniu z powietrzem) ciśnienie pary 168,8 mmHg ( 37,7 °C) 77 mmHg ( 20 °C) Próba ≥99,7% Postać temp. cieczy. samozapłonu 500 °F granice wybuchowości 9 % metody HPLC: odpowiednie ≤0,0005% substancji nielotnych ≤0,001% wolnego kwasu (jako HCl) ≤0,01% wody (Karla Fischera) ≤1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ppb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fluorescencja (chinina) przy 254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nm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≤1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ppb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fluorescencja (chinina) przy 365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nm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pozostałość po odparowaniu ≤0,0005%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56C696" w14:textId="360A17B9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2,5L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D3599" w14:textId="3C3CE9DA" w:rsidR="00591E57" w:rsidRPr="003F3C12" w:rsidRDefault="00591E57" w:rsidP="00591E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DDE89" w14:textId="77777777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DF1134" w14:textId="77777777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A3ACDE" w14:textId="77777777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B843C" w14:textId="77777777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7CC57D" w14:textId="77777777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1487E" w14:textId="77777777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91E57" w:rsidRPr="003F3C12" w14:paraId="26DD5AB7" w14:textId="77777777" w:rsidTr="00335859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BB083" w14:textId="07E41B47" w:rsidR="00591E57" w:rsidRPr="003F3C12" w:rsidRDefault="00591E57" w:rsidP="00591E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F5088" w14:textId="54F7266B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Metanol </w:t>
            </w:r>
            <w:r>
              <w:rPr>
                <w:rFonts w:ascii="Arial" w:hAnsi="Arial" w:cs="Arial"/>
                <w:sz w:val="18"/>
                <w:szCs w:val="18"/>
              </w:rPr>
              <w:t xml:space="preserve">do gradientowej wysokosprawnej chromatografii cieczowej (HPLC gradient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grade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); czystość określona techniką chromatografii gazowej (GC)&gt;99,9%; pozostałości po odparowaniu≤2.0mg/l,  wolne kwasy≤0,0002meq/g wolne zasady≤0,0002meq/g zawartość wody≤0.02% szum w gradiencie 235nm≤2mAU szum w gradiencie 254nm≤1mAU Transmisja w 210nm≥20% Transmisja w 250nm≥95% Fluorescencja (chinina) w 254nm≤1ppb Fluorescencja (chinina) w 365nm≤0,5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ppb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Absorbancja 225nm≤0,170;  filtrowany przez filtr 0,2µm, certyfikat jakości oraz aktualna karta charakterystyki substancji chemicznej, termin ważności min 1 rok od dostawy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13B10" w14:textId="2889B67B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</w:rPr>
              <w:t>2,5L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39D7E" w14:textId="462A5DD5" w:rsidR="00591E57" w:rsidRPr="003F3C12" w:rsidRDefault="00591E57" w:rsidP="00591E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DCBF4" w14:textId="77777777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864008" w14:textId="77777777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35E6D" w14:textId="77777777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A6E8A" w14:textId="77777777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F7008" w14:textId="77777777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9E32F" w14:textId="77777777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91E57" w:rsidRPr="003F3C12" w14:paraId="3FB2C156" w14:textId="77777777" w:rsidTr="00335859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A0B40" w14:textId="625E835A" w:rsidR="00591E57" w:rsidRPr="003F3C12" w:rsidRDefault="00591E57" w:rsidP="00591E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EE5ABB" w14:textId="5EE1FEC4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2-Propanol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Izopropanol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 DO HPLC , do gradientowej wysokosprawnej chromatografii cieczowej (HPLC czystość gradientowa)    czystość  (GC)≥ 99.9 %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zgodność z tożsamością (IR) </w:t>
            </w:r>
            <w:r>
              <w:rPr>
                <w:rFonts w:ascii="Arial" w:hAnsi="Arial" w:cs="Arial"/>
                <w:sz w:val="20"/>
                <w:szCs w:val="20"/>
              </w:rPr>
              <w:br/>
              <w:t>pozostałości po odparowaniu ≤ 2.0 mg/l</w:t>
            </w:r>
            <w:r>
              <w:rPr>
                <w:rFonts w:ascii="Arial" w:hAnsi="Arial" w:cs="Arial"/>
                <w:sz w:val="20"/>
                <w:szCs w:val="20"/>
              </w:rPr>
              <w:br/>
              <w:t>zawartość wody ≤ 0.05 %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wolne kwasy ≤ 0.0002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meq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/g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wolne zasady ≤ 0.0002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meq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/g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czystość gradientowa w 235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≤ 1.0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br/>
              <w:t xml:space="preserve">czystość gradientowa w 254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≤ 1.0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br/>
              <w:t xml:space="preserve">transmisja w 220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(kontrola po przedmuchiwaniu za pomocą N</w:t>
            </w:r>
            <w:r>
              <w:rPr>
                <w:rFonts w:ascii="Cambria Math" w:hAnsi="Cambria Math" w:cs="Cambria Math"/>
                <w:sz w:val="20"/>
                <w:szCs w:val="20"/>
              </w:rPr>
              <w:t>₂</w:t>
            </w:r>
            <w:r>
              <w:rPr>
                <w:rFonts w:ascii="Arial" w:hAnsi="Arial" w:cs="Arial"/>
                <w:sz w:val="20"/>
                <w:szCs w:val="20"/>
              </w:rPr>
              <w:t>) ≥ 80 %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transmisja w 230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(kontrola po przedmuchiwaniu za pomocą N</w:t>
            </w:r>
            <w:r>
              <w:rPr>
                <w:rFonts w:ascii="Cambria Math" w:hAnsi="Cambria Math" w:cs="Cambria Math"/>
                <w:sz w:val="20"/>
                <w:szCs w:val="20"/>
              </w:rPr>
              <w:t>₂</w:t>
            </w:r>
            <w:r>
              <w:rPr>
                <w:rFonts w:ascii="Arial" w:hAnsi="Arial" w:cs="Arial"/>
                <w:sz w:val="20"/>
                <w:szCs w:val="20"/>
              </w:rPr>
              <w:t>)≥ 90 %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transmisja w 250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(kontrola po przedmuchiwaniu za pomocą N</w:t>
            </w:r>
            <w:r>
              <w:rPr>
                <w:rFonts w:ascii="Cambria Math" w:hAnsi="Cambria Math" w:cs="Cambria Math"/>
                <w:sz w:val="20"/>
                <w:szCs w:val="20"/>
              </w:rPr>
              <w:t>₂</w:t>
            </w:r>
            <w:r>
              <w:rPr>
                <w:rFonts w:ascii="Arial" w:hAnsi="Arial" w:cs="Arial"/>
                <w:sz w:val="20"/>
                <w:szCs w:val="20"/>
              </w:rPr>
              <w:t>)≥ 99 %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filtrowany przez filtr  0.2 µm               </w:t>
            </w:r>
            <w:r>
              <w:rPr>
                <w:rFonts w:ascii="Arial" w:hAnsi="Arial" w:cs="Arial"/>
                <w:color w:val="333300"/>
                <w:sz w:val="20"/>
                <w:szCs w:val="20"/>
              </w:rPr>
              <w:t xml:space="preserve">                           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BB8E3" w14:textId="1EF794B3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2,5 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0A72B" w14:textId="1B10554C" w:rsidR="00591E57" w:rsidRPr="003F3C12" w:rsidRDefault="00591E57" w:rsidP="00591E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69FA22" w14:textId="77777777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ADB834" w14:textId="77777777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0722A" w14:textId="77777777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A895D7" w14:textId="77777777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9381D" w14:textId="77777777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3A96AB" w14:textId="77777777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91E57" w:rsidRPr="003F3C12" w14:paraId="0B923379" w14:textId="77777777" w:rsidTr="00335859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E1BF86" w14:textId="5CA4F5E9" w:rsidR="00591E57" w:rsidRPr="003F3C12" w:rsidRDefault="00591E57" w:rsidP="00591E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D5D95" w14:textId="3F7AD96A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Paski testowe do wykrywania oksydazy cytochromowej – Paski testowe ze strefą reakcyjną do wykrywania oksydazy cytochromowej w mikroorganizmach zawierające chlorek N,N- dimethyl-1,4fenylenediammonu naftol-1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( z co najmniej roczną datą ważności)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BF82A" w14:textId="66F39551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op.x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50 pasków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C57B2" w14:textId="29B42E27" w:rsidR="00591E57" w:rsidRPr="003F3C12" w:rsidRDefault="00591E57" w:rsidP="00591E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ED2BFF" w14:textId="77777777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BD916D" w14:textId="77777777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8100D9" w14:textId="77777777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A8781" w14:textId="77777777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FD57AD" w14:textId="77777777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94C55" w14:textId="77777777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91E57" w:rsidRPr="003F3C12" w14:paraId="0750210A" w14:textId="77777777" w:rsidTr="00335859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9C93D7" w14:textId="005B4CF6" w:rsidR="00591E57" w:rsidRPr="003F3C12" w:rsidRDefault="00591E57" w:rsidP="00591E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0817D" w14:textId="49A43516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Płytki odciskowe typu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Rodac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z neutralizatorami do oznaczania liczby drobnoustrojów ( okres ważności 6 miesięcy)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45ED7" w14:textId="3B955DEB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op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x 20 płytek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7546B" w14:textId="6C40C8D3" w:rsidR="00591E57" w:rsidRPr="003F3C12" w:rsidRDefault="00591E57" w:rsidP="00591E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E5F71" w14:textId="77777777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205256" w14:textId="77777777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037061" w14:textId="77777777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B097D" w14:textId="77777777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7C87E" w14:textId="77777777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35992" w14:textId="77777777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91E57" w:rsidRPr="003F3C12" w14:paraId="473BC904" w14:textId="77777777" w:rsidTr="00335859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064E76" w14:textId="0C65394C" w:rsidR="00591E57" w:rsidRPr="003F3C12" w:rsidRDefault="00591E57" w:rsidP="00591E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CF735" w14:textId="2253C8CA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</w:rPr>
              <w:t>Cyny (II) chlorek 2 hydrat (max. 0,000001%Hg) czystość 98-100 %, certyfikat jakości oraz aktualna karta charakterystyki substancji chemicznej, przynajmniej 2/3 terminu ważności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A48D49" w14:textId="034ABF5C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</w:rPr>
              <w:t>250g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D0BF9" w14:textId="659BD4F5" w:rsidR="00591E57" w:rsidRPr="003F3C12" w:rsidRDefault="00591E57" w:rsidP="00591E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14339" w14:textId="77777777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CAD9C" w14:textId="77777777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D1396" w14:textId="77777777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53A22" w14:textId="77777777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3FF9F" w14:textId="77777777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2455D" w14:textId="77777777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91E57" w:rsidRPr="003F3C12" w14:paraId="24F6F3FC" w14:textId="77777777" w:rsidTr="00335859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C5190" w14:textId="26459F1D" w:rsidR="00591E57" w:rsidRPr="003F3C12" w:rsidRDefault="00591E57" w:rsidP="00591E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1B444" w14:textId="57F5D96D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Kwas mrówkowy stężony &gt; 98%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ED5BF6" w14:textId="0DA305CA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100 ml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DBC3F" w14:textId="4221CC08" w:rsidR="00591E57" w:rsidRPr="003F3C12" w:rsidRDefault="00591E57" w:rsidP="00591E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5B6220" w14:textId="77777777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D04A08" w14:textId="77777777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4D7AB" w14:textId="77777777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28EE4" w14:textId="77777777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F09D84" w14:textId="77777777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D79EE2" w14:textId="77777777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91E57" w:rsidRPr="003F3C12" w14:paraId="4021C74C" w14:textId="77777777" w:rsidTr="00F50498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FF2505" w14:textId="259D2AD8" w:rsidR="00591E57" w:rsidRDefault="00591E57" w:rsidP="00591E57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ED6F" w14:textId="19817571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Kwas azotowy 65% do analizy śladowej, czystość≥65%, zawartość: Srebra (Ag) ≤ 0,5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ppb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Glinu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(Al) s 5,0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ppb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Arsenu (As) ≤ 0,5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ppb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Złota (Au) ≤ 0,1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ppb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Baru (Ba) ≤ 0,5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ppb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Berylu (Be) ≤ 0,5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ppb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Bizmutu (Bi) ≤ 0,5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ppb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Wapnia (Ca) ≤ 2.0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ppb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Kadmu (Cd) ≤ 0,5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ppb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Kobaltu (Co) ≤ 0,5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ppb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Chromu (Cr) ≤ 1,0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ppb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Miedzi (Cu) ≤ 0,5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ppb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Żelaza (Fe) ≤ 2,0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ppb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Galu (Ga) ≤ 0,1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ppb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Germanu (Ge) ≤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0,1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ppb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Rtęci (Hg) ≤ 1,0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ppb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Indu (In) ≤ 0,5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ppb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Potasu (K) ≤ 2,0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ppb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Litu (Li) ≤ 0,5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ppb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10 Magnezu (Mg) ≤ 1,0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ppb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Manganu (Mn) ≤ 0,5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ppb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Molibdenu (Mo) ≤ 0,5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ppb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Sodu (Na) ≤ 10,0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ppb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Niklu (Ni) ≤ 5,0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ppb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Ołowiu (Pb) ≤ 2,0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ppb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Platyny (Pt) ≤ 0,5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ppb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Antymonu (Sb) s 0,5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ppb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Cyny (Sn) ≤ 0,5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ppb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Strontu (Sr) ≤ 0,5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ppb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Tytanu (Ti) s1,0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ppb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Talu (TI) ≤ 0,5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ppb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Wanadu (V) ≤ 0,5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ppb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Cynku (Zn) ≤ 2,0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ppb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Cyrkonu (Zr) ≤ 1,0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ppb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świadectwo kontroli jakości z podaną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zawarością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metali wymienionych w specyfikacji oraz aktualna karta charakterystyki, termin ważności co najmniej 1 rok od dostawy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09324" w14:textId="168322C8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9A16C" w14:textId="3FDA0502" w:rsidR="00591E57" w:rsidRPr="003F3C12" w:rsidRDefault="00591E57" w:rsidP="00591E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E281CE" w14:textId="77777777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A7FF2" w14:textId="77777777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2B4507" w14:textId="77777777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3D669" w14:textId="77777777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5752D" w14:textId="77777777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AD22ED" w14:textId="77777777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91E57" w:rsidRPr="003F3C12" w14:paraId="4F2ECE3C" w14:textId="77777777" w:rsidTr="00F50498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FC308" w14:textId="29FEF9F7" w:rsidR="00591E57" w:rsidRDefault="00591E57" w:rsidP="00591E57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9FC1A" w14:textId="35C84336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Woda do chromatografii klasy LC-MS</w:t>
            </w:r>
            <w:r>
              <w:rPr>
                <w:rFonts w:ascii="Arial" w:hAnsi="Arial" w:cs="Arial"/>
                <w:sz w:val="18"/>
                <w:szCs w:val="18"/>
              </w:rPr>
              <w:t xml:space="preserve"> - certyfikat jakości oraz aktualna karta charakterystyki substancji chemicznej; TOC ≤ 30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ppb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;</w:t>
            </w:r>
            <w:r>
              <w:rPr>
                <w:rFonts w:ascii="Arial" w:hAnsi="Arial" w:cs="Arial"/>
                <w:sz w:val="18"/>
                <w:szCs w:val="18"/>
              </w:rPr>
              <w:br/>
              <w:t>pozostałości po odparowaniu ≤ 5 mg/l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szum w gradiencie (210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) ≤ 5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mAU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br/>
              <w:t xml:space="preserve">szum w gradiencie (254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) ≤ 0,5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mAU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br/>
              <w:t>Zawartość jonów (nie więcej niż)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Sód - 200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ppb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; Wapń - 100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ppb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br/>
              <w:t xml:space="preserve">Potas - 10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ppb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Zelazo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- 5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ppb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br/>
              <w:t xml:space="preserve">Magnez - 20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ppb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br/>
              <w:t xml:space="preserve">Glin - 10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ppb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br/>
              <w:t xml:space="preserve">Chlorki - 10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ppb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br/>
              <w:t xml:space="preserve">Azotany - 10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ppb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br/>
              <w:t xml:space="preserve">Fosforany - 10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ppb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br/>
              <w:t xml:space="preserve">Siarczany - 10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ppb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br/>
              <w:t xml:space="preserve">Intensywność pików tła w oparciu o rezerpinę (APCI/ESI pozytywny) mniej lub równe 1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ppb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br/>
              <w:t xml:space="preserve">Intensywność pików tła w oparciu o rezerpinę (APCI/ESI negatywny) mniej lub równe 20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ppb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br/>
              <w:t>filtrowany przez filtr 0,2 mikrona.  Termin ważności min 1 rok od dostawy.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91E07" w14:textId="5EC73739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</w:rPr>
              <w:t>2,5 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1CF4F" w14:textId="1B9E5FEC" w:rsidR="00591E57" w:rsidRPr="003F3C12" w:rsidRDefault="00591E57" w:rsidP="00591E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ACF3B" w14:textId="77777777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CF9DA" w14:textId="77777777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9FDEE" w14:textId="77777777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F7638" w14:textId="77777777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70541" w14:textId="77777777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17052" w14:textId="77777777" w:rsidR="00591E57" w:rsidRPr="003F3C12" w:rsidRDefault="00591E57" w:rsidP="00591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3F3C12" w:rsidRPr="003F3C12" w14:paraId="2A3ADC50" w14:textId="77777777" w:rsidTr="00335859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85A93" w14:textId="77777777" w:rsidR="003F3C12" w:rsidRPr="003F3C12" w:rsidRDefault="003F3C12" w:rsidP="003F3C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7A73F" w14:textId="77777777" w:rsidR="003F3C12" w:rsidRPr="003F3C12" w:rsidRDefault="003F3C12" w:rsidP="003F3C1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800AB" w14:textId="77777777" w:rsidR="003F3C12" w:rsidRPr="003F3C12" w:rsidRDefault="003F3C12" w:rsidP="003F3C1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E5F5C" w14:textId="77777777" w:rsidR="003F3C12" w:rsidRPr="003F3C12" w:rsidRDefault="003F3C12" w:rsidP="003F3C1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D31F4" w14:textId="77777777" w:rsidR="003F3C12" w:rsidRPr="003F3C12" w:rsidRDefault="003F3C12" w:rsidP="003F3C1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215D5" w14:textId="77777777" w:rsidR="003F3C12" w:rsidRPr="003F3C12" w:rsidRDefault="003F3C12" w:rsidP="003F3C1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C956C" w14:textId="77777777" w:rsidR="003F3C12" w:rsidRPr="003F3C12" w:rsidRDefault="003F3C12" w:rsidP="003F3C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RAZEM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D3E27" w14:textId="77777777" w:rsidR="003F3C12" w:rsidRPr="003F3C12" w:rsidRDefault="003F3C12" w:rsidP="003F3C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649EB" w14:textId="77777777" w:rsidR="003F3C12" w:rsidRPr="003F3C12" w:rsidRDefault="003F3C12" w:rsidP="003F3C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E777D" w14:textId="77777777" w:rsidR="003F3C12" w:rsidRPr="003F3C12" w:rsidRDefault="003F3C12" w:rsidP="003F3C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</w:tbl>
    <w:p w14:paraId="78615E7C" w14:textId="77777777" w:rsidR="003F3C12" w:rsidRDefault="003F3C12" w:rsidP="003F3C12"/>
    <w:p w14:paraId="41FC3D81" w14:textId="77777777" w:rsidR="002B60AB" w:rsidRDefault="002B60AB" w:rsidP="003F3C12"/>
    <w:p w14:paraId="7F726B82" w14:textId="77777777" w:rsidR="002B60AB" w:rsidRDefault="002B60AB" w:rsidP="003F3C12"/>
    <w:p w14:paraId="292BC6AD" w14:textId="77777777" w:rsidR="002B60AB" w:rsidRDefault="002B60AB" w:rsidP="003F3C12"/>
    <w:p w14:paraId="461AD913" w14:textId="77777777" w:rsidR="002B60AB" w:rsidRDefault="002B60AB" w:rsidP="003F3C12"/>
    <w:p w14:paraId="6C89D17D" w14:textId="77777777" w:rsidR="002B60AB" w:rsidRPr="002B60AB" w:rsidRDefault="002B60AB" w:rsidP="002B60AB">
      <w:pPr>
        <w:rPr>
          <w:rFonts w:ascii="Calibri" w:eastAsia="Calibri" w:hAnsi="Calibri" w:cs="Times New Roman"/>
          <w:kern w:val="0"/>
          <w14:ligatures w14:val="none"/>
        </w:rPr>
      </w:pPr>
      <w:r w:rsidRPr="002B60AB">
        <w:rPr>
          <w:rFonts w:ascii="Calibri" w:eastAsia="Calibri" w:hAnsi="Calibri" w:cs="Times New Roman"/>
          <w:kern w:val="0"/>
          <w14:ligatures w14:val="none"/>
        </w:rPr>
        <w:t>………………………………………………………..</w:t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  <w:t>…………………………………………………………………..</w:t>
      </w:r>
    </w:p>
    <w:p w14:paraId="7E369F65" w14:textId="2DBECBC5" w:rsidR="002B60AB" w:rsidRPr="002B60AB" w:rsidRDefault="002B60AB" w:rsidP="002B60AB">
      <w:pPr>
        <w:rPr>
          <w:rFonts w:ascii="Calibri" w:eastAsia="Calibri" w:hAnsi="Calibri" w:cs="Times New Roman"/>
          <w:i/>
          <w:iCs/>
          <w:kern w:val="0"/>
          <w14:ligatures w14:val="none"/>
        </w:rPr>
      </w:pP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 xml:space="preserve">(miejscowość, data) </w:t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>
        <w:rPr>
          <w:rFonts w:ascii="Calibri" w:eastAsia="Calibri" w:hAnsi="Calibri" w:cs="Times New Roman"/>
          <w:i/>
          <w:iCs/>
          <w:kern w:val="0"/>
          <w14:ligatures w14:val="none"/>
        </w:rPr>
        <w:t xml:space="preserve">                                  </w:t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  <w:t>(podpis osoby upoważnionej do reprezentacji)</w:t>
      </w:r>
    </w:p>
    <w:p w14:paraId="074D8450" w14:textId="77777777" w:rsidR="002B60AB" w:rsidRDefault="002B60AB" w:rsidP="003F3C12"/>
    <w:sectPr w:rsidR="002B60AB" w:rsidSect="003F3C12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291D2B" w14:textId="77777777" w:rsidR="004C270F" w:rsidRDefault="004C270F" w:rsidP="003F3C12">
      <w:pPr>
        <w:spacing w:after="0" w:line="240" w:lineRule="auto"/>
      </w:pPr>
      <w:r>
        <w:separator/>
      </w:r>
    </w:p>
  </w:endnote>
  <w:endnote w:type="continuationSeparator" w:id="0">
    <w:p w14:paraId="50FE2A79" w14:textId="77777777" w:rsidR="004C270F" w:rsidRDefault="004C270F" w:rsidP="003F3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58923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0C6B67AF" w14:textId="231BE3C5" w:rsidR="002B60AB" w:rsidRDefault="002B60AB">
            <w:pPr>
              <w:pStyle w:val="Stopka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CE7AA3" w14:textId="77777777" w:rsidR="002B60AB" w:rsidRDefault="002B60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B89882" w14:textId="77777777" w:rsidR="004C270F" w:rsidRDefault="004C270F" w:rsidP="003F3C12">
      <w:pPr>
        <w:spacing w:after="0" w:line="240" w:lineRule="auto"/>
      </w:pPr>
      <w:r>
        <w:separator/>
      </w:r>
    </w:p>
  </w:footnote>
  <w:footnote w:type="continuationSeparator" w:id="0">
    <w:p w14:paraId="567D1A69" w14:textId="77777777" w:rsidR="004C270F" w:rsidRDefault="004C270F" w:rsidP="003F3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C67AA2" w14:textId="4821AC29" w:rsidR="003F3C12" w:rsidRDefault="003F3C12">
    <w:pPr>
      <w:pStyle w:val="Nagwek"/>
    </w:pPr>
    <w:r>
      <w:t>OZ.272.1.</w:t>
    </w:r>
    <w:r w:rsidR="00591E57">
      <w:t>36</w:t>
    </w:r>
    <w:r>
      <w:t>.2024.AO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1E0"/>
    <w:rsid w:val="00083429"/>
    <w:rsid w:val="000971E0"/>
    <w:rsid w:val="000D5A97"/>
    <w:rsid w:val="00125BFA"/>
    <w:rsid w:val="00141F82"/>
    <w:rsid w:val="001A0F1E"/>
    <w:rsid w:val="00277348"/>
    <w:rsid w:val="002B60AB"/>
    <w:rsid w:val="00335859"/>
    <w:rsid w:val="003F3C11"/>
    <w:rsid w:val="003F3C12"/>
    <w:rsid w:val="004C270F"/>
    <w:rsid w:val="004D1C3A"/>
    <w:rsid w:val="005178E9"/>
    <w:rsid w:val="00591E57"/>
    <w:rsid w:val="006B79DA"/>
    <w:rsid w:val="00875E1D"/>
    <w:rsid w:val="00955499"/>
    <w:rsid w:val="00AE066E"/>
    <w:rsid w:val="00BD5BEC"/>
    <w:rsid w:val="00C25447"/>
    <w:rsid w:val="00C9229E"/>
    <w:rsid w:val="00E77B27"/>
    <w:rsid w:val="00F0614F"/>
    <w:rsid w:val="00FA672D"/>
    <w:rsid w:val="00FE4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03D18"/>
  <w15:chartTrackingRefBased/>
  <w15:docId w15:val="{6AB091A7-EEC6-4BD1-B855-72E84FD4C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971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971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971E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971E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971E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971E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971E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971E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971E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971E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971E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971E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971E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971E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971E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971E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971E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971E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971E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971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971E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971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971E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971E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971E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971E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971E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971E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971E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F3C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3C12"/>
  </w:style>
  <w:style w:type="paragraph" w:styleId="Stopka">
    <w:name w:val="footer"/>
    <w:basedOn w:val="Normalny"/>
    <w:link w:val="StopkaZnak"/>
    <w:uiPriority w:val="99"/>
    <w:unhideWhenUsed/>
    <w:rsid w:val="003F3C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3C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289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1029</Words>
  <Characters>6175</Characters>
  <Application>Microsoft Office Word</Application>
  <DocSecurity>0</DocSecurity>
  <Lines>51</Lines>
  <Paragraphs>14</Paragraphs>
  <ScaleCrop>false</ScaleCrop>
  <Company/>
  <LinksUpToDate>false</LinksUpToDate>
  <CharactersWithSpaces>7190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WSSE Rzeszów - Agnieszka Orzech</dc:creator>
  <cp:keywords/>
  <dc:description/>
  <cp:lastModifiedBy>WSSE Rzeszów - Agnieszka Orzech</cp:lastModifiedBy>
  <cp:revision>6</cp:revision>
  <dcterms:created xsi:type="dcterms:W3CDTF">2024-10-04T09:16:00Z</dcterms:created>
  <dcterms:modified xsi:type="dcterms:W3CDTF">2024-10-11T10:00:00Z</dcterms:modified>
</cp:coreProperties>
</file>