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B02B" w14:textId="77777777" w:rsidR="00721672" w:rsidRDefault="00721672" w:rsidP="0072167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Grupa Robocza OECD ds. Przekupstwa: Walka Polski z przekupstwem zagranicznych funkcjonariuszy publicznych utknęła w martwym punkcie i konieczne jest podjęcie pilnych działań</w:t>
      </w:r>
    </w:p>
    <w:p w14:paraId="5B222E32" w14:textId="77777777" w:rsidR="00721672" w:rsidRDefault="00721672" w:rsidP="0072167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Polska musi pilnie podjąć działania, aby wyeliminować poważne niedociągnięcia w walce z przekupstwem zagranicznych funkcjonariuszy publicznych, na które Grupa Robocza OECD ds. Przekupstwa zwraca uwagę od 2007 r. W ani jednym przedsiębiorstwie nie przeprowadzono ani jednego dochodzenia w związku z przekupstwem zagranicznych funkcjonariuszy publicznych. Żadne przedsiębiorstwo nie było też ścigane w związku z takim przekupstwem. Jeżeli chodzi o osoby fizyczne, jedynym pomyślnym jak dotąd przypadkiem ścigania było skazanie, do którego doszło w 2012 r. Pewne zarzuty, również te pojawiające się w doniesieniach medialnych, nie zostały należycie zbadane ani nie poczyniono w związku z nimi żadnych kroków. Przepis umożliwiający osobie dopuszczającej się przekupstwa ujawnienie wszystkich istotnych okoliczności czynu zabronionego, jeżeli zostaje zastosowany, sprawia, że osoby te unikają kary. Ochrona sygnalistów nie jest kompleksowa.</w:t>
      </w:r>
    </w:p>
    <w:p w14:paraId="4953266E" w14:textId="77777777" w:rsidR="00721672" w:rsidRDefault="00721672" w:rsidP="0072167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Licząca 44 państwa Grupa Robocza ukończyła czwartą fazę oceny wdrażania przez Polskę Konwencji o zwalczaniu przekupstwa zagranicznych funkcjonariuszy publicznych w międzynarodowych transakcjach handlowych oraz powiązanych z nią instrumentów. Poza opisanymi wyżej problemami w sprawozdaniu wyrażono również poważne obawy dotyczące niezależności sądownictwa i prokuratury w Polsce. Wiele cech polskiej prokuratury wskazuje zasadniczo na brak poszanowania zasady niezależności prokuratury. Umożliwianie parlamentowi wyboru sędziów do Krajowej Rady Sądownictwa sprawia, że zarówno KRS, jak i sądownictwo ogółem, są podatne na potencjalne wpływy polityczne i wpływy władzy wykonawczej. Narażenie sądownictwa na potencjalny wpływ władzy wykonawczej nasila się w świetle rozszerzonych kompetencji Ministra Sprawiedliwości w zakresie powoływania, dyscyplinowania i odwoływania sędziów i prezesów sądów. Funkcjonujący od dawna system delegowania sędziów i prokuratorów powinien być wolny od wpływów politycznych i wpływu władzy wykonawczej.</w:t>
      </w:r>
    </w:p>
    <w:p w14:paraId="15F623E1" w14:textId="77777777" w:rsidR="00721672" w:rsidRDefault="00721672" w:rsidP="0072167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Grupa Robocza zaleciła w związku z tym Polsce:</w:t>
      </w:r>
    </w:p>
    <w:p w14:paraId="1ECB2104" w14:textId="77777777" w:rsidR="00721672" w:rsidRDefault="00721672" w:rsidP="00721672">
      <w:pPr>
        <w:pStyle w:val="BulletList1"/>
        <w:rPr>
          <w:rFonts w:cs="Arial"/>
          <w:szCs w:val="20"/>
        </w:rPr>
      </w:pPr>
      <w:r>
        <w:t>proaktywne podejście do wykrywania przekupstwa zagranicznych funkcjonariuszy publicznych, prowadzenia dochodzeń w ich przedmiocie i ścigania ich;</w:t>
      </w:r>
    </w:p>
    <w:p w14:paraId="71BE6BB8" w14:textId="77777777" w:rsidR="00721672" w:rsidRDefault="00721672" w:rsidP="00721672">
      <w:pPr>
        <w:pStyle w:val="BulletList1"/>
        <w:rPr>
          <w:rFonts w:cs="Arial"/>
          <w:szCs w:val="20"/>
        </w:rPr>
      </w:pPr>
      <w:r>
        <w:rPr>
          <w:color w:val="000000"/>
          <w:szCs w:val="20"/>
        </w:rPr>
        <w:t>ochronę spraw dotyczących przekupstwa zagranicznych funkcjonariuszy publicznych przed potencjalnymi wpływami politycznymi i wpływami władzy wykonawczej;</w:t>
      </w:r>
    </w:p>
    <w:p w14:paraId="313766CF" w14:textId="77777777" w:rsidR="00721672" w:rsidRDefault="00721672" w:rsidP="00721672">
      <w:pPr>
        <w:pStyle w:val="BulletList1"/>
        <w:rPr>
          <w:rFonts w:cs="Arial"/>
          <w:szCs w:val="20"/>
        </w:rPr>
      </w:pPr>
      <w:r>
        <w:t>uchylenie wymogu skazania osoby fizycznej jako warunku odpowiedzialności osoby prawnej i prowadzenia dochodzeń obejmujących osobę prawną;</w:t>
      </w:r>
    </w:p>
    <w:p w14:paraId="356FDB82" w14:textId="77777777" w:rsidR="00721672" w:rsidRDefault="00721672" w:rsidP="00721672">
      <w:pPr>
        <w:pStyle w:val="BulletList1"/>
        <w:rPr>
          <w:rFonts w:cs="Arial"/>
          <w:szCs w:val="20"/>
        </w:rPr>
      </w:pPr>
      <w:r>
        <w:t>wyeliminowanie przepisu prowadzącego do bezkarności w przypadkach przekupstwa zagranicznych funkcjonariuszy publicznych; oraz</w:t>
      </w:r>
    </w:p>
    <w:p w14:paraId="1F44C892" w14:textId="77777777" w:rsidR="00721672" w:rsidRDefault="00721672" w:rsidP="00721672">
      <w:pPr>
        <w:pStyle w:val="BulletList1"/>
        <w:rPr>
          <w:rFonts w:cs="Arial"/>
          <w:szCs w:val="20"/>
        </w:rPr>
      </w:pPr>
      <w:r>
        <w:t>sprawne przyjęcie przepisów dotyczących ochrony sygnalistów.</w:t>
      </w:r>
    </w:p>
    <w:p w14:paraId="2CCF4150" w14:textId="77777777" w:rsidR="00721672" w:rsidRDefault="00721672" w:rsidP="0072167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sprawozdaniu odnotowano również pozytywne zmiany. Centralne Biuro Antykorupcyjne jest instytucją aktywną i dobrze znaną z walki z korupcją. W związku z tym może odegrać ważną rolę w zwalczaniu przekupstwa zagranicznych funkcjonariuszy publicznych, jeżeli jego obowiązki zostaną rozszerzone. Generalny Inspektor Informacji Finansowej, będący jednostką wywiadu finansowego, utrzymuje dobre relacje robocze z zainteresowanymi stronami. Nowelizacja ustawy ograniczyła liczbę kar pozbawienia wolności, które mogą być karami w zawieszeniu. W sprawach dotyczących przekupstwa zagranicznych funkcjonariuszy publicznych możliwe jest konsensualne zakończenie postępowania. Ramy zakazu udziału w postępowaniach o udzielenie zamówienia publicznego w ramach kary za przekupstwo zagranicznych funkcjonariuszy publicznych są raczej rozsądne. Termin przedawnienia obowiązujący w odniesieniu do osób fizycznych w kontekście prowadzenia dochodzeń w przedmiocie przekupstwa zagranicznych funkcjonariuszy publicznych i ścigania ich wydaje się adekwatny. Centralny Rejestr Beneficjentów Rzeczywistych jest dobrze znany i stosowany zarówno przez organy rządowe, jak i sektor prywatny.</w:t>
      </w:r>
    </w:p>
    <w:p w14:paraId="26095D5A" w14:textId="77777777" w:rsidR="00721672" w:rsidRDefault="00721672" w:rsidP="0072167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Grupa Robocza przyjęła sprawozdanie dotyczące Polski w dniu 8 grudnia 2022 r. Sprawozdanie to stanowi element czwartej fazy monitorowania prowadzonego przez Grupę Roboczą od 2016 r. Czwarta faza polega na przyjrzeniu się szczególnym wyzwaniom stojącym przed państwem poddawanym ocenie i osiągnięciom tego państwa. Obejmuje również analizę takich zagadnień, jak wykrywanie przekupstwa, egzekwowanie przepisów, odpowiedzialność osób prawnych i współpraca międzynarodowa, a także niewyeliminowane problemy wskazane we wcześniejszych sprawozdaniach. Na stronach 60–66 sprawozdania znajdują się sformułowane przez Grupę Roboczą zalecenia dla Polski. Polska w grudniu </w:t>
      </w:r>
      <w:r>
        <w:rPr>
          <w:rFonts w:ascii="Arial" w:hAnsi="Arial"/>
          <w:sz w:val="20"/>
          <w:szCs w:val="20"/>
        </w:rPr>
        <w:lastRenderedPageBreak/>
        <w:t>2023 r. przedstawi Grupie Roboczej sprawozdanie z realizacji najważniejszych zaleceń, a w grudniu 2024 r. sprawozdanie z realizacji wszystkich zaleceń, a także działań podjętych w celu ich egzekwowania.</w:t>
      </w:r>
    </w:p>
    <w:p w14:paraId="504EFD84" w14:textId="4CF9FEF0" w:rsidR="00721672" w:rsidRDefault="00721672" w:rsidP="00721672">
      <w:pPr>
        <w:rPr>
          <w:rFonts w:ascii="Arial" w:hAnsi="Arial" w:cs="Arial"/>
          <w:sz w:val="20"/>
          <w:szCs w:val="20"/>
        </w:rPr>
      </w:pPr>
      <w:r>
        <w:t xml:space="preserve">Aby uzyskać dodatkowe informacje, </w:t>
      </w:r>
      <w:r>
        <w:rPr>
          <w:rFonts w:ascii="Arial" w:hAnsi="Arial"/>
          <w:sz w:val="20"/>
          <w:szCs w:val="20"/>
        </w:rPr>
        <w:t xml:space="preserve">dziennikarze powinni kontaktować się z p. </w:t>
      </w:r>
      <w:hyperlink r:id="rId5" w:history="1">
        <w:r>
          <w:rPr>
            <w:rStyle w:val="Hipercze"/>
            <w:rFonts w:ascii="Arial" w:hAnsi="Arial"/>
            <w:sz w:val="20"/>
            <w:szCs w:val="20"/>
          </w:rPr>
          <w:t xml:space="preserve">Amelią </w:t>
        </w:r>
        <w:proofErr w:type="spellStart"/>
        <w:r>
          <w:rPr>
            <w:rStyle w:val="Hipercze"/>
            <w:rFonts w:ascii="Arial" w:hAnsi="Arial"/>
            <w:sz w:val="20"/>
            <w:szCs w:val="20"/>
          </w:rPr>
          <w:t>Godber</w:t>
        </w:r>
        <w:proofErr w:type="spellEnd"/>
      </w:hyperlink>
      <w:r>
        <w:rPr>
          <w:rFonts w:ascii="Arial" w:hAnsi="Arial"/>
          <w:sz w:val="20"/>
          <w:szCs w:val="20"/>
        </w:rPr>
        <w:t>, Specjalistą ds. Komunikacji w Dziale OECD ds. Walki z Korupcją</w:t>
      </w:r>
      <w:r>
        <w:rPr>
          <w:rFonts w:ascii="Arial" w:hAnsi="Arial"/>
          <w:sz w:val="20"/>
          <w:szCs w:val="20"/>
          <w:bdr w:val="none" w:sz="0" w:space="0" w:color="auto" w:frame="1"/>
        </w:rPr>
        <w:t xml:space="preserve"> (+33 (0)1 45 24 85 75)</w:t>
      </w:r>
      <w:r>
        <w:rPr>
          <w:rFonts w:ascii="Arial" w:hAnsi="Arial"/>
          <w:sz w:val="20"/>
          <w:szCs w:val="20"/>
        </w:rPr>
        <w:t xml:space="preserve">. Więcej informacji na temat działań Polski służących walce z korupcją można znaleźć </w:t>
      </w:r>
      <w:hyperlink r:id="rId6" w:history="1">
        <w:r w:rsidRPr="00721672">
          <w:rPr>
            <w:rStyle w:val="Hipercze"/>
            <w:rFonts w:ascii="Arial" w:hAnsi="Arial"/>
            <w:sz w:val="20"/>
            <w:szCs w:val="20"/>
          </w:rPr>
          <w:t>tutaj.</w:t>
        </w:r>
      </w:hyperlink>
    </w:p>
    <w:p w14:paraId="3BFCD37C" w14:textId="77777777" w:rsidR="006B23DF" w:rsidRDefault="006B23DF"/>
    <w:sectPr w:rsidR="006B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3A6"/>
    <w:multiLevelType w:val="hybridMultilevel"/>
    <w:tmpl w:val="9EE4078E"/>
    <w:lvl w:ilvl="0" w:tplc="6390EF9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1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9"/>
    <w:rsid w:val="0014427E"/>
    <w:rsid w:val="00145F48"/>
    <w:rsid w:val="001656F2"/>
    <w:rsid w:val="001877C2"/>
    <w:rsid w:val="002E6DC0"/>
    <w:rsid w:val="002F21A4"/>
    <w:rsid w:val="003D1F3E"/>
    <w:rsid w:val="003E08D2"/>
    <w:rsid w:val="00400D98"/>
    <w:rsid w:val="004758C5"/>
    <w:rsid w:val="00494D99"/>
    <w:rsid w:val="004F5A46"/>
    <w:rsid w:val="00615463"/>
    <w:rsid w:val="00634FB9"/>
    <w:rsid w:val="00665B28"/>
    <w:rsid w:val="006B23DF"/>
    <w:rsid w:val="006E0737"/>
    <w:rsid w:val="00717FF1"/>
    <w:rsid w:val="00721672"/>
    <w:rsid w:val="00766AAA"/>
    <w:rsid w:val="007C5E4C"/>
    <w:rsid w:val="007F146C"/>
    <w:rsid w:val="00845716"/>
    <w:rsid w:val="008D67A4"/>
    <w:rsid w:val="00944146"/>
    <w:rsid w:val="009926EA"/>
    <w:rsid w:val="00A21C83"/>
    <w:rsid w:val="00A32076"/>
    <w:rsid w:val="00A64659"/>
    <w:rsid w:val="00A86E06"/>
    <w:rsid w:val="00B02DCF"/>
    <w:rsid w:val="00B96DB3"/>
    <w:rsid w:val="00BE65E3"/>
    <w:rsid w:val="00C32CF7"/>
    <w:rsid w:val="00E62933"/>
    <w:rsid w:val="00EC5553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E799-D1CC-4963-A10B-3F5E8763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672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672"/>
    <w:rPr>
      <w:color w:val="0000FF"/>
      <w:u w:val="single"/>
    </w:rPr>
  </w:style>
  <w:style w:type="paragraph" w:customStyle="1" w:styleId="BulletList1">
    <w:name w:val="BulletList1"/>
    <w:basedOn w:val="Normalny"/>
    <w:qFormat/>
    <w:rsid w:val="00721672"/>
    <w:pPr>
      <w:numPr>
        <w:numId w:val="1"/>
      </w:numPr>
    </w:pPr>
    <w:rPr>
      <w:rFonts w:ascii="Arial" w:hAnsi="Arial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6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1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daf/anti-bribery/poland-oecdanti-briberyconvention.htm" TargetMode="External"/><Relationship Id="rId5" Type="http://schemas.openxmlformats.org/officeDocument/2006/relationships/hyperlink" Target="mailto:Amelia.Godber@oec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Łoniewski Daniel  (DLPK)</dc:creator>
  <cp:keywords/>
  <dc:description/>
  <cp:lastModifiedBy>Łoniewski Daniel  (DLPK)</cp:lastModifiedBy>
  <cp:revision>2</cp:revision>
  <dcterms:created xsi:type="dcterms:W3CDTF">2023-01-19T08:47:00Z</dcterms:created>
  <dcterms:modified xsi:type="dcterms:W3CDTF">2023-01-19T08:47:00Z</dcterms:modified>
</cp:coreProperties>
</file>