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DDE18" w14:textId="2CA1F0A1" w:rsidR="008927DE" w:rsidRPr="008927DE" w:rsidRDefault="008927DE" w:rsidP="008927DE">
      <w:pPr>
        <w:jc w:val="center"/>
        <w:outlineLvl w:val="0"/>
        <w:rPr>
          <w:i/>
        </w:rPr>
      </w:pPr>
    </w:p>
    <w:p w14:paraId="162E1FFB" w14:textId="0EC5B50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51BE8A9C" w14:textId="0659E3A6" w:rsidR="004C4869" w:rsidRPr="00C479A4" w:rsidRDefault="004C4869" w:rsidP="008927DE">
      <w:pPr>
        <w:jc w:val="center"/>
        <w:outlineLvl w:val="0"/>
        <w:rPr>
          <w:color w:val="C00000"/>
        </w:rPr>
      </w:pPr>
      <w:r w:rsidRPr="00C479A4">
        <w:rPr>
          <w:color w:val="C00000"/>
        </w:rPr>
        <w:t xml:space="preserve">(stan na </w:t>
      </w:r>
      <w:r w:rsidR="00B0268D">
        <w:rPr>
          <w:color w:val="C00000"/>
        </w:rPr>
        <w:t>31.12.2023</w:t>
      </w:r>
      <w:r w:rsidRPr="00C479A4">
        <w:rPr>
          <w:color w:val="C00000"/>
        </w:rPr>
        <w:t>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27"/>
        <w:gridCol w:w="1477"/>
        <w:gridCol w:w="7158"/>
      </w:tblGrid>
      <w:tr w:rsidR="007A0A3D" w:rsidRPr="002450C4" w14:paraId="196B44F9" w14:textId="77777777" w:rsidTr="22023F1B">
        <w:tc>
          <w:tcPr>
            <w:tcW w:w="384" w:type="dxa"/>
          </w:tcPr>
          <w:p w14:paraId="028D8AD2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604" w:type="dxa"/>
          </w:tcPr>
          <w:p w14:paraId="0B135B5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074" w:type="dxa"/>
          </w:tcPr>
          <w:p w14:paraId="00A37279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2FE1E0B8" w14:textId="77777777" w:rsidTr="22023F1B">
        <w:tc>
          <w:tcPr>
            <w:tcW w:w="384" w:type="dxa"/>
          </w:tcPr>
          <w:p w14:paraId="4341B17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4A41283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074" w:type="dxa"/>
          </w:tcPr>
          <w:p w14:paraId="40AFB5E5" w14:textId="6948B298" w:rsidR="007A0A3D" w:rsidRPr="002450C4" w:rsidRDefault="00CE24D8" w:rsidP="0092099A">
            <w:pPr>
              <w:jc w:val="both"/>
              <w:rPr>
                <w:i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WIRTUALNY INFORMATOR RZECZNY (WIR)</w:t>
            </w:r>
          </w:p>
        </w:tc>
      </w:tr>
      <w:tr w:rsidR="007A0A3D" w:rsidRPr="002450C4" w14:paraId="79DE3095" w14:textId="77777777" w:rsidTr="22023F1B">
        <w:trPr>
          <w:trHeight w:val="265"/>
        </w:trPr>
        <w:tc>
          <w:tcPr>
            <w:tcW w:w="384" w:type="dxa"/>
          </w:tcPr>
          <w:p w14:paraId="0776B41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6FE851A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074" w:type="dxa"/>
          </w:tcPr>
          <w:p w14:paraId="3E91C924" w14:textId="4582D728" w:rsidR="001C611C" w:rsidRPr="00A1534B" w:rsidRDefault="00CE24D8" w:rsidP="0092099A">
            <w:pPr>
              <w:jc w:val="both"/>
              <w:rPr>
                <w:i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PAŃSTWOWE GOSPODARSTWO WODNE WODY POLSKIE</w:t>
            </w:r>
          </w:p>
        </w:tc>
      </w:tr>
      <w:tr w:rsidR="007A0A3D" w:rsidRPr="002450C4" w14:paraId="58E4415A" w14:textId="77777777" w:rsidTr="22023F1B">
        <w:tc>
          <w:tcPr>
            <w:tcW w:w="384" w:type="dxa"/>
          </w:tcPr>
          <w:p w14:paraId="5BFAC16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3DDAA79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074" w:type="dxa"/>
          </w:tcPr>
          <w:p w14:paraId="085C52E1" w14:textId="0EDC04AE" w:rsidR="007A0A3D" w:rsidRPr="002450C4" w:rsidRDefault="00CE24D8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n.d.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32CDF3C4" w14:textId="77777777" w:rsidTr="22023F1B">
        <w:tc>
          <w:tcPr>
            <w:tcW w:w="384" w:type="dxa"/>
          </w:tcPr>
          <w:p w14:paraId="47ABFBB4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2BE3F259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8074" w:type="dxa"/>
          </w:tcPr>
          <w:p w14:paraId="5E14D28C" w14:textId="018A2AF6" w:rsidR="00C20C4B" w:rsidRPr="00914414" w:rsidRDefault="0C911701" w:rsidP="0FE9FD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4414">
              <w:rPr>
                <w:rFonts w:ascii="Arial" w:hAnsi="Arial" w:cs="Arial"/>
                <w:sz w:val="18"/>
                <w:szCs w:val="18"/>
              </w:rPr>
              <w:t xml:space="preserve">Początkowa wartość projektu </w:t>
            </w:r>
            <w:r w:rsidR="00F826D9" w:rsidRPr="00914414">
              <w:rPr>
                <w:rFonts w:ascii="Arial" w:hAnsi="Arial" w:cs="Arial"/>
                <w:sz w:val="18"/>
                <w:szCs w:val="18"/>
              </w:rPr>
              <w:t xml:space="preserve"> zgodnie </w:t>
            </w:r>
            <w:r w:rsidR="00B5264B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914414">
              <w:rPr>
                <w:rFonts w:ascii="Arial" w:hAnsi="Arial" w:cs="Arial"/>
                <w:sz w:val="18"/>
                <w:szCs w:val="18"/>
              </w:rPr>
              <w:t>OZPI: 14 906 524,64 zł</w:t>
            </w:r>
          </w:p>
          <w:p w14:paraId="53C988B9" w14:textId="621750A5" w:rsidR="00C20C4B" w:rsidRDefault="00253508" w:rsidP="009209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Początkowa wartość projektu</w:t>
            </w:r>
            <w:r w:rsidR="00F826D9">
              <w:rPr>
                <w:rFonts w:ascii="Arial" w:hAnsi="Arial" w:cs="Arial"/>
                <w:sz w:val="18"/>
                <w:szCs w:val="18"/>
              </w:rPr>
              <w:t xml:space="preserve"> zgodnie </w:t>
            </w:r>
            <w:r w:rsidR="00AD4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5264B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AD4CA9">
              <w:rPr>
                <w:rFonts w:ascii="Arial" w:hAnsi="Arial" w:cs="Arial"/>
                <w:sz w:val="18"/>
                <w:szCs w:val="18"/>
              </w:rPr>
              <w:t>UOD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1D4D1B">
              <w:rPr>
                <w:rFonts w:ascii="Arial" w:hAnsi="Arial" w:cs="Arial"/>
                <w:sz w:val="18"/>
                <w:szCs w:val="18"/>
              </w:rPr>
              <w:t>14 426 812,48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  <w:p w14:paraId="2DEC85D6" w14:textId="337DA2FF" w:rsidR="00C52803" w:rsidRDefault="00470890" w:rsidP="009209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wartość projektu zgodnie z Aneksem nr</w:t>
            </w:r>
            <w:r w:rsidR="0048351A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do Umowy o dofinansowanie: </w:t>
            </w:r>
            <w:r w:rsidR="00280241">
              <w:rPr>
                <w:rFonts w:ascii="Arial" w:hAnsi="Arial" w:cs="Arial"/>
                <w:sz w:val="18"/>
                <w:szCs w:val="18"/>
              </w:rPr>
              <w:t>21 134 359,48 zł</w:t>
            </w:r>
            <w:r w:rsidR="003655D2">
              <w:rPr>
                <w:rFonts w:ascii="Arial" w:hAnsi="Arial" w:cs="Arial"/>
                <w:sz w:val="18"/>
                <w:szCs w:val="18"/>
              </w:rPr>
              <w:t xml:space="preserve"> – 14 426 812,48 zł w</w:t>
            </w:r>
            <w:r w:rsidR="00E02126">
              <w:rPr>
                <w:rFonts w:ascii="Arial" w:hAnsi="Arial" w:cs="Arial"/>
                <w:sz w:val="18"/>
                <w:szCs w:val="18"/>
              </w:rPr>
              <w:t>ydatki kwalifikowane</w:t>
            </w:r>
            <w:r w:rsidR="00551ED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4266C">
              <w:rPr>
                <w:rFonts w:ascii="Arial" w:hAnsi="Arial" w:cs="Arial"/>
                <w:sz w:val="18"/>
                <w:szCs w:val="18"/>
              </w:rPr>
              <w:t>6 707</w:t>
            </w:r>
            <w:r w:rsidR="008B522A">
              <w:rPr>
                <w:rFonts w:ascii="Arial" w:hAnsi="Arial" w:cs="Arial"/>
                <w:sz w:val="18"/>
                <w:szCs w:val="18"/>
              </w:rPr>
              <w:t> </w:t>
            </w:r>
            <w:r w:rsidR="00A4266C">
              <w:rPr>
                <w:rFonts w:ascii="Arial" w:hAnsi="Arial" w:cs="Arial"/>
                <w:sz w:val="18"/>
                <w:szCs w:val="18"/>
              </w:rPr>
              <w:t>547</w:t>
            </w:r>
            <w:r w:rsidR="008B522A">
              <w:rPr>
                <w:rFonts w:ascii="Arial" w:hAnsi="Arial" w:cs="Arial"/>
                <w:sz w:val="18"/>
                <w:szCs w:val="18"/>
              </w:rPr>
              <w:t>,00 zł</w:t>
            </w:r>
            <w:r w:rsidR="00DC54AA">
              <w:rPr>
                <w:rFonts w:ascii="Arial" w:hAnsi="Arial" w:cs="Arial"/>
                <w:sz w:val="18"/>
                <w:szCs w:val="18"/>
              </w:rPr>
              <w:t xml:space="preserve"> wydatki niekwalifikowane</w:t>
            </w:r>
            <w:r w:rsidR="00584D6F">
              <w:rPr>
                <w:rFonts w:ascii="Arial" w:hAnsi="Arial" w:cs="Arial"/>
                <w:sz w:val="18"/>
                <w:szCs w:val="18"/>
              </w:rPr>
              <w:t>;</w:t>
            </w:r>
            <w:r w:rsidR="008C05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6E1A">
              <w:rPr>
                <w:rFonts w:ascii="Arial" w:hAnsi="Arial" w:cs="Arial"/>
                <w:sz w:val="18"/>
                <w:szCs w:val="18"/>
              </w:rPr>
              <w:t xml:space="preserve">różnica </w:t>
            </w:r>
            <w:r w:rsidR="00FF3719">
              <w:rPr>
                <w:rFonts w:ascii="Arial" w:hAnsi="Arial" w:cs="Arial"/>
                <w:sz w:val="18"/>
                <w:szCs w:val="18"/>
              </w:rPr>
              <w:t xml:space="preserve">pomiędzy </w:t>
            </w:r>
            <w:r w:rsidR="00CE2630">
              <w:rPr>
                <w:rFonts w:ascii="Arial" w:hAnsi="Arial" w:cs="Arial"/>
                <w:sz w:val="18"/>
                <w:szCs w:val="18"/>
              </w:rPr>
              <w:t>wartości</w:t>
            </w:r>
            <w:r w:rsidR="00B5264B">
              <w:rPr>
                <w:rFonts w:ascii="Arial" w:hAnsi="Arial" w:cs="Arial"/>
                <w:sz w:val="18"/>
                <w:szCs w:val="18"/>
              </w:rPr>
              <w:t>ą</w:t>
            </w:r>
            <w:r w:rsidR="00CE2630">
              <w:rPr>
                <w:rFonts w:ascii="Arial" w:hAnsi="Arial" w:cs="Arial"/>
                <w:sz w:val="18"/>
                <w:szCs w:val="18"/>
              </w:rPr>
              <w:t xml:space="preserve"> projektu wynikającą z </w:t>
            </w:r>
            <w:r w:rsidR="00FF3719">
              <w:rPr>
                <w:rFonts w:ascii="Arial" w:hAnsi="Arial" w:cs="Arial"/>
                <w:sz w:val="18"/>
                <w:szCs w:val="18"/>
              </w:rPr>
              <w:t>Aneks</w:t>
            </w:r>
            <w:r w:rsidR="00CE2630">
              <w:rPr>
                <w:rFonts w:ascii="Arial" w:hAnsi="Arial" w:cs="Arial"/>
                <w:sz w:val="18"/>
                <w:szCs w:val="18"/>
              </w:rPr>
              <w:t>u</w:t>
            </w:r>
            <w:r w:rsidR="00FF3719">
              <w:rPr>
                <w:rFonts w:ascii="Arial" w:hAnsi="Arial" w:cs="Arial"/>
                <w:sz w:val="18"/>
                <w:szCs w:val="18"/>
              </w:rPr>
              <w:t xml:space="preserve"> nr 3 a </w:t>
            </w:r>
            <w:r w:rsidR="00CE2630">
              <w:rPr>
                <w:rFonts w:ascii="Arial" w:hAnsi="Arial" w:cs="Arial"/>
                <w:sz w:val="18"/>
                <w:szCs w:val="18"/>
              </w:rPr>
              <w:t>wartością początkową</w:t>
            </w:r>
            <w:r w:rsidR="00FF3719">
              <w:rPr>
                <w:rFonts w:ascii="Arial" w:hAnsi="Arial" w:cs="Arial"/>
                <w:sz w:val="18"/>
                <w:szCs w:val="18"/>
              </w:rPr>
              <w:t xml:space="preserve"> wynikała ze złożonych ofert w </w:t>
            </w:r>
            <w:r w:rsidR="00056CAC">
              <w:rPr>
                <w:rFonts w:ascii="Arial" w:hAnsi="Arial" w:cs="Arial"/>
                <w:sz w:val="18"/>
                <w:szCs w:val="18"/>
              </w:rPr>
              <w:t>ramach postępowania przetargowego na budowę systemu WIR;</w:t>
            </w:r>
          </w:p>
          <w:p w14:paraId="05C28DA8" w14:textId="77777777" w:rsidR="00056CAC" w:rsidRDefault="00056CAC" w:rsidP="009209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1C6656" w14:textId="4F734B06" w:rsidR="003307BC" w:rsidRDefault="00174F4C" w:rsidP="009209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zgodnie z Aneksem nr 4 do Umowy o dofinansowanie </w:t>
            </w:r>
            <w:r w:rsidR="00203DEC">
              <w:rPr>
                <w:rFonts w:ascii="Arial" w:hAnsi="Arial" w:cs="Arial"/>
                <w:sz w:val="18"/>
                <w:szCs w:val="18"/>
              </w:rPr>
              <w:t>20</w:t>
            </w:r>
            <w:r w:rsidR="00C624C5">
              <w:rPr>
                <w:rFonts w:ascii="Arial" w:hAnsi="Arial" w:cs="Arial"/>
                <w:sz w:val="18"/>
                <w:szCs w:val="18"/>
              </w:rPr>
              <w:t> 402 660,53 zł</w:t>
            </w:r>
            <w:r w:rsidR="00BC3F43">
              <w:rPr>
                <w:rFonts w:ascii="Arial" w:hAnsi="Arial" w:cs="Arial"/>
                <w:sz w:val="18"/>
                <w:szCs w:val="18"/>
              </w:rPr>
              <w:t xml:space="preserve"> – 14 426 812,48 zł wydatki kwalifikowane, </w:t>
            </w:r>
            <w:r w:rsidR="00DE74F2">
              <w:rPr>
                <w:rFonts w:ascii="Arial" w:hAnsi="Arial" w:cs="Arial"/>
                <w:sz w:val="18"/>
                <w:szCs w:val="18"/>
              </w:rPr>
              <w:t>5</w:t>
            </w:r>
            <w:r w:rsidR="0097693D">
              <w:rPr>
                <w:rFonts w:ascii="Arial" w:hAnsi="Arial" w:cs="Arial"/>
                <w:sz w:val="18"/>
                <w:szCs w:val="18"/>
              </w:rPr>
              <w:t> 975 848,05</w:t>
            </w:r>
            <w:r w:rsidR="00865E9B">
              <w:rPr>
                <w:rFonts w:ascii="Arial" w:hAnsi="Arial" w:cs="Arial"/>
                <w:sz w:val="18"/>
                <w:szCs w:val="18"/>
              </w:rPr>
              <w:t xml:space="preserve"> zł wydatki </w:t>
            </w:r>
            <w:r w:rsidR="00B212DB">
              <w:rPr>
                <w:rFonts w:ascii="Arial" w:hAnsi="Arial" w:cs="Arial"/>
                <w:sz w:val="18"/>
                <w:szCs w:val="18"/>
              </w:rPr>
              <w:t>niekwalifikowane</w:t>
            </w:r>
            <w:r w:rsidR="003307B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5026098" w14:textId="77777777" w:rsidR="00BE04C0" w:rsidRDefault="00B212DB" w:rsidP="009209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Faktyczny </w:t>
            </w:r>
            <w:r w:rsidR="00911DE1">
              <w:rPr>
                <w:rFonts w:ascii="Arial" w:hAnsi="Arial" w:cs="Arial"/>
                <w:sz w:val="18"/>
                <w:szCs w:val="18"/>
              </w:rPr>
              <w:t xml:space="preserve">koszt projektu: </w:t>
            </w:r>
            <w:r w:rsidR="006F7EF0">
              <w:rPr>
                <w:rFonts w:ascii="Arial" w:hAnsi="Arial" w:cs="Arial"/>
                <w:sz w:val="18"/>
                <w:szCs w:val="18"/>
              </w:rPr>
              <w:t>19 815 050,24 zł</w:t>
            </w:r>
            <w:r w:rsidR="00FE2B03">
              <w:rPr>
                <w:rFonts w:ascii="Arial" w:hAnsi="Arial" w:cs="Arial"/>
                <w:sz w:val="18"/>
                <w:szCs w:val="18"/>
              </w:rPr>
              <w:t xml:space="preserve"> – 14</w:t>
            </w:r>
            <w:r w:rsidR="00AA030D">
              <w:rPr>
                <w:rFonts w:ascii="Arial" w:hAnsi="Arial" w:cs="Arial"/>
                <w:sz w:val="18"/>
                <w:szCs w:val="18"/>
              </w:rPr>
              <w:t> </w:t>
            </w:r>
            <w:r w:rsidR="00FE2B03">
              <w:rPr>
                <w:rFonts w:ascii="Arial" w:hAnsi="Arial" w:cs="Arial"/>
                <w:sz w:val="18"/>
                <w:szCs w:val="18"/>
              </w:rPr>
              <w:t>189</w:t>
            </w:r>
            <w:r w:rsidR="00EC07FB">
              <w:rPr>
                <w:rFonts w:ascii="Arial" w:hAnsi="Arial" w:cs="Arial"/>
                <w:sz w:val="18"/>
                <w:szCs w:val="18"/>
              </w:rPr>
              <w:t> 202,19 zł wydatki kwalifikowane</w:t>
            </w:r>
            <w:r w:rsidR="001A547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649BE">
              <w:rPr>
                <w:rFonts w:ascii="Arial" w:hAnsi="Arial" w:cs="Arial"/>
                <w:sz w:val="18"/>
                <w:szCs w:val="18"/>
              </w:rPr>
              <w:t>5 625 848,05</w:t>
            </w:r>
            <w:r w:rsidR="00E7667F">
              <w:rPr>
                <w:rFonts w:ascii="Arial" w:hAnsi="Arial" w:cs="Arial"/>
                <w:sz w:val="18"/>
                <w:szCs w:val="18"/>
              </w:rPr>
              <w:t xml:space="preserve"> wydatki niekwalifikowane</w:t>
            </w:r>
            <w:r w:rsidR="002D6E3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932A73B" w14:textId="77777777" w:rsidR="00016FAB" w:rsidRDefault="00016FAB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114605" w14:textId="77777777" w:rsidR="00452DBE" w:rsidRDefault="00452DBE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8CD01A" w14:textId="60F21DA1" w:rsidR="00134ECF" w:rsidRDefault="00CA4B3D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Różnica pomiędz</w:t>
            </w:r>
            <w:r w:rsidR="00134ECF">
              <w:rPr>
                <w:rFonts w:ascii="Arial" w:hAnsi="Arial" w:cs="Arial"/>
                <w:sz w:val="18"/>
                <w:szCs w:val="18"/>
              </w:rPr>
              <w:t>y wartością projektu wynikającą z Aneksu nr 4</w:t>
            </w:r>
            <w:r w:rsidR="003C17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4ECF">
              <w:rPr>
                <w:rFonts w:ascii="Arial" w:hAnsi="Arial" w:cs="Arial"/>
                <w:sz w:val="18"/>
                <w:szCs w:val="18"/>
              </w:rPr>
              <w:t>a faktycznym kosztem projektu wynika z:</w:t>
            </w:r>
          </w:p>
          <w:p w14:paraId="2A018EAE" w14:textId="503F0006" w:rsidR="00854700" w:rsidRPr="00134ECF" w:rsidRDefault="00134ECF" w:rsidP="00134EC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>niejsze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="00954EF7" w:rsidRPr="00134ECF">
              <w:rPr>
                <w:rFonts w:ascii="Arial" w:hAnsi="Arial" w:cs="Arial"/>
                <w:sz w:val="18"/>
                <w:szCs w:val="18"/>
              </w:rPr>
              <w:t xml:space="preserve"> wydatkowani</w:t>
            </w:r>
            <w:r w:rsidR="003C170D">
              <w:rPr>
                <w:rFonts w:ascii="Arial" w:hAnsi="Arial" w:cs="Arial"/>
                <w:sz w:val="18"/>
                <w:szCs w:val="18"/>
              </w:rPr>
              <w:t>a</w:t>
            </w:r>
            <w:r w:rsidR="00954EF7" w:rsidRPr="00134E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 xml:space="preserve">w części kwalifikowanej o wartość </w:t>
            </w:r>
            <w:r w:rsidR="00AC7F82" w:rsidRPr="00134ECF">
              <w:rPr>
                <w:rFonts w:ascii="Arial" w:hAnsi="Arial" w:cs="Arial"/>
                <w:sz w:val="18"/>
                <w:szCs w:val="18"/>
              </w:rPr>
              <w:t>237 610,29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488E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="003C170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>niewykorzystani</w:t>
            </w:r>
            <w:r w:rsidR="003C170D">
              <w:rPr>
                <w:rFonts w:ascii="Arial" w:hAnsi="Arial" w:cs="Arial"/>
                <w:sz w:val="18"/>
                <w:szCs w:val="18"/>
              </w:rPr>
              <w:t>e</w:t>
            </w:r>
            <w:r w:rsidR="001D40A9" w:rsidRPr="00134E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6985" w:rsidRPr="00134ECF">
              <w:rPr>
                <w:rFonts w:ascii="Arial" w:hAnsi="Arial" w:cs="Arial"/>
                <w:sz w:val="18"/>
                <w:szCs w:val="18"/>
              </w:rPr>
              <w:t>całości zabezpieczonej kwoty na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 xml:space="preserve"> zlecenia usług dodatkowych modyfikacji</w:t>
            </w:r>
            <w:r w:rsidR="00910902" w:rsidRPr="00134ECF">
              <w:rPr>
                <w:rFonts w:ascii="Arial" w:hAnsi="Arial" w:cs="Arial"/>
                <w:sz w:val="18"/>
                <w:szCs w:val="18"/>
              </w:rPr>
              <w:t xml:space="preserve"> budowanego systemu oraz </w:t>
            </w:r>
            <w:r w:rsidR="002120E0" w:rsidRPr="00134ECF">
              <w:rPr>
                <w:rFonts w:ascii="Arial" w:hAnsi="Arial" w:cs="Arial"/>
                <w:sz w:val="18"/>
                <w:szCs w:val="18"/>
              </w:rPr>
              <w:t>oszczędności na</w:t>
            </w:r>
            <w:r w:rsidR="0003344D" w:rsidRPr="00134E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3B72" w:rsidRPr="00134ECF">
              <w:rPr>
                <w:rFonts w:ascii="Arial" w:hAnsi="Arial" w:cs="Arial"/>
                <w:sz w:val="18"/>
                <w:szCs w:val="18"/>
              </w:rPr>
              <w:t>za</w:t>
            </w:r>
            <w:r w:rsidR="000D7A24" w:rsidRPr="00134ECF">
              <w:rPr>
                <w:rFonts w:ascii="Arial" w:hAnsi="Arial" w:cs="Arial"/>
                <w:sz w:val="18"/>
                <w:szCs w:val="18"/>
              </w:rPr>
              <w:t xml:space="preserve">daniu dotyczącym </w:t>
            </w:r>
            <w:r w:rsidR="00621E69" w:rsidRPr="00134ECF">
              <w:rPr>
                <w:rFonts w:ascii="Arial" w:hAnsi="Arial" w:cs="Arial"/>
                <w:sz w:val="18"/>
                <w:szCs w:val="18"/>
              </w:rPr>
              <w:t>audytu bezpieczeństwa</w:t>
            </w:r>
            <w:r w:rsidR="003C170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625006A" w14:textId="77777777" w:rsidR="007D31D5" w:rsidRPr="00854700" w:rsidRDefault="007D31D5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CB7677" w14:textId="2AD01BC5" w:rsidR="00854700" w:rsidRPr="00134ECF" w:rsidRDefault="003C170D" w:rsidP="00134ECF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140929" w:rsidRPr="00134ECF">
              <w:rPr>
                <w:rFonts w:ascii="Arial" w:hAnsi="Arial" w:cs="Arial"/>
                <w:sz w:val="18"/>
                <w:szCs w:val="18"/>
              </w:rPr>
              <w:t>niejsze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="00140929" w:rsidRPr="00134ECF">
              <w:rPr>
                <w:rFonts w:ascii="Arial" w:hAnsi="Arial" w:cs="Arial"/>
                <w:sz w:val="18"/>
                <w:szCs w:val="18"/>
              </w:rPr>
              <w:t xml:space="preserve"> wydatkowanie w części 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>niekwalifikowanej o wartość 350 000,00</w:t>
            </w:r>
            <w:r w:rsidR="008B488E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854700" w:rsidRPr="00134EC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E95AF2" w:rsidRPr="00134ECF">
              <w:rPr>
                <w:rFonts w:ascii="Arial" w:hAnsi="Arial" w:cs="Arial"/>
                <w:sz w:val="18"/>
                <w:szCs w:val="18"/>
              </w:rPr>
              <w:t xml:space="preserve"> niewykorzystani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E95AF2" w:rsidRPr="00134ECF">
              <w:rPr>
                <w:rFonts w:ascii="Arial" w:hAnsi="Arial" w:cs="Arial"/>
                <w:sz w:val="18"/>
                <w:szCs w:val="18"/>
              </w:rPr>
              <w:t xml:space="preserve"> całości zabezpieczonej kwoty na zlecenia usług dodatkowych modyfikacji budowanego systemu</w:t>
            </w:r>
            <w:r w:rsidR="00016FAB" w:rsidRPr="00134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532B63C" w14:textId="77777777" w:rsidR="00A7335E" w:rsidRDefault="00A7335E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CF3DB5" w14:textId="7E0E77C5" w:rsidR="00A7335E" w:rsidRPr="00854700" w:rsidRDefault="00A7335E" w:rsidP="00854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="004574AF">
              <w:rPr>
                <w:rFonts w:ascii="Arial" w:hAnsi="Arial" w:cs="Arial"/>
                <w:sz w:val="18"/>
                <w:szCs w:val="18"/>
              </w:rPr>
              <w:t>realizacji projektu Wykonawc</w:t>
            </w:r>
            <w:r w:rsidR="00CB276F">
              <w:rPr>
                <w:rFonts w:ascii="Arial" w:hAnsi="Arial" w:cs="Arial"/>
                <w:sz w:val="18"/>
                <w:szCs w:val="18"/>
              </w:rPr>
              <w:t>om</w:t>
            </w:r>
            <w:r w:rsidR="004574AF">
              <w:rPr>
                <w:rFonts w:ascii="Arial" w:hAnsi="Arial" w:cs="Arial"/>
                <w:sz w:val="18"/>
                <w:szCs w:val="18"/>
              </w:rPr>
              <w:t xml:space="preserve"> naliczono kary umowne na łączną kwotę</w:t>
            </w:r>
            <w:r w:rsidR="006775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3423">
              <w:rPr>
                <w:rFonts w:ascii="Arial" w:hAnsi="Arial" w:cs="Arial"/>
                <w:sz w:val="18"/>
                <w:szCs w:val="18"/>
              </w:rPr>
              <w:t>733 478,26 zł</w:t>
            </w:r>
            <w:r w:rsidR="00CB276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32671">
              <w:rPr>
                <w:rFonts w:ascii="Arial" w:hAnsi="Arial" w:cs="Arial"/>
                <w:sz w:val="18"/>
                <w:szCs w:val="18"/>
              </w:rPr>
              <w:t xml:space="preserve">Główną przyczyną naliczania kar umownych była zwłoka w </w:t>
            </w:r>
            <w:r w:rsidR="007F38BB">
              <w:rPr>
                <w:rFonts w:ascii="Arial" w:hAnsi="Arial" w:cs="Arial"/>
                <w:sz w:val="18"/>
                <w:szCs w:val="18"/>
              </w:rPr>
              <w:t xml:space="preserve">terminowym </w:t>
            </w:r>
            <w:r w:rsidR="004C48BC">
              <w:rPr>
                <w:rFonts w:ascii="Arial" w:hAnsi="Arial" w:cs="Arial"/>
                <w:sz w:val="18"/>
                <w:szCs w:val="18"/>
              </w:rPr>
              <w:t>wykonywaniu prac</w:t>
            </w:r>
            <w:r w:rsidR="002B0E26">
              <w:rPr>
                <w:rFonts w:ascii="Arial" w:hAnsi="Arial" w:cs="Arial"/>
                <w:sz w:val="18"/>
                <w:szCs w:val="18"/>
              </w:rPr>
              <w:t>,</w:t>
            </w:r>
            <w:r w:rsidR="004C48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072A">
              <w:rPr>
                <w:rFonts w:ascii="Arial" w:hAnsi="Arial" w:cs="Arial"/>
                <w:sz w:val="18"/>
                <w:szCs w:val="18"/>
              </w:rPr>
              <w:t xml:space="preserve">jak również </w:t>
            </w:r>
            <w:r w:rsidR="00D37C01">
              <w:rPr>
                <w:rFonts w:ascii="Arial" w:hAnsi="Arial" w:cs="Arial"/>
                <w:sz w:val="18"/>
                <w:szCs w:val="18"/>
              </w:rPr>
              <w:t xml:space="preserve">niska jakość przekazywanych produktów. </w:t>
            </w:r>
          </w:p>
          <w:p w14:paraId="20352B61" w14:textId="25239D42" w:rsidR="003B107D" w:rsidRPr="00914414" w:rsidRDefault="003B107D" w:rsidP="00BC12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0A3D" w:rsidRPr="002450C4" w14:paraId="28E98656" w14:textId="77777777" w:rsidTr="22023F1B">
        <w:tc>
          <w:tcPr>
            <w:tcW w:w="384" w:type="dxa"/>
          </w:tcPr>
          <w:p w14:paraId="220D83A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7B7FF175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8074" w:type="dxa"/>
          </w:tcPr>
          <w:p w14:paraId="0310E890" w14:textId="151AD4F8" w:rsidR="009F038C" w:rsidRPr="00914414" w:rsidRDefault="009F038C" w:rsidP="009F038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Cs w:val="20"/>
              </w:rPr>
              <w:t>Pierwotna planowana data rozpoczęcia realizacji projektu</w:t>
            </w:r>
            <w:r w:rsidR="00FF68D6" w:rsidRPr="00914414">
              <w:rPr>
                <w:rFonts w:ascii="Arial" w:eastAsiaTheme="minorHAnsi" w:hAnsi="Arial" w:cs="Arial"/>
                <w:iCs/>
                <w:szCs w:val="20"/>
              </w:rPr>
              <w:t xml:space="preserve"> (zgodnie OZPI)</w:t>
            </w:r>
            <w:r w:rsidRPr="00914414">
              <w:rPr>
                <w:rFonts w:ascii="Arial" w:eastAsiaTheme="minorHAnsi" w:hAnsi="Arial" w:cs="Arial"/>
                <w:iCs/>
                <w:szCs w:val="20"/>
              </w:rPr>
              <w:t xml:space="preserve">: </w:t>
            </w:r>
            <w:r w:rsidR="0058328C" w:rsidRPr="00914414">
              <w:rPr>
                <w:rFonts w:ascii="Arial" w:eastAsiaTheme="minorHAnsi" w:hAnsi="Arial" w:cs="Arial"/>
                <w:iCs/>
                <w:szCs w:val="20"/>
              </w:rPr>
              <w:t>01.20</w:t>
            </w:r>
            <w:r w:rsidR="00D45A13" w:rsidRPr="00914414">
              <w:rPr>
                <w:rFonts w:ascii="Arial" w:eastAsiaTheme="minorHAnsi" w:hAnsi="Arial" w:cs="Arial"/>
                <w:iCs/>
                <w:szCs w:val="20"/>
              </w:rPr>
              <w:t xml:space="preserve">20 </w:t>
            </w:r>
          </w:p>
          <w:p w14:paraId="0735DB64" w14:textId="2DDCEE01" w:rsidR="009F038C" w:rsidRPr="00914414" w:rsidRDefault="009F038C" w:rsidP="009F038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Cs w:val="20"/>
              </w:rPr>
              <w:t>Faktyczna data rozpoczęcia realizacji projektu</w:t>
            </w:r>
            <w:r w:rsidR="00482078" w:rsidRPr="00914414">
              <w:rPr>
                <w:rFonts w:ascii="Arial" w:eastAsiaTheme="minorHAnsi" w:hAnsi="Arial" w:cs="Arial"/>
                <w:iCs/>
                <w:szCs w:val="20"/>
              </w:rPr>
              <w:t xml:space="preserve"> ( zgodnie z UOD)</w:t>
            </w:r>
            <w:r w:rsidRPr="00914414">
              <w:rPr>
                <w:rFonts w:ascii="Arial" w:eastAsiaTheme="minorHAnsi" w:hAnsi="Arial" w:cs="Arial"/>
                <w:iCs/>
                <w:szCs w:val="20"/>
              </w:rPr>
              <w:t xml:space="preserve">: </w:t>
            </w:r>
            <w:r w:rsidR="006C063A" w:rsidRPr="00914414">
              <w:rPr>
                <w:rFonts w:ascii="Arial" w:eastAsiaTheme="minorHAnsi" w:hAnsi="Arial" w:cs="Arial"/>
                <w:iCs/>
                <w:szCs w:val="20"/>
              </w:rPr>
              <w:t>01.10.2020</w:t>
            </w:r>
          </w:p>
          <w:p w14:paraId="382E3E21" w14:textId="25744AA2" w:rsidR="009F038C" w:rsidRPr="00914414" w:rsidRDefault="009F038C" w:rsidP="009F038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Cs w:val="20"/>
              </w:rPr>
              <w:t>Pierwotna planowana data zakończenia realizacji projektu</w:t>
            </w:r>
            <w:r w:rsidR="0087691F" w:rsidRPr="00914414">
              <w:rPr>
                <w:rFonts w:ascii="Arial" w:eastAsiaTheme="minorHAnsi" w:hAnsi="Arial" w:cs="Arial"/>
                <w:iCs/>
                <w:szCs w:val="20"/>
              </w:rPr>
              <w:t xml:space="preserve"> </w:t>
            </w:r>
            <w:r w:rsidR="00FF68D6" w:rsidRPr="00914414">
              <w:rPr>
                <w:rFonts w:ascii="Arial" w:eastAsiaTheme="minorHAnsi" w:hAnsi="Arial" w:cs="Arial"/>
                <w:iCs/>
                <w:szCs w:val="20"/>
              </w:rPr>
              <w:t>(zgodnie OZPI)</w:t>
            </w:r>
            <w:r w:rsidRPr="00914414">
              <w:rPr>
                <w:rFonts w:ascii="Arial" w:eastAsiaTheme="minorHAnsi" w:hAnsi="Arial" w:cs="Arial"/>
                <w:iCs/>
                <w:szCs w:val="20"/>
              </w:rPr>
              <w:t xml:space="preserve">: </w:t>
            </w:r>
            <w:r w:rsidR="006C063A" w:rsidRPr="00914414">
              <w:rPr>
                <w:rFonts w:ascii="Arial" w:eastAsiaTheme="minorHAnsi" w:hAnsi="Arial" w:cs="Arial"/>
                <w:iCs/>
                <w:szCs w:val="20"/>
              </w:rPr>
              <w:t xml:space="preserve"> </w:t>
            </w:r>
            <w:r w:rsidR="00952D49" w:rsidRPr="00914414">
              <w:rPr>
                <w:rFonts w:ascii="Arial" w:eastAsiaTheme="minorHAnsi" w:hAnsi="Arial" w:cs="Arial"/>
                <w:iCs/>
                <w:szCs w:val="20"/>
              </w:rPr>
              <w:t xml:space="preserve">12.2022 </w:t>
            </w:r>
          </w:p>
          <w:p w14:paraId="611257AC" w14:textId="449DDEF2" w:rsidR="009F038C" w:rsidRPr="00914414" w:rsidRDefault="000C6642" w:rsidP="009F038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Cs w:val="20"/>
              </w:rPr>
              <w:t xml:space="preserve">Bazowa </w:t>
            </w:r>
            <w:r w:rsidR="009F038C" w:rsidRPr="00914414">
              <w:rPr>
                <w:rFonts w:ascii="Arial" w:eastAsiaTheme="minorHAnsi" w:hAnsi="Arial" w:cs="Arial"/>
                <w:iCs/>
                <w:szCs w:val="20"/>
              </w:rPr>
              <w:t>data zakończenia realizacji projektu</w:t>
            </w:r>
            <w:r w:rsidR="0087691F" w:rsidRPr="00914414">
              <w:rPr>
                <w:rFonts w:ascii="Arial" w:eastAsiaTheme="minorHAnsi" w:hAnsi="Arial" w:cs="Arial"/>
                <w:iCs/>
                <w:szCs w:val="20"/>
              </w:rPr>
              <w:t xml:space="preserve"> ( zgodnie z UOD):</w:t>
            </w:r>
            <w:r w:rsidR="006C063A" w:rsidRPr="00914414">
              <w:rPr>
                <w:rFonts w:ascii="Arial" w:eastAsiaTheme="minorHAnsi" w:hAnsi="Arial" w:cs="Arial"/>
                <w:iCs/>
                <w:szCs w:val="20"/>
              </w:rPr>
              <w:t>30.09.2023</w:t>
            </w:r>
          </w:p>
          <w:p w14:paraId="17BA399A" w14:textId="0FBF1387" w:rsidR="009F038C" w:rsidRPr="00914414" w:rsidRDefault="009F038C" w:rsidP="009F038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Cs w:val="20"/>
              </w:rPr>
              <w:t>Faktyczna data zakończenia realizacji projektu</w:t>
            </w:r>
            <w:r w:rsidR="000C6642" w:rsidRPr="00914414">
              <w:rPr>
                <w:rFonts w:ascii="Arial" w:eastAsiaTheme="minorHAnsi" w:hAnsi="Arial" w:cs="Arial"/>
                <w:iCs/>
                <w:szCs w:val="20"/>
              </w:rPr>
              <w:t xml:space="preserve"> ( zgodnie z UOD)</w:t>
            </w:r>
            <w:r w:rsidRPr="00914414">
              <w:rPr>
                <w:rFonts w:ascii="Arial" w:eastAsiaTheme="minorHAnsi" w:hAnsi="Arial" w:cs="Arial"/>
                <w:iCs/>
                <w:szCs w:val="20"/>
              </w:rPr>
              <w:t xml:space="preserve">: </w:t>
            </w:r>
            <w:r w:rsidR="006C063A" w:rsidRPr="00914414">
              <w:rPr>
                <w:rFonts w:ascii="Arial" w:eastAsiaTheme="minorHAnsi" w:hAnsi="Arial" w:cs="Arial"/>
                <w:iCs/>
                <w:szCs w:val="20"/>
              </w:rPr>
              <w:t>31.12.2023</w:t>
            </w:r>
          </w:p>
          <w:p w14:paraId="6E301FBF" w14:textId="77777777" w:rsidR="009F038C" w:rsidRDefault="009F038C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4F28993F" w14:textId="326F2D78" w:rsidR="00CE24D8" w:rsidRPr="006701FB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Wszystkie zadania projektowe zostały zrealizowane w zakładanym zakresie. </w:t>
            </w:r>
          </w:p>
          <w:p w14:paraId="5054A494" w14:textId="7C50BF34" w:rsidR="00CE24D8" w:rsidRPr="006701FB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Termin zakończenia projektu został przesunięty o 4 miesiące względem harmonogramu bazowego. Zmiany w zakresie harmonogramu były uzgadniane z </w:t>
            </w:r>
            <w:r w:rsidR="009715A7" w:rsidRPr="006701FB">
              <w:rPr>
                <w:rFonts w:ascii="Arial" w:hAnsi="Arial" w:cs="Arial"/>
                <w:iCs/>
                <w:sz w:val="18"/>
                <w:szCs w:val="20"/>
              </w:rPr>
              <w:t>CPPC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i potwierdzane aneksami do Umowy o Dofinansowanie. </w:t>
            </w:r>
          </w:p>
          <w:p w14:paraId="7A4BB130" w14:textId="3818BFA5" w:rsidR="00CE24D8" w:rsidRPr="006701FB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Przesunięcie terminu realizacji projektu, a tym samym osiągnięcia poszczególnych kamieni milowych  wynikało z:</w:t>
            </w:r>
          </w:p>
          <w:p w14:paraId="529C3308" w14:textId="660EFDCF" w:rsidR="00CE24D8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- przedłużającego się </w:t>
            </w:r>
            <w:r w:rsidR="005E6C66">
              <w:rPr>
                <w:rFonts w:ascii="Arial" w:hAnsi="Arial" w:cs="Arial"/>
                <w:iCs/>
                <w:sz w:val="18"/>
                <w:szCs w:val="20"/>
              </w:rPr>
              <w:t>postępowania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przetargowego na wybór wykonawcy systemu WIR,</w:t>
            </w:r>
          </w:p>
          <w:p w14:paraId="732B4777" w14:textId="347C90CF" w:rsidR="004B3DD4" w:rsidRPr="006701FB" w:rsidRDefault="004B3DD4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iCs/>
                <w:sz w:val="18"/>
                <w:szCs w:val="20"/>
              </w:rPr>
              <w:t xml:space="preserve">- </w:t>
            </w:r>
            <w:r w:rsidR="00A643F9">
              <w:rPr>
                <w:rFonts w:ascii="Arial" w:hAnsi="Arial" w:cs="Arial"/>
                <w:iCs/>
                <w:sz w:val="18"/>
                <w:szCs w:val="20"/>
              </w:rPr>
              <w:t>przedłużającego</w:t>
            </w:r>
            <w:r w:rsidR="005E6C66">
              <w:rPr>
                <w:rFonts w:ascii="Arial" w:hAnsi="Arial" w:cs="Arial"/>
                <w:iCs/>
                <w:sz w:val="18"/>
                <w:szCs w:val="20"/>
              </w:rPr>
              <w:t xml:space="preserve"> się procesu integracji z zewnętrznymi usługami</w:t>
            </w:r>
            <w:r w:rsidR="00A643F9">
              <w:rPr>
                <w:rFonts w:ascii="Arial" w:hAnsi="Arial" w:cs="Arial"/>
                <w:iCs/>
                <w:sz w:val="18"/>
                <w:szCs w:val="20"/>
              </w:rPr>
              <w:t>,</w:t>
            </w:r>
          </w:p>
          <w:p w14:paraId="6800AF9D" w14:textId="4463B212" w:rsidR="00CE24D8" w:rsidRPr="006701FB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- </w:t>
            </w:r>
            <w:r w:rsidR="00397E41">
              <w:rPr>
                <w:rFonts w:ascii="Arial" w:hAnsi="Arial" w:cs="Arial"/>
                <w:iCs/>
                <w:sz w:val="18"/>
                <w:szCs w:val="20"/>
              </w:rPr>
              <w:t>zwłoki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Wykonawcy w  trakcie realizacji </w:t>
            </w:r>
            <w:r w:rsidR="00342E07" w:rsidRPr="006701FB">
              <w:rPr>
                <w:rFonts w:ascii="Arial" w:hAnsi="Arial" w:cs="Arial"/>
                <w:iCs/>
                <w:sz w:val="18"/>
                <w:szCs w:val="20"/>
              </w:rPr>
              <w:t>umowy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.</w:t>
            </w:r>
          </w:p>
          <w:p w14:paraId="3245E725" w14:textId="77777777" w:rsidR="00CE24D8" w:rsidRDefault="00CE24D8" w:rsidP="00E52249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6350" w:type="dxa"/>
              <w:tblLook w:val="04A0" w:firstRow="1" w:lastRow="0" w:firstColumn="1" w:lastColumn="0" w:noHBand="0" w:noVBand="1"/>
            </w:tblPr>
            <w:tblGrid>
              <w:gridCol w:w="1628"/>
              <w:gridCol w:w="1171"/>
              <w:gridCol w:w="1559"/>
              <w:gridCol w:w="1992"/>
            </w:tblGrid>
            <w:tr w:rsidR="00CE24D8" w:rsidRPr="00596E33" w14:paraId="0E42A0CA" w14:textId="77777777" w:rsidTr="001A140E">
              <w:trPr>
                <w:trHeight w:val="913"/>
                <w:tblHeader/>
              </w:trPr>
              <w:tc>
                <w:tcPr>
                  <w:tcW w:w="1628" w:type="dxa"/>
                  <w:shd w:val="clear" w:color="auto" w:fill="D0CECE" w:themeFill="background2" w:themeFillShade="E6"/>
                  <w:vAlign w:val="center"/>
                </w:tcPr>
                <w:p w14:paraId="5846099E" w14:textId="77777777" w:rsidR="00CE24D8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  <w:p w14:paraId="11EBD3F5" w14:textId="77777777" w:rsidR="00CE24D8" w:rsidRPr="00596E33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Nazwa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kamienia milowego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1F2F2484" w14:textId="77777777" w:rsidR="00CE24D8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</w:p>
                <w:p w14:paraId="6E988C81" w14:textId="77777777" w:rsidR="00CE24D8" w:rsidRPr="00596E33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Pierwotny planowany termin osiągnięcia </w:t>
                  </w:r>
                </w:p>
              </w:tc>
              <w:tc>
                <w:tcPr>
                  <w:tcW w:w="1559" w:type="dxa"/>
                  <w:shd w:val="clear" w:color="auto" w:fill="D0CECE" w:themeFill="background2" w:themeFillShade="E6"/>
                  <w:vAlign w:val="center"/>
                </w:tcPr>
                <w:p w14:paraId="6D5325AD" w14:textId="5E280182" w:rsidR="00CE24D8" w:rsidRPr="00596E33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Planowany termin osiągnięcia</w:t>
                  </w:r>
                  <w:r w:rsidR="00375DDB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zgodnie z obowiązującym Aneksem nr 4 do UoD</w:t>
                  </w:r>
                  <w:r w:rsidRPr="00596E33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92" w:type="dxa"/>
                  <w:shd w:val="clear" w:color="auto" w:fill="D0CECE" w:themeFill="background2" w:themeFillShade="E6"/>
                  <w:vAlign w:val="center"/>
                </w:tcPr>
                <w:p w14:paraId="29D93E95" w14:textId="77777777" w:rsidR="00CE24D8" w:rsidRPr="00596E33" w:rsidRDefault="00CE24D8" w:rsidP="00CE24D8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Rzeczywisty termin osiągnięcia</w:t>
                  </w:r>
                </w:p>
              </w:tc>
            </w:tr>
            <w:tr w:rsidR="00CE24D8" w:rsidRPr="00596E33" w14:paraId="7193C98C" w14:textId="77777777" w:rsidTr="001A140E">
              <w:trPr>
                <w:trHeight w:val="550"/>
              </w:trPr>
              <w:tc>
                <w:tcPr>
                  <w:tcW w:w="1628" w:type="dxa"/>
                  <w:vAlign w:val="center"/>
                </w:tcPr>
                <w:p w14:paraId="2D1F23E0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 xml:space="preserve">1.Podpisanie umowy na wsparcie </w:t>
                  </w: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Beneficjenta w realizacji projektu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B00E96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lastRenderedPageBreak/>
                    <w:t>03-2021</w:t>
                  </w:r>
                </w:p>
              </w:tc>
              <w:tc>
                <w:tcPr>
                  <w:tcW w:w="1559" w:type="dxa"/>
                  <w:vAlign w:val="center"/>
                </w:tcPr>
                <w:p w14:paraId="632C4B89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03-2021</w:t>
                  </w:r>
                </w:p>
              </w:tc>
              <w:tc>
                <w:tcPr>
                  <w:tcW w:w="1992" w:type="dxa"/>
                  <w:vAlign w:val="center"/>
                </w:tcPr>
                <w:p w14:paraId="355AA5B4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03-2021</w:t>
                  </w:r>
                </w:p>
              </w:tc>
            </w:tr>
            <w:tr w:rsidR="00CE24D8" w:rsidRPr="00596E33" w14:paraId="7A06D22F" w14:textId="77777777" w:rsidTr="001A140E">
              <w:trPr>
                <w:trHeight w:val="550"/>
              </w:trPr>
              <w:tc>
                <w:tcPr>
                  <w:tcW w:w="1628" w:type="dxa"/>
                  <w:vAlign w:val="center"/>
                </w:tcPr>
                <w:p w14:paraId="4DA7F3EC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2.Podpisanie umowy na wykonanie systemu i aplikacji mobilnej.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458C83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10-2021</w:t>
                  </w:r>
                </w:p>
              </w:tc>
              <w:tc>
                <w:tcPr>
                  <w:tcW w:w="1559" w:type="dxa"/>
                  <w:vAlign w:val="center"/>
                </w:tcPr>
                <w:p w14:paraId="6A2C4704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04-2022</w:t>
                  </w:r>
                </w:p>
              </w:tc>
              <w:tc>
                <w:tcPr>
                  <w:tcW w:w="1992" w:type="dxa"/>
                  <w:vAlign w:val="center"/>
                </w:tcPr>
                <w:p w14:paraId="3FAD64F5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04-2022</w:t>
                  </w:r>
                </w:p>
              </w:tc>
            </w:tr>
            <w:tr w:rsidR="00CE24D8" w:rsidRPr="00596E33" w14:paraId="4EBAF73C" w14:textId="77777777" w:rsidTr="001A140E">
              <w:trPr>
                <w:trHeight w:val="725"/>
              </w:trPr>
              <w:tc>
                <w:tcPr>
                  <w:tcW w:w="1628" w:type="dxa"/>
                  <w:vAlign w:val="center"/>
                </w:tcPr>
                <w:p w14:paraId="72BA445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3.Określenie preferencji użytkowników. Opracowanie makiet i interfejsów graficznych.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DCB3C4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01-2022</w:t>
                  </w:r>
                </w:p>
              </w:tc>
              <w:tc>
                <w:tcPr>
                  <w:tcW w:w="1559" w:type="dxa"/>
                  <w:vAlign w:val="center"/>
                </w:tcPr>
                <w:p w14:paraId="23E9514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06-2022</w:t>
                  </w:r>
                </w:p>
              </w:tc>
              <w:tc>
                <w:tcPr>
                  <w:tcW w:w="1992" w:type="dxa"/>
                  <w:vAlign w:val="center"/>
                </w:tcPr>
                <w:p w14:paraId="48DFD9FF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06-2022</w:t>
                  </w:r>
                </w:p>
              </w:tc>
            </w:tr>
            <w:tr w:rsidR="00CE24D8" w:rsidRPr="00596E33" w14:paraId="570CC38F" w14:textId="77777777" w:rsidTr="001A140E">
              <w:trPr>
                <w:trHeight w:val="362"/>
              </w:trPr>
              <w:tc>
                <w:tcPr>
                  <w:tcW w:w="1628" w:type="dxa"/>
                  <w:vAlign w:val="center"/>
                </w:tcPr>
                <w:p w14:paraId="75AB8C5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4.Uruchomienie środowiska testowego.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33D3C0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07-2022</w:t>
                  </w:r>
                </w:p>
              </w:tc>
              <w:tc>
                <w:tcPr>
                  <w:tcW w:w="1559" w:type="dxa"/>
                  <w:vAlign w:val="center"/>
                </w:tcPr>
                <w:p w14:paraId="4C4F4730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12-2022</w:t>
                  </w:r>
                </w:p>
              </w:tc>
              <w:tc>
                <w:tcPr>
                  <w:tcW w:w="1992" w:type="dxa"/>
                  <w:vAlign w:val="center"/>
                </w:tcPr>
                <w:p w14:paraId="186ADF7F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05-2023</w:t>
                  </w:r>
                </w:p>
              </w:tc>
            </w:tr>
            <w:tr w:rsidR="00CE24D8" w:rsidRPr="00596E33" w14:paraId="6636F82D" w14:textId="77777777" w:rsidTr="001A140E">
              <w:trPr>
                <w:trHeight w:val="362"/>
              </w:trPr>
              <w:tc>
                <w:tcPr>
                  <w:tcW w:w="1628" w:type="dxa"/>
                  <w:vAlign w:val="center"/>
                </w:tcPr>
                <w:p w14:paraId="1FB7162C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5.Udostępnienie środowiska produkcyjnego systemu WIR.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DA6BED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11-2022</w:t>
                  </w:r>
                </w:p>
              </w:tc>
              <w:tc>
                <w:tcPr>
                  <w:tcW w:w="1559" w:type="dxa"/>
                  <w:vAlign w:val="center"/>
                </w:tcPr>
                <w:p w14:paraId="4F6B4A0C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04-2023</w:t>
                  </w:r>
                </w:p>
              </w:tc>
              <w:tc>
                <w:tcPr>
                  <w:tcW w:w="1992" w:type="dxa"/>
                  <w:vAlign w:val="center"/>
                </w:tcPr>
                <w:p w14:paraId="62049E3A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05-2023</w:t>
                  </w:r>
                </w:p>
              </w:tc>
            </w:tr>
            <w:tr w:rsidR="00CE24D8" w:rsidRPr="00596E33" w14:paraId="2D4172A3" w14:textId="77777777" w:rsidTr="001A140E">
              <w:trPr>
                <w:trHeight w:val="376"/>
              </w:trPr>
              <w:tc>
                <w:tcPr>
                  <w:tcW w:w="1628" w:type="dxa"/>
                  <w:vAlign w:val="center"/>
                </w:tcPr>
                <w:p w14:paraId="65DBBFC5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6.Zakończenie testów bezpieczeństwa i wydajności.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8D836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01-2023</w:t>
                  </w:r>
                </w:p>
              </w:tc>
              <w:tc>
                <w:tcPr>
                  <w:tcW w:w="1559" w:type="dxa"/>
                  <w:vAlign w:val="center"/>
                </w:tcPr>
                <w:p w14:paraId="7D6B5BD1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12-2023*</w:t>
                  </w:r>
                </w:p>
              </w:tc>
              <w:tc>
                <w:tcPr>
                  <w:tcW w:w="1992" w:type="dxa"/>
                  <w:vAlign w:val="center"/>
                </w:tcPr>
                <w:p w14:paraId="1AAE56B7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CE24D8" w:rsidRPr="00596E33" w14:paraId="63A5FEFF" w14:textId="77777777" w:rsidTr="001A140E">
              <w:trPr>
                <w:trHeight w:val="174"/>
              </w:trPr>
              <w:tc>
                <w:tcPr>
                  <w:tcW w:w="1628" w:type="dxa"/>
                  <w:vAlign w:val="center"/>
                </w:tcPr>
                <w:p w14:paraId="42D7ADFB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7.Zakończenie poprawek.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3A5D0F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03-2023</w:t>
                  </w:r>
                </w:p>
              </w:tc>
              <w:tc>
                <w:tcPr>
                  <w:tcW w:w="1559" w:type="dxa"/>
                  <w:vAlign w:val="center"/>
                </w:tcPr>
                <w:p w14:paraId="4510F159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12-2023*</w:t>
                  </w:r>
                </w:p>
              </w:tc>
              <w:tc>
                <w:tcPr>
                  <w:tcW w:w="1992" w:type="dxa"/>
                  <w:vAlign w:val="center"/>
                </w:tcPr>
                <w:p w14:paraId="3607C890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CE24D8" w:rsidRPr="00596E33" w14:paraId="409D3B6C" w14:textId="77777777" w:rsidTr="001A140E">
              <w:trPr>
                <w:trHeight w:val="738"/>
              </w:trPr>
              <w:tc>
                <w:tcPr>
                  <w:tcW w:w="1628" w:type="dxa"/>
                  <w:vAlign w:val="center"/>
                </w:tcPr>
                <w:p w14:paraId="72346FCC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8.Zakończenie szkoleń.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B1EC4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</w:p>
                <w:p w14:paraId="24C253B6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</w:p>
                <w:p w14:paraId="4E122084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</w:p>
                <w:p w14:paraId="28765906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07-2023</w:t>
                  </w:r>
                </w:p>
              </w:tc>
              <w:tc>
                <w:tcPr>
                  <w:tcW w:w="1559" w:type="dxa"/>
                  <w:vAlign w:val="center"/>
                </w:tcPr>
                <w:p w14:paraId="5F41F253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11-2023*</w:t>
                  </w:r>
                </w:p>
              </w:tc>
              <w:tc>
                <w:tcPr>
                  <w:tcW w:w="1992" w:type="dxa"/>
                  <w:vAlign w:val="center"/>
                </w:tcPr>
                <w:p w14:paraId="7FFA4E5D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CE24D8" w:rsidRPr="00596E33" w14:paraId="0974BE79" w14:textId="77777777" w:rsidTr="001A140E">
              <w:trPr>
                <w:trHeight w:val="537"/>
              </w:trPr>
              <w:tc>
                <w:tcPr>
                  <w:tcW w:w="1628" w:type="dxa"/>
                  <w:vAlign w:val="center"/>
                </w:tcPr>
                <w:p w14:paraId="6AFD7EF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9.Zakończenie realizacji systemu / udostępnienie e-usług</w:t>
                  </w: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FCB6AE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</w:p>
                <w:p w14:paraId="0EF8E8E3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08-2023</w:t>
                  </w:r>
                </w:p>
              </w:tc>
              <w:tc>
                <w:tcPr>
                  <w:tcW w:w="1559" w:type="dxa"/>
                  <w:vAlign w:val="center"/>
                </w:tcPr>
                <w:p w14:paraId="7E0AFE5D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12-2023*</w:t>
                  </w:r>
                </w:p>
              </w:tc>
              <w:tc>
                <w:tcPr>
                  <w:tcW w:w="1992" w:type="dxa"/>
                  <w:vAlign w:val="center"/>
                </w:tcPr>
                <w:p w14:paraId="06CD34F1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12-2023</w:t>
                  </w:r>
                </w:p>
              </w:tc>
            </w:tr>
            <w:tr w:rsidR="00CE24D8" w:rsidRPr="00596E33" w14:paraId="38974C4B" w14:textId="77777777" w:rsidTr="001A140E">
              <w:trPr>
                <w:trHeight w:val="550"/>
              </w:trPr>
              <w:tc>
                <w:tcPr>
                  <w:tcW w:w="1628" w:type="dxa"/>
                  <w:vAlign w:val="center"/>
                </w:tcPr>
                <w:p w14:paraId="5EBBCEEB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</w:rPr>
                    <w:t>10.Zakończenie promocji projektu</w:t>
                  </w:r>
                </w:p>
                <w:p w14:paraId="65FDF897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36B649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</w:p>
                <w:p w14:paraId="5CFBEAE8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08-2023</w:t>
                  </w:r>
                </w:p>
              </w:tc>
              <w:tc>
                <w:tcPr>
                  <w:tcW w:w="1559" w:type="dxa"/>
                  <w:vAlign w:val="center"/>
                </w:tcPr>
                <w:p w14:paraId="476F9EB2" w14:textId="77777777" w:rsidR="00CE24D8" w:rsidRPr="00596E33" w:rsidRDefault="00CE24D8" w:rsidP="00CE24D8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11-2023*</w:t>
                  </w:r>
                </w:p>
              </w:tc>
              <w:tc>
                <w:tcPr>
                  <w:tcW w:w="1992" w:type="dxa"/>
                  <w:vAlign w:val="center"/>
                </w:tcPr>
                <w:p w14:paraId="2027F965" w14:textId="77777777" w:rsidR="00CE24D8" w:rsidRPr="00596E33" w:rsidRDefault="00CE24D8" w:rsidP="00CE24D8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596E33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11-2023</w:t>
                  </w:r>
                </w:p>
              </w:tc>
            </w:tr>
          </w:tbl>
          <w:p w14:paraId="194E6A8A" w14:textId="77777777" w:rsidR="00CE24D8" w:rsidRPr="00914414" w:rsidRDefault="00CE24D8" w:rsidP="00E52249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51FD5F70" w14:textId="77777777" w:rsidR="00B1204B" w:rsidRPr="00914414" w:rsidRDefault="00B1204B" w:rsidP="00B1204B">
            <w:pPr>
              <w:pStyle w:val="Tablecaption0"/>
              <w:rPr>
                <w:rFonts w:ascii="Arial" w:eastAsiaTheme="minorHAnsi" w:hAnsi="Arial" w:cs="Arial"/>
                <w:iCs/>
                <w:sz w:val="18"/>
                <w:szCs w:val="20"/>
              </w:rPr>
            </w:pPr>
            <w:r w:rsidRPr="00914414">
              <w:rPr>
                <w:rFonts w:ascii="Arial" w:eastAsiaTheme="minorHAnsi" w:hAnsi="Arial" w:cs="Arial"/>
                <w:iCs/>
                <w:sz w:val="18"/>
                <w:szCs w:val="20"/>
              </w:rPr>
              <w:t>W wyniku realizacji projektu powstały poniżej wymienione produkty:</w:t>
            </w:r>
          </w:p>
          <w:p w14:paraId="004332B8" w14:textId="77777777" w:rsidR="00B1204B" w:rsidRPr="00914414" w:rsidRDefault="00B1204B" w:rsidP="00B1204B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491"/>
              <w:gridCol w:w="3441"/>
            </w:tblGrid>
            <w:tr w:rsidR="00B1204B" w:rsidRPr="00914414" w14:paraId="538AA14F" w14:textId="77777777" w:rsidTr="00B1204B">
              <w:tc>
                <w:tcPr>
                  <w:tcW w:w="3491" w:type="dxa"/>
                  <w:shd w:val="clear" w:color="auto" w:fill="D9D9D9" w:themeFill="background1" w:themeFillShade="D9"/>
                  <w:vAlign w:val="center"/>
                </w:tcPr>
                <w:p w14:paraId="2CFD66F4" w14:textId="77777777" w:rsidR="00B1204B" w:rsidRPr="00914414" w:rsidRDefault="00B1204B" w:rsidP="00B1204B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Nazwa produktu</w:t>
                  </w:r>
                </w:p>
              </w:tc>
              <w:tc>
                <w:tcPr>
                  <w:tcW w:w="3441" w:type="dxa"/>
                  <w:shd w:val="clear" w:color="auto" w:fill="D9D9D9" w:themeFill="background1" w:themeFillShade="D9"/>
                  <w:vAlign w:val="center"/>
                </w:tcPr>
                <w:p w14:paraId="10637BA2" w14:textId="77777777" w:rsidR="00B1204B" w:rsidRPr="00914414" w:rsidRDefault="00B1204B" w:rsidP="00B1204B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Data wdrożenia</w:t>
                  </w:r>
                </w:p>
              </w:tc>
            </w:tr>
            <w:tr w:rsidR="00B1204B" w:rsidRPr="00914414" w14:paraId="6B82A48B" w14:textId="77777777" w:rsidTr="00B1204B">
              <w:tc>
                <w:tcPr>
                  <w:tcW w:w="3491" w:type="dxa"/>
                  <w:vAlign w:val="center"/>
                </w:tcPr>
                <w:p w14:paraId="085B3B07" w14:textId="5C0291F0" w:rsidR="00B1204B" w:rsidRPr="00914414" w:rsidRDefault="00573DEE" w:rsidP="00B1204B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 xml:space="preserve">Rejestr danych </w:t>
                  </w:r>
                  <w:r w:rsidR="006C063A"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na temat zjawisk lodowych</w:t>
                  </w:r>
                </w:p>
              </w:tc>
              <w:tc>
                <w:tcPr>
                  <w:tcW w:w="3441" w:type="dxa"/>
                  <w:vAlign w:val="center"/>
                </w:tcPr>
                <w:p w14:paraId="2EF44187" w14:textId="29F6067C" w:rsidR="00B1204B" w:rsidRPr="00914414" w:rsidRDefault="008F4E20" w:rsidP="00B1204B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12-2023</w:t>
                  </w:r>
                </w:p>
              </w:tc>
            </w:tr>
            <w:tr w:rsidR="008F4E20" w:rsidRPr="00914414" w14:paraId="74E980EB" w14:textId="77777777" w:rsidTr="00EE47BB">
              <w:tc>
                <w:tcPr>
                  <w:tcW w:w="3491" w:type="dxa"/>
                </w:tcPr>
                <w:p w14:paraId="6C7EF58F" w14:textId="4AEA601F" w:rsidR="008F4E20" w:rsidRPr="00914414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914414">
                    <w:rPr>
                      <w:rFonts w:ascii="Arial" w:hAnsi="Arial" w:cs="Arial"/>
                      <w:iCs/>
                      <w:sz w:val="18"/>
                      <w:szCs w:val="20"/>
                    </w:rPr>
                    <w:t>Platforma Wirtualny Informator Rzeczny (WIR) wraz z API</w:t>
                  </w:r>
                </w:p>
                <w:p w14:paraId="0DEF53CC" w14:textId="1C187EF3" w:rsidR="008F4E20" w:rsidRPr="00914414" w:rsidRDefault="008F4E20" w:rsidP="008F4E20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</w:p>
              </w:tc>
              <w:tc>
                <w:tcPr>
                  <w:tcW w:w="3441" w:type="dxa"/>
                  <w:vAlign w:val="center"/>
                </w:tcPr>
                <w:p w14:paraId="316E70C8" w14:textId="653A0905" w:rsidR="008F4E20" w:rsidRPr="00914414" w:rsidRDefault="008F4E20" w:rsidP="008F4E20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12-2023</w:t>
                  </w:r>
                </w:p>
              </w:tc>
            </w:tr>
            <w:tr w:rsidR="008F4E20" w:rsidRPr="00914414" w14:paraId="24E9454D" w14:textId="77777777" w:rsidTr="00B1204B">
              <w:tc>
                <w:tcPr>
                  <w:tcW w:w="3491" w:type="dxa"/>
                  <w:vAlign w:val="center"/>
                </w:tcPr>
                <w:p w14:paraId="652BFDB1" w14:textId="77777777" w:rsidR="008F4E20" w:rsidRPr="00914414" w:rsidRDefault="008F4E20" w:rsidP="008F4E20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Aplikacja mobilna</w:t>
                  </w:r>
                </w:p>
                <w:p w14:paraId="08EFFF96" w14:textId="2B61219B" w:rsidR="008F4E20" w:rsidRPr="00914414" w:rsidRDefault="008F4E20" w:rsidP="008F4E20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</w:p>
              </w:tc>
              <w:tc>
                <w:tcPr>
                  <w:tcW w:w="3441" w:type="dxa"/>
                  <w:vAlign w:val="center"/>
                </w:tcPr>
                <w:p w14:paraId="7A2CD4B6" w14:textId="124043DB" w:rsidR="008F4E20" w:rsidRPr="00914414" w:rsidRDefault="008F4E20" w:rsidP="008F4E20">
                  <w:pPr>
                    <w:pStyle w:val="Other0"/>
                    <w:rPr>
                      <w:rFonts w:ascii="Arial" w:eastAsiaTheme="minorHAnsi" w:hAnsi="Arial" w:cs="Arial"/>
                      <w:iCs/>
                      <w:szCs w:val="20"/>
                    </w:rPr>
                  </w:pPr>
                  <w:r w:rsidRPr="00914414">
                    <w:rPr>
                      <w:rFonts w:ascii="Arial" w:eastAsiaTheme="minorHAnsi" w:hAnsi="Arial" w:cs="Arial"/>
                      <w:iCs/>
                      <w:szCs w:val="20"/>
                    </w:rPr>
                    <w:t>12-2023</w:t>
                  </w:r>
                </w:p>
              </w:tc>
            </w:tr>
          </w:tbl>
          <w:p w14:paraId="37D95DA0" w14:textId="77777777" w:rsidR="00CE24D8" w:rsidRPr="002450C4" w:rsidRDefault="00CE24D8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28045DB9" w14:textId="77777777" w:rsidTr="22023F1B">
        <w:tc>
          <w:tcPr>
            <w:tcW w:w="384" w:type="dxa"/>
          </w:tcPr>
          <w:p w14:paraId="21D36876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465B3AD4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074" w:type="dxa"/>
          </w:tcPr>
          <w:p w14:paraId="319D904A" w14:textId="20BF6896" w:rsidR="00CE24D8" w:rsidRPr="00C81AEC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>E-usługi zostały zrealizowane w zakładanym zakresie.</w:t>
            </w:r>
          </w:p>
          <w:p w14:paraId="15D252F2" w14:textId="7FC74816" w:rsidR="00CE24D8" w:rsidRPr="00C81AEC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>1.Elektroniczne rozliczanie deklaracji, na podstawie której ustala się wysokość należności za</w:t>
            </w:r>
            <w:r w:rsidR="00943AD3" w:rsidRPr="00C81AEC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C81AEC">
              <w:rPr>
                <w:rFonts w:ascii="Arial" w:hAnsi="Arial" w:cs="Arial"/>
                <w:iCs/>
                <w:sz w:val="18"/>
                <w:szCs w:val="20"/>
              </w:rPr>
              <w:t>korzystanie ze śródlądowych dróg wodnych i ich odcinków oraz śluz i pochylni w danym miesiącu</w:t>
            </w:r>
          </w:p>
          <w:p w14:paraId="065DABD9" w14:textId="512516F4" w:rsidR="00CE24D8" w:rsidRPr="006701FB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typ usługi: A2B</w:t>
            </w:r>
          </w:p>
          <w:p w14:paraId="54A95727" w14:textId="02A970E5" w:rsidR="00CE24D8" w:rsidRPr="006701FB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poziom dojrzałości: 4</w:t>
            </w:r>
          </w:p>
          <w:p w14:paraId="36A27DBE" w14:textId="4311235D" w:rsidR="00CE24D8" w:rsidRPr="006701FB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opis e-usługi: </w:t>
            </w:r>
          </w:p>
          <w:p w14:paraId="6C7800AF" w14:textId="408604AD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Usługa umożliwia automatyzację procesu wysyłania przedsiębiorcy "informacji o wysokości</w:t>
            </w:r>
            <w:r w:rsidR="003C3C08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należności za korzystanie ze śródlądowych dróg wodnych i ich odcinków oraz śluz i pochylni w</w:t>
            </w:r>
            <w:r w:rsidR="003C3C08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danym miesiącu”, która realizowana  jest na podstawie "deklaracji" składanych przez</w:t>
            </w:r>
            <w:r w:rsidR="003C3C08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przedsiębiorców oraz rejestrów śluzowań i przejść przez pochylnię prowadzonych przez PGW WP. System umożliwia:</w:t>
            </w:r>
          </w:p>
          <w:p w14:paraId="0D1B38D7" w14:textId="4F5E24B0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-prowadzenie przez przedsiębiorcę kart przejazdu obiektu pływającego,</w:t>
            </w:r>
          </w:p>
          <w:p w14:paraId="537B9032" w14:textId="3374D7D2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-przygotowanie, modyfikację oraz złożenie </w:t>
            </w:r>
            <w:r w:rsidR="00FE78F9" w:rsidRPr="006701FB">
              <w:rPr>
                <w:rFonts w:ascii="Arial" w:hAnsi="Arial" w:cs="Arial"/>
                <w:iCs/>
                <w:sz w:val="18"/>
                <w:szCs w:val="20"/>
              </w:rPr>
              <w:t>on-line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za pomocą dedykowanego formularza miesięcznej deklaracji dotyczącej korzystanie ze śródlądowych dróg wodnych</w:t>
            </w:r>
          </w:p>
          <w:p w14:paraId="6A3D7DC4" w14:textId="2767CF16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- porównanie danych z deklaracji z danymi z rejestrów PGW WP  i na ich  podstawie wygenerowanie informacji o wysokości należności </w:t>
            </w:r>
          </w:p>
          <w:p w14:paraId="59AC02C2" w14:textId="60210423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elektroniczne opłacenie należności przez armatora</w:t>
            </w:r>
          </w:p>
          <w:p w14:paraId="7A4C8567" w14:textId="77777777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35DCFA79" w14:textId="19BAE4FE" w:rsidR="00CE24D8" w:rsidRPr="006701FB" w:rsidRDefault="00CE24D8" w:rsidP="00CE24D8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Całość usługi realizowana jest w postaci elektronicznej bez konieczności udziału operatora po stronie PGW WP. Przedsiębiorcy zarejestrowani w systemie uzyskają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lastRenderedPageBreak/>
              <w:t>dostęp do indywidualnego konta rozliczeniowego oraz funkcjonalności wspierających tworzenie deklaracji. Konto umożliwia prowadzenie przez przedsiębiorcę własnych rejestrów (kart przejazdu)</w:t>
            </w:r>
            <w:r w:rsidR="00B5264B">
              <w:rPr>
                <w:rFonts w:ascii="Arial" w:hAnsi="Arial" w:cs="Arial"/>
                <w:iCs/>
                <w:sz w:val="18"/>
                <w:szCs w:val="20"/>
              </w:rPr>
              <w:t>,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na podstawie których może automatycznie stworzyć deklarację za dany miesiąc rozliczeniowy. </w:t>
            </w:r>
          </w:p>
          <w:p w14:paraId="570A6DF0" w14:textId="31EF9966" w:rsidR="00CE24D8" w:rsidRPr="006701FB" w:rsidRDefault="00CE24D8" w:rsidP="00CE24D8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Przedsiębiorca ma  wgląd w rejestry prowadzone przez Beneficjenta, w zakresie dotyczącym jego przejść przez śluzy lub pochylnie. Deklaracja tworzona będzie </w:t>
            </w:r>
            <w:r w:rsidR="00B5264B">
              <w:rPr>
                <w:rFonts w:ascii="Arial" w:hAnsi="Arial" w:cs="Arial"/>
                <w:iCs/>
                <w:sz w:val="18"/>
                <w:szCs w:val="20"/>
              </w:rPr>
              <w:br/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w sposób automatyczny, na podstawie danych zawartych w rejestrach przedsiębiorcy - kartach przejazdu obiektów pływających.</w:t>
            </w:r>
          </w:p>
          <w:p w14:paraId="6D6F3A0F" w14:textId="77777777" w:rsidR="00CE24D8" w:rsidRPr="00C81AEC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7EE636D0" w14:textId="5DF7C776" w:rsidR="00CE24D8" w:rsidRPr="00C81AEC" w:rsidRDefault="00CE24D8" w:rsidP="004D135D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>2. Obsługa żeglugi rekreacyjnej</w:t>
            </w:r>
          </w:p>
          <w:p w14:paraId="36A05FB9" w14:textId="40FAD058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typ usługi: A2C</w:t>
            </w:r>
          </w:p>
          <w:p w14:paraId="41851E5D" w14:textId="77777777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poziom dojrzałości: 4</w:t>
            </w:r>
          </w:p>
          <w:p w14:paraId="2AEAADAD" w14:textId="77777777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opis e-usługi: </w:t>
            </w:r>
          </w:p>
          <w:p w14:paraId="6D9CD578" w14:textId="70CDD015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Podczas planowania trasy rejsu z wykorzystaniem systemu i danych w nim zawartych, została wprowadzona funkcja dokonywania bezgotówkowych płatności za śluzowanie i przejście przez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pochylnię. System zapewnia  możliwość generowania elektronicznych potwierdzeń uiszczenia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opłaty. Z usługi skorzystać można samodzielnie oraz z poziomu planera rejsu</w:t>
            </w:r>
            <w:r w:rsidR="0020027B" w:rsidRPr="006701FB">
              <w:rPr>
                <w:rFonts w:ascii="Arial" w:hAnsi="Arial" w:cs="Arial"/>
                <w:iCs/>
                <w:sz w:val="18"/>
                <w:szCs w:val="20"/>
              </w:rPr>
              <w:t>,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który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dostępny jest za pomocą responsywnego portalu WIR oraz aplikacji mobilnej.  Użytkownik dodatkowo posiada  dostęp do danych na temat bezpieczeństwa na wodach</w:t>
            </w:r>
            <w:r w:rsidR="00BB3520" w:rsidRPr="006701FB">
              <w:rPr>
                <w:rFonts w:ascii="Arial" w:hAnsi="Arial" w:cs="Arial"/>
                <w:iCs/>
                <w:sz w:val="18"/>
                <w:szCs w:val="20"/>
              </w:rPr>
              <w:t xml:space="preserve"> oraz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możliwość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planowania trasy rejsu i wcześniejszego wnoszenia opłat za śluzowanie lub przejście przez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pochylnię</w:t>
            </w:r>
            <w:r w:rsidR="00825FDB" w:rsidRPr="006701FB">
              <w:rPr>
                <w:rFonts w:ascii="Arial" w:hAnsi="Arial" w:cs="Arial"/>
                <w:iCs/>
                <w:sz w:val="18"/>
                <w:szCs w:val="20"/>
              </w:rPr>
              <w:t>, a także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możliwość zgłaszania nieprawidłowości i zagrożeń.</w:t>
            </w:r>
          </w:p>
          <w:p w14:paraId="56E26382" w14:textId="77777777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7DD7F097" w14:textId="692ED256" w:rsidR="00CE24D8" w:rsidRPr="006701FB" w:rsidRDefault="00CE24D8" w:rsidP="00CE24D8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Proces planowania trasy i wniesienia opłaty realizowany jest  w sposób transakcyjny  (automatyczny), bez konieczności udziału operatora po stronie PGW WP. Użytkownik usługi</w:t>
            </w:r>
            <w:r w:rsidR="00943AD3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wskazuje początek i koniec trasy rejsu a system określa miejsca śluzowań lub przejść przez</w:t>
            </w:r>
            <w:r w:rsidR="00E222A7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pochylnię (jeśli znajdą się na trasie rejsu) oraz wylicza  wysokość opłat. Po potwierdzeniu zapłaty, użytkownik otrzyma z systemu indywidualny kod, po którym będzie identyfikowany na obiekcie. Użytkownik, z poziomu usługi, może  uiścić opłaty drogą elektroniczną a zakupione bilety wykorzystać w ciągu miesiąca. Kody użytkownika wraz z informacją o ilości i typie obiektów  system przekaże obsłudze śluz lub pochylni.</w:t>
            </w:r>
          </w:p>
          <w:p w14:paraId="4B26BBED" w14:textId="5FC5C6BE" w:rsidR="004D135D" w:rsidRPr="00C81AEC" w:rsidRDefault="004D135D" w:rsidP="00E30008">
            <w:pPr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920CE8" w:rsidRPr="002450C4" w14:paraId="2672113B" w14:textId="77777777" w:rsidTr="22023F1B">
        <w:tc>
          <w:tcPr>
            <w:tcW w:w="384" w:type="dxa"/>
          </w:tcPr>
          <w:p w14:paraId="4A8C47E4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02AECCD3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074" w:type="dxa"/>
          </w:tcPr>
          <w:p w14:paraId="36B2ACAA" w14:textId="1266DB06" w:rsidR="00B1204B" w:rsidRPr="00C81AEC" w:rsidRDefault="00C81AEC" w:rsidP="00B1204B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C81AEC">
              <w:rPr>
                <w:rFonts w:ascii="Arial" w:eastAsiaTheme="minorHAnsi" w:hAnsi="Arial" w:cs="Arial"/>
                <w:iCs/>
                <w:szCs w:val="20"/>
              </w:rPr>
              <w:t>Strategia</w:t>
            </w:r>
            <w:r w:rsidR="00430107" w:rsidRPr="00C81AEC">
              <w:rPr>
                <w:rFonts w:ascii="Arial" w:eastAsiaTheme="minorHAnsi" w:hAnsi="Arial" w:cs="Arial"/>
                <w:iCs/>
                <w:szCs w:val="20"/>
              </w:rPr>
              <w:t xml:space="preserve"> Sprawne Państwo 2020:</w:t>
            </w:r>
            <w:r w:rsidR="00430107" w:rsidRPr="00C81AEC">
              <w:rPr>
                <w:rFonts w:ascii="Arial" w:eastAsiaTheme="minorHAnsi" w:hAnsi="Arial" w:cs="Arial"/>
                <w:iCs/>
                <w:szCs w:val="20"/>
              </w:rPr>
              <w:br/>
            </w:r>
            <w:r w:rsidR="00B1204B" w:rsidRPr="00C81AEC">
              <w:rPr>
                <w:rFonts w:ascii="Arial" w:eastAsiaTheme="minorHAnsi" w:hAnsi="Arial" w:cs="Arial"/>
                <w:iCs/>
                <w:szCs w:val="20"/>
              </w:rPr>
              <w:t>Zgodność z krajowymi dokumentami strategicznymi:</w:t>
            </w:r>
          </w:p>
          <w:p w14:paraId="1A08884C" w14:textId="77777777" w:rsidR="009624C3" w:rsidRPr="00C81AEC" w:rsidRDefault="0092248A" w:rsidP="009624C3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C81AEC">
              <w:rPr>
                <w:rFonts w:ascii="Arial" w:eastAsiaTheme="minorHAnsi" w:hAnsi="Arial" w:cs="Arial"/>
                <w:iCs/>
                <w:szCs w:val="20"/>
              </w:rPr>
              <w:t>Cel nr 1</w:t>
            </w:r>
            <w:r w:rsidR="009624C3" w:rsidRPr="00C81AEC">
              <w:rPr>
                <w:rFonts w:ascii="Arial" w:eastAsiaTheme="minorHAnsi" w:hAnsi="Arial" w:cs="Arial"/>
                <w:iCs/>
                <w:szCs w:val="20"/>
              </w:rPr>
              <w:t xml:space="preserve"> Uproszczenie sposobu załatwiania spraw pomiędzy przedsiębiorcami a</w:t>
            </w:r>
          </w:p>
          <w:p w14:paraId="16FEC6C4" w14:textId="3D6BE89C" w:rsidR="0092248A" w:rsidRPr="00C81AEC" w:rsidRDefault="009624C3" w:rsidP="009624C3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C81AEC">
              <w:rPr>
                <w:rFonts w:ascii="Arial" w:eastAsiaTheme="minorHAnsi" w:hAnsi="Arial" w:cs="Arial"/>
                <w:iCs/>
                <w:szCs w:val="20"/>
              </w:rPr>
              <w:t>państwem</w:t>
            </w:r>
          </w:p>
          <w:p w14:paraId="641B021C" w14:textId="541BAA6E" w:rsidR="00EB5790" w:rsidRPr="00C81AEC" w:rsidRDefault="002423FC" w:rsidP="00B1204B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C81AEC">
              <w:rPr>
                <w:rFonts w:ascii="Arial" w:eastAsiaTheme="minorHAnsi" w:hAnsi="Arial" w:cs="Arial"/>
                <w:iCs/>
                <w:szCs w:val="20"/>
              </w:rPr>
              <w:t>Cel nr 2</w:t>
            </w:r>
            <w:r w:rsidR="009624C3" w:rsidRPr="00C81AEC">
              <w:rPr>
                <w:rFonts w:ascii="Arial" w:eastAsiaTheme="minorHAnsi" w:hAnsi="Arial" w:cs="Arial"/>
                <w:iCs/>
                <w:szCs w:val="20"/>
              </w:rPr>
              <w:t xml:space="preserve"> Usprawnienie poboru opłat za śluzowanie lub przejście przez pochylnie</w:t>
            </w:r>
          </w:p>
          <w:p w14:paraId="019E7C9F" w14:textId="42B3E711" w:rsidR="002A2FAD" w:rsidRPr="00C81AEC" w:rsidRDefault="002A2FAD" w:rsidP="002423FC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C81AEC">
              <w:rPr>
                <w:rFonts w:ascii="Arial" w:eastAsiaTheme="minorHAnsi" w:hAnsi="Arial" w:cs="Arial"/>
                <w:iCs/>
                <w:szCs w:val="20"/>
              </w:rPr>
              <w:t xml:space="preserve">Cel </w:t>
            </w:r>
            <w:r w:rsidR="00DF7E93" w:rsidRPr="00C81AEC">
              <w:rPr>
                <w:rFonts w:ascii="Arial" w:eastAsiaTheme="minorHAnsi" w:hAnsi="Arial" w:cs="Arial"/>
                <w:iCs/>
                <w:szCs w:val="20"/>
              </w:rPr>
              <w:t>n</w:t>
            </w:r>
            <w:r w:rsidR="00402364" w:rsidRPr="00C81AEC">
              <w:rPr>
                <w:rFonts w:ascii="Arial" w:eastAsiaTheme="minorHAnsi" w:hAnsi="Arial" w:cs="Arial"/>
                <w:iCs/>
                <w:szCs w:val="20"/>
              </w:rPr>
              <w:t>r 3</w:t>
            </w:r>
            <w:r w:rsidR="009624C3" w:rsidRPr="00C81AEC">
              <w:rPr>
                <w:rFonts w:ascii="Arial" w:eastAsiaTheme="minorHAnsi" w:hAnsi="Arial" w:cs="Arial"/>
                <w:iCs/>
                <w:szCs w:val="20"/>
              </w:rPr>
              <w:t xml:space="preserve"> Usprawnienie komunikacji pomiędzy interesariuszami procesu</w:t>
            </w:r>
          </w:p>
          <w:p w14:paraId="7F96BAFD" w14:textId="77777777" w:rsidR="00B1204B" w:rsidRPr="00BB551C" w:rsidRDefault="00B1204B" w:rsidP="00B1204B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</w:p>
          <w:p w14:paraId="4BA2F70C" w14:textId="77777777" w:rsidR="00B37A0B" w:rsidRPr="00BB551C" w:rsidRDefault="00B37A0B" w:rsidP="00B37A0B">
            <w:pPr>
              <w:pStyle w:val="Other0"/>
              <w:rPr>
                <w:rFonts w:ascii="Arial" w:eastAsiaTheme="minorHAnsi" w:hAnsi="Arial" w:cs="Arial"/>
                <w:iCs/>
                <w:szCs w:val="20"/>
              </w:rPr>
            </w:pPr>
            <w:r w:rsidRPr="00BB551C">
              <w:rPr>
                <w:rFonts w:ascii="Arial" w:eastAsiaTheme="minorHAnsi" w:hAnsi="Arial" w:cs="Arial"/>
                <w:iCs/>
                <w:szCs w:val="20"/>
              </w:rPr>
              <w:t>W ramach projektu osiągnięto następujące wskaźniki:</w:t>
            </w:r>
          </w:p>
          <w:tbl>
            <w:tblPr>
              <w:tblStyle w:val="Tabela-Siatka"/>
              <w:tblpPr w:leftFromText="141" w:rightFromText="141" w:vertAnchor="text" w:tblpY="376"/>
              <w:tblW w:w="6941" w:type="dxa"/>
              <w:tblLook w:val="04A0" w:firstRow="1" w:lastRow="0" w:firstColumn="1" w:lastColumn="0" w:noHBand="0" w:noVBand="1"/>
            </w:tblPr>
            <w:tblGrid>
              <w:gridCol w:w="2501"/>
              <w:gridCol w:w="907"/>
              <w:gridCol w:w="1128"/>
              <w:gridCol w:w="2405"/>
            </w:tblGrid>
            <w:tr w:rsidR="008F4E20" w:rsidRPr="00C81AEC" w14:paraId="7EA18A5F" w14:textId="77777777" w:rsidTr="008F4E20">
              <w:trPr>
                <w:trHeight w:val="983"/>
                <w:tblHeader/>
              </w:trPr>
              <w:tc>
                <w:tcPr>
                  <w:tcW w:w="2501" w:type="dxa"/>
                  <w:shd w:val="clear" w:color="auto" w:fill="auto"/>
                  <w:vAlign w:val="center"/>
                </w:tcPr>
                <w:p w14:paraId="38467574" w14:textId="73DA2788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0214B1E5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6EF94DFE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 xml:space="preserve">Wartość </w:t>
                  </w:r>
                </w:p>
                <w:p w14:paraId="6D320521" w14:textId="6E2A2867" w:rsidR="008F4E20" w:rsidRPr="00BB551C" w:rsidRDefault="00BB551C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D</w:t>
                  </w:r>
                  <w:r w:rsidR="008F4E20"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ocelowa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32FBBD7F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8F4E20" w:rsidRPr="00C81AEC" w14:paraId="6B026829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16466B88" w14:textId="77777777" w:rsidR="008F4E20" w:rsidRPr="00C81AE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</w:t>
                  </w:r>
                  <w:r w:rsidRPr="00C81AE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. Liczba usług publicznych udostępnionych on-line o stopniu dojrzałości</w:t>
                  </w:r>
                </w:p>
                <w:p w14:paraId="2697EE30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C81AE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co najmniej 4 – transakcja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2D99809B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74E773A0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6E4BBF9A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</w:t>
                  </w:r>
                </w:p>
              </w:tc>
            </w:tr>
            <w:tr w:rsidR="008F4E20" w:rsidRPr="00C81AEC" w14:paraId="5A010D77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5662D86A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2.Liczba uruchomionych systemów teleinformatycznych w podmiotach wykonujących zadania publiczne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29154D86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314BE08D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46F25704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</w:t>
                  </w:r>
                </w:p>
              </w:tc>
            </w:tr>
            <w:tr w:rsidR="008F4E20" w:rsidRPr="00C81AEC" w14:paraId="78F7383F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756E8656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3.Przestrzeń dyskowa serwerowni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2C2497F7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12E6A8FD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860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35EDA59D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860</w:t>
                  </w:r>
                </w:p>
              </w:tc>
            </w:tr>
            <w:tr w:rsidR="008F4E20" w:rsidRPr="00C81AEC" w14:paraId="4815DF74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3F35BC47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4.Moc obliczeniowa serwerowni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0B84BF25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teraflops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7EA5AFA0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24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354F8E61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24</w:t>
                  </w:r>
                </w:p>
              </w:tc>
            </w:tr>
            <w:tr w:rsidR="008F4E20" w:rsidRPr="00C81AEC" w14:paraId="6398DA84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0A2A322C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5.Liczba pracowników podmiotów wykonujących zadania publiczne niebędących pracownikami IT, objętych wsparciem szkoleniowym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0FD36AF9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3CBB93A5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240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031BFBD5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240</w:t>
                  </w:r>
                </w:p>
              </w:tc>
            </w:tr>
            <w:tr w:rsidR="008F4E20" w:rsidRPr="00C81AEC" w14:paraId="7D263714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7A03E660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lastRenderedPageBreak/>
                    <w:t>6.Liczba pracowników podmiotów wykonujących zadania publiczne nie będących pracownikami IT, objętych wsparciem szkoleniowym - kobiety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02A9DB5A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4950C384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90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3A698529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106</w:t>
                  </w:r>
                </w:p>
              </w:tc>
            </w:tr>
            <w:tr w:rsidR="008F4E20" w:rsidRPr="00C81AEC" w14:paraId="420A2A09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3E1BFB84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7.Liczba pracowników podmiotów wykonujących zadania publiczne nie będących pracownikami IT, objętych wsparciem szkoleniowym – mężczyźni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528CDD87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011B7770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150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15C1ACAD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199</w:t>
                  </w:r>
                </w:p>
              </w:tc>
            </w:tr>
            <w:tr w:rsidR="008F4E20" w:rsidRPr="00C81AEC" w14:paraId="715B134D" w14:textId="77777777" w:rsidTr="008F4E20">
              <w:tc>
                <w:tcPr>
                  <w:tcW w:w="2501" w:type="dxa"/>
                  <w:shd w:val="clear" w:color="auto" w:fill="auto"/>
                  <w:vAlign w:val="center"/>
                </w:tcPr>
                <w:p w14:paraId="1AFB81A9" w14:textId="77777777" w:rsidR="008F4E20" w:rsidRPr="00BB551C" w:rsidRDefault="008F4E20" w:rsidP="00D474DD">
                  <w:pPr>
                    <w:pStyle w:val="Tekstpodstawowy2"/>
                    <w:spacing w:after="0" w:line="240" w:lineRule="auto"/>
                    <w:ind w:left="34"/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8. Liczba załatwionych spraw poprzez udostępnioną on-line usługę publiczną</w:t>
                  </w:r>
                </w:p>
              </w:tc>
              <w:tc>
                <w:tcPr>
                  <w:tcW w:w="907" w:type="dxa"/>
                  <w:shd w:val="clear" w:color="auto" w:fill="auto"/>
                  <w:vAlign w:val="center"/>
                </w:tcPr>
                <w:p w14:paraId="3DA9FF38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szt./rok</w:t>
                  </w:r>
                </w:p>
              </w:tc>
              <w:tc>
                <w:tcPr>
                  <w:tcW w:w="1128" w:type="dxa"/>
                  <w:shd w:val="clear" w:color="auto" w:fill="auto"/>
                  <w:vAlign w:val="center"/>
                </w:tcPr>
                <w:p w14:paraId="3DB0E47B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5000</w:t>
                  </w:r>
                </w:p>
              </w:tc>
              <w:tc>
                <w:tcPr>
                  <w:tcW w:w="2405" w:type="dxa"/>
                  <w:shd w:val="clear" w:color="auto" w:fill="auto"/>
                  <w:vAlign w:val="center"/>
                </w:tcPr>
                <w:p w14:paraId="463A140E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>0</w:t>
                  </w:r>
                </w:p>
                <w:p w14:paraId="3D2040F7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  <w:r w:rsidRPr="00BB551C">
                    <w:rPr>
                      <w:rFonts w:ascii="Arial" w:hAnsi="Arial" w:cs="Arial"/>
                      <w:iCs/>
                      <w:sz w:val="18"/>
                      <w:szCs w:val="20"/>
                    </w:rPr>
                    <w:t xml:space="preserve">Wskaźnik będzie monitorowany w okresach półrocznych, na podstawie raportów generowanych w systemie z wykorzystania wdrożonych e-usług (w oparciu o dane z rejestru użyć e-usług). </w:t>
                  </w:r>
                </w:p>
                <w:p w14:paraId="19692271" w14:textId="77777777" w:rsidR="008F4E20" w:rsidRPr="00BB551C" w:rsidRDefault="008F4E20" w:rsidP="008F4E20">
                  <w:pPr>
                    <w:rPr>
                      <w:rFonts w:ascii="Arial" w:hAnsi="Arial" w:cs="Arial"/>
                      <w:iCs/>
                      <w:sz w:val="18"/>
                      <w:szCs w:val="20"/>
                    </w:rPr>
                  </w:pPr>
                </w:p>
              </w:tc>
            </w:tr>
          </w:tbl>
          <w:p w14:paraId="14B700B6" w14:textId="77777777" w:rsidR="00B37A0B" w:rsidRPr="00C81AEC" w:rsidRDefault="00B37A0B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463EBB7F" w14:textId="43CC6E79" w:rsidR="00CE24D8" w:rsidRPr="00C81AEC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 xml:space="preserve">Wskaźniki </w:t>
            </w:r>
            <w:r w:rsidR="008A0394" w:rsidRPr="00C81AEC">
              <w:rPr>
                <w:rFonts w:ascii="Arial" w:hAnsi="Arial" w:cs="Arial"/>
                <w:iCs/>
                <w:sz w:val="18"/>
                <w:szCs w:val="20"/>
              </w:rPr>
              <w:t>produktu</w:t>
            </w:r>
            <w:r w:rsidRPr="00C81AEC">
              <w:rPr>
                <w:rFonts w:ascii="Arial" w:hAnsi="Arial" w:cs="Arial"/>
                <w:iCs/>
                <w:sz w:val="18"/>
                <w:szCs w:val="20"/>
              </w:rPr>
              <w:t xml:space="preserve"> dla projektu:</w:t>
            </w:r>
          </w:p>
          <w:p w14:paraId="60F8C569" w14:textId="42CF9A3E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Moc obliczeniowa serwerowni (wartość docelowa 24,00 teraflopsy)</w:t>
            </w:r>
          </w:p>
          <w:p w14:paraId="3FCA1D35" w14:textId="1E3FD416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2 usługi publiczne udostępnione  on-line o stopniu dojrzałości co najmniej 4 – transakcja</w:t>
            </w:r>
          </w:p>
          <w:p w14:paraId="0F44DCF7" w14:textId="15275D3D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860 TB przestrzeń dyskowa serwerowni </w:t>
            </w:r>
          </w:p>
          <w:p w14:paraId="414F9F34" w14:textId="61A74780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1 system teleinformatyczny uruchomiony w podmiotach wykonujących zadania publiczne</w:t>
            </w:r>
          </w:p>
          <w:p w14:paraId="25831876" w14:textId="0E87D775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305 pracowników podmiotów wykonujących zadania publiczne nie będących pracownikami IT, objętych wsparciem szkoleniowym (K-106, M-199)</w:t>
            </w:r>
          </w:p>
          <w:p w14:paraId="0D9A89A0" w14:textId="77777777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1D8EC58C" w14:textId="315D11F1" w:rsidR="00CE24D8" w:rsidRPr="00C81AEC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>Uzasadnienie:</w:t>
            </w:r>
          </w:p>
          <w:p w14:paraId="6C64AB22" w14:textId="706056EA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W projekcie przyjęto wskaźniki, które w najlepszy sposób pokazują jego charakter oraz opisują jego efekty. Wskaźniki produktu:</w:t>
            </w:r>
          </w:p>
          <w:p w14:paraId="059575D3" w14:textId="64F37F39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Liczba usług publicznych udostępnionych on-line o stopniu dojrzałości co najmniej 4 - transakcja - opisuje ilościowo e-usługi, które zostaną uruchomione w wyniku realizacji projektu: Elektroniczne rozliczanie deklaracji, na podstawie której ustala się wysokość należności za korzystanie ze śródlądowych dróg wodnych i ich odcinków oraz śluz i pochylni w danym miesiącu (usługa A2B) oraz Obsługa żeglugi rekreacyjnej (usługa A2C). Ponieważ usługi umożliwią przeprowadzenie "sprawy" od początku do końca drogą elektroniczną oraz umożliwią wniesienie płatności, zaliczono je do 4 poziomu dojrzałości.</w:t>
            </w:r>
          </w:p>
          <w:p w14:paraId="7C769179" w14:textId="77777777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Przestrzeń dyskowa serwerowni - wskaźnik opisuje łączną przestrzeń dyskową jaką Wnioskodawca zamierza zakupić w ramach projektu. Na wartość wskaźnika składa się przestrzeń przeznaczona na składowanie danych i backup-ów w dwóch lokalizacjach centrów danych.</w:t>
            </w:r>
          </w:p>
          <w:p w14:paraId="56C2077F" w14:textId="77777777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Liczba uruchomionych systemów teleinformatycznych w podmiotach wykonujących zadania publiczne - wskazuje System WIR, który zostanie wytworzony i uruchomiony w ramach projektu.</w:t>
            </w:r>
          </w:p>
          <w:p w14:paraId="7A1983F7" w14:textId="569B7674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Liczba pracowników podmiotów wykonujących zadania publiczne niebędących pracownikami IT, objętych wsparciem szkoleniowym - kobiety/mężczyźni - wskazuje liczbę pracowników Wnioskodawcy, którzy zostaną przeszkoleni z obsługi Systemu.</w:t>
            </w:r>
          </w:p>
          <w:p w14:paraId="5FE8FC78" w14:textId="43EC4F09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- Moc obliczeniowa serwerowni - opisuje łączną moc obliczeniową serwerów, które zostaną zainstalowane w dwóch lokalizacjach centrów danych.</w:t>
            </w:r>
          </w:p>
          <w:p w14:paraId="614F7E4C" w14:textId="4856000A" w:rsidR="00CE24D8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Wskaźnik rezultatu: Liczba załatwionych spraw poprzez udostępnioną on-line usługę: do obliczenia wartości wskaźnika przyjęto sumę liczby „deklaracji ..” które zostaną złożone on-line przez przedsiębiorców oraz liczby wykorzystania usługi "obsługa żeglugi rekreacyjnej". </w:t>
            </w:r>
          </w:p>
          <w:p w14:paraId="175C962A" w14:textId="77777777" w:rsidR="005E1BF3" w:rsidRPr="006701FB" w:rsidRDefault="005E1BF3" w:rsidP="005E1BF3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55F97A09" w14:textId="77777777" w:rsidR="005E1BF3" w:rsidRPr="00C81AEC" w:rsidRDefault="005E1BF3" w:rsidP="005E1BF3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>Wskaźniki rezultatu bezpośredniego:</w:t>
            </w:r>
          </w:p>
          <w:p w14:paraId="5ECB8E9F" w14:textId="77777777" w:rsidR="005E1BF3" w:rsidRPr="006701FB" w:rsidRDefault="005E1BF3" w:rsidP="005E1BF3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5000 załatwionych spraw poprzez udostępnioną on-line usługę publiczną </w:t>
            </w:r>
          </w:p>
          <w:p w14:paraId="6EE9B89F" w14:textId="77777777" w:rsidR="005E1BF3" w:rsidRDefault="005E1BF3" w:rsidP="00CE24D8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</w:p>
          <w:p w14:paraId="6113CD59" w14:textId="1B9514AC" w:rsidR="005E1BF3" w:rsidRPr="006701FB" w:rsidRDefault="005E1BF3" w:rsidP="005E1BF3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iCs/>
                <w:sz w:val="18"/>
                <w:szCs w:val="20"/>
              </w:rPr>
              <w:t>Wskaźni</w:t>
            </w:r>
            <w:r>
              <w:rPr>
                <w:rFonts w:ascii="Arial" w:hAnsi="Arial" w:cs="Arial"/>
                <w:iCs/>
                <w:sz w:val="18"/>
                <w:szCs w:val="20"/>
              </w:rPr>
              <w:t xml:space="preserve">k rezultatu będzie 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>monitorowan</w:t>
            </w:r>
            <w:r>
              <w:rPr>
                <w:rFonts w:ascii="Arial" w:hAnsi="Arial" w:cs="Arial"/>
                <w:iCs/>
                <w:sz w:val="18"/>
                <w:szCs w:val="20"/>
              </w:rPr>
              <w:t>y</w:t>
            </w:r>
            <w:r w:rsidRPr="006701FB">
              <w:rPr>
                <w:rFonts w:ascii="Arial" w:hAnsi="Arial" w:cs="Arial"/>
                <w:iCs/>
                <w:sz w:val="18"/>
                <w:szCs w:val="20"/>
              </w:rPr>
              <w:t xml:space="preserve"> w okresie 12 miesięcy od zakończenia realizacji projektu.</w:t>
            </w:r>
            <w:r>
              <w:rPr>
                <w:rFonts w:ascii="Arial" w:hAnsi="Arial" w:cs="Arial"/>
                <w:iCs/>
                <w:sz w:val="18"/>
                <w:szCs w:val="20"/>
              </w:rPr>
              <w:t xml:space="preserve"> Beneficjent </w:t>
            </w:r>
            <w:r w:rsidR="00ED673C">
              <w:rPr>
                <w:rFonts w:ascii="Arial" w:hAnsi="Arial" w:cs="Arial"/>
                <w:iCs/>
                <w:sz w:val="18"/>
                <w:szCs w:val="20"/>
              </w:rPr>
              <w:t>spodziewa się</w:t>
            </w:r>
            <w:r>
              <w:rPr>
                <w:rFonts w:ascii="Arial" w:hAnsi="Arial" w:cs="Arial"/>
                <w:iCs/>
                <w:sz w:val="18"/>
                <w:szCs w:val="20"/>
              </w:rPr>
              <w:t xml:space="preserve"> osiągn</w:t>
            </w:r>
            <w:r w:rsidR="00ED673C">
              <w:rPr>
                <w:rFonts w:ascii="Arial" w:hAnsi="Arial" w:cs="Arial"/>
                <w:iCs/>
                <w:sz w:val="18"/>
                <w:szCs w:val="20"/>
              </w:rPr>
              <w:t>ąć</w:t>
            </w:r>
            <w:r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  <w:r w:rsidR="00ED673C">
              <w:rPr>
                <w:rFonts w:ascii="Arial" w:hAnsi="Arial" w:cs="Arial"/>
                <w:iCs/>
                <w:sz w:val="18"/>
                <w:szCs w:val="20"/>
              </w:rPr>
              <w:t xml:space="preserve">oczekiwany poziom </w:t>
            </w:r>
            <w:r>
              <w:rPr>
                <w:rFonts w:ascii="Arial" w:hAnsi="Arial" w:cs="Arial"/>
                <w:iCs/>
                <w:sz w:val="18"/>
                <w:szCs w:val="20"/>
              </w:rPr>
              <w:t>wskaźnika</w:t>
            </w:r>
            <w:r w:rsidR="00ED673C">
              <w:rPr>
                <w:rFonts w:ascii="Arial" w:hAnsi="Arial" w:cs="Arial"/>
                <w:iCs/>
                <w:sz w:val="18"/>
                <w:szCs w:val="20"/>
              </w:rPr>
              <w:t xml:space="preserve"> rezultatu</w:t>
            </w:r>
            <w:r>
              <w:rPr>
                <w:rFonts w:ascii="Arial" w:hAnsi="Arial" w:cs="Arial"/>
                <w:iCs/>
                <w:sz w:val="18"/>
                <w:szCs w:val="20"/>
              </w:rPr>
              <w:t xml:space="preserve"> do końca</w:t>
            </w:r>
            <w:r w:rsidR="00ED673C">
              <w:rPr>
                <w:rFonts w:ascii="Arial" w:hAnsi="Arial" w:cs="Arial"/>
                <w:iCs/>
                <w:sz w:val="18"/>
                <w:szCs w:val="20"/>
              </w:rPr>
              <w:t xml:space="preserve"> 2024 roku.</w:t>
            </w:r>
          </w:p>
          <w:p w14:paraId="6988214A" w14:textId="17506E7A" w:rsidR="00920CE8" w:rsidRPr="00C81AEC" w:rsidRDefault="00632AA0" w:rsidP="00BC120E">
            <w:pPr>
              <w:jc w:val="both"/>
              <w:rPr>
                <w:rFonts w:ascii="Arial" w:hAnsi="Arial" w:cs="Arial"/>
                <w:iCs/>
                <w:sz w:val="18"/>
                <w:szCs w:val="20"/>
              </w:rPr>
            </w:pPr>
            <w:r w:rsidRPr="00C81AEC">
              <w:rPr>
                <w:rFonts w:ascii="Arial" w:hAnsi="Arial" w:cs="Arial"/>
                <w:iCs/>
                <w:sz w:val="18"/>
                <w:szCs w:val="20"/>
              </w:rPr>
              <w:t xml:space="preserve"> </w:t>
            </w:r>
          </w:p>
        </w:tc>
      </w:tr>
      <w:tr w:rsidR="007A0A3D" w:rsidRPr="002450C4" w14:paraId="395AE91B" w14:textId="77777777" w:rsidTr="22023F1B">
        <w:tc>
          <w:tcPr>
            <w:tcW w:w="384" w:type="dxa"/>
          </w:tcPr>
          <w:p w14:paraId="010BCA9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3C66F71D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8074" w:type="dxa"/>
          </w:tcPr>
          <w:p w14:paraId="21443CD9" w14:textId="77777777" w:rsidR="00CE24D8" w:rsidRDefault="00CE24D8" w:rsidP="00BC120E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Style w:val="Tabela-Siatka"/>
              <w:tblW w:w="7211" w:type="dxa"/>
              <w:tblLook w:val="04A0" w:firstRow="1" w:lastRow="0" w:firstColumn="1" w:lastColumn="0" w:noHBand="0" w:noVBand="1"/>
            </w:tblPr>
            <w:tblGrid>
              <w:gridCol w:w="2293"/>
              <w:gridCol w:w="4918"/>
            </w:tblGrid>
            <w:tr w:rsidR="00CE24D8" w:rsidRPr="001D4D1B" w14:paraId="51217A32" w14:textId="77777777" w:rsidTr="00CE24D8">
              <w:trPr>
                <w:tblHeader/>
              </w:trPr>
              <w:tc>
                <w:tcPr>
                  <w:tcW w:w="2293" w:type="dxa"/>
                  <w:shd w:val="clear" w:color="auto" w:fill="D0CECE" w:themeFill="background2" w:themeFillShade="E6"/>
                  <w:vAlign w:val="center"/>
                </w:tcPr>
                <w:p w14:paraId="763FD267" w14:textId="77777777" w:rsidR="00CE24D8" w:rsidRPr="001D4D1B" w:rsidRDefault="00CE24D8" w:rsidP="00CE24D8">
                  <w:pPr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ryzyka</w:t>
                  </w:r>
                </w:p>
              </w:tc>
              <w:tc>
                <w:tcPr>
                  <w:tcW w:w="4918" w:type="dxa"/>
                  <w:shd w:val="clear" w:color="auto" w:fill="D0CECE" w:themeFill="background2" w:themeFillShade="E6"/>
                  <w:vAlign w:val="center"/>
                </w:tcPr>
                <w:p w14:paraId="0977B9D9" w14:textId="77777777" w:rsidR="00CE24D8" w:rsidRPr="001D4D1B" w:rsidRDefault="00CE24D8" w:rsidP="00CE24D8">
                  <w:pPr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zarządzania ryzykiem</w:t>
                  </w:r>
                </w:p>
              </w:tc>
            </w:tr>
            <w:tr w:rsidR="00CE24D8" w:rsidRPr="001D4D1B" w14:paraId="7AAB29F0" w14:textId="77777777" w:rsidTr="00CE24D8">
              <w:tc>
                <w:tcPr>
                  <w:tcW w:w="2293" w:type="dxa"/>
                  <w:vAlign w:val="center"/>
                </w:tcPr>
                <w:p w14:paraId="0C59AB21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Wybór wykonawcy niezdolnego do wykonania i wdrożenia systemu, co może skutkować brakiem realizacji założonych celów Projektu</w:t>
                  </w:r>
                </w:p>
              </w:tc>
              <w:tc>
                <w:tcPr>
                  <w:tcW w:w="4918" w:type="dxa"/>
                </w:tcPr>
                <w:p w14:paraId="6706D81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0C9CF90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7D0A08A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a) opisanie w dokumentacji przetargowej wymagań zapewniających wyłonienie Wykonawcy o wysokich kompetencjach merytorycznych oraz dużym doświadczeniu,</w:t>
                  </w:r>
                </w:p>
                <w:p w14:paraId="04FB1F0E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30E2FFAE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b)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</w:t>
                  </w: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zweryfikowanie doświadczenia potencjalnego wykonawcy na etapie postępowania przetargowego,</w:t>
                  </w:r>
                </w:p>
                <w:p w14:paraId="0F77746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74B9641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c)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</w:t>
                  </w: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szczegółowy opis przedmiotu zamówienia, pozwalający oferentom na złożenie rzetelnych ofert</w:t>
                  </w:r>
                </w:p>
                <w:p w14:paraId="07429E6E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21C4990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0E2FB52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57456C9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a) wybór profesjonalnego Wykonawcy o wysokich kompetencjach</w:t>
                  </w:r>
                </w:p>
                <w:p w14:paraId="1D62B08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2884A7C0" w14:textId="16922D9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Ryzyko zamknięte</w:t>
                  </w:r>
                </w:p>
                <w:p w14:paraId="04242BA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2E8806CD" w14:textId="77777777" w:rsidTr="00CE24D8">
              <w:tc>
                <w:tcPr>
                  <w:tcW w:w="2293" w:type="dxa"/>
                  <w:vAlign w:val="center"/>
                </w:tcPr>
                <w:p w14:paraId="1374C39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Opóźnienia w realizacji projektu z winy Wykonawcy, skutkujące opóźnieniami w realizacji Projektu</w:t>
                  </w:r>
                </w:p>
              </w:tc>
              <w:tc>
                <w:tcPr>
                  <w:tcW w:w="4918" w:type="dxa"/>
                </w:tcPr>
                <w:p w14:paraId="018044D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 realizowane będą poprzez ścisłą współpracę Zamawiającego z Wykonawcą w obszarze realizacji systemu w szczególności:</w:t>
                  </w:r>
                </w:p>
                <w:p w14:paraId="30DC819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1663F671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 poprzez systematyczną weryfikację realizacji prac względem harmonogramu,</w:t>
                  </w:r>
                </w:p>
                <w:p w14:paraId="13F20CB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47DE27B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weryfikacji ryzyk i zagadnień projektowych oraz wdrażaniu działań mitygacyjnych,</w:t>
                  </w:r>
                </w:p>
                <w:p w14:paraId="30A5D91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5869F2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przyrostowym odbiorom zaplanowanych do realizacji przez Wykonawcę produktów, pozwalającym na wczesne wykrycie ewentualnych opóźnień,</w:t>
                  </w:r>
                </w:p>
                <w:p w14:paraId="7894537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D51D95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a także:</w:t>
                  </w:r>
                </w:p>
                <w:p w14:paraId="780B969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cykliczne organizowanie spotkań projektowych na szczeblu operacyjnym weryfikujących postępy prac i podejmujących decyzje strategiczne stosowne do sytuacji projektowej,</w:t>
                  </w:r>
                </w:p>
                <w:p w14:paraId="6F9C799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0F271B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zapewnienie zapisów w umowie o współpracy pozwalających na naliczanie kar za nieterminową i  nierzetelną realizację powierzonych zadań;</w:t>
                  </w:r>
                </w:p>
                <w:p w14:paraId="5002940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0DF518F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0ECADE4C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a) dotrzymywanie założeń harmonogramu,</w:t>
                  </w:r>
                </w:p>
                <w:p w14:paraId="17BED00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0E4005F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b) bieżące niwelowanie opóźnień,</w:t>
                  </w:r>
                </w:p>
                <w:p w14:paraId="4930E77C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742D605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c) systematyczne odbiory produktów,</w:t>
                  </w:r>
                </w:p>
                <w:p w14:paraId="0BD5600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13D149B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d) zapewnienie mechanizmów prawnych pozwalających na zobligowanie Wykonawcy do terminowych realizacji prac;</w:t>
                  </w:r>
                </w:p>
                <w:p w14:paraId="5F05467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4D30CCB2" w14:textId="6C01929F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6429B16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1126C477" w14:textId="77777777" w:rsidTr="00CE24D8">
              <w:tc>
                <w:tcPr>
                  <w:tcW w:w="2293" w:type="dxa"/>
                  <w:vAlign w:val="center"/>
                </w:tcPr>
                <w:p w14:paraId="3379B16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Opóźnienia w realizacji projektu z winy Zamawiającego</w:t>
                  </w:r>
                </w:p>
              </w:tc>
              <w:tc>
                <w:tcPr>
                  <w:tcW w:w="4918" w:type="dxa"/>
                </w:tcPr>
                <w:p w14:paraId="5E97887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765B4B71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a) powołanie, z odpowiednim wyprzedzeniem, dedykowanego zespołu projektowego, który będzie </w:t>
                  </w: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lastRenderedPageBreak/>
                    <w:t xml:space="preserve">posiadał odpowiednie kwalifikacje i wiedzę merytoryczną oraz bieżący nadzór i zarządzanie zespołem projektowym.  </w:t>
                  </w:r>
                </w:p>
                <w:p w14:paraId="276A24D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b) zapewnienie członkom zespołu specjalistycznych szkoleń, które mają na celu zapewnienie efektywnej współpracy z ekspertami i wykonawcami zewnętrznymi.</w:t>
                  </w:r>
                </w:p>
                <w:p w14:paraId="2E1315A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2D329C8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09ACDB3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zespół projektowy współpracuje i realizuje cele projektowe na każdym etapie działań projektowych,</w:t>
                  </w:r>
                </w:p>
                <w:p w14:paraId="4762887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CC9AB94" w14:textId="4320A063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0FC845B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5790B586" w14:textId="77777777" w:rsidTr="00CE24D8">
              <w:tc>
                <w:tcPr>
                  <w:tcW w:w="2293" w:type="dxa"/>
                  <w:vAlign w:val="center"/>
                </w:tcPr>
                <w:p w14:paraId="174BB3F1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Zmiana sytuacji ekonomicznej kraju powodująca znaczne zmniejszenie środków przeznaczonych na pokrycie wkładu z budżetu państwa</w:t>
                  </w:r>
                </w:p>
              </w:tc>
              <w:tc>
                <w:tcPr>
                  <w:tcW w:w="4918" w:type="dxa"/>
                  <w:vAlign w:val="center"/>
                </w:tcPr>
                <w:p w14:paraId="4E42EC8E" w14:textId="77777777" w:rsidR="00CE24D8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1. </w:t>
                  </w: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Akceptacja ryzyka</w:t>
                  </w:r>
                </w:p>
                <w:p w14:paraId="7879F2C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2.Spodziewane efekty: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</w:t>
                  </w:r>
                  <w:r w:rsidRPr="000075B4">
                    <w:rPr>
                      <w:rFonts w:ascii="Arial" w:hAnsi="Arial" w:cs="Arial"/>
                      <w:sz w:val="18"/>
                      <w:szCs w:val="20"/>
                    </w:rPr>
                    <w:t>brak zmniejszenia środków przeznaczonych na pokrycie wkładu z budżetu państwa</w:t>
                  </w:r>
                </w:p>
                <w:p w14:paraId="7963AB6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F61FDAF" w14:textId="4A3577E6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1D4E153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3C1F9D68" w14:textId="77777777" w:rsidTr="00CE24D8">
              <w:tc>
                <w:tcPr>
                  <w:tcW w:w="2293" w:type="dxa"/>
                  <w:vAlign w:val="center"/>
                </w:tcPr>
                <w:p w14:paraId="6590A7A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Brak skutecznej koordynacji działań projektowych</w:t>
                  </w:r>
                </w:p>
              </w:tc>
              <w:tc>
                <w:tcPr>
                  <w:tcW w:w="4918" w:type="dxa"/>
                </w:tcPr>
                <w:p w14:paraId="797C809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385D1EC8" w14:textId="77777777" w:rsidR="00CE24D8" w:rsidRPr="001D4D1B" w:rsidRDefault="00CE24D8" w:rsidP="00CE24D8">
                  <w:pPr>
                    <w:pStyle w:val="Teksttabeli"/>
                    <w:spacing w:line="276" w:lineRule="auto"/>
                    <w:jc w:val="left"/>
                    <w:rPr>
                      <w:rFonts w:ascii="Arial" w:eastAsiaTheme="minorHAnsi" w:hAnsi="Arial" w:cs="Arial"/>
                      <w:szCs w:val="20"/>
                      <w:lang w:eastAsia="en-US"/>
                    </w:rPr>
                  </w:pPr>
                  <w:r w:rsidRPr="001D4D1B">
                    <w:rPr>
                      <w:rFonts w:ascii="Arial" w:eastAsiaTheme="minorHAnsi" w:hAnsi="Arial" w:cs="Arial"/>
                      <w:szCs w:val="20"/>
                      <w:lang w:eastAsia="en-US"/>
                    </w:rPr>
                    <w:t xml:space="preserve">a)  Rozwijanie kwalifikacji kadry uczestniczącej w zarządzaniu projektem.    </w:t>
                  </w:r>
                </w:p>
                <w:p w14:paraId="6772ABE8" w14:textId="77777777" w:rsidR="00CE24D8" w:rsidRPr="001D4D1B" w:rsidRDefault="00CE24D8" w:rsidP="00CE24D8">
                  <w:pPr>
                    <w:pStyle w:val="Teksttabeli"/>
                    <w:spacing w:line="276" w:lineRule="auto"/>
                    <w:jc w:val="left"/>
                    <w:rPr>
                      <w:rFonts w:ascii="Arial" w:eastAsiaTheme="minorHAnsi" w:hAnsi="Arial" w:cs="Arial"/>
                      <w:szCs w:val="20"/>
                      <w:lang w:eastAsia="en-US"/>
                    </w:rPr>
                  </w:pPr>
                  <w:r w:rsidRPr="001D4D1B">
                    <w:rPr>
                      <w:rFonts w:ascii="Arial" w:eastAsiaTheme="minorHAnsi" w:hAnsi="Arial" w:cs="Arial"/>
                      <w:szCs w:val="20"/>
                      <w:lang w:eastAsia="en-US"/>
                    </w:rPr>
                    <w:t xml:space="preserve">b) Regularne spotkania zespołu projektowego.    </w:t>
                  </w:r>
                </w:p>
                <w:p w14:paraId="3539C789" w14:textId="77777777" w:rsidR="00CE24D8" w:rsidRPr="001D4D1B" w:rsidRDefault="00CE24D8" w:rsidP="00CE24D8">
                  <w:pPr>
                    <w:pStyle w:val="Teksttabeli"/>
                    <w:spacing w:line="276" w:lineRule="auto"/>
                    <w:jc w:val="left"/>
                    <w:rPr>
                      <w:rFonts w:ascii="Arial" w:eastAsiaTheme="minorHAnsi" w:hAnsi="Arial" w:cs="Arial"/>
                      <w:szCs w:val="20"/>
                      <w:lang w:eastAsia="en-US"/>
                    </w:rPr>
                  </w:pPr>
                  <w:r w:rsidRPr="001D4D1B">
                    <w:rPr>
                      <w:rFonts w:ascii="Arial" w:eastAsiaTheme="minorHAnsi" w:hAnsi="Arial" w:cs="Arial"/>
                      <w:szCs w:val="20"/>
                      <w:lang w:eastAsia="en-US"/>
                    </w:rPr>
                    <w:t>c) Przypisanie zadań projektowych członkom zespołu z uwzględnieniem ich kompetencji i doświadczenia.</w:t>
                  </w:r>
                </w:p>
                <w:p w14:paraId="04A8ADF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d) Uregulowanie zasad współpracy.</w:t>
                  </w:r>
                </w:p>
                <w:p w14:paraId="56266C0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1B0AB16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2.Spodziewane efekty:</w:t>
                  </w:r>
                </w:p>
                <w:p w14:paraId="04441E4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zespół projektowy posiada przypisane zadania i koordynuje prace w ramach Projektu;</w:t>
                  </w:r>
                </w:p>
                <w:p w14:paraId="444B22B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117F05BF" w14:textId="77777777" w:rsidR="00CE24D8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4A871AE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483894E6" w14:textId="77777777" w:rsidTr="00CE24D8">
              <w:tc>
                <w:tcPr>
                  <w:tcW w:w="2293" w:type="dxa"/>
                  <w:vAlign w:val="center"/>
                </w:tcPr>
                <w:p w14:paraId="23E66CE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Wystąpienie błędów systemu niewykrytych podczas testów</w:t>
                  </w:r>
                </w:p>
              </w:tc>
              <w:tc>
                <w:tcPr>
                  <w:tcW w:w="4918" w:type="dxa"/>
                </w:tcPr>
                <w:p w14:paraId="59EDD19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138F1DC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Umieszczenie w umowie z Wykonawcą postanowień dotyczących gwarancji oraz zobowiązania do terminowego usuwania wad systemu pod rygorem egzekucji kar umownych za nieterminowe wywiązywanie się ze zobowiązań gwarancyjnych.</w:t>
                  </w:r>
                </w:p>
                <w:p w14:paraId="7475EF12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6B6183F1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170F9EE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usuwanie błędów po ich zidentyfikowaniu, niezależnie od procesu testowego;</w:t>
                  </w:r>
                </w:p>
                <w:p w14:paraId="4D4EC79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4A572FB8" w14:textId="57E78C23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0DCE8E5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4DCB6D30" w14:textId="77777777" w:rsidTr="00CE24D8">
              <w:tc>
                <w:tcPr>
                  <w:tcW w:w="2293" w:type="dxa"/>
                  <w:vAlign w:val="center"/>
                </w:tcPr>
                <w:p w14:paraId="3DB512D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Niewystarczające zasoby serwerowe</w:t>
                  </w:r>
                </w:p>
              </w:tc>
              <w:tc>
                <w:tcPr>
                  <w:tcW w:w="4918" w:type="dxa"/>
                </w:tcPr>
                <w:p w14:paraId="66A0D9C2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43CED9E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Przygotowanie dokumentacji przetargowej przy udziale ekspertów zewnętrznych. Ujęcie w dokumentacji przetargowej zapisów zobowiązujących Wykonawcę do zwymiarowania w ofercie potrzebnych zasobów serwerowych. Umieszczenie w umowie na system zapisów nakładających na Wykonawcę obowiązek ewentualnego uzupełnienia zasobów serwerowych, w przypadku zdiagnozowania np. problemów z wydajnością systemu.</w:t>
                  </w:r>
                </w:p>
                <w:p w14:paraId="7189E7A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5289CE9C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0BC80CC5" w14:textId="44AE4072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właściwa analiza oraz zapewnie</w:t>
                  </w:r>
                  <w:r w:rsidR="00532939">
                    <w:rPr>
                      <w:rFonts w:ascii="Arial" w:hAnsi="Arial" w:cs="Arial"/>
                      <w:sz w:val="18"/>
                      <w:szCs w:val="20"/>
                    </w:rPr>
                    <w:t>nie</w:t>
                  </w: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 odpowiednich zasobów przez Wykonawcę;</w:t>
                  </w:r>
                </w:p>
                <w:p w14:paraId="149E89B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0BC46E33" w14:textId="67319BD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09C4610A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18A9E79E" w14:textId="77777777" w:rsidTr="00CE24D8">
              <w:tc>
                <w:tcPr>
                  <w:tcW w:w="2293" w:type="dxa"/>
                  <w:vAlign w:val="center"/>
                </w:tcPr>
                <w:p w14:paraId="102898E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Problemy z implementacją płatności elektronicznych w miejscu śluzowania</w:t>
                  </w:r>
                </w:p>
              </w:tc>
              <w:tc>
                <w:tcPr>
                  <w:tcW w:w="4918" w:type="dxa"/>
                </w:tcPr>
                <w:p w14:paraId="007E1D2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0130143E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Testowanie rozwiązań „na obiekcie”. Zapewnienie odpowiednich rezerw czasowych w harmonogramie prac na ewentualną zmianę rozwiązania. </w:t>
                  </w:r>
                </w:p>
                <w:p w14:paraId="2C854A2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107B2914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5FE39A1A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weryfikacja każdego z obiektów,</w:t>
                  </w:r>
                </w:p>
                <w:p w14:paraId="399BB19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możliwość dostosowania rozwiązania do konkretnego obiektu;</w:t>
                  </w:r>
                </w:p>
                <w:p w14:paraId="24F9FE9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4E920B5B" w14:textId="42EED381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</w:t>
                  </w:r>
                  <w:r w:rsidR="00552788">
                    <w:rPr>
                      <w:rFonts w:ascii="Arial" w:hAnsi="Arial" w:cs="Arial"/>
                      <w:sz w:val="18"/>
                      <w:szCs w:val="20"/>
                    </w:rPr>
                    <w:t>e</w:t>
                  </w:r>
                </w:p>
                <w:p w14:paraId="53CA72F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  <w:tr w:rsidR="00CE24D8" w:rsidRPr="001D4D1B" w14:paraId="1616A34E" w14:textId="77777777" w:rsidTr="00CE24D8">
              <w:tc>
                <w:tcPr>
                  <w:tcW w:w="2293" w:type="dxa"/>
                  <w:vAlign w:val="center"/>
                </w:tcPr>
                <w:p w14:paraId="4927697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Technologie open source – ryzyko zaniechania rozwoju przez twórców</w:t>
                  </w:r>
                </w:p>
              </w:tc>
              <w:tc>
                <w:tcPr>
                  <w:tcW w:w="4918" w:type="dxa"/>
                </w:tcPr>
                <w:p w14:paraId="08060EF8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1.Podejmowane działania zarządcze w celu mitygacji ryzyka:</w:t>
                  </w:r>
                </w:p>
                <w:p w14:paraId="6B78E28F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 xml:space="preserve">Siłą technologii open source jest jej otwarty charakter pozwalający rozwijać ją przez tzw. społeczność. </w:t>
                  </w:r>
                </w:p>
                <w:p w14:paraId="17987712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Umieszczenie w dokumentacji przetargowej zapisów dot. zastosowania otwartych interfejsów komunikacyjnych pozwalających na zastosowanie różnych technologii.</w:t>
                  </w:r>
                </w:p>
                <w:p w14:paraId="4F1CAF6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A81CF4C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2. Spodziewane efekty:</w:t>
                  </w:r>
                </w:p>
                <w:p w14:paraId="00FA580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Posiadanie kodu źródłowego oraz udokumentowanych struktur danych, protokołów komunikacji, konwencji zapisu kodu źródłowego oraz stosowanie otwartych interfejsów komunikacyjnych zapewni niezależność od technologii.</w:t>
                  </w:r>
                </w:p>
                <w:p w14:paraId="1F0FA79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0CF5B67" w14:textId="7B919E75" w:rsidR="00CE24D8" w:rsidRPr="00552788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3DF25E4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E24D8" w:rsidRPr="001D4D1B" w14:paraId="213DEED9" w14:textId="77777777" w:rsidTr="00CE24D8">
              <w:tc>
                <w:tcPr>
                  <w:tcW w:w="2293" w:type="dxa"/>
                  <w:vAlign w:val="center"/>
                </w:tcPr>
                <w:p w14:paraId="7D83A9F2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Bezpieczeństwo danych i ciągłość realizacji procesów</w:t>
                  </w:r>
                </w:p>
              </w:tc>
              <w:tc>
                <w:tcPr>
                  <w:tcW w:w="4918" w:type="dxa"/>
                </w:tcPr>
                <w:p w14:paraId="3F1B951C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1.Podejmowane działania zarządcze w celu mitygacji ryzyka:</w:t>
                  </w:r>
                </w:p>
                <w:p w14:paraId="2034381A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E590AA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 xml:space="preserve">Przyjęcie w projekcie systemu optymalnych rozwiązań dotyczących bezpieczeństwa danych oraz przewidzenie możliwości modernizacji mechanizmów bezpieczeństwa bez konieczności szerokiej ingerencji w konstrukcję rozwiązania. </w:t>
                  </w:r>
                </w:p>
                <w:p w14:paraId="08F9530D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FF3D2A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2.Spodziewane efekty:</w:t>
                  </w:r>
                </w:p>
                <w:p w14:paraId="27E5C5C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Wdrożenie w ramach projektu odpowiednich polityk i procedur zarządzania dostępem do danych.</w:t>
                  </w:r>
                </w:p>
                <w:p w14:paraId="34E082F0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40BF466" w14:textId="77777777" w:rsidR="00CE24D8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79C54D9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CE24D8" w:rsidRPr="001D4D1B" w14:paraId="75D1BE65" w14:textId="77777777" w:rsidTr="00CE24D8">
              <w:tc>
                <w:tcPr>
                  <w:tcW w:w="2293" w:type="dxa"/>
                  <w:vAlign w:val="center"/>
                </w:tcPr>
                <w:p w14:paraId="6000CAC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18"/>
                    </w:rPr>
                    <w:t>Niedostateczne zasoby osobowe po stronie Zamawiającego</w:t>
                  </w:r>
                </w:p>
              </w:tc>
              <w:tc>
                <w:tcPr>
                  <w:tcW w:w="4918" w:type="dxa"/>
                </w:tcPr>
                <w:p w14:paraId="19702D3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1.Podejmowane działania zarządcze w celu mitygacji ryzyka:</w:t>
                  </w:r>
                </w:p>
                <w:p w14:paraId="7F83EA5A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02C26833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Wyłonienie w otwartej procedurze przetargowej podmiotu, który będzie wspierał Zamawiającego w realizacji projektu zgodnie z przyjętymi założeniami. Czasowe angażowanie pracowników merytorycznych beneficjenta, których zakres obowiązków odpowiada specyfice projektu.</w:t>
                  </w:r>
                </w:p>
                <w:p w14:paraId="77241669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3E7CA897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2. Spodziewane efekty:</w:t>
                  </w:r>
                </w:p>
                <w:p w14:paraId="4F5C8FB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zbudowanie zespołu o wymaganych kompetencjach</w:t>
                  </w:r>
                </w:p>
                <w:p w14:paraId="2D02E1D6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>- częściowe odciążenie ekspertów poprzez udział firmy doradczej</w:t>
                  </w:r>
                </w:p>
                <w:p w14:paraId="629E8D9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77AB5C5B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  <w:p w14:paraId="7CA3E65F" w14:textId="3E95513C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1D4D1B">
                    <w:rPr>
                      <w:rFonts w:ascii="Arial" w:hAnsi="Arial" w:cs="Arial"/>
                      <w:sz w:val="18"/>
                      <w:szCs w:val="20"/>
                    </w:rPr>
                    <w:t xml:space="preserve">3. 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Ryzyko zamknięte</w:t>
                  </w:r>
                </w:p>
                <w:p w14:paraId="36C9C685" w14:textId="77777777" w:rsidR="00CE24D8" w:rsidRPr="001D4D1B" w:rsidRDefault="00CE24D8" w:rsidP="00CE24D8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</w:p>
              </w:tc>
            </w:tr>
          </w:tbl>
          <w:p w14:paraId="5522F697" w14:textId="66E9355E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3B439D59" w14:textId="77777777" w:rsidTr="22023F1B">
        <w:tc>
          <w:tcPr>
            <w:tcW w:w="384" w:type="dxa"/>
          </w:tcPr>
          <w:p w14:paraId="6FAD7A03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6D2EB0AF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074" w:type="dxa"/>
          </w:tcPr>
          <w:p w14:paraId="2923FD72" w14:textId="25086B26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Głównymi korzyściami z realizacji projektu jest udostępnienie dla obywateli dwóch nowych e-usług:</w:t>
            </w:r>
          </w:p>
          <w:p w14:paraId="4FE89B94" w14:textId="51FF14F6" w:rsidR="00CE24D8" w:rsidRPr="006701FB" w:rsidRDefault="00CE24D8" w:rsidP="00CE24D8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1.Elektroniczne rozliczanie deklaracji, na podstawie której ustala się wysokość należności za</w:t>
            </w:r>
            <w:r w:rsidR="00A216DE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</w:t>
            </w: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korzystanie ze śródlądowych dróg wodnych i ich odcinków oraz śluz i pochylni w danym miesiącu</w:t>
            </w:r>
            <w:r w:rsidR="00A216DE">
              <w:rPr>
                <w:rFonts w:ascii="Arial" w:hAnsi="Arial" w:cs="Arial"/>
                <w:bCs/>
                <w:iCs/>
                <w:sz w:val="18"/>
                <w:szCs w:val="20"/>
              </w:rPr>
              <w:t>.</w:t>
            </w:r>
          </w:p>
          <w:p w14:paraId="67F3D2BE" w14:textId="24EDDFC6" w:rsidR="00CE24D8" w:rsidRPr="006701FB" w:rsidRDefault="00CE24D8" w:rsidP="00CE24D8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2.Obsługa żeglugi rekreacyjnej</w:t>
            </w:r>
          </w:p>
          <w:p w14:paraId="04001AE4" w14:textId="278C0FB6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lastRenderedPageBreak/>
              <w:t>Przedmiotowe e-usługi adresują potrzeby obywateli korzystających ze śródlądowych dróg wodnych, poprzez umożliwianie dokonywania płatności elektronicznych za korzystanie ze śródlądowych dróg wodnych (dla turystów w postaci opłat za korzystanie ze śluz i pochylni, dla armatorów poprzez możliwość składania elektronicznych deklaracji i ich opłacanie).</w:t>
            </w:r>
          </w:p>
          <w:p w14:paraId="5573D4DC" w14:textId="16F06DC4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Dodatkowe korzyści to możliwość zaplanowania trasy rejsu po szlakach żeglugowych, zapoznanie się z komunikatami nawigacyjnymi oraz </w:t>
            </w:r>
            <w:r w:rsidR="00EA3BA4">
              <w:rPr>
                <w:rFonts w:ascii="Arial" w:hAnsi="Arial" w:cs="Arial"/>
                <w:bCs/>
                <w:iCs/>
                <w:sz w:val="18"/>
                <w:szCs w:val="20"/>
              </w:rPr>
              <w:t>możliwość dodawania zgłoszeń dotyczących</w:t>
            </w:r>
            <w:r w:rsidR="00B25529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zagrożeń występujących na śródlądowych drogach wodnych przez użytkowników systemu. </w:t>
            </w:r>
          </w:p>
          <w:p w14:paraId="0F4D3FF2" w14:textId="0224B657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</w:t>
            </w:r>
          </w:p>
          <w:p w14:paraId="0FCEB0AF" w14:textId="0B2347D6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Korzyści wynikające z realizacji projektu będą stale monitorowane przez PGW WP.  Stopień wykorzystania e-usług będzie weryfikowany w oparciu raporty z systemu. Zaplanowano również działania ewaluacyjne mające na celu weryfikację zadowolenia użytkowników z udostępnionych usług.</w:t>
            </w:r>
          </w:p>
          <w:p w14:paraId="1813662D" w14:textId="32FFAAA2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2E85387C" w14:textId="77777777" w:rsidTr="22023F1B">
        <w:tc>
          <w:tcPr>
            <w:tcW w:w="384" w:type="dxa"/>
          </w:tcPr>
          <w:p w14:paraId="2BF8205F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68FEA976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074" w:type="dxa"/>
          </w:tcPr>
          <w:p w14:paraId="6CD61741" w14:textId="77777777" w:rsidR="00CE24D8" w:rsidRDefault="00CE24D8" w:rsidP="00DB70A5">
            <w:pPr>
              <w:jc w:val="both"/>
              <w:rPr>
                <w:i/>
                <w:color w:val="FF0000"/>
                <w:sz w:val="18"/>
                <w:szCs w:val="18"/>
              </w:rPr>
            </w:pPr>
          </w:p>
          <w:p w14:paraId="698178D5" w14:textId="30D1648A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Projektu WIR korzysta z danych następujących systemów informatycznych:</w:t>
            </w:r>
          </w:p>
          <w:p w14:paraId="27056BE8" w14:textId="7767B56E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Krajowy Węzeł Identyfikacji Elektronicznej – korzystanie – uwierzytelnianie użytkowników; status: wdrożony</w:t>
            </w:r>
          </w:p>
          <w:p w14:paraId="018E286B" w14:textId="2B00CFA4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 xml:space="preserve">• ISOK </w:t>
            </w:r>
            <w:r w:rsidR="00A35C7D" w:rsidRPr="00C81AEC">
              <w:rPr>
                <w:rFonts w:ascii="Arial" w:hAnsi="Arial" w:cs="Arial"/>
                <w:iCs/>
                <w:sz w:val="18"/>
                <w:szCs w:val="18"/>
              </w:rPr>
              <w:t xml:space="preserve">( w tym moduł SIGW) </w:t>
            </w:r>
            <w:r w:rsidRPr="006701FB">
              <w:rPr>
                <w:rFonts w:ascii="Arial" w:hAnsi="Arial" w:cs="Arial"/>
                <w:iCs/>
                <w:sz w:val="18"/>
                <w:szCs w:val="18"/>
              </w:rPr>
              <w:t>– korzystanie – pobieranie danych dot. m.in., infrastruktury wodnej, budowli piętrzących, obiektów hydrotechnicznych w obrębie drogi wodnej; status: wdrożony</w:t>
            </w:r>
          </w:p>
          <w:p w14:paraId="7023A6F9" w14:textId="3F725CCF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Geoportal – korzystanie – pobieranie danych mapowych i podkładowych; status: wdrożony</w:t>
            </w:r>
            <w:r w:rsidR="004A333D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4F4B43C8" w14:textId="374389F7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Regon – korzystanie – pobieranie danych podmiotów go-spodarki narodowej; status: wdrożony</w:t>
            </w:r>
          </w:p>
          <w:p w14:paraId="0A94BD01" w14:textId="6145895E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Teryt – korzystanie –identyfikacja terytorialna podmiotów, które będą rejestrowały się w systemie;</w:t>
            </w:r>
            <w:r w:rsidR="004A333D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6701FB">
              <w:rPr>
                <w:rFonts w:ascii="Arial" w:hAnsi="Arial" w:cs="Arial"/>
                <w:iCs/>
                <w:sz w:val="18"/>
                <w:szCs w:val="18"/>
              </w:rPr>
              <w:t>status: wdrożony</w:t>
            </w:r>
          </w:p>
          <w:p w14:paraId="53BD0BBC" w14:textId="3FDC5FCD" w:rsidR="00CE24D8" w:rsidRPr="006701FB" w:rsidRDefault="00CE24D8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System księgowy PGWWP – wspieranie – elektroniczna opłata za śluzę, rejestr płatności; status: wdrożony</w:t>
            </w:r>
          </w:p>
          <w:p w14:paraId="7AEA7D85" w14:textId="77777777" w:rsidR="00624041" w:rsidRDefault="00CE24D8" w:rsidP="006240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6701FB">
              <w:rPr>
                <w:rFonts w:ascii="Arial" w:hAnsi="Arial" w:cs="Arial"/>
                <w:iCs/>
                <w:sz w:val="18"/>
                <w:szCs w:val="18"/>
              </w:rPr>
              <w:t>• RIS – korzystanie – wykorzystanie tabel ze słownikami; status: wdrożony</w:t>
            </w:r>
          </w:p>
          <w:p w14:paraId="13681651" w14:textId="6B700C81" w:rsidR="00624041" w:rsidRPr="00C81AEC" w:rsidRDefault="000F5EC7" w:rsidP="22023F1B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81AEC">
              <w:rPr>
                <w:rFonts w:ascii="Arial" w:hAnsi="Arial" w:cs="Arial"/>
                <w:iCs/>
                <w:sz w:val="18"/>
                <w:szCs w:val="18"/>
              </w:rPr>
              <w:t xml:space="preserve">• </w:t>
            </w:r>
            <w:r w:rsidR="00624041" w:rsidRPr="00C81AEC">
              <w:rPr>
                <w:rFonts w:ascii="Arial" w:hAnsi="Arial" w:cs="Arial"/>
                <w:iCs/>
                <w:sz w:val="18"/>
                <w:szCs w:val="18"/>
              </w:rPr>
              <w:t>e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>Pł</w:t>
            </w:r>
            <w:r w:rsidR="00624041" w:rsidRPr="00C81AEC">
              <w:rPr>
                <w:rFonts w:ascii="Arial" w:hAnsi="Arial" w:cs="Arial"/>
                <w:iCs/>
                <w:sz w:val="18"/>
                <w:szCs w:val="18"/>
              </w:rPr>
              <w:t>atności – w ramach prac integracyjnych w ramach projektu WIR wykonano integrację z usługą</w:t>
            </w:r>
            <w:r w:rsidR="7F65BFB0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świadczoną przez zewnętrznego</w:t>
            </w:r>
            <w:r w:rsidR="00624041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operatora płatności </w:t>
            </w:r>
            <w:r w:rsidR="6548308D" w:rsidRPr="00C81AEC">
              <w:rPr>
                <w:rFonts w:ascii="Arial" w:hAnsi="Arial" w:cs="Arial"/>
                <w:iCs/>
                <w:sz w:val="18"/>
                <w:szCs w:val="18"/>
              </w:rPr>
              <w:t>elektronicznych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>; status: wdrożony</w:t>
            </w:r>
          </w:p>
          <w:p w14:paraId="7F7597D6" w14:textId="0C0D46C0" w:rsidR="00A35C7D" w:rsidRPr="00C81AEC" w:rsidRDefault="00A35C7D" w:rsidP="00A35C7D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81AEC">
              <w:rPr>
                <w:rFonts w:ascii="Arial" w:hAnsi="Arial" w:cs="Arial"/>
                <w:iCs/>
                <w:sz w:val="18"/>
                <w:szCs w:val="18"/>
              </w:rPr>
              <w:t>- dane.gov.pl –</w:t>
            </w:r>
            <w:r w:rsidR="002C2632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publikacja - 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>Beneficjent udostępni dane z zakresu zjawisk lodowych w kolejnym okresie ich występowania</w:t>
            </w:r>
            <w:r w:rsidR="006371C1" w:rsidRPr="00C81AEC">
              <w:rPr>
                <w:rFonts w:ascii="Arial" w:hAnsi="Arial" w:cs="Arial"/>
                <w:iCs/>
                <w:sz w:val="18"/>
                <w:szCs w:val="18"/>
              </w:rPr>
              <w:t>, dane dot. wykorzystania dróg wodnych i ilości śluzowań zostaną zamieszczone po zakończeniu  sezonu żeglugowego; status</w:t>
            </w:r>
            <w:r w:rsidR="002C2632" w:rsidRPr="00C81AEC">
              <w:rPr>
                <w:rFonts w:ascii="Arial" w:hAnsi="Arial" w:cs="Arial"/>
                <w:iCs/>
                <w:sz w:val="18"/>
                <w:szCs w:val="18"/>
              </w:rPr>
              <w:t>:</w:t>
            </w:r>
            <w:r w:rsidR="00430107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wdrożony,</w:t>
            </w:r>
            <w:r w:rsidR="002C2632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schemat przygotowany do publikacji.</w:t>
            </w:r>
          </w:p>
          <w:p w14:paraId="1B17CD8E" w14:textId="77777777" w:rsidR="00AF0495" w:rsidRPr="00C81AEC" w:rsidRDefault="00AF0495" w:rsidP="00AF049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149D3037" w14:textId="77777777" w:rsidR="00170F15" w:rsidRPr="00C81AEC" w:rsidRDefault="00170F15" w:rsidP="00AF049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7B357C4D" w14:textId="1BDB4333" w:rsidR="00AF0495" w:rsidRPr="00C81AEC" w:rsidRDefault="00AF0495" w:rsidP="00AF049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81AEC">
              <w:rPr>
                <w:rFonts w:ascii="Arial" w:hAnsi="Arial" w:cs="Arial"/>
                <w:iCs/>
                <w:sz w:val="18"/>
                <w:szCs w:val="18"/>
              </w:rPr>
              <w:t xml:space="preserve">Wyjaśnienie w zakresie </w:t>
            </w:r>
            <w:r w:rsidR="002E43E8" w:rsidRPr="00C81AEC">
              <w:rPr>
                <w:rFonts w:ascii="Arial" w:hAnsi="Arial" w:cs="Arial"/>
                <w:iCs/>
                <w:sz w:val="18"/>
                <w:szCs w:val="18"/>
              </w:rPr>
              <w:t>integracji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>/wykorzystania danych z systemów zewnętrznych:</w:t>
            </w:r>
          </w:p>
          <w:p w14:paraId="4DEE8D42" w14:textId="52A4D541" w:rsidR="00AF0495" w:rsidRPr="00C81AEC" w:rsidRDefault="00AF0495" w:rsidP="00AF049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81AEC">
              <w:rPr>
                <w:rFonts w:ascii="Arial" w:hAnsi="Arial" w:cs="Arial"/>
                <w:iCs/>
                <w:sz w:val="18"/>
                <w:szCs w:val="18"/>
              </w:rPr>
              <w:t>- biznes.gov.pl – w trakcie analizy uznano, że dane z REGON są wystarczające w zakresie informacji o przedsiębiorcach, dlatego wykonano integrację w zakresie pozyskania danych z zasobu GUS.</w:t>
            </w:r>
            <w:r w:rsidR="00A35C7D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(WOD)</w:t>
            </w:r>
          </w:p>
          <w:p w14:paraId="53ADFD69" w14:textId="45AEBD27" w:rsidR="00AF0495" w:rsidRPr="00C81AEC" w:rsidRDefault="00AF0495" w:rsidP="00AF0495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C81AEC">
              <w:rPr>
                <w:rFonts w:ascii="Arial" w:hAnsi="Arial" w:cs="Arial"/>
                <w:iCs/>
                <w:sz w:val="18"/>
                <w:szCs w:val="18"/>
              </w:rPr>
              <w:t xml:space="preserve">- PBDS – w trakcie uzgodnień </w:t>
            </w:r>
            <w:r w:rsidR="1DAAEE21" w:rsidRPr="00C81AEC">
              <w:rPr>
                <w:rFonts w:ascii="Arial" w:hAnsi="Arial" w:cs="Arial"/>
                <w:iCs/>
                <w:sz w:val="18"/>
                <w:szCs w:val="18"/>
              </w:rPr>
              <w:t>dotyczących wykorzystani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 xml:space="preserve">a danych od UŻŚ w Szczecinie Beneficjent został poinformowany, że nie ma możliwości wykonania integracji z przedmiotowym zasobem, ze względu na </w:t>
            </w:r>
            <w:r w:rsidR="1E19B6CB" w:rsidRPr="00C81AEC">
              <w:rPr>
                <w:rFonts w:ascii="Arial" w:hAnsi="Arial" w:cs="Arial"/>
                <w:iCs/>
                <w:sz w:val="18"/>
                <w:szCs w:val="18"/>
              </w:rPr>
              <w:t>zakres</w:t>
            </w:r>
            <w:r w:rsidR="0688F565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i sposób</w:t>
            </w:r>
            <w:r w:rsidR="1E19B6CB" w:rsidRPr="00C81AE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>gromadz</w:t>
            </w:r>
            <w:r w:rsidR="4E4AA697" w:rsidRPr="00C81AEC">
              <w:rPr>
                <w:rFonts w:ascii="Arial" w:hAnsi="Arial" w:cs="Arial"/>
                <w:iCs/>
                <w:sz w:val="18"/>
                <w:szCs w:val="18"/>
              </w:rPr>
              <w:t>enia</w:t>
            </w:r>
            <w:r w:rsidRPr="00C81AEC">
              <w:rPr>
                <w:rFonts w:ascii="Arial" w:hAnsi="Arial" w:cs="Arial"/>
                <w:iCs/>
                <w:sz w:val="18"/>
                <w:szCs w:val="18"/>
              </w:rPr>
              <w:t xml:space="preserve"> danych.</w:t>
            </w:r>
          </w:p>
          <w:p w14:paraId="48B6779E" w14:textId="77777777" w:rsidR="00AF0495" w:rsidRPr="006701FB" w:rsidRDefault="00AF0495" w:rsidP="00CE24D8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0A490659" w14:textId="5497856D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3992BA04" w14:textId="77777777" w:rsidTr="22023F1B">
        <w:tc>
          <w:tcPr>
            <w:tcW w:w="384" w:type="dxa"/>
          </w:tcPr>
          <w:p w14:paraId="47D4B0B5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458BEA6B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074" w:type="dxa"/>
          </w:tcPr>
          <w:p w14:paraId="47A14B73" w14:textId="6D03C0DA" w:rsidR="00CE24D8" w:rsidRDefault="00CE24D8" w:rsidP="007C54F9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Zapewnienie utrzymania projektu w okresie trwałości będzie finansowane ze środków własnych PGW WP. Wydatki na utrzymanie projektu uwzględniono w planie wieloletnim jednostki</w:t>
            </w:r>
            <w:r w:rsidR="00AC5E8D">
              <w:rPr>
                <w:rFonts w:ascii="Arial" w:hAnsi="Arial" w:cs="Arial"/>
                <w:bCs/>
                <w:iCs/>
                <w:sz w:val="18"/>
                <w:szCs w:val="20"/>
              </w:rPr>
              <w:t>.</w:t>
            </w:r>
          </w:p>
          <w:p w14:paraId="23ACDC78" w14:textId="0AF0F2DD" w:rsidR="007C54F9" w:rsidRDefault="007C54F9" w:rsidP="00AF049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14:paraId="6A2499C9" w14:textId="77777777" w:rsidTr="22023F1B">
        <w:tc>
          <w:tcPr>
            <w:tcW w:w="384" w:type="dxa"/>
          </w:tcPr>
          <w:p w14:paraId="4CF6FDCD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604" w:type="dxa"/>
          </w:tcPr>
          <w:p w14:paraId="3A736CDA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074" w:type="dxa"/>
          </w:tcPr>
          <w:p w14:paraId="03C5068C" w14:textId="49B6456B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Realizacja projektu przebiegała z niewielkimi odchyleniami od planu bazowego. Zakres projektu został zrealizowany w całości, w zakładanym zakresie. </w:t>
            </w:r>
          </w:p>
          <w:p w14:paraId="19C39D4E" w14:textId="5DB9B445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Zadania zostały przesunięte względem bazowego terminu realizacji o ok. 4 miesiące.</w:t>
            </w:r>
          </w:p>
          <w:p w14:paraId="4180BE65" w14:textId="5B3098CA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Główną przyczyną przesunięcia terminu zakończenia realizacji projektu było przedłużające się postępowanie</w:t>
            </w:r>
            <w:r w:rsidR="00C85391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prz</w:t>
            </w:r>
            <w:r w:rsidR="00527A73">
              <w:rPr>
                <w:rFonts w:ascii="Arial" w:hAnsi="Arial" w:cs="Arial"/>
                <w:bCs/>
                <w:iCs/>
                <w:sz w:val="18"/>
                <w:szCs w:val="20"/>
              </w:rPr>
              <w:t>etargowe</w:t>
            </w: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na wybór wykonawcy systemu WIR.</w:t>
            </w:r>
          </w:p>
          <w:p w14:paraId="5778057F" w14:textId="77777777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</w:p>
          <w:p w14:paraId="75BF5A15" w14:textId="6755F003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Przebieg prac w ramach projektu pozwolił na sformułowanie następujących wniosków, do wykorzystania w kolejnych projektach:</w:t>
            </w:r>
          </w:p>
          <w:p w14:paraId="2E5FEC8D" w14:textId="4A5E72A4" w:rsidR="008C79A6" w:rsidRPr="006701FB" w:rsidRDefault="008C79A6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- </w:t>
            </w:r>
            <w:r w:rsidR="00462E98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niezbędny jest udział specjalistów z zakresu User Exp</w:t>
            </w:r>
            <w:r w:rsidR="00600677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e</w:t>
            </w:r>
            <w:r w:rsidR="00454FF1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ri</w:t>
            </w:r>
            <w:r w:rsidR="00462E98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e</w:t>
            </w:r>
            <w:r w:rsidR="00445D7C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nce na wszystkich etapach prac projektowych</w:t>
            </w:r>
            <w:r w:rsidR="0014798C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;</w:t>
            </w:r>
          </w:p>
          <w:p w14:paraId="0FAA5DDD" w14:textId="5B5984B0" w:rsidR="00CE24D8" w:rsidRPr="006701FB" w:rsidRDefault="00CE24D8" w:rsidP="009D3D41">
            <w:pPr>
              <w:jc w:val="both"/>
              <w:rPr>
                <w:rFonts w:ascii="Arial" w:hAnsi="Arial" w:cs="Arial"/>
                <w:bCs/>
                <w:iCs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lastRenderedPageBreak/>
              <w:t xml:space="preserve">- w procesie zwinnego wytwarzania oprogramowania </w:t>
            </w:r>
            <w:r w:rsidR="00AD7360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konieczn</w:t>
            </w: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e jest pełne i wyczerpujące opisywanie wymagań w trakcie prac analitycznych</w:t>
            </w:r>
            <w:r w:rsidR="00602B30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(np. poprzez użycie historyjek u</w:t>
            </w:r>
            <w:r w:rsidR="00E62456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żytkownika)</w:t>
            </w:r>
            <w:r w:rsidR="0014798C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;</w:t>
            </w:r>
          </w:p>
          <w:p w14:paraId="7923B6B1" w14:textId="788E1EAE" w:rsidR="009D3D41" w:rsidRDefault="00CE24D8" w:rsidP="00527A73">
            <w:pPr>
              <w:jc w:val="both"/>
              <w:rPr>
                <w:bCs/>
                <w:i/>
                <w:sz w:val="18"/>
                <w:szCs w:val="20"/>
              </w:rPr>
            </w:pP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- w trakcie prac analitycznych warto organizować wspólne warsztaty w celu </w:t>
            </w:r>
            <w:r w:rsidR="003C7B6A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ustalenia </w:t>
            </w:r>
            <w:r w:rsidR="001319ED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wspólnego</w:t>
            </w:r>
            <w:r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</w:t>
            </w:r>
            <w:r w:rsidR="001319ED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 xml:space="preserve"> rozumienia dla realizowanych zakresów</w:t>
            </w:r>
            <w:r w:rsidR="0014798C" w:rsidRPr="006701FB">
              <w:rPr>
                <w:rFonts w:ascii="Arial" w:hAnsi="Arial" w:cs="Arial"/>
                <w:bCs/>
                <w:iCs/>
                <w:sz w:val="18"/>
                <w:szCs w:val="20"/>
              </w:rPr>
              <w:t>;</w:t>
            </w:r>
          </w:p>
        </w:tc>
      </w:tr>
    </w:tbl>
    <w:p w14:paraId="192CAD08" w14:textId="77777777" w:rsidR="007A0A3D" w:rsidRDefault="007A0A3D" w:rsidP="007A0A3D"/>
    <w:p w14:paraId="67D5B7CD" w14:textId="77777777" w:rsidR="00CE24D8" w:rsidRDefault="00CE24D8" w:rsidP="007A0A3D"/>
    <w:p w14:paraId="4B01B668" w14:textId="77777777" w:rsidR="00CE24D8" w:rsidRDefault="00CE24D8" w:rsidP="007A0A3D"/>
    <w:p w14:paraId="361140B9" w14:textId="77777777" w:rsidR="00CE24D8" w:rsidRDefault="00CE24D8" w:rsidP="007A0A3D"/>
    <w:p w14:paraId="6FA856AC" w14:textId="77777777" w:rsidR="00CE24D8" w:rsidRDefault="00CE24D8" w:rsidP="007A0A3D"/>
    <w:p w14:paraId="56A98157" w14:textId="77777777" w:rsidR="00CE24D8" w:rsidRDefault="00CE24D8" w:rsidP="007A0A3D"/>
    <w:p w14:paraId="76A4288D" w14:textId="77777777" w:rsidR="00CE24D8" w:rsidRDefault="00CE24D8" w:rsidP="00CE24D8"/>
    <w:p w14:paraId="079B0D89" w14:textId="77777777" w:rsidR="00CE24D8" w:rsidRDefault="00CE24D8" w:rsidP="007A0A3D"/>
    <w:sectPr w:rsidR="00CE2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7A4FFB"/>
    <w:multiLevelType w:val="hybridMultilevel"/>
    <w:tmpl w:val="74CAC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916B8"/>
    <w:multiLevelType w:val="hybridMultilevel"/>
    <w:tmpl w:val="896EA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61D8B"/>
    <w:multiLevelType w:val="hybridMultilevel"/>
    <w:tmpl w:val="39527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6E5C0D"/>
    <w:multiLevelType w:val="hybridMultilevel"/>
    <w:tmpl w:val="6600A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7A3C27"/>
    <w:multiLevelType w:val="hybridMultilevel"/>
    <w:tmpl w:val="98CAF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04854">
    <w:abstractNumId w:val="1"/>
  </w:num>
  <w:num w:numId="2" w16cid:durableId="702442322">
    <w:abstractNumId w:val="6"/>
  </w:num>
  <w:num w:numId="3" w16cid:durableId="103574578">
    <w:abstractNumId w:val="0"/>
  </w:num>
  <w:num w:numId="4" w16cid:durableId="1156918719">
    <w:abstractNumId w:val="9"/>
  </w:num>
  <w:num w:numId="5" w16cid:durableId="1590121725">
    <w:abstractNumId w:val="8"/>
  </w:num>
  <w:num w:numId="6" w16cid:durableId="1828785753">
    <w:abstractNumId w:val="11"/>
  </w:num>
  <w:num w:numId="7" w16cid:durableId="282930118">
    <w:abstractNumId w:val="2"/>
  </w:num>
  <w:num w:numId="8" w16cid:durableId="1041397667">
    <w:abstractNumId w:val="4"/>
  </w:num>
  <w:num w:numId="9" w16cid:durableId="695154859">
    <w:abstractNumId w:val="3"/>
  </w:num>
  <w:num w:numId="10" w16cid:durableId="284578528">
    <w:abstractNumId w:val="5"/>
  </w:num>
  <w:num w:numId="11" w16cid:durableId="1606689013">
    <w:abstractNumId w:val="7"/>
  </w:num>
  <w:num w:numId="12" w16cid:durableId="151407151">
    <w:abstractNumId w:val="12"/>
  </w:num>
  <w:num w:numId="13" w16cid:durableId="1701485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38D2"/>
    <w:rsid w:val="0001337D"/>
    <w:rsid w:val="00016FAB"/>
    <w:rsid w:val="00021389"/>
    <w:rsid w:val="0003344D"/>
    <w:rsid w:val="00056CAC"/>
    <w:rsid w:val="00086165"/>
    <w:rsid w:val="0009095F"/>
    <w:rsid w:val="000B6985"/>
    <w:rsid w:val="000C6642"/>
    <w:rsid w:val="000D3CA9"/>
    <w:rsid w:val="000D7A24"/>
    <w:rsid w:val="000E0386"/>
    <w:rsid w:val="000E0C6F"/>
    <w:rsid w:val="000E4911"/>
    <w:rsid w:val="000F430E"/>
    <w:rsid w:val="000F5EC7"/>
    <w:rsid w:val="001319ED"/>
    <w:rsid w:val="00134010"/>
    <w:rsid w:val="00134ECF"/>
    <w:rsid w:val="00140929"/>
    <w:rsid w:val="001455E8"/>
    <w:rsid w:val="0014798C"/>
    <w:rsid w:val="001600BB"/>
    <w:rsid w:val="00170F15"/>
    <w:rsid w:val="00174F4C"/>
    <w:rsid w:val="001806EC"/>
    <w:rsid w:val="001827AC"/>
    <w:rsid w:val="001A140E"/>
    <w:rsid w:val="001A5477"/>
    <w:rsid w:val="001A61F3"/>
    <w:rsid w:val="001C611C"/>
    <w:rsid w:val="001C6D7D"/>
    <w:rsid w:val="001D40A9"/>
    <w:rsid w:val="0020027B"/>
    <w:rsid w:val="00203DEC"/>
    <w:rsid w:val="002120E0"/>
    <w:rsid w:val="0021582D"/>
    <w:rsid w:val="0023435D"/>
    <w:rsid w:val="002423FC"/>
    <w:rsid w:val="002424E3"/>
    <w:rsid w:val="002450C4"/>
    <w:rsid w:val="00253508"/>
    <w:rsid w:val="00266DAF"/>
    <w:rsid w:val="00280241"/>
    <w:rsid w:val="002810D4"/>
    <w:rsid w:val="002A153C"/>
    <w:rsid w:val="002A2FAD"/>
    <w:rsid w:val="002A5D53"/>
    <w:rsid w:val="002A728C"/>
    <w:rsid w:val="002B0E26"/>
    <w:rsid w:val="002B1037"/>
    <w:rsid w:val="002C13DA"/>
    <w:rsid w:val="002C2632"/>
    <w:rsid w:val="002D183E"/>
    <w:rsid w:val="002D6E3E"/>
    <w:rsid w:val="002E43E8"/>
    <w:rsid w:val="003307BC"/>
    <w:rsid w:val="00342E07"/>
    <w:rsid w:val="003477BE"/>
    <w:rsid w:val="003655D2"/>
    <w:rsid w:val="0037259E"/>
    <w:rsid w:val="00375DDB"/>
    <w:rsid w:val="00380082"/>
    <w:rsid w:val="003908FF"/>
    <w:rsid w:val="00393DEB"/>
    <w:rsid w:val="00397E41"/>
    <w:rsid w:val="003B107D"/>
    <w:rsid w:val="003B7BD6"/>
    <w:rsid w:val="003C170D"/>
    <w:rsid w:val="003C3C08"/>
    <w:rsid w:val="003C7947"/>
    <w:rsid w:val="003C7B6A"/>
    <w:rsid w:val="003D7919"/>
    <w:rsid w:val="00402364"/>
    <w:rsid w:val="004046DC"/>
    <w:rsid w:val="0042072A"/>
    <w:rsid w:val="00430107"/>
    <w:rsid w:val="00442D96"/>
    <w:rsid w:val="00445D7C"/>
    <w:rsid w:val="00452DBE"/>
    <w:rsid w:val="00454FF1"/>
    <w:rsid w:val="00455741"/>
    <w:rsid w:val="004574AF"/>
    <w:rsid w:val="00462E98"/>
    <w:rsid w:val="00465FB7"/>
    <w:rsid w:val="00470890"/>
    <w:rsid w:val="00482078"/>
    <w:rsid w:val="0048351A"/>
    <w:rsid w:val="004911EB"/>
    <w:rsid w:val="004A1C99"/>
    <w:rsid w:val="004A333D"/>
    <w:rsid w:val="004A6D5E"/>
    <w:rsid w:val="004B19FE"/>
    <w:rsid w:val="004B3DD4"/>
    <w:rsid w:val="004C4869"/>
    <w:rsid w:val="004C48BC"/>
    <w:rsid w:val="004D135D"/>
    <w:rsid w:val="004D70F1"/>
    <w:rsid w:val="00527A73"/>
    <w:rsid w:val="00532939"/>
    <w:rsid w:val="00551ED7"/>
    <w:rsid w:val="00552788"/>
    <w:rsid w:val="00573DEE"/>
    <w:rsid w:val="0058262E"/>
    <w:rsid w:val="0058328C"/>
    <w:rsid w:val="00584D6F"/>
    <w:rsid w:val="005A4344"/>
    <w:rsid w:val="005B6F51"/>
    <w:rsid w:val="005D4188"/>
    <w:rsid w:val="005E1BF3"/>
    <w:rsid w:val="005E6C66"/>
    <w:rsid w:val="005F4DD0"/>
    <w:rsid w:val="00600677"/>
    <w:rsid w:val="00602B30"/>
    <w:rsid w:val="00621E69"/>
    <w:rsid w:val="00624041"/>
    <w:rsid w:val="00632AA0"/>
    <w:rsid w:val="006371C1"/>
    <w:rsid w:val="00643672"/>
    <w:rsid w:val="006701FB"/>
    <w:rsid w:val="00677551"/>
    <w:rsid w:val="00687AFE"/>
    <w:rsid w:val="00693B31"/>
    <w:rsid w:val="006A0AB4"/>
    <w:rsid w:val="006B6507"/>
    <w:rsid w:val="006B7454"/>
    <w:rsid w:val="006C063A"/>
    <w:rsid w:val="006D49F4"/>
    <w:rsid w:val="006F7EF0"/>
    <w:rsid w:val="007010D5"/>
    <w:rsid w:val="00716201"/>
    <w:rsid w:val="0072738C"/>
    <w:rsid w:val="007408A3"/>
    <w:rsid w:val="00743001"/>
    <w:rsid w:val="00743031"/>
    <w:rsid w:val="007437D9"/>
    <w:rsid w:val="00773523"/>
    <w:rsid w:val="007752F2"/>
    <w:rsid w:val="007A0A3D"/>
    <w:rsid w:val="007C54F9"/>
    <w:rsid w:val="007D31D5"/>
    <w:rsid w:val="007E2F1F"/>
    <w:rsid w:val="007E6098"/>
    <w:rsid w:val="007F38BB"/>
    <w:rsid w:val="007F63EF"/>
    <w:rsid w:val="00807C34"/>
    <w:rsid w:val="00813FEF"/>
    <w:rsid w:val="00814C23"/>
    <w:rsid w:val="008213A6"/>
    <w:rsid w:val="00822583"/>
    <w:rsid w:val="00825FDB"/>
    <w:rsid w:val="00832671"/>
    <w:rsid w:val="008506C0"/>
    <w:rsid w:val="00854700"/>
    <w:rsid w:val="008632E4"/>
    <w:rsid w:val="008657A2"/>
    <w:rsid w:val="00865E9B"/>
    <w:rsid w:val="00872EB0"/>
    <w:rsid w:val="0087691F"/>
    <w:rsid w:val="008927DE"/>
    <w:rsid w:val="008A0394"/>
    <w:rsid w:val="008B488E"/>
    <w:rsid w:val="008B522A"/>
    <w:rsid w:val="008C051B"/>
    <w:rsid w:val="008C79A6"/>
    <w:rsid w:val="008E0416"/>
    <w:rsid w:val="008F4E20"/>
    <w:rsid w:val="0090378C"/>
    <w:rsid w:val="00905779"/>
    <w:rsid w:val="00910902"/>
    <w:rsid w:val="00911DE1"/>
    <w:rsid w:val="00914414"/>
    <w:rsid w:val="0092099A"/>
    <w:rsid w:val="00920CE8"/>
    <w:rsid w:val="009214AC"/>
    <w:rsid w:val="0092248A"/>
    <w:rsid w:val="009434FB"/>
    <w:rsid w:val="00943AD3"/>
    <w:rsid w:val="00952D49"/>
    <w:rsid w:val="00954EF7"/>
    <w:rsid w:val="009568F9"/>
    <w:rsid w:val="009624C3"/>
    <w:rsid w:val="009715A7"/>
    <w:rsid w:val="00971D18"/>
    <w:rsid w:val="0097693D"/>
    <w:rsid w:val="00982DC4"/>
    <w:rsid w:val="009B3F06"/>
    <w:rsid w:val="009D0BD0"/>
    <w:rsid w:val="009D3D41"/>
    <w:rsid w:val="009D3D8C"/>
    <w:rsid w:val="009E1398"/>
    <w:rsid w:val="009F038C"/>
    <w:rsid w:val="00A0498B"/>
    <w:rsid w:val="00A11E90"/>
    <w:rsid w:val="00A12836"/>
    <w:rsid w:val="00A1534B"/>
    <w:rsid w:val="00A216DE"/>
    <w:rsid w:val="00A35C7D"/>
    <w:rsid w:val="00A370B7"/>
    <w:rsid w:val="00A41D40"/>
    <w:rsid w:val="00A4266C"/>
    <w:rsid w:val="00A46248"/>
    <w:rsid w:val="00A522AB"/>
    <w:rsid w:val="00A643F9"/>
    <w:rsid w:val="00A6601B"/>
    <w:rsid w:val="00A664C7"/>
    <w:rsid w:val="00A710B2"/>
    <w:rsid w:val="00A7335E"/>
    <w:rsid w:val="00A76F31"/>
    <w:rsid w:val="00AA030D"/>
    <w:rsid w:val="00AA1C73"/>
    <w:rsid w:val="00AC5446"/>
    <w:rsid w:val="00AC5E8D"/>
    <w:rsid w:val="00AC7F82"/>
    <w:rsid w:val="00AD4CA9"/>
    <w:rsid w:val="00AD5E31"/>
    <w:rsid w:val="00AD7360"/>
    <w:rsid w:val="00AF0495"/>
    <w:rsid w:val="00B0268D"/>
    <w:rsid w:val="00B1204B"/>
    <w:rsid w:val="00B212DB"/>
    <w:rsid w:val="00B23C15"/>
    <w:rsid w:val="00B25529"/>
    <w:rsid w:val="00B33C04"/>
    <w:rsid w:val="00B37A0B"/>
    <w:rsid w:val="00B5264B"/>
    <w:rsid w:val="00B57299"/>
    <w:rsid w:val="00B71409"/>
    <w:rsid w:val="00B93735"/>
    <w:rsid w:val="00BA29A8"/>
    <w:rsid w:val="00BB3520"/>
    <w:rsid w:val="00BB551C"/>
    <w:rsid w:val="00BB7571"/>
    <w:rsid w:val="00BC120E"/>
    <w:rsid w:val="00BC3F43"/>
    <w:rsid w:val="00BD14EE"/>
    <w:rsid w:val="00BE04C0"/>
    <w:rsid w:val="00BE1578"/>
    <w:rsid w:val="00BE392A"/>
    <w:rsid w:val="00C131AC"/>
    <w:rsid w:val="00C20C4B"/>
    <w:rsid w:val="00C240C0"/>
    <w:rsid w:val="00C37A3A"/>
    <w:rsid w:val="00C42446"/>
    <w:rsid w:val="00C479A4"/>
    <w:rsid w:val="00C52803"/>
    <w:rsid w:val="00C53B72"/>
    <w:rsid w:val="00C546B0"/>
    <w:rsid w:val="00C56B53"/>
    <w:rsid w:val="00C61EF2"/>
    <w:rsid w:val="00C624C5"/>
    <w:rsid w:val="00C65435"/>
    <w:rsid w:val="00C67B9B"/>
    <w:rsid w:val="00C81AEC"/>
    <w:rsid w:val="00C85391"/>
    <w:rsid w:val="00C948E6"/>
    <w:rsid w:val="00CA4B3D"/>
    <w:rsid w:val="00CA79E4"/>
    <w:rsid w:val="00CB26EC"/>
    <w:rsid w:val="00CB276F"/>
    <w:rsid w:val="00CE24D8"/>
    <w:rsid w:val="00CE2630"/>
    <w:rsid w:val="00CF4111"/>
    <w:rsid w:val="00D22A05"/>
    <w:rsid w:val="00D2582C"/>
    <w:rsid w:val="00D33114"/>
    <w:rsid w:val="00D37C01"/>
    <w:rsid w:val="00D43423"/>
    <w:rsid w:val="00D45A13"/>
    <w:rsid w:val="00D474DD"/>
    <w:rsid w:val="00D649BE"/>
    <w:rsid w:val="00D65F79"/>
    <w:rsid w:val="00DB70A5"/>
    <w:rsid w:val="00DC54AA"/>
    <w:rsid w:val="00DD3BD5"/>
    <w:rsid w:val="00DE4FBF"/>
    <w:rsid w:val="00DE74F2"/>
    <w:rsid w:val="00DF7E93"/>
    <w:rsid w:val="00E02126"/>
    <w:rsid w:val="00E05515"/>
    <w:rsid w:val="00E222A7"/>
    <w:rsid w:val="00E30008"/>
    <w:rsid w:val="00E35B79"/>
    <w:rsid w:val="00E52249"/>
    <w:rsid w:val="00E62456"/>
    <w:rsid w:val="00E6756E"/>
    <w:rsid w:val="00E74F97"/>
    <w:rsid w:val="00E7667F"/>
    <w:rsid w:val="00E94292"/>
    <w:rsid w:val="00E95AF2"/>
    <w:rsid w:val="00EA3BA4"/>
    <w:rsid w:val="00EB3A92"/>
    <w:rsid w:val="00EB5790"/>
    <w:rsid w:val="00EB782D"/>
    <w:rsid w:val="00EC07FB"/>
    <w:rsid w:val="00ED673C"/>
    <w:rsid w:val="00EE47BB"/>
    <w:rsid w:val="00EF094D"/>
    <w:rsid w:val="00F03C77"/>
    <w:rsid w:val="00F11AA3"/>
    <w:rsid w:val="00F3294A"/>
    <w:rsid w:val="00F32CAA"/>
    <w:rsid w:val="00F455FD"/>
    <w:rsid w:val="00F457EE"/>
    <w:rsid w:val="00F56A8D"/>
    <w:rsid w:val="00F741B3"/>
    <w:rsid w:val="00F82254"/>
    <w:rsid w:val="00F826D9"/>
    <w:rsid w:val="00F96E1A"/>
    <w:rsid w:val="00FA2C7F"/>
    <w:rsid w:val="00FD074F"/>
    <w:rsid w:val="00FD162F"/>
    <w:rsid w:val="00FE2B03"/>
    <w:rsid w:val="00FE78F9"/>
    <w:rsid w:val="00FF3719"/>
    <w:rsid w:val="00FF3CF6"/>
    <w:rsid w:val="00FF68D6"/>
    <w:rsid w:val="00FF78C4"/>
    <w:rsid w:val="044C2610"/>
    <w:rsid w:val="0688F565"/>
    <w:rsid w:val="0C911701"/>
    <w:rsid w:val="0CB95255"/>
    <w:rsid w:val="0FE9FDD6"/>
    <w:rsid w:val="11CD9E54"/>
    <w:rsid w:val="1DAAEE21"/>
    <w:rsid w:val="1E19B6CB"/>
    <w:rsid w:val="22023F1B"/>
    <w:rsid w:val="239E0F7C"/>
    <w:rsid w:val="297881F9"/>
    <w:rsid w:val="38C64209"/>
    <w:rsid w:val="4E0FF973"/>
    <w:rsid w:val="4E4AA697"/>
    <w:rsid w:val="53273295"/>
    <w:rsid w:val="6548308D"/>
    <w:rsid w:val="6EF833FE"/>
    <w:rsid w:val="71DFCDE3"/>
    <w:rsid w:val="7F65B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3540"/>
  <w15:chartTrackingRefBased/>
  <w15:docId w15:val="{3E2DCD1B-1517-4A49-B7C5-F661013F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E24D8"/>
  </w:style>
  <w:style w:type="paragraph" w:customStyle="1" w:styleId="Teksttabeli">
    <w:name w:val="Tekst tabeli"/>
    <w:basedOn w:val="Normalny"/>
    <w:qFormat/>
    <w:rsid w:val="00CE24D8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C486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8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869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9F038C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9F038C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9F038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9F038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38C"/>
  </w:style>
  <w:style w:type="character" w:customStyle="1" w:styleId="Tablecaption">
    <w:name w:val="Table caption_"/>
    <w:basedOn w:val="Domylnaczcionkaakapitu"/>
    <w:link w:val="Tablecaption0"/>
    <w:rsid w:val="00B1204B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B1204B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4E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4E20"/>
  </w:style>
  <w:style w:type="character" w:customStyle="1" w:styleId="normaltextrun">
    <w:name w:val="normaltextrun"/>
    <w:basedOn w:val="Domylnaczcionkaakapitu"/>
    <w:rsid w:val="00AD4CA9"/>
  </w:style>
  <w:style w:type="character" w:customStyle="1" w:styleId="eop">
    <w:name w:val="eop"/>
    <w:basedOn w:val="Domylnaczcionkaakapitu"/>
    <w:rsid w:val="00AD4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9C3B6-603D-4399-BF32-0FDC7363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3156</Words>
  <Characters>18937</Characters>
  <Application>Microsoft Office Word</Application>
  <DocSecurity>4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Stępniewska-Sałata Aneta</cp:lastModifiedBy>
  <cp:revision>2</cp:revision>
  <dcterms:created xsi:type="dcterms:W3CDTF">2024-04-24T10:36:00Z</dcterms:created>
  <dcterms:modified xsi:type="dcterms:W3CDTF">2024-04-24T10:36:00Z</dcterms:modified>
</cp:coreProperties>
</file>