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45CC1" w14:textId="77777777" w:rsidR="008A1AAE" w:rsidRPr="009874F2" w:rsidRDefault="00224087">
      <w:pPr>
        <w:rPr>
          <w:b/>
          <w:sz w:val="28"/>
          <w:szCs w:val="28"/>
          <w:lang w:val="pl-PL"/>
        </w:rPr>
      </w:pPr>
      <w:bookmarkStart w:id="0" w:name="_GoBack"/>
      <w:bookmarkEnd w:id="0"/>
      <w:r>
        <w:rPr>
          <w:noProof/>
          <w:lang w:val="pl-PL" w:eastAsia="pl-PL"/>
        </w:rPr>
        <w:drawing>
          <wp:anchor distT="0" distB="0" distL="114300" distR="114300" simplePos="0" relativeHeight="251664896" behindDoc="1" locked="0" layoutInCell="1" allowOverlap="1" wp14:anchorId="6D1C316D" wp14:editId="6DA10E91">
            <wp:simplePos x="0" y="0"/>
            <wp:positionH relativeFrom="column">
              <wp:posOffset>4843780</wp:posOffset>
            </wp:positionH>
            <wp:positionV relativeFrom="paragraph">
              <wp:posOffset>71755</wp:posOffset>
            </wp:positionV>
            <wp:extent cx="1228725" cy="706120"/>
            <wp:effectExtent l="0" t="0" r="9525" b="0"/>
            <wp:wrapTight wrapText="bothSides">
              <wp:wrapPolygon edited="0">
                <wp:start x="0" y="0"/>
                <wp:lineTo x="0" y="20978"/>
                <wp:lineTo x="21433" y="20978"/>
                <wp:lineTo x="21433" y="0"/>
                <wp:lineTo x="0" y="0"/>
              </wp:wrapPolygon>
            </wp:wrapTight>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706120"/>
                    </a:xfrm>
                    <a:prstGeom prst="rect">
                      <a:avLst/>
                    </a:prstGeom>
                    <a:noFill/>
                  </pic:spPr>
                </pic:pic>
              </a:graphicData>
            </a:graphic>
            <wp14:sizeRelH relativeFrom="page">
              <wp14:pctWidth>0</wp14:pctWidth>
            </wp14:sizeRelH>
            <wp14:sizeRelV relativeFrom="page">
              <wp14:pctHeight>0</wp14:pctHeight>
            </wp14:sizeRelV>
          </wp:anchor>
        </w:drawing>
      </w:r>
      <w:r>
        <w:rPr>
          <w:noProof/>
          <w:lang w:val="pl-PL" w:eastAsia="pl-PL"/>
        </w:rPr>
        <w:drawing>
          <wp:anchor distT="0" distB="0" distL="114300" distR="114300" simplePos="0" relativeHeight="251652608" behindDoc="1" locked="0" layoutInCell="1" allowOverlap="1" wp14:anchorId="56B8C723" wp14:editId="09BC6A4D">
            <wp:simplePos x="0" y="0"/>
            <wp:positionH relativeFrom="column">
              <wp:posOffset>1767205</wp:posOffset>
            </wp:positionH>
            <wp:positionV relativeFrom="paragraph">
              <wp:posOffset>171450</wp:posOffset>
            </wp:positionV>
            <wp:extent cx="2146935" cy="523875"/>
            <wp:effectExtent l="0" t="0" r="5715" b="9525"/>
            <wp:wrapTight wrapText="bothSides">
              <wp:wrapPolygon edited="0">
                <wp:start x="1342" y="0"/>
                <wp:lineTo x="0" y="1571"/>
                <wp:lineTo x="0" y="19636"/>
                <wp:lineTo x="2683" y="21207"/>
                <wp:lineTo x="14566" y="21207"/>
                <wp:lineTo x="15716" y="21207"/>
                <wp:lineTo x="21466" y="13353"/>
                <wp:lineTo x="21466" y="1571"/>
                <wp:lineTo x="12841" y="0"/>
                <wp:lineTo x="1342" y="0"/>
              </wp:wrapPolygon>
            </wp:wrapTight>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6935" cy="523875"/>
                    </a:xfrm>
                    <a:prstGeom prst="rect">
                      <a:avLst/>
                    </a:prstGeom>
                    <a:noFill/>
                  </pic:spPr>
                </pic:pic>
              </a:graphicData>
            </a:graphic>
            <wp14:sizeRelH relativeFrom="page">
              <wp14:pctWidth>0</wp14:pctWidth>
            </wp14:sizeRelH>
            <wp14:sizeRelV relativeFrom="page">
              <wp14:pctHeight>0</wp14:pctHeight>
            </wp14:sizeRelV>
          </wp:anchor>
        </w:drawing>
      </w:r>
      <w:r w:rsidRPr="0086238D">
        <w:rPr>
          <w:rFonts w:ascii="Calibri" w:hAnsi="Calibri" w:cs="Arial"/>
          <w:noProof/>
          <w:lang w:val="pl-PL" w:eastAsia="pl-PL"/>
        </w:rPr>
        <w:drawing>
          <wp:anchor distT="0" distB="0" distL="114300" distR="114300" simplePos="0" relativeHeight="251673088" behindDoc="1" locked="0" layoutInCell="1" allowOverlap="1" wp14:anchorId="1C46C49F" wp14:editId="61F1C786">
            <wp:simplePos x="0" y="0"/>
            <wp:positionH relativeFrom="column">
              <wp:posOffset>-52070</wp:posOffset>
            </wp:positionH>
            <wp:positionV relativeFrom="paragraph">
              <wp:posOffset>-4445</wp:posOffset>
            </wp:positionV>
            <wp:extent cx="628650" cy="702310"/>
            <wp:effectExtent l="0" t="0" r="0" b="2540"/>
            <wp:wrapTight wrapText="bothSides">
              <wp:wrapPolygon edited="0">
                <wp:start x="3927" y="0"/>
                <wp:lineTo x="0" y="2344"/>
                <wp:lineTo x="0" y="21092"/>
                <wp:lineTo x="3927" y="21092"/>
                <wp:lineTo x="13745" y="21092"/>
                <wp:lineTo x="18327" y="20506"/>
                <wp:lineTo x="17673" y="18749"/>
                <wp:lineTo x="20945" y="12890"/>
                <wp:lineTo x="20945" y="10546"/>
                <wp:lineTo x="10473" y="9374"/>
                <wp:lineTo x="20945" y="5859"/>
                <wp:lineTo x="20945" y="4687"/>
                <wp:lineTo x="10473" y="0"/>
                <wp:lineTo x="3927" y="0"/>
              </wp:wrapPolygon>
            </wp:wrapTight>
            <wp:docPr id="1" name="Obraz 1" descr="\\192.168.0.99\norweski\NOW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192.168.0.99\norweski\NOWE_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5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0E783F">
        <w:rPr>
          <w:b/>
          <w:sz w:val="28"/>
          <w:szCs w:val="28"/>
          <w:lang w:val="pl-PL"/>
        </w:rPr>
        <w:tab/>
      </w:r>
      <w:r w:rsidR="000E783F">
        <w:rPr>
          <w:b/>
          <w:sz w:val="28"/>
          <w:szCs w:val="28"/>
          <w:lang w:val="pl-PL"/>
        </w:rPr>
        <w:tab/>
      </w:r>
      <w:r w:rsidR="000E783F">
        <w:rPr>
          <w:b/>
          <w:sz w:val="28"/>
          <w:szCs w:val="28"/>
          <w:lang w:val="pl-PL"/>
        </w:rPr>
        <w:tab/>
      </w:r>
      <w:r w:rsidR="000E783F">
        <w:rPr>
          <w:b/>
          <w:sz w:val="28"/>
          <w:szCs w:val="28"/>
          <w:lang w:val="pl-PL"/>
        </w:rPr>
        <w:tab/>
      </w:r>
    </w:p>
    <w:p w14:paraId="68D7594A" w14:textId="77777777" w:rsidR="000A1B5E" w:rsidRDefault="000A1B5E" w:rsidP="008A1AAE">
      <w:pPr>
        <w:jc w:val="center"/>
        <w:rPr>
          <w:b/>
          <w:sz w:val="28"/>
          <w:szCs w:val="28"/>
          <w:lang w:val="pl-PL"/>
        </w:rPr>
      </w:pPr>
    </w:p>
    <w:p w14:paraId="28894B6B" w14:textId="77777777" w:rsidR="000A1B5E" w:rsidRDefault="000A1B5E" w:rsidP="008A1AAE">
      <w:pPr>
        <w:jc w:val="center"/>
        <w:rPr>
          <w:b/>
          <w:sz w:val="28"/>
          <w:szCs w:val="28"/>
          <w:lang w:val="pl-PL"/>
        </w:rPr>
      </w:pPr>
    </w:p>
    <w:p w14:paraId="361F120D" w14:textId="77777777" w:rsidR="000A1B5E" w:rsidRDefault="000A1B5E" w:rsidP="008A1AAE">
      <w:pPr>
        <w:jc w:val="center"/>
        <w:rPr>
          <w:b/>
          <w:sz w:val="28"/>
          <w:szCs w:val="28"/>
          <w:lang w:val="pl-PL"/>
        </w:rPr>
      </w:pPr>
    </w:p>
    <w:p w14:paraId="61044FD1" w14:textId="77777777" w:rsidR="008A1AAE" w:rsidRPr="009874F2" w:rsidRDefault="008A1AAE" w:rsidP="008A1AAE">
      <w:pPr>
        <w:jc w:val="center"/>
        <w:rPr>
          <w:b/>
          <w:sz w:val="28"/>
          <w:szCs w:val="28"/>
          <w:lang w:val="pl-PL"/>
        </w:rPr>
      </w:pPr>
      <w:r w:rsidRPr="009874F2">
        <w:rPr>
          <w:b/>
          <w:sz w:val="28"/>
          <w:szCs w:val="28"/>
          <w:lang w:val="pl-PL"/>
        </w:rPr>
        <w:t xml:space="preserve">REGULAMIN </w:t>
      </w:r>
    </w:p>
    <w:p w14:paraId="7D76EF9F" w14:textId="77777777" w:rsidR="008A1AAE" w:rsidRPr="009874F2" w:rsidRDefault="008A1AAE" w:rsidP="008A1AAE">
      <w:pPr>
        <w:jc w:val="center"/>
        <w:rPr>
          <w:b/>
          <w:sz w:val="28"/>
          <w:szCs w:val="28"/>
          <w:lang w:val="pl-PL"/>
        </w:rPr>
      </w:pPr>
      <w:r w:rsidRPr="009874F2">
        <w:rPr>
          <w:b/>
          <w:sz w:val="28"/>
          <w:szCs w:val="28"/>
          <w:lang w:val="pl-PL"/>
        </w:rPr>
        <w:t>NABORU I WYBORU PROJEKTÓW</w:t>
      </w:r>
    </w:p>
    <w:p w14:paraId="56D399C7" w14:textId="77777777" w:rsidR="008A1AAE" w:rsidRPr="009874F2" w:rsidRDefault="008A1AAE" w:rsidP="008A1AAE">
      <w:pPr>
        <w:jc w:val="center"/>
        <w:rPr>
          <w:b/>
          <w:sz w:val="28"/>
          <w:szCs w:val="28"/>
          <w:lang w:val="pl-PL"/>
        </w:rPr>
      </w:pPr>
    </w:p>
    <w:p w14:paraId="0EBF3A3E" w14:textId="77777777" w:rsidR="008A1AAE" w:rsidRPr="009874F2" w:rsidRDefault="008A1AAE" w:rsidP="008A1AAE">
      <w:pPr>
        <w:jc w:val="center"/>
        <w:rPr>
          <w:b/>
          <w:sz w:val="28"/>
          <w:szCs w:val="28"/>
          <w:lang w:val="pl-PL"/>
        </w:rPr>
      </w:pPr>
      <w:r w:rsidRPr="009874F2">
        <w:rPr>
          <w:b/>
          <w:sz w:val="28"/>
          <w:szCs w:val="28"/>
          <w:lang w:val="pl-PL"/>
        </w:rPr>
        <w:t>W RAMACH PROGRAMU</w:t>
      </w:r>
    </w:p>
    <w:p w14:paraId="592A12EC" w14:textId="77777777" w:rsidR="008A1AAE" w:rsidRPr="009874F2" w:rsidRDefault="00B55F36" w:rsidP="008A1AAE">
      <w:pPr>
        <w:jc w:val="center"/>
        <w:rPr>
          <w:b/>
          <w:sz w:val="28"/>
          <w:szCs w:val="28"/>
          <w:lang w:val="pl-PL"/>
        </w:rPr>
      </w:pPr>
      <w:r>
        <w:rPr>
          <w:b/>
          <w:sz w:val="28"/>
          <w:szCs w:val="28"/>
          <w:lang w:val="pl-PL"/>
        </w:rPr>
        <w:t>„</w:t>
      </w:r>
      <w:r w:rsidR="008A1AAE" w:rsidRPr="009874F2">
        <w:rPr>
          <w:b/>
          <w:sz w:val="28"/>
          <w:szCs w:val="28"/>
          <w:lang w:val="pl-PL"/>
        </w:rPr>
        <w:t>SPRAWY WEWNĘTRZNE</w:t>
      </w:r>
      <w:r>
        <w:rPr>
          <w:b/>
          <w:sz w:val="28"/>
          <w:szCs w:val="28"/>
          <w:lang w:val="pl-PL"/>
        </w:rPr>
        <w:t>”</w:t>
      </w:r>
    </w:p>
    <w:p w14:paraId="3E24BCA1" w14:textId="77777777" w:rsidR="00503424" w:rsidRPr="00503424" w:rsidRDefault="008A1AAE" w:rsidP="00503424">
      <w:pPr>
        <w:jc w:val="center"/>
        <w:rPr>
          <w:b/>
          <w:sz w:val="28"/>
          <w:szCs w:val="28"/>
          <w:lang w:val="pl-PL"/>
        </w:rPr>
      </w:pPr>
      <w:r w:rsidRPr="009874F2">
        <w:rPr>
          <w:b/>
          <w:sz w:val="28"/>
          <w:szCs w:val="28"/>
          <w:lang w:val="pl-PL"/>
        </w:rPr>
        <w:t xml:space="preserve">Obszar Tematyczny Nr </w:t>
      </w:r>
      <w:r w:rsidR="006B7F11">
        <w:rPr>
          <w:b/>
          <w:sz w:val="28"/>
          <w:szCs w:val="28"/>
          <w:lang w:val="pl-PL"/>
        </w:rPr>
        <w:t>18</w:t>
      </w:r>
      <w:r w:rsidRPr="009874F2">
        <w:rPr>
          <w:b/>
          <w:sz w:val="28"/>
          <w:szCs w:val="28"/>
          <w:lang w:val="pl-PL"/>
        </w:rPr>
        <w:t xml:space="preserve">: </w:t>
      </w:r>
      <w:r w:rsidR="006B7F11">
        <w:rPr>
          <w:b/>
          <w:i/>
          <w:sz w:val="28"/>
          <w:szCs w:val="28"/>
          <w:lang w:val="pl-PL"/>
        </w:rPr>
        <w:t>Azyl i migracja</w:t>
      </w:r>
    </w:p>
    <w:p w14:paraId="22653E9D" w14:textId="77777777" w:rsidR="00503424" w:rsidRDefault="00503424" w:rsidP="008A1AAE">
      <w:pPr>
        <w:jc w:val="center"/>
        <w:rPr>
          <w:b/>
          <w:sz w:val="28"/>
          <w:szCs w:val="28"/>
          <w:lang w:val="pl-PL"/>
        </w:rPr>
      </w:pPr>
    </w:p>
    <w:p w14:paraId="211FC383" w14:textId="77777777" w:rsidR="008A1AAE" w:rsidRPr="009874F2" w:rsidRDefault="008A1AAE" w:rsidP="008A1AAE">
      <w:pPr>
        <w:jc w:val="center"/>
        <w:rPr>
          <w:b/>
          <w:sz w:val="28"/>
          <w:szCs w:val="28"/>
          <w:lang w:val="pl-PL"/>
        </w:rPr>
      </w:pPr>
      <w:r w:rsidRPr="009874F2">
        <w:rPr>
          <w:b/>
          <w:sz w:val="28"/>
          <w:szCs w:val="28"/>
          <w:lang w:val="pl-PL"/>
        </w:rPr>
        <w:t>WSPÓŁFINANSOWANEGO ZE ŚRODKÓW</w:t>
      </w:r>
    </w:p>
    <w:p w14:paraId="5A9C2E16" w14:textId="77777777" w:rsidR="008A1AAE" w:rsidRPr="009874F2" w:rsidRDefault="008A1AAE" w:rsidP="008A1AAE">
      <w:pPr>
        <w:jc w:val="center"/>
        <w:rPr>
          <w:b/>
          <w:sz w:val="28"/>
          <w:szCs w:val="28"/>
          <w:lang w:val="pl-PL"/>
        </w:rPr>
      </w:pPr>
      <w:r w:rsidRPr="009874F2">
        <w:rPr>
          <w:b/>
          <w:sz w:val="28"/>
          <w:szCs w:val="28"/>
          <w:lang w:val="pl-PL"/>
        </w:rPr>
        <w:t>NORWESKIEGO MECHANIZMU FINANSOWEGO NA LATA 2014-2021</w:t>
      </w:r>
    </w:p>
    <w:p w14:paraId="34A0F65B" w14:textId="77777777" w:rsidR="008A1AAE" w:rsidRPr="009874F2" w:rsidRDefault="008A1AAE">
      <w:pPr>
        <w:rPr>
          <w:sz w:val="28"/>
          <w:szCs w:val="28"/>
          <w:lang w:val="pl-PL"/>
        </w:rPr>
      </w:pPr>
      <w:r w:rsidRPr="009874F2">
        <w:rPr>
          <w:sz w:val="28"/>
          <w:szCs w:val="28"/>
          <w:lang w:val="pl-PL"/>
        </w:rPr>
        <w:br w:type="page"/>
      </w:r>
    </w:p>
    <w:p w14:paraId="1E17DE46" w14:textId="77777777" w:rsidR="008A1AAE" w:rsidRPr="00D60CFE" w:rsidRDefault="008A1AAE" w:rsidP="008A1AAE">
      <w:pPr>
        <w:jc w:val="both"/>
        <w:rPr>
          <w:b/>
          <w:lang w:val="pl-PL"/>
        </w:rPr>
      </w:pPr>
      <w:r w:rsidRPr="00D60CFE">
        <w:rPr>
          <w:b/>
          <w:lang w:val="pl-PL"/>
        </w:rPr>
        <w:lastRenderedPageBreak/>
        <w:t>Spis treści</w:t>
      </w:r>
    </w:p>
    <w:p w14:paraId="14B6D569" w14:textId="77777777" w:rsidR="00C2526E" w:rsidRDefault="009B0E6F" w:rsidP="008A1AAE">
      <w:pPr>
        <w:jc w:val="both"/>
        <w:rPr>
          <w:lang w:val="pl-PL"/>
        </w:rPr>
      </w:pPr>
      <w:r>
        <w:rPr>
          <w:lang w:val="pl-PL"/>
        </w:rPr>
        <w:t xml:space="preserve">I. </w:t>
      </w:r>
      <w:r w:rsidR="00D60CFE" w:rsidRPr="00D60CFE">
        <w:rPr>
          <w:lang w:val="pl-PL"/>
        </w:rPr>
        <w:t>WSTĘP</w:t>
      </w:r>
      <w:r>
        <w:rPr>
          <w:lang w:val="pl-PL"/>
        </w:rPr>
        <w:t xml:space="preserve"> I OPIS PROGRAMU</w:t>
      </w:r>
    </w:p>
    <w:p w14:paraId="4525D68A" w14:textId="77777777" w:rsidR="00D25356" w:rsidRPr="00D25356" w:rsidRDefault="009B0E6F" w:rsidP="00D25356">
      <w:pPr>
        <w:jc w:val="both"/>
        <w:rPr>
          <w:lang w:val="pl-PL"/>
        </w:rPr>
      </w:pPr>
      <w:r w:rsidRPr="00D25356">
        <w:rPr>
          <w:lang w:val="pl-PL"/>
        </w:rPr>
        <w:tab/>
        <w:t xml:space="preserve">I.1 </w:t>
      </w:r>
      <w:r w:rsidR="00D25356" w:rsidRPr="00D25356">
        <w:rPr>
          <w:lang w:val="pl-PL"/>
        </w:rPr>
        <w:t>Informacje ogólne</w:t>
      </w:r>
      <w:r w:rsidR="006A7B08">
        <w:rPr>
          <w:lang w:val="pl-PL"/>
        </w:rPr>
        <w:t xml:space="preserve"> o </w:t>
      </w:r>
      <w:r w:rsidR="00D25356" w:rsidRPr="00D25356">
        <w:rPr>
          <w:lang w:val="pl-PL"/>
        </w:rPr>
        <w:t xml:space="preserve">programie </w:t>
      </w:r>
      <w:r w:rsidR="00D25356">
        <w:rPr>
          <w:lang w:val="pl-PL"/>
        </w:rPr>
        <w:t>„</w:t>
      </w:r>
      <w:r w:rsidR="00D25356" w:rsidRPr="00D25356">
        <w:rPr>
          <w:lang w:val="pl-PL"/>
        </w:rPr>
        <w:t>Sprawy wewnętrzne</w:t>
      </w:r>
      <w:r w:rsidR="00D25356">
        <w:rPr>
          <w:lang w:val="pl-PL"/>
        </w:rPr>
        <w:t>”</w:t>
      </w:r>
    </w:p>
    <w:p w14:paraId="57A44B37" w14:textId="77777777" w:rsidR="00D25356" w:rsidRDefault="009B0E6F" w:rsidP="00D25356">
      <w:pPr>
        <w:ind w:firstLine="720"/>
        <w:jc w:val="both"/>
        <w:rPr>
          <w:lang w:val="pl-PL"/>
        </w:rPr>
      </w:pPr>
      <w:r>
        <w:rPr>
          <w:lang w:val="pl-PL"/>
        </w:rPr>
        <w:t xml:space="preserve">I.2 </w:t>
      </w:r>
      <w:r w:rsidR="00D25356">
        <w:rPr>
          <w:lang w:val="pl-PL"/>
        </w:rPr>
        <w:t>Działania</w:t>
      </w:r>
    </w:p>
    <w:p w14:paraId="54E66A13" w14:textId="77777777" w:rsidR="009B0E6F" w:rsidRPr="00D60CFE" w:rsidRDefault="00D25356" w:rsidP="00D25356">
      <w:pPr>
        <w:ind w:firstLine="720"/>
        <w:jc w:val="both"/>
        <w:rPr>
          <w:lang w:val="pl-PL"/>
        </w:rPr>
      </w:pPr>
      <w:r>
        <w:rPr>
          <w:lang w:val="pl-PL"/>
        </w:rPr>
        <w:t xml:space="preserve">I.3 </w:t>
      </w:r>
      <w:r w:rsidR="009B0E6F">
        <w:rPr>
          <w:lang w:val="pl-PL"/>
        </w:rPr>
        <w:t>Cele programu, rezultaty</w:t>
      </w:r>
      <w:r w:rsidR="006A7B08">
        <w:rPr>
          <w:lang w:val="pl-PL"/>
        </w:rPr>
        <w:t xml:space="preserve"> i </w:t>
      </w:r>
      <w:r w:rsidR="009B0E6F">
        <w:rPr>
          <w:lang w:val="pl-PL"/>
        </w:rPr>
        <w:t>wskaźniki</w:t>
      </w:r>
    </w:p>
    <w:p w14:paraId="268046BA" w14:textId="77777777" w:rsidR="00D60CFE" w:rsidRPr="00D60CFE" w:rsidRDefault="00D60CFE" w:rsidP="008A1AAE">
      <w:pPr>
        <w:jc w:val="both"/>
        <w:rPr>
          <w:rFonts w:cs="Arial"/>
          <w:lang w:val="pl-PL"/>
        </w:rPr>
      </w:pPr>
      <w:r w:rsidRPr="00D60CFE">
        <w:rPr>
          <w:lang w:val="pl-PL"/>
        </w:rPr>
        <w:t>I</w:t>
      </w:r>
      <w:r w:rsidR="009B0E6F">
        <w:rPr>
          <w:lang w:val="pl-PL"/>
        </w:rPr>
        <w:t>I</w:t>
      </w:r>
      <w:r w:rsidRPr="00D60CFE">
        <w:rPr>
          <w:lang w:val="pl-PL"/>
        </w:rPr>
        <w:t xml:space="preserve">. </w:t>
      </w:r>
      <w:r w:rsidRPr="00D60CFE">
        <w:rPr>
          <w:rFonts w:cs="Arial"/>
          <w:lang w:val="pl-PL"/>
        </w:rPr>
        <w:t>PRZYGOTOWANIE I ZŁOŻENIE WNIOSKU APLIKACYJNEGO</w:t>
      </w:r>
    </w:p>
    <w:p w14:paraId="22260FA9" w14:textId="77777777" w:rsidR="00D60CFE" w:rsidRPr="00D60CFE" w:rsidRDefault="009B0E6F" w:rsidP="00D60CFE">
      <w:pPr>
        <w:spacing w:after="120" w:line="240" w:lineRule="auto"/>
        <w:jc w:val="both"/>
        <w:rPr>
          <w:lang w:val="pl-PL"/>
        </w:rPr>
      </w:pPr>
      <w:r>
        <w:rPr>
          <w:rFonts w:cs="Arial"/>
          <w:lang w:val="pl-PL"/>
        </w:rPr>
        <w:t>I</w:t>
      </w:r>
      <w:r w:rsidR="00D60CFE" w:rsidRPr="00D60CFE">
        <w:rPr>
          <w:rFonts w:cs="Arial"/>
          <w:lang w:val="pl-PL"/>
        </w:rPr>
        <w:t xml:space="preserve">II. </w:t>
      </w:r>
      <w:r w:rsidR="00D60CFE" w:rsidRPr="00D60CFE">
        <w:rPr>
          <w:lang w:val="pl-PL"/>
        </w:rPr>
        <w:t>OCENA WNIOSKÓW</w:t>
      </w:r>
    </w:p>
    <w:p w14:paraId="293381D0" w14:textId="77777777" w:rsidR="00D60CFE" w:rsidRPr="00D60CFE" w:rsidRDefault="009B0E6F" w:rsidP="00D60CFE">
      <w:pPr>
        <w:ind w:firstLine="720"/>
        <w:jc w:val="both"/>
        <w:rPr>
          <w:lang w:val="pl-PL"/>
        </w:rPr>
      </w:pPr>
      <w:r>
        <w:rPr>
          <w:lang w:val="pl-PL"/>
        </w:rPr>
        <w:t>I</w:t>
      </w:r>
      <w:r w:rsidR="00D60CFE" w:rsidRPr="00D60CFE">
        <w:rPr>
          <w:lang w:val="pl-PL"/>
        </w:rPr>
        <w:t>II.1 Ocena formalna</w:t>
      </w:r>
    </w:p>
    <w:p w14:paraId="3807E3FA" w14:textId="77777777" w:rsidR="00D60CFE" w:rsidRPr="002B59F8" w:rsidRDefault="00D60CFE" w:rsidP="00D60CFE">
      <w:pPr>
        <w:ind w:firstLine="720"/>
        <w:jc w:val="both"/>
        <w:rPr>
          <w:lang w:val="pl-PL"/>
        </w:rPr>
      </w:pPr>
      <w:r w:rsidRPr="00D60CFE">
        <w:rPr>
          <w:lang w:val="pl-PL"/>
        </w:rPr>
        <w:t>I</w:t>
      </w:r>
      <w:r w:rsidR="009B0E6F">
        <w:rPr>
          <w:lang w:val="pl-PL"/>
        </w:rPr>
        <w:t>I</w:t>
      </w:r>
      <w:r w:rsidRPr="00D60CFE">
        <w:rPr>
          <w:lang w:val="pl-PL"/>
        </w:rPr>
        <w:t>I.2 Procedura odwoławcza</w:t>
      </w:r>
      <w:r w:rsidR="002B59F8">
        <w:rPr>
          <w:lang w:val="pl-PL"/>
        </w:rPr>
        <w:t xml:space="preserve"> </w:t>
      </w:r>
      <w:r w:rsidR="002B59F8" w:rsidRPr="002B59F8">
        <w:rPr>
          <w:lang w:val="pl-PL"/>
        </w:rPr>
        <w:t>dotycząca oceny formalnej</w:t>
      </w:r>
    </w:p>
    <w:p w14:paraId="21C1B860" w14:textId="77777777" w:rsidR="00D60CFE" w:rsidRPr="00D60CFE" w:rsidRDefault="00D60CFE" w:rsidP="00D60CFE">
      <w:pPr>
        <w:ind w:firstLine="720"/>
        <w:jc w:val="both"/>
        <w:rPr>
          <w:lang w:val="pl-PL"/>
        </w:rPr>
      </w:pPr>
      <w:r w:rsidRPr="00D60CFE">
        <w:rPr>
          <w:lang w:val="pl-PL"/>
        </w:rPr>
        <w:t>II</w:t>
      </w:r>
      <w:r w:rsidR="009B0E6F">
        <w:rPr>
          <w:lang w:val="pl-PL"/>
        </w:rPr>
        <w:t>I</w:t>
      </w:r>
      <w:r w:rsidRPr="00D60CFE">
        <w:rPr>
          <w:lang w:val="pl-PL"/>
        </w:rPr>
        <w:t>.3 Ocena merytoryczna</w:t>
      </w:r>
    </w:p>
    <w:p w14:paraId="1FCB0A73" w14:textId="77777777" w:rsidR="00D60CFE" w:rsidRPr="00D60CFE" w:rsidRDefault="00D60CFE" w:rsidP="00D60CFE">
      <w:pPr>
        <w:jc w:val="both"/>
        <w:rPr>
          <w:lang w:val="pl-PL"/>
        </w:rPr>
      </w:pPr>
      <w:r w:rsidRPr="00D60CFE">
        <w:rPr>
          <w:lang w:val="pl-PL"/>
        </w:rPr>
        <w:t>I</w:t>
      </w:r>
      <w:r w:rsidR="009B0E6F">
        <w:rPr>
          <w:lang w:val="pl-PL"/>
        </w:rPr>
        <w:t>V</w:t>
      </w:r>
      <w:r w:rsidRPr="00D60CFE">
        <w:rPr>
          <w:lang w:val="pl-PL"/>
        </w:rPr>
        <w:t>. ZATWIERDZENIE WNIOSKÓW DO DOFINANSOWANIA</w:t>
      </w:r>
    </w:p>
    <w:p w14:paraId="4B5CB3DF" w14:textId="77777777" w:rsidR="00D60CFE" w:rsidRPr="00D60CFE" w:rsidRDefault="002B59F8" w:rsidP="00D60CFE">
      <w:pPr>
        <w:jc w:val="both"/>
        <w:rPr>
          <w:lang w:val="pl-PL"/>
        </w:rPr>
      </w:pPr>
      <w:r>
        <w:rPr>
          <w:lang w:val="pl-PL"/>
        </w:rPr>
        <w:t>V. PODPISANIE UMÓW/POROZUMIEŃ</w:t>
      </w:r>
    </w:p>
    <w:p w14:paraId="3E6D4089" w14:textId="77777777" w:rsidR="00D60CFE" w:rsidRPr="00D60CFE" w:rsidRDefault="00D60CFE" w:rsidP="00D60CFE">
      <w:pPr>
        <w:spacing w:after="120" w:line="240" w:lineRule="auto"/>
        <w:jc w:val="both"/>
        <w:rPr>
          <w:lang w:val="pl-PL"/>
        </w:rPr>
      </w:pPr>
    </w:p>
    <w:p w14:paraId="0051AF66" w14:textId="77777777" w:rsidR="00D60CFE" w:rsidRPr="00D60CFE" w:rsidRDefault="00D60CFE" w:rsidP="008A1AAE">
      <w:pPr>
        <w:jc w:val="both"/>
        <w:rPr>
          <w:lang w:val="pl-PL"/>
        </w:rPr>
      </w:pPr>
    </w:p>
    <w:p w14:paraId="58C2978C" w14:textId="77777777" w:rsidR="00C2526E" w:rsidRPr="00364E32" w:rsidRDefault="00C2526E" w:rsidP="008A1AAE">
      <w:pPr>
        <w:jc w:val="both"/>
        <w:rPr>
          <w:lang w:val="pl-PL"/>
        </w:rPr>
      </w:pPr>
    </w:p>
    <w:p w14:paraId="3C3CB83E" w14:textId="77777777" w:rsidR="00C2526E" w:rsidRPr="0000586E" w:rsidRDefault="00C2526E" w:rsidP="008A1AAE">
      <w:pPr>
        <w:jc w:val="both"/>
        <w:rPr>
          <w:b/>
          <w:lang w:val="pl-PL"/>
        </w:rPr>
      </w:pPr>
      <w:r w:rsidRPr="0000586E">
        <w:rPr>
          <w:b/>
          <w:lang w:val="pl-PL"/>
        </w:rPr>
        <w:t>Słowniczek</w:t>
      </w:r>
    </w:p>
    <w:p w14:paraId="0074F759" w14:textId="77777777" w:rsidR="00C2526E" w:rsidRPr="00364E32" w:rsidRDefault="00C2526E" w:rsidP="008A1AAE">
      <w:pPr>
        <w:jc w:val="both"/>
        <w:rPr>
          <w:lang w:val="pl-PL"/>
        </w:rPr>
      </w:pPr>
      <w:r w:rsidRPr="00364E32">
        <w:rPr>
          <w:lang w:val="pl-PL"/>
        </w:rPr>
        <w:t xml:space="preserve">Operator Programu (OP) – Ministerstwo </w:t>
      </w:r>
      <w:r w:rsidR="00BF1CBF">
        <w:rPr>
          <w:lang w:val="pl-PL"/>
        </w:rPr>
        <w:t>S</w:t>
      </w:r>
      <w:r w:rsidRPr="00364E32">
        <w:rPr>
          <w:lang w:val="pl-PL"/>
        </w:rPr>
        <w:t>praw Wewnętrznych</w:t>
      </w:r>
      <w:r w:rsidR="006A7B08">
        <w:rPr>
          <w:lang w:val="pl-PL"/>
        </w:rPr>
        <w:t xml:space="preserve"> i </w:t>
      </w:r>
      <w:r w:rsidRPr="00364E32">
        <w:rPr>
          <w:lang w:val="pl-PL"/>
        </w:rPr>
        <w:t>Administracji, Departament Funduszy Europejskich</w:t>
      </w:r>
      <w:r w:rsidR="0000586E">
        <w:rPr>
          <w:lang w:val="pl-PL"/>
        </w:rPr>
        <w:t xml:space="preserve"> (DFE MSWiA)</w:t>
      </w:r>
      <w:r w:rsidR="005E51B7">
        <w:rPr>
          <w:lang w:val="pl-PL"/>
        </w:rPr>
        <w:t>,</w:t>
      </w:r>
    </w:p>
    <w:p w14:paraId="2241B620" w14:textId="77777777" w:rsidR="00C2526E" w:rsidRPr="00364E32" w:rsidRDefault="00224087" w:rsidP="008A1AAE">
      <w:pPr>
        <w:jc w:val="both"/>
        <w:rPr>
          <w:lang w:val="pl-PL"/>
        </w:rPr>
      </w:pPr>
      <w:r>
        <w:rPr>
          <w:lang w:val="pl-PL"/>
        </w:rPr>
        <w:t>COPE MSWiA</w:t>
      </w:r>
      <w:r w:rsidR="007C7075">
        <w:rPr>
          <w:lang w:val="pl-PL"/>
        </w:rPr>
        <w:t xml:space="preserve"> </w:t>
      </w:r>
      <w:r w:rsidR="00C2526E" w:rsidRPr="00364E32">
        <w:rPr>
          <w:lang w:val="pl-PL"/>
        </w:rPr>
        <w:t>– Centrum Obsługi Projektów Europejskich Ministerstwa Spraw Wewnętrznych</w:t>
      </w:r>
      <w:r w:rsidR="006A7B08">
        <w:rPr>
          <w:lang w:val="pl-PL"/>
        </w:rPr>
        <w:t xml:space="preserve"> i </w:t>
      </w:r>
      <w:r w:rsidR="00C2526E" w:rsidRPr="00364E32">
        <w:rPr>
          <w:lang w:val="pl-PL"/>
        </w:rPr>
        <w:t>Administracji</w:t>
      </w:r>
      <w:r w:rsidR="005E51B7">
        <w:rPr>
          <w:lang w:val="pl-PL"/>
        </w:rPr>
        <w:t>,</w:t>
      </w:r>
    </w:p>
    <w:p w14:paraId="4DF4A438" w14:textId="255ED9CF" w:rsidR="00C2526E" w:rsidRDefault="00C2526E" w:rsidP="008A1AAE">
      <w:pPr>
        <w:jc w:val="both"/>
        <w:rPr>
          <w:lang w:val="pl-PL"/>
        </w:rPr>
      </w:pPr>
      <w:r w:rsidRPr="00364E32">
        <w:rPr>
          <w:lang w:val="pl-PL"/>
        </w:rPr>
        <w:t xml:space="preserve">Krajowy Punkt Kontaktowy (KPK) – Ministerstwo </w:t>
      </w:r>
      <w:r w:rsidR="00632393">
        <w:rPr>
          <w:lang w:val="pl-PL"/>
        </w:rPr>
        <w:t>Funduszy i Polityki Regionalnej (dawniej: Ministerstwo Inwestycji i Rozwoju, MIiR)</w:t>
      </w:r>
      <w:r w:rsidRPr="00364E32">
        <w:rPr>
          <w:lang w:val="pl-PL"/>
        </w:rPr>
        <w:t>, Departament Programów Pomocowych</w:t>
      </w:r>
      <w:r w:rsidR="005E51B7">
        <w:rPr>
          <w:lang w:val="pl-PL"/>
        </w:rPr>
        <w:t>,</w:t>
      </w:r>
    </w:p>
    <w:p w14:paraId="3D4CDF55" w14:textId="77777777" w:rsidR="0000586E" w:rsidRDefault="006F116E" w:rsidP="0000586E">
      <w:pPr>
        <w:jc w:val="both"/>
        <w:rPr>
          <w:lang w:val="pl-PL"/>
        </w:rPr>
      </w:pPr>
      <w:r>
        <w:rPr>
          <w:lang w:val="pl-PL"/>
        </w:rPr>
        <w:t xml:space="preserve">Partnerzy </w:t>
      </w:r>
      <w:r w:rsidR="0010322F">
        <w:rPr>
          <w:lang w:val="pl-PL"/>
        </w:rPr>
        <w:t>Programu</w:t>
      </w:r>
      <w:r w:rsidR="006A7B08">
        <w:rPr>
          <w:lang w:val="pl-PL"/>
        </w:rPr>
        <w:t xml:space="preserve"> z </w:t>
      </w:r>
      <w:r>
        <w:rPr>
          <w:lang w:val="pl-PL"/>
        </w:rPr>
        <w:t xml:space="preserve">Państwa Darczyńcy (Donor Programme Partners) </w:t>
      </w:r>
      <w:r w:rsidR="00E63832">
        <w:rPr>
          <w:lang w:val="pl-PL"/>
        </w:rPr>
        <w:t xml:space="preserve">– </w:t>
      </w:r>
      <w:r w:rsidR="0000586E">
        <w:rPr>
          <w:lang w:val="pl-PL"/>
        </w:rPr>
        <w:t xml:space="preserve">Norweskie </w:t>
      </w:r>
      <w:r w:rsidR="00E63832">
        <w:rPr>
          <w:lang w:val="pl-PL"/>
        </w:rPr>
        <w:t xml:space="preserve">Ministerstwo </w:t>
      </w:r>
      <w:r w:rsidR="0000586E">
        <w:rPr>
          <w:lang w:val="pl-PL"/>
        </w:rPr>
        <w:t>Sprawiedliwości</w:t>
      </w:r>
      <w:r w:rsidR="006A7B08">
        <w:rPr>
          <w:lang w:val="pl-PL"/>
        </w:rPr>
        <w:t xml:space="preserve"> i </w:t>
      </w:r>
      <w:r w:rsidR="0000586E">
        <w:rPr>
          <w:lang w:val="pl-PL"/>
        </w:rPr>
        <w:t>Porządku Publicznego oraz Norweski Dyrektoriat Obrony Cywilnej</w:t>
      </w:r>
      <w:r w:rsidR="005E51B7">
        <w:rPr>
          <w:lang w:val="pl-PL"/>
        </w:rPr>
        <w:t>,</w:t>
      </w:r>
    </w:p>
    <w:p w14:paraId="4920A016" w14:textId="77777777" w:rsidR="0000586E" w:rsidRDefault="0000586E" w:rsidP="0000586E">
      <w:pPr>
        <w:jc w:val="both"/>
        <w:rPr>
          <w:lang w:val="pl-PL"/>
        </w:rPr>
      </w:pPr>
      <w:r>
        <w:rPr>
          <w:lang w:val="pl-PL"/>
        </w:rPr>
        <w:t xml:space="preserve">Program </w:t>
      </w:r>
      <w:r w:rsidR="00B55F36">
        <w:rPr>
          <w:lang w:val="pl-PL"/>
        </w:rPr>
        <w:t>„</w:t>
      </w:r>
      <w:r>
        <w:rPr>
          <w:lang w:val="pl-PL"/>
        </w:rPr>
        <w:t>Sprawy wewnętrzne</w:t>
      </w:r>
      <w:r w:rsidR="00B55F36">
        <w:rPr>
          <w:lang w:val="pl-PL"/>
        </w:rPr>
        <w:t>”</w:t>
      </w:r>
      <w:r>
        <w:rPr>
          <w:lang w:val="pl-PL"/>
        </w:rPr>
        <w:t xml:space="preserve"> – Program współfinansowany ze środków Norweskiego Mechanizmu Finansowego na lata 2014-2021, którego Operatorem jest MSWiA przy wsparciu COPE MSWiA</w:t>
      </w:r>
      <w:r w:rsidR="005E51B7">
        <w:rPr>
          <w:lang w:val="pl-PL"/>
        </w:rPr>
        <w:t>,</w:t>
      </w:r>
    </w:p>
    <w:p w14:paraId="03AA4E87" w14:textId="77777777" w:rsidR="0000586E" w:rsidRDefault="0000586E" w:rsidP="008A1AAE">
      <w:pPr>
        <w:jc w:val="both"/>
        <w:rPr>
          <w:lang w:val="pl-PL"/>
        </w:rPr>
      </w:pPr>
      <w:r>
        <w:rPr>
          <w:lang w:val="pl-PL"/>
        </w:rPr>
        <w:t>Wnioskodawca – podmiot wnioskujący</w:t>
      </w:r>
      <w:r w:rsidR="006A7B08">
        <w:rPr>
          <w:lang w:val="pl-PL"/>
        </w:rPr>
        <w:t xml:space="preserve"> o </w:t>
      </w:r>
      <w:r>
        <w:rPr>
          <w:lang w:val="pl-PL"/>
        </w:rPr>
        <w:t>środki</w:t>
      </w:r>
      <w:r w:rsidR="006A7B08">
        <w:rPr>
          <w:lang w:val="pl-PL"/>
        </w:rPr>
        <w:t xml:space="preserve"> z </w:t>
      </w:r>
      <w:r>
        <w:rPr>
          <w:lang w:val="pl-PL"/>
        </w:rPr>
        <w:t>Programu</w:t>
      </w:r>
      <w:r w:rsidR="005E51B7">
        <w:rPr>
          <w:lang w:val="pl-PL"/>
        </w:rPr>
        <w:t>,</w:t>
      </w:r>
      <w:r>
        <w:rPr>
          <w:lang w:val="pl-PL"/>
        </w:rPr>
        <w:t xml:space="preserve"> </w:t>
      </w:r>
    </w:p>
    <w:p w14:paraId="37933F0D" w14:textId="77777777" w:rsidR="0000586E" w:rsidRDefault="0000586E" w:rsidP="008A1AAE">
      <w:pPr>
        <w:jc w:val="both"/>
        <w:rPr>
          <w:lang w:val="pl-PL"/>
        </w:rPr>
      </w:pPr>
      <w:r>
        <w:rPr>
          <w:lang w:val="pl-PL"/>
        </w:rPr>
        <w:t>Beneficjent – podmiot, który otrzymuje wsparcie (środki)</w:t>
      </w:r>
      <w:r w:rsidR="006A7B08">
        <w:rPr>
          <w:lang w:val="pl-PL"/>
        </w:rPr>
        <w:t xml:space="preserve"> z </w:t>
      </w:r>
      <w:r>
        <w:rPr>
          <w:lang w:val="pl-PL"/>
        </w:rPr>
        <w:t>Programu</w:t>
      </w:r>
      <w:r w:rsidR="005E51B7">
        <w:rPr>
          <w:lang w:val="pl-PL"/>
        </w:rPr>
        <w:t>,</w:t>
      </w:r>
    </w:p>
    <w:p w14:paraId="26E69D6E" w14:textId="77777777" w:rsidR="005F099E" w:rsidRPr="00364E32" w:rsidRDefault="005F099E" w:rsidP="008A1AAE">
      <w:pPr>
        <w:jc w:val="both"/>
        <w:rPr>
          <w:lang w:val="pl-PL"/>
        </w:rPr>
      </w:pPr>
      <w:r>
        <w:rPr>
          <w:lang w:val="pl-PL"/>
        </w:rPr>
        <w:t>Regulacje ws. wdrażania Norweskiego Mechanizmu Finansowego na lata 2014</w:t>
      </w:r>
      <w:r w:rsidR="00632393">
        <w:rPr>
          <w:lang w:val="pl-PL"/>
        </w:rPr>
        <w:t>-</w:t>
      </w:r>
      <w:r>
        <w:rPr>
          <w:lang w:val="pl-PL"/>
        </w:rPr>
        <w:t>2021 – dokument opracowany</w:t>
      </w:r>
      <w:r w:rsidR="006A7B08">
        <w:rPr>
          <w:lang w:val="pl-PL"/>
        </w:rPr>
        <w:t xml:space="preserve"> i</w:t>
      </w:r>
      <w:r w:rsidR="00632393">
        <w:rPr>
          <w:lang w:val="pl-PL"/>
        </w:rPr>
        <w:t xml:space="preserve"> </w:t>
      </w:r>
      <w:r>
        <w:rPr>
          <w:lang w:val="pl-PL"/>
        </w:rPr>
        <w:t>zatwierdzony przez Darczyńcę zawierający ogólne zasady wdrażania III edycji NMF</w:t>
      </w:r>
      <w:r w:rsidR="005E51B7">
        <w:rPr>
          <w:lang w:val="pl-PL"/>
        </w:rPr>
        <w:t>, zwany dalej „Regulacje NMF 2014-2021”.</w:t>
      </w:r>
    </w:p>
    <w:p w14:paraId="78325847" w14:textId="77777777" w:rsidR="008A1AAE" w:rsidRPr="00364E32" w:rsidRDefault="008A1AAE">
      <w:pPr>
        <w:rPr>
          <w:lang w:val="pl-PL"/>
        </w:rPr>
      </w:pPr>
      <w:r w:rsidRPr="00364E32">
        <w:rPr>
          <w:lang w:val="pl-PL"/>
        </w:rPr>
        <w:br w:type="page"/>
      </w:r>
    </w:p>
    <w:p w14:paraId="3E719B65" w14:textId="77777777" w:rsidR="008A1AAE" w:rsidRPr="00CA5AC8" w:rsidRDefault="002D7130" w:rsidP="00A76FBA">
      <w:pPr>
        <w:jc w:val="both"/>
        <w:rPr>
          <w:b/>
          <w:lang w:val="pl-PL"/>
        </w:rPr>
      </w:pPr>
      <w:r>
        <w:rPr>
          <w:b/>
          <w:lang w:val="pl-PL"/>
        </w:rPr>
        <w:lastRenderedPageBreak/>
        <w:t xml:space="preserve">I. </w:t>
      </w:r>
      <w:r w:rsidR="008A1AAE" w:rsidRPr="00CA5AC8">
        <w:rPr>
          <w:b/>
          <w:lang w:val="pl-PL"/>
        </w:rPr>
        <w:t>WSTĘP</w:t>
      </w:r>
      <w:r>
        <w:rPr>
          <w:b/>
          <w:lang w:val="pl-PL"/>
        </w:rPr>
        <w:t xml:space="preserve"> I OPIS PROGRAMU</w:t>
      </w:r>
    </w:p>
    <w:p w14:paraId="2763586B" w14:textId="77777777" w:rsidR="002C46D3" w:rsidRDefault="002C46D3" w:rsidP="002C46D3">
      <w:pPr>
        <w:jc w:val="both"/>
        <w:rPr>
          <w:rFonts w:cs="Arial"/>
          <w:lang w:val="pl-PL"/>
        </w:rPr>
      </w:pPr>
      <w:r w:rsidRPr="00364E32">
        <w:rPr>
          <w:rFonts w:cs="Arial"/>
          <w:lang w:val="pl-PL"/>
        </w:rPr>
        <w:t xml:space="preserve">Niniejszy </w:t>
      </w:r>
      <w:r w:rsidRPr="00364E32">
        <w:rPr>
          <w:rFonts w:cs="Arial"/>
          <w:i/>
          <w:lang w:val="pl-PL"/>
        </w:rPr>
        <w:t>Regulamin naboru</w:t>
      </w:r>
      <w:r w:rsidR="006A7B08">
        <w:rPr>
          <w:rFonts w:cs="Arial"/>
          <w:i/>
          <w:lang w:val="pl-PL"/>
        </w:rPr>
        <w:t xml:space="preserve"> i</w:t>
      </w:r>
      <w:r w:rsidR="00632393">
        <w:rPr>
          <w:rFonts w:cs="Arial"/>
          <w:i/>
          <w:lang w:val="pl-PL"/>
        </w:rPr>
        <w:t xml:space="preserve"> </w:t>
      </w:r>
      <w:r w:rsidRPr="00364E32">
        <w:rPr>
          <w:rFonts w:cs="Arial"/>
          <w:i/>
          <w:lang w:val="pl-PL"/>
        </w:rPr>
        <w:t>wyboru projektów</w:t>
      </w:r>
      <w:r w:rsidRPr="00364E32">
        <w:rPr>
          <w:rFonts w:cs="Arial"/>
          <w:lang w:val="pl-PL"/>
        </w:rPr>
        <w:t xml:space="preserve"> (dalej „Regulamin”) opisuje szczegółowe procedury związane</w:t>
      </w:r>
      <w:r w:rsidR="006A7B08">
        <w:rPr>
          <w:rFonts w:cs="Arial"/>
          <w:lang w:val="pl-PL"/>
        </w:rPr>
        <w:t xml:space="preserve"> z</w:t>
      </w:r>
      <w:r w:rsidR="00632393">
        <w:rPr>
          <w:rFonts w:cs="Arial"/>
          <w:lang w:val="pl-PL"/>
        </w:rPr>
        <w:t xml:space="preserve"> </w:t>
      </w:r>
      <w:r w:rsidRPr="00364E32">
        <w:rPr>
          <w:rFonts w:cs="Arial"/>
          <w:lang w:val="pl-PL"/>
        </w:rPr>
        <w:t>przygotowaniem wniosku aplikacyjnego, jego złożeniem do Operatora Programu/</w:t>
      </w:r>
      <w:r w:rsidR="00747A03">
        <w:rPr>
          <w:rFonts w:cs="Arial"/>
          <w:lang w:val="pl-PL"/>
        </w:rPr>
        <w:t>COPE MSWiA</w:t>
      </w:r>
      <w:r w:rsidRPr="00364E32">
        <w:rPr>
          <w:rFonts w:cs="Arial"/>
          <w:lang w:val="pl-PL"/>
        </w:rPr>
        <w:t xml:space="preserve">, oceny, zatwierdzenia oraz podpisania Umowy/Porozumienia </w:t>
      </w:r>
      <w:r w:rsidR="001E5BA5">
        <w:rPr>
          <w:rFonts w:cs="Arial"/>
          <w:lang w:val="pl-PL"/>
        </w:rPr>
        <w:t>ws. </w:t>
      </w:r>
      <w:r w:rsidRPr="00364E32">
        <w:rPr>
          <w:rFonts w:cs="Arial"/>
          <w:lang w:val="pl-PL"/>
        </w:rPr>
        <w:t>projektu. Celem Regulaminu jest przybliżenie</w:t>
      </w:r>
      <w:r w:rsidR="006A7B08">
        <w:rPr>
          <w:rFonts w:cs="Arial"/>
          <w:lang w:val="pl-PL"/>
        </w:rPr>
        <w:t xml:space="preserve"> i </w:t>
      </w:r>
      <w:r w:rsidRPr="00364E32">
        <w:rPr>
          <w:rFonts w:cs="Arial"/>
          <w:lang w:val="pl-PL"/>
        </w:rPr>
        <w:t>wyjaśnienie wnioskodawcy procedur</w:t>
      </w:r>
      <w:r w:rsidR="006A7B08">
        <w:rPr>
          <w:rFonts w:cs="Arial"/>
          <w:lang w:val="pl-PL"/>
        </w:rPr>
        <w:t xml:space="preserve"> w </w:t>
      </w:r>
      <w:r w:rsidRPr="00364E32">
        <w:rPr>
          <w:rFonts w:cs="Arial"/>
          <w:lang w:val="pl-PL"/>
        </w:rPr>
        <w:t>celu uniknięcia ewentualnych błędów, które mogą spowodować odrzucenie wniosku na każdym etapie procesu naboru</w:t>
      </w:r>
      <w:r w:rsidR="006A7B08">
        <w:rPr>
          <w:rFonts w:cs="Arial"/>
          <w:lang w:val="pl-PL"/>
        </w:rPr>
        <w:t xml:space="preserve"> i </w:t>
      </w:r>
      <w:r w:rsidRPr="00364E32">
        <w:rPr>
          <w:rFonts w:cs="Arial"/>
          <w:lang w:val="pl-PL"/>
        </w:rPr>
        <w:t>wyboru projektów.</w:t>
      </w:r>
    </w:p>
    <w:p w14:paraId="2943DBD6" w14:textId="77777777" w:rsidR="002C46D3" w:rsidRPr="00535DC3" w:rsidRDefault="00535DC3" w:rsidP="00A76FBA">
      <w:pPr>
        <w:jc w:val="both"/>
        <w:rPr>
          <w:b/>
          <w:lang w:val="pl-PL"/>
        </w:rPr>
      </w:pPr>
      <w:r w:rsidRPr="00535DC3">
        <w:rPr>
          <w:b/>
          <w:lang w:val="pl-PL"/>
        </w:rPr>
        <w:t>I.1 Informacje ogólne</w:t>
      </w:r>
      <w:r w:rsidR="006A7B08">
        <w:rPr>
          <w:b/>
          <w:lang w:val="pl-PL"/>
        </w:rPr>
        <w:t xml:space="preserve"> o</w:t>
      </w:r>
      <w:r w:rsidR="00632393">
        <w:rPr>
          <w:b/>
          <w:lang w:val="pl-PL"/>
        </w:rPr>
        <w:t xml:space="preserve"> </w:t>
      </w:r>
      <w:r w:rsidRPr="00535DC3">
        <w:rPr>
          <w:b/>
          <w:lang w:val="pl-PL"/>
        </w:rPr>
        <w:t xml:space="preserve">programie </w:t>
      </w:r>
      <w:r w:rsidRPr="00535DC3">
        <w:rPr>
          <w:b/>
          <w:i/>
          <w:lang w:val="pl-PL"/>
        </w:rPr>
        <w:t>Sprawy wewnętrzne</w:t>
      </w:r>
    </w:p>
    <w:p w14:paraId="2B5567DA" w14:textId="77777777" w:rsidR="002C46D3" w:rsidRDefault="00535DC3" w:rsidP="00A76FBA">
      <w:pPr>
        <w:jc w:val="both"/>
        <w:rPr>
          <w:lang w:val="pl-PL"/>
        </w:rPr>
      </w:pPr>
      <w:r>
        <w:rPr>
          <w:lang w:val="pl-PL"/>
        </w:rPr>
        <w:t xml:space="preserve">Program </w:t>
      </w:r>
      <w:r w:rsidR="00F80030">
        <w:rPr>
          <w:lang w:val="pl-PL"/>
        </w:rPr>
        <w:t>„</w:t>
      </w:r>
      <w:r w:rsidRPr="00D25356">
        <w:rPr>
          <w:lang w:val="pl-PL"/>
        </w:rPr>
        <w:t>Sprawy wewnętrzne</w:t>
      </w:r>
      <w:r w:rsidR="00F80030">
        <w:rPr>
          <w:lang w:val="pl-PL"/>
        </w:rPr>
        <w:t>”</w:t>
      </w:r>
      <w:r>
        <w:rPr>
          <w:lang w:val="pl-PL"/>
        </w:rPr>
        <w:t xml:space="preserve"> </w:t>
      </w:r>
      <w:r w:rsidR="00B55F36" w:rsidRPr="00364E32">
        <w:rPr>
          <w:rFonts w:cs="Arial"/>
          <w:lang w:val="pl-PL"/>
        </w:rPr>
        <w:t>został ujęty</w:t>
      </w:r>
      <w:r w:rsidR="006A7B08">
        <w:rPr>
          <w:rFonts w:cs="Arial"/>
          <w:lang w:val="pl-PL"/>
        </w:rPr>
        <w:t xml:space="preserve"> w </w:t>
      </w:r>
      <w:r w:rsidR="00B55F36" w:rsidRPr="00364E32">
        <w:rPr>
          <w:rFonts w:cs="Arial"/>
          <w:i/>
          <w:lang w:val="pl-PL"/>
        </w:rPr>
        <w:t>Memorandum of Understanding (MoU)</w:t>
      </w:r>
      <w:r w:rsidR="006A7B08">
        <w:rPr>
          <w:rFonts w:cs="Arial"/>
          <w:i/>
          <w:lang w:val="pl-PL"/>
        </w:rPr>
        <w:t xml:space="preserve"> w </w:t>
      </w:r>
      <w:r w:rsidR="00B55F36" w:rsidRPr="00364E32">
        <w:rPr>
          <w:rFonts w:cs="Arial"/>
          <w:i/>
          <w:lang w:val="pl-PL"/>
        </w:rPr>
        <w:t>sprawie wdrażania Norweskiego Mechanizmu Finansowego na lata 2014-2021</w:t>
      </w:r>
      <w:r w:rsidR="00B55F36" w:rsidRPr="00364E32">
        <w:rPr>
          <w:rFonts w:cs="Arial"/>
          <w:lang w:val="pl-PL"/>
        </w:rPr>
        <w:t xml:space="preserve"> – umowie międzynarodowej podpisanej</w:t>
      </w:r>
      <w:r w:rsidR="006A7B08">
        <w:rPr>
          <w:rFonts w:cs="Arial"/>
          <w:lang w:val="pl-PL"/>
        </w:rPr>
        <w:t xml:space="preserve"> w </w:t>
      </w:r>
      <w:r w:rsidR="00B55F36" w:rsidRPr="00364E32">
        <w:rPr>
          <w:rFonts w:cs="Arial"/>
          <w:lang w:val="pl-PL"/>
        </w:rPr>
        <w:t>dniu 20 grudnia 2017 r. między Rządem Polski a</w:t>
      </w:r>
      <w:r w:rsidR="00B55F36">
        <w:rPr>
          <w:rFonts w:cs="Arial"/>
          <w:lang w:val="pl-PL"/>
        </w:rPr>
        <w:t xml:space="preserve"> </w:t>
      </w:r>
      <w:r w:rsidR="00B55F36" w:rsidRPr="00364E32">
        <w:rPr>
          <w:rFonts w:cs="Arial"/>
          <w:lang w:val="pl-PL"/>
        </w:rPr>
        <w:t>Państwem</w:t>
      </w:r>
      <w:r w:rsidR="00632393">
        <w:rPr>
          <w:rFonts w:cs="Arial"/>
          <w:lang w:val="pl-PL"/>
        </w:rPr>
        <w:t>-</w:t>
      </w:r>
      <w:r w:rsidR="00B55F36" w:rsidRPr="00364E32">
        <w:rPr>
          <w:rFonts w:cs="Arial"/>
          <w:lang w:val="pl-PL"/>
        </w:rPr>
        <w:t>Darczyńcą (Norwegią)</w:t>
      </w:r>
      <w:r>
        <w:rPr>
          <w:lang w:val="pl-PL"/>
        </w:rPr>
        <w:t xml:space="preserve">. </w:t>
      </w:r>
      <w:r w:rsidR="00B55F36">
        <w:rPr>
          <w:lang w:val="pl-PL"/>
        </w:rPr>
        <w:t>Jest to trzeci</w:t>
      </w:r>
      <w:r w:rsidR="00632393">
        <w:rPr>
          <w:lang w:val="pl-PL"/>
        </w:rPr>
        <w:t>a</w:t>
      </w:r>
      <w:r w:rsidR="00B55F36">
        <w:rPr>
          <w:lang w:val="pl-PL"/>
        </w:rPr>
        <w:t xml:space="preserve"> edycja ww. funduszy. </w:t>
      </w:r>
      <w:r>
        <w:rPr>
          <w:lang w:val="pl-PL"/>
        </w:rPr>
        <w:t>Operatorem Programu jest Ministerstwo Spraw Wewnętrznych</w:t>
      </w:r>
      <w:r w:rsidR="006A7B08">
        <w:rPr>
          <w:lang w:val="pl-PL"/>
        </w:rPr>
        <w:t xml:space="preserve"> i </w:t>
      </w:r>
      <w:r>
        <w:rPr>
          <w:lang w:val="pl-PL"/>
        </w:rPr>
        <w:t>Administracji (Departament Funduszy Europejskich) przy wsparciu Centrum Obsługi Projektów Europejskich Ministerstwa Spraw Wewnętrznych</w:t>
      </w:r>
      <w:r w:rsidR="006A7B08">
        <w:rPr>
          <w:lang w:val="pl-PL"/>
        </w:rPr>
        <w:t xml:space="preserve"> i </w:t>
      </w:r>
      <w:r>
        <w:rPr>
          <w:lang w:val="pl-PL"/>
        </w:rPr>
        <w:t>Administracji.</w:t>
      </w:r>
      <w:r w:rsidR="00B55F36">
        <w:rPr>
          <w:lang w:val="pl-PL"/>
        </w:rPr>
        <w:t xml:space="preserve"> </w:t>
      </w:r>
    </w:p>
    <w:p w14:paraId="067DD823" w14:textId="77777777" w:rsidR="00B55F36" w:rsidRDefault="00B55F36" w:rsidP="00A76FBA">
      <w:pPr>
        <w:jc w:val="both"/>
        <w:rPr>
          <w:lang w:val="pl-PL"/>
        </w:rPr>
      </w:pPr>
      <w:r w:rsidRPr="00364E32">
        <w:rPr>
          <w:rFonts w:cs="Arial"/>
          <w:lang w:val="pl-PL"/>
        </w:rPr>
        <w:t>Program został formalnie zaakceptowany przez Państwo-Darczyńcę poprzez podpisanie Umowy</w:t>
      </w:r>
      <w:r w:rsidR="006A7B08">
        <w:rPr>
          <w:rFonts w:cs="Arial"/>
          <w:lang w:val="pl-PL"/>
        </w:rPr>
        <w:t xml:space="preserve"> w </w:t>
      </w:r>
      <w:r w:rsidRPr="00364E32">
        <w:rPr>
          <w:rFonts w:cs="Arial"/>
          <w:lang w:val="pl-PL"/>
        </w:rPr>
        <w:t xml:space="preserve">sprawie Programu „Sprawy wewnętrzne” pomiędzy Norweskim Ministerstwem Spraw Zagranicznych a </w:t>
      </w:r>
      <w:r>
        <w:rPr>
          <w:rFonts w:cs="Arial"/>
          <w:lang w:val="pl-PL"/>
        </w:rPr>
        <w:t xml:space="preserve">Departamentem Programów Pomocowych </w:t>
      </w:r>
      <w:r w:rsidRPr="00364E32">
        <w:rPr>
          <w:rFonts w:cs="Arial"/>
          <w:lang w:val="pl-PL"/>
        </w:rPr>
        <w:t>Ministerstw</w:t>
      </w:r>
      <w:r>
        <w:rPr>
          <w:rFonts w:cs="Arial"/>
          <w:lang w:val="pl-PL"/>
        </w:rPr>
        <w:t>a</w:t>
      </w:r>
      <w:r w:rsidRPr="00364E32">
        <w:rPr>
          <w:rFonts w:cs="Arial"/>
          <w:lang w:val="pl-PL"/>
        </w:rPr>
        <w:t xml:space="preserve"> Inwestycji</w:t>
      </w:r>
      <w:r w:rsidR="006A7B08">
        <w:rPr>
          <w:rFonts w:cs="Arial"/>
          <w:lang w:val="pl-PL"/>
        </w:rPr>
        <w:t xml:space="preserve"> i </w:t>
      </w:r>
      <w:r w:rsidRPr="00364E32">
        <w:rPr>
          <w:rFonts w:cs="Arial"/>
          <w:lang w:val="pl-PL"/>
        </w:rPr>
        <w:t>Rozwoju</w:t>
      </w:r>
      <w:r w:rsidR="006A7B08">
        <w:rPr>
          <w:rFonts w:cs="Arial"/>
          <w:lang w:val="pl-PL"/>
        </w:rPr>
        <w:t xml:space="preserve"> w </w:t>
      </w:r>
      <w:r w:rsidRPr="00364E32">
        <w:rPr>
          <w:rFonts w:cs="Arial"/>
          <w:lang w:val="pl-PL"/>
        </w:rPr>
        <w:t xml:space="preserve">dniu </w:t>
      </w:r>
      <w:r w:rsidR="008105A7">
        <w:rPr>
          <w:rFonts w:cs="Arial"/>
          <w:lang w:val="pl-PL"/>
        </w:rPr>
        <w:t>12 września 2019 r.</w:t>
      </w:r>
    </w:p>
    <w:p w14:paraId="24D96433" w14:textId="77777777" w:rsidR="002C46D3" w:rsidRDefault="00EC6C4F" w:rsidP="00A76FBA">
      <w:pPr>
        <w:jc w:val="both"/>
        <w:rPr>
          <w:lang w:val="pl-PL"/>
        </w:rPr>
      </w:pPr>
      <w:r>
        <w:rPr>
          <w:lang w:val="pl-PL"/>
        </w:rPr>
        <w:t>W ramach programu realizowane będą projekty</w:t>
      </w:r>
      <w:r w:rsidR="006A7B08">
        <w:rPr>
          <w:lang w:val="pl-PL"/>
        </w:rPr>
        <w:t xml:space="preserve"> w </w:t>
      </w:r>
      <w:r>
        <w:rPr>
          <w:lang w:val="pl-PL"/>
        </w:rPr>
        <w:t>trzech Obszarach tematycznych:</w:t>
      </w:r>
    </w:p>
    <w:p w14:paraId="42E5B5D2" w14:textId="77777777" w:rsidR="00EC6C4F" w:rsidRPr="006B7F11" w:rsidRDefault="00EC6C4F" w:rsidP="009C2B5F">
      <w:pPr>
        <w:pStyle w:val="Akapitzlist"/>
        <w:numPr>
          <w:ilvl w:val="0"/>
          <w:numId w:val="25"/>
        </w:numPr>
        <w:jc w:val="both"/>
        <w:rPr>
          <w:b/>
          <w:i/>
        </w:rPr>
      </w:pPr>
      <w:r w:rsidRPr="006B7F11">
        <w:rPr>
          <w:b/>
          <w:i/>
        </w:rPr>
        <w:t>Obszar tematyczny nr 18 – Azyl</w:t>
      </w:r>
      <w:r w:rsidR="006A7B08" w:rsidRPr="006B7F11">
        <w:rPr>
          <w:b/>
          <w:i/>
        </w:rPr>
        <w:t xml:space="preserve"> i </w:t>
      </w:r>
      <w:r w:rsidRPr="006B7F11">
        <w:rPr>
          <w:b/>
          <w:i/>
        </w:rPr>
        <w:t>Migracja</w:t>
      </w:r>
      <w:r w:rsidR="00F80030" w:rsidRPr="006B7F11">
        <w:rPr>
          <w:b/>
          <w:i/>
        </w:rPr>
        <w:t>;</w:t>
      </w:r>
    </w:p>
    <w:p w14:paraId="017D0319" w14:textId="77777777" w:rsidR="00EC6C4F" w:rsidRPr="006B7F11" w:rsidRDefault="00EC6C4F" w:rsidP="009C2B5F">
      <w:pPr>
        <w:pStyle w:val="Akapitzlist"/>
        <w:numPr>
          <w:ilvl w:val="0"/>
          <w:numId w:val="25"/>
        </w:numPr>
        <w:jc w:val="both"/>
      </w:pPr>
      <w:r w:rsidRPr="006B7F11">
        <w:t>Obszar tematyczny nr 20 – Międzynarodowa współpraca policyjna</w:t>
      </w:r>
      <w:r w:rsidR="006A7B08" w:rsidRPr="006B7F11">
        <w:t xml:space="preserve"> i </w:t>
      </w:r>
      <w:r w:rsidRPr="006B7F11">
        <w:t>zwalczanie przestępczości</w:t>
      </w:r>
      <w:r w:rsidR="00F80030" w:rsidRPr="006B7F11">
        <w:t>;</w:t>
      </w:r>
    </w:p>
    <w:p w14:paraId="33EC8656" w14:textId="77777777" w:rsidR="00ED0498" w:rsidRPr="009C2B5F" w:rsidRDefault="00EC6C4F" w:rsidP="009C2B5F">
      <w:pPr>
        <w:pStyle w:val="Akapitzlist"/>
        <w:numPr>
          <w:ilvl w:val="0"/>
          <w:numId w:val="25"/>
        </w:numPr>
        <w:jc w:val="both"/>
      </w:pPr>
      <w:r w:rsidRPr="009C2B5F">
        <w:t xml:space="preserve">Obszar tematyczny nr 23 </w:t>
      </w:r>
      <w:r w:rsidR="00F80030" w:rsidRPr="009C2B5F">
        <w:t>–</w:t>
      </w:r>
      <w:r w:rsidRPr="009C2B5F">
        <w:t xml:space="preserve"> Zapobieganie klęskom żywiołowym</w:t>
      </w:r>
      <w:r w:rsidR="006A7B08" w:rsidRPr="009C2B5F">
        <w:t xml:space="preserve"> i </w:t>
      </w:r>
      <w:r w:rsidRPr="009C2B5F">
        <w:t>gotowość na wypadek takich klęsk</w:t>
      </w:r>
      <w:r w:rsidR="00F80030" w:rsidRPr="009C2B5F">
        <w:t>.</w:t>
      </w:r>
    </w:p>
    <w:p w14:paraId="13EA6A30" w14:textId="77777777" w:rsidR="00EC6C4F" w:rsidRPr="00D25356" w:rsidRDefault="00EC6C4F" w:rsidP="00A76FBA">
      <w:pPr>
        <w:jc w:val="both"/>
        <w:rPr>
          <w:u w:val="single"/>
          <w:lang w:val="pl-PL"/>
        </w:rPr>
      </w:pPr>
      <w:r w:rsidRPr="00D25356">
        <w:rPr>
          <w:u w:val="single"/>
          <w:lang w:val="pl-PL"/>
        </w:rPr>
        <w:t xml:space="preserve">Niniejszy nabór dotyczy Obszaru tematycznego nr </w:t>
      </w:r>
      <w:r w:rsidR="006B7F11">
        <w:rPr>
          <w:u w:val="single"/>
          <w:lang w:val="pl-PL"/>
        </w:rPr>
        <w:t>18</w:t>
      </w:r>
      <w:r w:rsidR="00ED0498" w:rsidRPr="00D25356">
        <w:rPr>
          <w:u w:val="single"/>
          <w:lang w:val="pl-PL"/>
        </w:rPr>
        <w:t>.</w:t>
      </w:r>
    </w:p>
    <w:p w14:paraId="22F8635B" w14:textId="77777777" w:rsidR="008A1AAE" w:rsidRPr="00364E32" w:rsidRDefault="008A1AAE" w:rsidP="00632393">
      <w:pPr>
        <w:spacing w:after="120"/>
        <w:jc w:val="both"/>
        <w:rPr>
          <w:bCs/>
          <w:lang w:val="pl-PL"/>
        </w:rPr>
      </w:pPr>
      <w:r w:rsidRPr="00364E32">
        <w:rPr>
          <w:lang w:val="pl-PL"/>
        </w:rPr>
        <w:t>Ministerstwo Spraw Wewnętrznych</w:t>
      </w:r>
      <w:r w:rsidR="006A7B08">
        <w:rPr>
          <w:lang w:val="pl-PL"/>
        </w:rPr>
        <w:t xml:space="preserve"> i </w:t>
      </w:r>
      <w:r w:rsidRPr="00364E32">
        <w:rPr>
          <w:lang w:val="pl-PL"/>
        </w:rPr>
        <w:t>Administracji wraz</w:t>
      </w:r>
      <w:r w:rsidR="006A7B08">
        <w:rPr>
          <w:lang w:val="pl-PL"/>
        </w:rPr>
        <w:t xml:space="preserve"> z </w:t>
      </w:r>
      <w:r w:rsidRPr="00364E32">
        <w:rPr>
          <w:lang w:val="pl-PL"/>
        </w:rPr>
        <w:t xml:space="preserve">Centrum Obsługi Projektów Europejskich </w:t>
      </w:r>
      <w:r w:rsidR="0010322F">
        <w:rPr>
          <w:lang w:val="pl-PL"/>
        </w:rPr>
        <w:t xml:space="preserve">MSWiA </w:t>
      </w:r>
      <w:r w:rsidRPr="00364E32">
        <w:rPr>
          <w:lang w:val="pl-PL"/>
        </w:rPr>
        <w:t>zapraszają wszystkie uprawnione podmioty do udziału</w:t>
      </w:r>
      <w:r w:rsidR="006A7B08">
        <w:rPr>
          <w:lang w:val="pl-PL"/>
        </w:rPr>
        <w:t xml:space="preserve"> w </w:t>
      </w:r>
      <w:r w:rsidRPr="00364E32">
        <w:rPr>
          <w:lang w:val="pl-PL"/>
        </w:rPr>
        <w:t>naborze otwartym wniosków</w:t>
      </w:r>
      <w:r w:rsidR="00C62B1F" w:rsidRPr="00364E32">
        <w:rPr>
          <w:lang w:val="pl-PL"/>
        </w:rPr>
        <w:t xml:space="preserve"> (zwanego dalej „naborem”)</w:t>
      </w:r>
      <w:r w:rsidR="006A7B08">
        <w:rPr>
          <w:lang w:val="pl-PL"/>
        </w:rPr>
        <w:t xml:space="preserve"> w </w:t>
      </w:r>
      <w:r w:rsidR="00C62B1F" w:rsidRPr="00364E32">
        <w:rPr>
          <w:lang w:val="pl-PL"/>
        </w:rPr>
        <w:t xml:space="preserve">ramach Obszaru tematycznego nr </w:t>
      </w:r>
      <w:r w:rsidR="006B7F11">
        <w:rPr>
          <w:lang w:val="pl-PL"/>
        </w:rPr>
        <w:t>18</w:t>
      </w:r>
      <w:r w:rsidR="00C62B1F" w:rsidRPr="00364E32">
        <w:rPr>
          <w:lang w:val="pl-PL"/>
        </w:rPr>
        <w:t xml:space="preserve"> </w:t>
      </w:r>
      <w:r w:rsidR="00C62B1F" w:rsidRPr="00632393">
        <w:rPr>
          <w:bCs/>
          <w:lang w:val="pl-PL"/>
        </w:rPr>
        <w:t>„</w:t>
      </w:r>
      <w:r w:rsidR="006B7F11" w:rsidRPr="00632393">
        <w:rPr>
          <w:bCs/>
          <w:lang w:val="pl-PL"/>
        </w:rPr>
        <w:t>Azyl i Migracja</w:t>
      </w:r>
      <w:r w:rsidR="00C62B1F" w:rsidRPr="00632393">
        <w:rPr>
          <w:bCs/>
          <w:lang w:val="pl-PL"/>
        </w:rPr>
        <w:t>”</w:t>
      </w:r>
      <w:r w:rsidR="00C62B1F" w:rsidRPr="00364E32">
        <w:rPr>
          <w:bCs/>
          <w:lang w:val="pl-PL"/>
        </w:rPr>
        <w:t xml:space="preserve"> </w:t>
      </w:r>
      <w:r w:rsidR="0010322F">
        <w:rPr>
          <w:bCs/>
          <w:lang w:val="pl-PL"/>
        </w:rPr>
        <w:t>P</w:t>
      </w:r>
      <w:r w:rsidR="0010322F" w:rsidRPr="00364E32">
        <w:rPr>
          <w:bCs/>
          <w:lang w:val="pl-PL"/>
        </w:rPr>
        <w:t xml:space="preserve">rogramu </w:t>
      </w:r>
      <w:r w:rsidR="00F80030">
        <w:rPr>
          <w:bCs/>
          <w:lang w:val="pl-PL"/>
        </w:rPr>
        <w:t>„</w:t>
      </w:r>
      <w:r w:rsidR="00C62B1F" w:rsidRPr="00D25356">
        <w:rPr>
          <w:bCs/>
          <w:lang w:val="pl-PL"/>
        </w:rPr>
        <w:t>Sprawy wewnętrzne</w:t>
      </w:r>
      <w:r w:rsidR="00F80030" w:rsidRPr="00D25356">
        <w:rPr>
          <w:bCs/>
          <w:lang w:val="pl-PL"/>
        </w:rPr>
        <w:t>”</w:t>
      </w:r>
      <w:r w:rsidR="00C62B1F" w:rsidRPr="00364E32">
        <w:rPr>
          <w:bCs/>
          <w:lang w:val="pl-PL"/>
        </w:rPr>
        <w:t xml:space="preserve"> współfinansowanego </w:t>
      </w:r>
      <w:r w:rsidR="001E5BA5">
        <w:rPr>
          <w:bCs/>
          <w:lang w:val="pl-PL"/>
        </w:rPr>
        <w:t>ze </w:t>
      </w:r>
      <w:r w:rsidR="00C62B1F" w:rsidRPr="00364E32">
        <w:rPr>
          <w:bCs/>
          <w:lang w:val="pl-PL"/>
        </w:rPr>
        <w:t xml:space="preserve">środków Norweskiego Mechanizmu Finansowego </w:t>
      </w:r>
      <w:r w:rsidR="00632393">
        <w:rPr>
          <w:bCs/>
          <w:lang w:val="pl-PL"/>
        </w:rPr>
        <w:br/>
      </w:r>
      <w:r w:rsidR="00C62B1F" w:rsidRPr="00364E32">
        <w:rPr>
          <w:bCs/>
          <w:lang w:val="pl-PL"/>
        </w:rPr>
        <w:t>na lata 2014</w:t>
      </w:r>
      <w:r w:rsidR="00632393">
        <w:rPr>
          <w:bCs/>
          <w:lang w:val="pl-PL"/>
        </w:rPr>
        <w:t>-</w:t>
      </w:r>
      <w:r w:rsidR="00C62B1F" w:rsidRPr="00364E32">
        <w:rPr>
          <w:bCs/>
          <w:lang w:val="pl-PL"/>
        </w:rPr>
        <w:t>2021, zwanego dalej „Programem”.</w:t>
      </w:r>
    </w:p>
    <w:p w14:paraId="2E0866D3" w14:textId="77777777" w:rsidR="008D449B" w:rsidRDefault="00832B43" w:rsidP="00632393">
      <w:pPr>
        <w:spacing w:after="120"/>
        <w:jc w:val="both"/>
        <w:rPr>
          <w:lang w:val="pl-PL"/>
        </w:rPr>
      </w:pPr>
      <w:r w:rsidRPr="008D449B">
        <w:rPr>
          <w:bCs/>
          <w:lang w:val="pl-PL"/>
        </w:rPr>
        <w:t xml:space="preserve">Program ma </w:t>
      </w:r>
      <w:r w:rsidR="0010322F" w:rsidRPr="008D449B">
        <w:rPr>
          <w:bCs/>
          <w:lang w:val="pl-PL"/>
        </w:rPr>
        <w:t xml:space="preserve">m.in. </w:t>
      </w:r>
      <w:r w:rsidRPr="008D449B">
        <w:rPr>
          <w:bCs/>
          <w:lang w:val="pl-PL"/>
        </w:rPr>
        <w:t xml:space="preserve">za zadanie </w:t>
      </w:r>
      <w:r w:rsidR="008D449B">
        <w:rPr>
          <w:bCs/>
          <w:lang w:val="pl-PL"/>
        </w:rPr>
        <w:t>z</w:t>
      </w:r>
      <w:r w:rsidR="008D449B" w:rsidRPr="008D449B">
        <w:rPr>
          <w:lang w:val="pl-PL"/>
        </w:rPr>
        <w:t xml:space="preserve">apewnienie funkcjonowania krajowych systemów zarządzania azylem </w:t>
      </w:r>
      <w:r w:rsidR="00632393">
        <w:rPr>
          <w:lang w:val="pl-PL"/>
        </w:rPr>
        <w:br/>
      </w:r>
      <w:r w:rsidR="008D449B" w:rsidRPr="008D449B">
        <w:rPr>
          <w:lang w:val="pl-PL"/>
        </w:rPr>
        <w:t>i migracją oraz zapewn</w:t>
      </w:r>
      <w:r w:rsidR="008D449B">
        <w:rPr>
          <w:lang w:val="pl-PL"/>
        </w:rPr>
        <w:t>i</w:t>
      </w:r>
      <w:r w:rsidR="008D449B" w:rsidRPr="008D449B">
        <w:rPr>
          <w:lang w:val="pl-PL"/>
        </w:rPr>
        <w:t>enie prawa do ubiegania się o azyl</w:t>
      </w:r>
      <w:r w:rsidRPr="00632393">
        <w:rPr>
          <w:lang w:val="pl-PL"/>
        </w:rPr>
        <w:t xml:space="preserve">. </w:t>
      </w:r>
    </w:p>
    <w:p w14:paraId="0CB4BF0D" w14:textId="745E3A5A" w:rsidR="006819FB" w:rsidRPr="006819FB" w:rsidRDefault="00B265DB" w:rsidP="006819FB">
      <w:pPr>
        <w:spacing w:after="0" w:line="240" w:lineRule="auto"/>
        <w:jc w:val="both"/>
        <w:rPr>
          <w:lang w:val="pl-PL"/>
        </w:rPr>
      </w:pPr>
      <w:r w:rsidRPr="00364E32">
        <w:rPr>
          <w:lang w:val="pl-PL"/>
        </w:rPr>
        <w:t xml:space="preserve">Projekty </w:t>
      </w:r>
      <w:r w:rsidRPr="0010322F">
        <w:rPr>
          <w:lang w:val="pl-PL"/>
        </w:rPr>
        <w:t xml:space="preserve">zawierające elementy współpracy </w:t>
      </w:r>
      <w:r w:rsidR="005470B1" w:rsidRPr="00B265DB">
        <w:rPr>
          <w:lang w:val="pl-PL"/>
        </w:rPr>
        <w:t>między administracją publiczną a organizacjami pozarządowymi (wspólne konferencje, warsztaty, spotkania)</w:t>
      </w:r>
      <w:r>
        <w:rPr>
          <w:lang w:val="pl-PL"/>
        </w:rPr>
        <w:t xml:space="preserve"> lub w</w:t>
      </w:r>
      <w:r w:rsidRPr="00B265DB">
        <w:rPr>
          <w:lang w:val="pl-PL"/>
        </w:rPr>
        <w:t>spółprac</w:t>
      </w:r>
      <w:r>
        <w:rPr>
          <w:lang w:val="pl-PL"/>
        </w:rPr>
        <w:t>ę</w:t>
      </w:r>
      <w:r w:rsidRPr="00B265DB">
        <w:rPr>
          <w:lang w:val="pl-PL"/>
        </w:rPr>
        <w:t xml:space="preserve"> bilateraln</w:t>
      </w:r>
      <w:r>
        <w:rPr>
          <w:lang w:val="pl-PL"/>
        </w:rPr>
        <w:t xml:space="preserve">ą </w:t>
      </w:r>
      <w:r w:rsidR="00632393">
        <w:rPr>
          <w:lang w:val="pl-PL"/>
        </w:rPr>
        <w:br/>
      </w:r>
      <w:r>
        <w:rPr>
          <w:lang w:val="pl-PL"/>
        </w:rPr>
        <w:t>i międzynarodową m.in.</w:t>
      </w:r>
      <w:r w:rsidR="006A7B08">
        <w:rPr>
          <w:lang w:val="pl-PL"/>
        </w:rPr>
        <w:t xml:space="preserve"> z </w:t>
      </w:r>
      <w:r w:rsidR="007072A3" w:rsidRPr="007072A3">
        <w:rPr>
          <w:lang w:val="pl-PL"/>
        </w:rPr>
        <w:t>podmiotami</w:t>
      </w:r>
      <w:r w:rsidR="006A7B08">
        <w:rPr>
          <w:lang w:val="pl-PL"/>
        </w:rPr>
        <w:t xml:space="preserve"> z </w:t>
      </w:r>
      <w:r w:rsidR="00632393">
        <w:rPr>
          <w:lang w:val="pl-PL"/>
        </w:rPr>
        <w:t>P</w:t>
      </w:r>
      <w:r w:rsidR="007072A3" w:rsidRPr="007072A3">
        <w:rPr>
          <w:lang w:val="pl-PL"/>
        </w:rPr>
        <w:t>aństwa</w:t>
      </w:r>
      <w:r w:rsidR="00632393">
        <w:rPr>
          <w:lang w:val="pl-PL"/>
        </w:rPr>
        <w:t>-D</w:t>
      </w:r>
      <w:r w:rsidR="007072A3" w:rsidRPr="007072A3">
        <w:rPr>
          <w:lang w:val="pl-PL"/>
        </w:rPr>
        <w:t>arczyńcy (Norwegia)</w:t>
      </w:r>
      <w:r w:rsidR="006819FB" w:rsidRPr="006819FB">
        <w:rPr>
          <w:lang w:val="pl-PL"/>
        </w:rPr>
        <w:t xml:space="preserve">, a także projekty zawierające elementy, poruszające takie zagadnienia jak: </w:t>
      </w:r>
    </w:p>
    <w:p w14:paraId="0D12029C" w14:textId="77777777" w:rsidR="006819FB" w:rsidRDefault="006819FB" w:rsidP="006819FB">
      <w:pPr>
        <w:pStyle w:val="Akapitzlist"/>
        <w:numPr>
          <w:ilvl w:val="0"/>
          <w:numId w:val="29"/>
        </w:numPr>
        <w:spacing w:after="0" w:line="240" w:lineRule="auto"/>
        <w:ind w:left="284" w:hanging="284"/>
        <w:jc w:val="both"/>
      </w:pPr>
      <w:r>
        <w:t xml:space="preserve">przeciwdziałanie handlowi ludźmi, </w:t>
      </w:r>
    </w:p>
    <w:p w14:paraId="06FAC695" w14:textId="77777777" w:rsidR="006819FB" w:rsidRDefault="006819FB" w:rsidP="006819FB">
      <w:pPr>
        <w:pStyle w:val="Akapitzlist"/>
        <w:numPr>
          <w:ilvl w:val="0"/>
          <w:numId w:val="29"/>
        </w:numPr>
        <w:spacing w:after="0" w:line="240" w:lineRule="auto"/>
        <w:ind w:left="284" w:hanging="284"/>
        <w:jc w:val="both"/>
      </w:pPr>
      <w:r>
        <w:t xml:space="preserve">wspieranie dobrowolnych powrotów, </w:t>
      </w:r>
    </w:p>
    <w:p w14:paraId="5DA10689" w14:textId="77777777" w:rsidR="006819FB" w:rsidRDefault="006819FB" w:rsidP="006819FB">
      <w:pPr>
        <w:pStyle w:val="Akapitzlist"/>
        <w:numPr>
          <w:ilvl w:val="0"/>
          <w:numId w:val="29"/>
        </w:numPr>
        <w:spacing w:after="0" w:line="240" w:lineRule="auto"/>
        <w:ind w:left="284" w:hanging="284"/>
        <w:jc w:val="both"/>
      </w:pPr>
      <w:r>
        <w:t>wsparcie i usługi</w:t>
      </w:r>
      <w:r w:rsidRPr="009A4B67">
        <w:t xml:space="preserve"> dla małoletnich bez opieki ubiegających się o azyl i dla innych grup o specjalnych potrzebach</w:t>
      </w:r>
      <w:r>
        <w:t xml:space="preserve">, </w:t>
      </w:r>
    </w:p>
    <w:p w14:paraId="0584AFC2" w14:textId="77777777" w:rsidR="006819FB" w:rsidRDefault="006819FB" w:rsidP="006819FB">
      <w:pPr>
        <w:pStyle w:val="Akapitzlist"/>
        <w:numPr>
          <w:ilvl w:val="0"/>
          <w:numId w:val="29"/>
        </w:numPr>
        <w:spacing w:after="0" w:line="240" w:lineRule="auto"/>
        <w:ind w:left="284" w:hanging="284"/>
        <w:jc w:val="both"/>
      </w:pPr>
      <w:r>
        <w:t xml:space="preserve">zwalczanie </w:t>
      </w:r>
      <w:r w:rsidRPr="001552A0">
        <w:t>przemocy ze względu na płeć</w:t>
      </w:r>
      <w:r>
        <w:t xml:space="preserve"> </w:t>
      </w:r>
    </w:p>
    <w:p w14:paraId="135D76CC" w14:textId="437D30EA" w:rsidR="00632393" w:rsidRPr="0040661C" w:rsidRDefault="00832B43" w:rsidP="00632393">
      <w:pPr>
        <w:spacing w:after="120"/>
        <w:jc w:val="both"/>
        <w:rPr>
          <w:lang w:val="pl-PL"/>
        </w:rPr>
      </w:pPr>
      <w:r w:rsidRPr="00364E32">
        <w:rPr>
          <w:lang w:val="pl-PL"/>
        </w:rPr>
        <w:t xml:space="preserve">będą dodatkowo </w:t>
      </w:r>
      <w:r w:rsidR="00092938">
        <w:rPr>
          <w:lang w:val="pl-PL"/>
        </w:rPr>
        <w:t>punktowane</w:t>
      </w:r>
      <w:r w:rsidR="0040661C">
        <w:rPr>
          <w:lang w:val="pl-PL"/>
        </w:rPr>
        <w:t>.</w:t>
      </w:r>
    </w:p>
    <w:p w14:paraId="03A32C8B" w14:textId="77777777" w:rsidR="009B0E6F" w:rsidRPr="009B0E6F" w:rsidRDefault="009B0E6F" w:rsidP="00632393">
      <w:pPr>
        <w:keepNext/>
        <w:spacing w:after="120"/>
        <w:jc w:val="both"/>
        <w:rPr>
          <w:b/>
          <w:lang w:val="pl-PL"/>
        </w:rPr>
      </w:pPr>
      <w:r w:rsidRPr="009B0E6F">
        <w:rPr>
          <w:b/>
          <w:lang w:val="pl-PL"/>
        </w:rPr>
        <w:lastRenderedPageBreak/>
        <w:t>I.</w:t>
      </w:r>
      <w:r w:rsidR="00535DC3">
        <w:rPr>
          <w:b/>
          <w:lang w:val="pl-PL"/>
        </w:rPr>
        <w:t>2</w:t>
      </w:r>
      <w:r w:rsidRPr="009B0E6F">
        <w:rPr>
          <w:b/>
          <w:lang w:val="pl-PL"/>
        </w:rPr>
        <w:t xml:space="preserve"> Działania</w:t>
      </w:r>
    </w:p>
    <w:p w14:paraId="25F083B6" w14:textId="77777777" w:rsidR="001E49A0" w:rsidRDefault="001E49A0" w:rsidP="00A76FBA">
      <w:pPr>
        <w:jc w:val="both"/>
        <w:rPr>
          <w:lang w:val="pl-PL"/>
        </w:rPr>
      </w:pPr>
      <w:r w:rsidRPr="001E49A0">
        <w:rPr>
          <w:lang w:val="pl-PL"/>
        </w:rPr>
        <w:t>W ra</w:t>
      </w:r>
      <w:r>
        <w:rPr>
          <w:lang w:val="pl-PL"/>
        </w:rPr>
        <w:t>ma</w:t>
      </w:r>
      <w:r w:rsidRPr="001E49A0">
        <w:rPr>
          <w:lang w:val="pl-PL"/>
        </w:rPr>
        <w:t>ch Obszar</w:t>
      </w:r>
      <w:r w:rsidR="00630991">
        <w:rPr>
          <w:lang w:val="pl-PL"/>
        </w:rPr>
        <w:t>u</w:t>
      </w:r>
      <w:r w:rsidR="00613F1D">
        <w:rPr>
          <w:lang w:val="pl-PL"/>
        </w:rPr>
        <w:t xml:space="preserve"> tematycznego nr 18</w:t>
      </w:r>
      <w:r w:rsidRPr="001E49A0">
        <w:rPr>
          <w:lang w:val="pl-PL"/>
        </w:rPr>
        <w:t xml:space="preserve"> </w:t>
      </w:r>
      <w:r>
        <w:rPr>
          <w:lang w:val="pl-PL"/>
        </w:rPr>
        <w:t xml:space="preserve">mogą być realizowane </w:t>
      </w:r>
      <w:r w:rsidR="00630991">
        <w:rPr>
          <w:lang w:val="pl-PL"/>
        </w:rPr>
        <w:t>projekty związane</w:t>
      </w:r>
      <w:r w:rsidR="006A7B08">
        <w:rPr>
          <w:lang w:val="pl-PL"/>
        </w:rPr>
        <w:t xml:space="preserve"> z </w:t>
      </w:r>
      <w:r w:rsidR="00630991">
        <w:rPr>
          <w:lang w:val="pl-PL"/>
        </w:rPr>
        <w:t>działaniami</w:t>
      </w:r>
      <w:r w:rsidR="005470B1">
        <w:rPr>
          <w:lang w:val="pl-PL"/>
        </w:rPr>
        <w:t xml:space="preserve"> obejmującymi</w:t>
      </w:r>
      <w:r>
        <w:rPr>
          <w:lang w:val="pl-PL"/>
        </w:rPr>
        <w:t>:</w:t>
      </w:r>
    </w:p>
    <w:p w14:paraId="16F9A996" w14:textId="77777777" w:rsidR="000501C9" w:rsidRPr="00613F1D" w:rsidRDefault="005470B1" w:rsidP="00613F1D">
      <w:pPr>
        <w:pStyle w:val="Akapitzlist"/>
        <w:numPr>
          <w:ilvl w:val="0"/>
          <w:numId w:val="26"/>
        </w:numPr>
        <w:jc w:val="both"/>
      </w:pPr>
      <w:r w:rsidRPr="00613F1D">
        <w:t xml:space="preserve">wsparcie dla krajowych systemów </w:t>
      </w:r>
      <w:r w:rsidR="00613F1D">
        <w:t xml:space="preserve">zarządzania azylem i migracją, </w:t>
      </w:r>
      <w:r w:rsidRPr="00613F1D">
        <w:t>w tym dobrowolnymi powrotami;</w:t>
      </w:r>
    </w:p>
    <w:p w14:paraId="02EB8DC4" w14:textId="77777777" w:rsidR="000501C9" w:rsidRPr="00613F1D" w:rsidRDefault="005470B1" w:rsidP="00613F1D">
      <w:pPr>
        <w:pStyle w:val="Akapitzlist"/>
        <w:numPr>
          <w:ilvl w:val="0"/>
          <w:numId w:val="26"/>
        </w:numPr>
        <w:jc w:val="both"/>
      </w:pPr>
      <w:r w:rsidRPr="00613F1D">
        <w:t>usług</w:t>
      </w:r>
      <w:r w:rsidR="00613F1D">
        <w:t>i</w:t>
      </w:r>
      <w:r w:rsidRPr="00613F1D">
        <w:t xml:space="preserve"> wspierając</w:t>
      </w:r>
      <w:r>
        <w:t>e</w:t>
      </w:r>
      <w:r w:rsidRPr="00613F1D">
        <w:t xml:space="preserve"> osoby ubiegające </w:t>
      </w:r>
      <w:r w:rsidR="00613F1D">
        <w:t xml:space="preserve">się o nadanie statusu uchodźcy </w:t>
      </w:r>
      <w:r w:rsidRPr="00613F1D">
        <w:t>w korzystaniu z praw pods</w:t>
      </w:r>
      <w:r w:rsidR="00613F1D">
        <w:t xml:space="preserve">tawowych (pomoc psychologiczna </w:t>
      </w:r>
      <w:r w:rsidRPr="00613F1D">
        <w:t>i prawna, udzielanie kompleksowych informacji migrantom i osobom ubiegającym się o azyl);</w:t>
      </w:r>
    </w:p>
    <w:p w14:paraId="21AA3EC2" w14:textId="77777777" w:rsidR="000501C9" w:rsidRPr="00613F1D" w:rsidRDefault="005470B1" w:rsidP="00613F1D">
      <w:pPr>
        <w:pStyle w:val="Akapitzlist"/>
        <w:numPr>
          <w:ilvl w:val="0"/>
          <w:numId w:val="26"/>
        </w:numPr>
        <w:jc w:val="both"/>
      </w:pPr>
      <w:r w:rsidRPr="00613F1D">
        <w:t>działania w obszarze dobrowolnych powrotów, przede wszystkim szkolenia, warsztaty w tym</w:t>
      </w:r>
      <w:r w:rsidR="00613F1D">
        <w:t xml:space="preserve"> zakresie dla funkcjonariuszy </w:t>
      </w:r>
      <w:r w:rsidRPr="00613F1D">
        <w:t>oraz pracowników mających bezpośredni kontakt z migrantami;</w:t>
      </w:r>
    </w:p>
    <w:p w14:paraId="1B364A32" w14:textId="77777777" w:rsidR="002D7130" w:rsidRPr="009C2B5F" w:rsidRDefault="00613F1D" w:rsidP="00613F1D">
      <w:pPr>
        <w:pStyle w:val="Akapitzlist"/>
        <w:numPr>
          <w:ilvl w:val="0"/>
          <w:numId w:val="26"/>
        </w:numPr>
        <w:jc w:val="both"/>
        <w:rPr>
          <w:b/>
        </w:rPr>
      </w:pPr>
      <w:r w:rsidRPr="00632393">
        <w:t>pomoc dla małoletnich bez opieki i innych grup o specjalnych potrzebach.</w:t>
      </w:r>
      <w:r w:rsidR="00630991" w:rsidRPr="009C2B5F">
        <w:t xml:space="preserve"> </w:t>
      </w:r>
    </w:p>
    <w:p w14:paraId="0CC92B5C" w14:textId="77777777" w:rsidR="00D25356" w:rsidRDefault="002D7130" w:rsidP="00A76FBA">
      <w:pPr>
        <w:jc w:val="both"/>
        <w:rPr>
          <w:rFonts w:cstheme="minorHAnsi"/>
          <w:lang w:val="pl-PL"/>
        </w:rPr>
      </w:pPr>
      <w:r>
        <w:rPr>
          <w:b/>
          <w:lang w:val="pl-PL"/>
        </w:rPr>
        <w:t>I.</w:t>
      </w:r>
      <w:r w:rsidR="00535DC3">
        <w:rPr>
          <w:b/>
          <w:lang w:val="pl-PL"/>
        </w:rPr>
        <w:t>3</w:t>
      </w:r>
      <w:r>
        <w:rPr>
          <w:b/>
          <w:lang w:val="pl-PL"/>
        </w:rPr>
        <w:t xml:space="preserve"> Cele programu</w:t>
      </w:r>
      <w:r w:rsidR="00535DC3">
        <w:rPr>
          <w:b/>
          <w:lang w:val="pl-PL"/>
        </w:rPr>
        <w:t xml:space="preserve"> (obszar tematyczny </w:t>
      </w:r>
      <w:r w:rsidR="00F80030">
        <w:rPr>
          <w:b/>
          <w:lang w:val="pl-PL"/>
        </w:rPr>
        <w:t xml:space="preserve">nr </w:t>
      </w:r>
      <w:r w:rsidR="008D449B">
        <w:rPr>
          <w:b/>
          <w:lang w:val="pl-PL"/>
        </w:rPr>
        <w:t>18</w:t>
      </w:r>
      <w:r w:rsidR="00535DC3">
        <w:rPr>
          <w:b/>
          <w:lang w:val="pl-PL"/>
        </w:rPr>
        <w:t>)</w:t>
      </w:r>
      <w:r>
        <w:rPr>
          <w:b/>
          <w:lang w:val="pl-PL"/>
        </w:rPr>
        <w:t>, rezultaty</w:t>
      </w:r>
      <w:r w:rsidR="006A7B08">
        <w:rPr>
          <w:b/>
          <w:lang w:val="pl-PL"/>
        </w:rPr>
        <w:t xml:space="preserve"> i </w:t>
      </w:r>
      <w:r>
        <w:rPr>
          <w:b/>
          <w:lang w:val="pl-PL"/>
        </w:rPr>
        <w:t>wskaźniki</w:t>
      </w:r>
      <w:r w:rsidR="00D25356" w:rsidRPr="00D25356">
        <w:rPr>
          <w:rFonts w:cstheme="minorHAnsi"/>
          <w:lang w:val="pl-PL"/>
        </w:rPr>
        <w:t xml:space="preserve"> </w:t>
      </w:r>
    </w:p>
    <w:p w14:paraId="1C911352" w14:textId="77777777" w:rsidR="002D7130" w:rsidRDefault="00D25356" w:rsidP="00A76FBA">
      <w:pPr>
        <w:jc w:val="both"/>
        <w:rPr>
          <w:b/>
          <w:lang w:val="pl-PL"/>
        </w:rPr>
      </w:pPr>
      <w:r w:rsidRPr="00D25356">
        <w:rPr>
          <w:rFonts w:cstheme="minorHAnsi"/>
          <w:lang w:val="pl-PL"/>
        </w:rPr>
        <w:t xml:space="preserve">Wnioskodawca powinien stosować/wybrać tylko wskaźnik(i), do którego(ych) osiągnięcia przyczyni się dany projekt. </w:t>
      </w:r>
      <w:r w:rsidRPr="009030B6">
        <w:rPr>
          <w:rFonts w:cstheme="minorHAnsi"/>
          <w:b/>
          <w:lang w:val="pl-PL"/>
        </w:rPr>
        <w:t>Obligatoryjne</w:t>
      </w:r>
      <w:r w:rsidRPr="00D25356">
        <w:rPr>
          <w:rFonts w:cstheme="minorHAnsi"/>
          <w:lang w:val="pl-PL"/>
        </w:rPr>
        <w:t xml:space="preserve"> </w:t>
      </w:r>
      <w:r w:rsidRPr="009B208B">
        <w:rPr>
          <w:rFonts w:cstheme="minorHAnsi"/>
          <w:b/>
          <w:lang w:val="pl-PL"/>
        </w:rPr>
        <w:t>jest wybranie co najmniej jednego wskaźnika</w:t>
      </w:r>
      <w:r w:rsidR="006A7B08" w:rsidRPr="009B208B">
        <w:rPr>
          <w:rFonts w:cstheme="minorHAnsi"/>
          <w:b/>
          <w:lang w:val="pl-PL"/>
        </w:rPr>
        <w:t xml:space="preserve"> w </w:t>
      </w:r>
      <w:r w:rsidRPr="009B208B">
        <w:rPr>
          <w:rFonts w:cstheme="minorHAnsi"/>
          <w:b/>
          <w:lang w:val="pl-PL"/>
        </w:rPr>
        <w:t>zakresie rezultatów dla Programu oraz stworzenie co najmniej jednego wskaźnika własnego dla projektu.</w:t>
      </w:r>
    </w:p>
    <w:tbl>
      <w:tblPr>
        <w:tblStyle w:val="Tabela-Siatka"/>
        <w:tblW w:w="9067" w:type="dxa"/>
        <w:tblLook w:val="04A0" w:firstRow="1" w:lastRow="0" w:firstColumn="1" w:lastColumn="0" w:noHBand="0" w:noVBand="1"/>
      </w:tblPr>
      <w:tblGrid>
        <w:gridCol w:w="3681"/>
        <w:gridCol w:w="5386"/>
      </w:tblGrid>
      <w:tr w:rsidR="00CF0E31" w14:paraId="4FBE97E0" w14:textId="77777777" w:rsidTr="009030B6">
        <w:tc>
          <w:tcPr>
            <w:tcW w:w="3681" w:type="dxa"/>
          </w:tcPr>
          <w:p w14:paraId="049EF70A" w14:textId="77777777" w:rsidR="00CF0E31" w:rsidRDefault="00CF0E31" w:rsidP="002D7130">
            <w:pPr>
              <w:jc w:val="both"/>
              <w:rPr>
                <w:b/>
                <w:lang w:val="pl-PL"/>
              </w:rPr>
            </w:pPr>
            <w:r>
              <w:rPr>
                <w:b/>
                <w:lang w:val="pl-PL"/>
              </w:rPr>
              <w:t>Oczekiwane cele</w:t>
            </w:r>
            <w:r w:rsidR="006A7B08">
              <w:rPr>
                <w:b/>
                <w:lang w:val="pl-PL"/>
              </w:rPr>
              <w:t xml:space="preserve"> i </w:t>
            </w:r>
            <w:r>
              <w:rPr>
                <w:b/>
                <w:lang w:val="pl-PL"/>
              </w:rPr>
              <w:t>rezultaty Programu</w:t>
            </w:r>
          </w:p>
        </w:tc>
        <w:tc>
          <w:tcPr>
            <w:tcW w:w="5386" w:type="dxa"/>
          </w:tcPr>
          <w:p w14:paraId="6177E5FA" w14:textId="77777777" w:rsidR="00CF0E31" w:rsidRDefault="00CF0E31" w:rsidP="00D25356">
            <w:pPr>
              <w:jc w:val="both"/>
              <w:rPr>
                <w:b/>
                <w:lang w:val="pl-PL"/>
              </w:rPr>
            </w:pPr>
            <w:r>
              <w:rPr>
                <w:b/>
                <w:lang w:val="pl-PL"/>
              </w:rPr>
              <w:t>Wskaźnik</w:t>
            </w:r>
          </w:p>
        </w:tc>
      </w:tr>
      <w:tr w:rsidR="00D34FCD" w:rsidRPr="002F30FC" w14:paraId="06315EF9" w14:textId="77777777" w:rsidTr="00D34FCD">
        <w:trPr>
          <w:trHeight w:val="495"/>
        </w:trPr>
        <w:tc>
          <w:tcPr>
            <w:tcW w:w="3681" w:type="dxa"/>
            <w:vMerge w:val="restart"/>
          </w:tcPr>
          <w:p w14:paraId="2E4A717A" w14:textId="3EF6A9B7" w:rsidR="00D34FCD" w:rsidRDefault="00632393" w:rsidP="00A76FBA">
            <w:pPr>
              <w:jc w:val="both"/>
              <w:rPr>
                <w:b/>
                <w:lang w:val="pl-PL"/>
              </w:rPr>
            </w:pPr>
            <w:r>
              <w:rPr>
                <w:b/>
                <w:lang w:val="pl-PL"/>
              </w:rPr>
              <w:t>Cel</w:t>
            </w:r>
          </w:p>
          <w:p w14:paraId="78F02C89" w14:textId="77777777" w:rsidR="00D34FCD" w:rsidRPr="00685676" w:rsidRDefault="00D34FCD" w:rsidP="00A76FBA">
            <w:pPr>
              <w:jc w:val="both"/>
              <w:rPr>
                <w:lang w:val="pl-PL"/>
              </w:rPr>
            </w:pPr>
            <w:r w:rsidRPr="00D34FCD">
              <w:rPr>
                <w:lang w:val="pl-PL"/>
              </w:rPr>
              <w:t xml:space="preserve">Poprawa wydajności w zakresie azylu </w:t>
            </w:r>
            <w:r w:rsidR="00632393">
              <w:rPr>
                <w:lang w:val="pl-PL"/>
              </w:rPr>
              <w:br/>
            </w:r>
            <w:r w:rsidRPr="00D34FCD">
              <w:rPr>
                <w:lang w:val="pl-PL"/>
              </w:rPr>
              <w:t>i migracji</w:t>
            </w:r>
          </w:p>
        </w:tc>
        <w:tc>
          <w:tcPr>
            <w:tcW w:w="5386" w:type="dxa"/>
          </w:tcPr>
          <w:p w14:paraId="30E96E18" w14:textId="77777777" w:rsidR="00D34FCD" w:rsidRPr="00DC32DA" w:rsidRDefault="00D34FCD" w:rsidP="000E783F">
            <w:pPr>
              <w:jc w:val="both"/>
              <w:rPr>
                <w:lang w:val="pl-PL"/>
              </w:rPr>
            </w:pPr>
            <w:r w:rsidRPr="00D34FCD">
              <w:rPr>
                <w:lang w:val="pl-PL"/>
              </w:rPr>
              <w:t>Liczba osób korzystających ze stworzonych lub ulepszonych systemów (z podziałem według płci)</w:t>
            </w:r>
          </w:p>
        </w:tc>
      </w:tr>
      <w:tr w:rsidR="00D34FCD" w:rsidRPr="002F30FC" w14:paraId="4A88E470" w14:textId="77777777" w:rsidTr="009030B6">
        <w:trPr>
          <w:trHeight w:val="495"/>
        </w:trPr>
        <w:tc>
          <w:tcPr>
            <w:tcW w:w="3681" w:type="dxa"/>
            <w:vMerge/>
          </w:tcPr>
          <w:p w14:paraId="2F15182D" w14:textId="77777777" w:rsidR="00D34FCD" w:rsidRDefault="00D34FCD" w:rsidP="00A76FBA">
            <w:pPr>
              <w:jc w:val="both"/>
              <w:rPr>
                <w:b/>
                <w:lang w:val="pl-PL"/>
              </w:rPr>
            </w:pPr>
          </w:p>
        </w:tc>
        <w:tc>
          <w:tcPr>
            <w:tcW w:w="5386" w:type="dxa"/>
          </w:tcPr>
          <w:p w14:paraId="574D4625" w14:textId="77777777" w:rsidR="00D34FCD" w:rsidRPr="00DC32DA" w:rsidRDefault="00D34FCD" w:rsidP="000E783F">
            <w:pPr>
              <w:jc w:val="both"/>
              <w:rPr>
                <w:lang w:val="pl-PL"/>
              </w:rPr>
            </w:pPr>
            <w:r w:rsidRPr="00D34FCD">
              <w:rPr>
                <w:lang w:val="pl-PL"/>
              </w:rPr>
              <w:t>Liczba nieletnich, w tym małoletnich bez opieki ubiegających się o azyl, objętych wsparciem (z podziałem według płci)</w:t>
            </w:r>
          </w:p>
        </w:tc>
      </w:tr>
      <w:tr w:rsidR="00D34FCD" w:rsidRPr="002F30FC" w14:paraId="41EB777B" w14:textId="77777777" w:rsidTr="00D34FCD">
        <w:trPr>
          <w:trHeight w:val="263"/>
        </w:trPr>
        <w:tc>
          <w:tcPr>
            <w:tcW w:w="3681" w:type="dxa"/>
            <w:vMerge w:val="restart"/>
          </w:tcPr>
          <w:p w14:paraId="00B08537" w14:textId="17D9AAB9" w:rsidR="00D34FCD" w:rsidRDefault="00D34FCD" w:rsidP="00A76FBA">
            <w:pPr>
              <w:jc w:val="both"/>
              <w:rPr>
                <w:b/>
                <w:lang w:val="pl-PL"/>
              </w:rPr>
            </w:pPr>
            <w:r>
              <w:rPr>
                <w:b/>
                <w:lang w:val="pl-PL"/>
              </w:rPr>
              <w:t xml:space="preserve">Rezultat </w:t>
            </w:r>
            <w:r w:rsidR="00632393">
              <w:rPr>
                <w:b/>
                <w:lang w:val="pl-PL"/>
              </w:rPr>
              <w:t>1</w:t>
            </w:r>
          </w:p>
          <w:p w14:paraId="0EF3515F" w14:textId="77777777" w:rsidR="00D34FCD" w:rsidRPr="00DC32DA" w:rsidRDefault="00D34FCD" w:rsidP="00DC32DA">
            <w:pPr>
              <w:jc w:val="both"/>
              <w:rPr>
                <w:lang w:val="pl-PL"/>
              </w:rPr>
            </w:pPr>
            <w:r w:rsidRPr="00D34FCD">
              <w:rPr>
                <w:lang w:val="pl-PL"/>
              </w:rPr>
              <w:t xml:space="preserve">Zwiększone wsparcie dla migrantów </w:t>
            </w:r>
            <w:r w:rsidR="00632393">
              <w:rPr>
                <w:lang w:val="pl-PL"/>
              </w:rPr>
              <w:br/>
            </w:r>
            <w:r w:rsidRPr="00D34FCD">
              <w:rPr>
                <w:lang w:val="pl-PL"/>
              </w:rPr>
              <w:t>i osób ubiegających się o azyl</w:t>
            </w:r>
          </w:p>
        </w:tc>
        <w:tc>
          <w:tcPr>
            <w:tcW w:w="5386" w:type="dxa"/>
          </w:tcPr>
          <w:p w14:paraId="27855A71" w14:textId="1AAE3181" w:rsidR="00D34FCD" w:rsidRPr="009B208B" w:rsidRDefault="00D34FCD" w:rsidP="00A76FBA">
            <w:pPr>
              <w:jc w:val="both"/>
              <w:rPr>
                <w:b/>
                <w:lang w:val="pl-PL"/>
              </w:rPr>
            </w:pPr>
            <w:r w:rsidRPr="009B208B">
              <w:rPr>
                <w:b/>
                <w:lang w:val="pl-PL"/>
              </w:rPr>
              <w:t xml:space="preserve">Liczba ośrodków dla migrantów i osób ubiegających się </w:t>
            </w:r>
            <w:r w:rsidR="009B208B">
              <w:rPr>
                <w:b/>
                <w:lang w:val="pl-PL"/>
              </w:rPr>
              <w:br/>
            </w:r>
            <w:r w:rsidRPr="009B208B">
              <w:rPr>
                <w:b/>
                <w:lang w:val="pl-PL"/>
              </w:rPr>
              <w:t>o azyl, gdzie wprowadzono dodatkowe usługi</w:t>
            </w:r>
          </w:p>
        </w:tc>
      </w:tr>
      <w:tr w:rsidR="00D34FCD" w:rsidRPr="002F30FC" w14:paraId="3BA5F0C4" w14:textId="77777777" w:rsidTr="009030B6">
        <w:trPr>
          <w:trHeight w:val="262"/>
        </w:trPr>
        <w:tc>
          <w:tcPr>
            <w:tcW w:w="3681" w:type="dxa"/>
            <w:vMerge/>
          </w:tcPr>
          <w:p w14:paraId="01538463" w14:textId="77777777" w:rsidR="00D34FCD" w:rsidRDefault="00D34FCD" w:rsidP="00A76FBA">
            <w:pPr>
              <w:jc w:val="both"/>
              <w:rPr>
                <w:b/>
                <w:lang w:val="pl-PL"/>
              </w:rPr>
            </w:pPr>
          </w:p>
        </w:tc>
        <w:tc>
          <w:tcPr>
            <w:tcW w:w="5386" w:type="dxa"/>
          </w:tcPr>
          <w:p w14:paraId="7C0A8BE6" w14:textId="77777777" w:rsidR="00D34FCD" w:rsidRPr="009B208B" w:rsidRDefault="00D34FCD" w:rsidP="00A76FBA">
            <w:pPr>
              <w:jc w:val="both"/>
              <w:rPr>
                <w:b/>
                <w:lang w:val="pl-PL"/>
              </w:rPr>
            </w:pPr>
            <w:r w:rsidRPr="009B208B">
              <w:rPr>
                <w:b/>
                <w:lang w:val="pl-PL"/>
              </w:rPr>
              <w:t>Liczba personelu przeszkolonego w zakresie dobrowolnych powrotów (z podziałem według płci)</w:t>
            </w:r>
          </w:p>
        </w:tc>
      </w:tr>
      <w:tr w:rsidR="00D34FCD" w:rsidRPr="002F30FC" w14:paraId="5FE1AA38" w14:textId="77777777" w:rsidTr="009030B6">
        <w:trPr>
          <w:trHeight w:val="547"/>
        </w:trPr>
        <w:tc>
          <w:tcPr>
            <w:tcW w:w="3681" w:type="dxa"/>
            <w:vMerge/>
          </w:tcPr>
          <w:p w14:paraId="6812581B" w14:textId="77777777" w:rsidR="00D34FCD" w:rsidRDefault="00D34FCD" w:rsidP="00A76FBA">
            <w:pPr>
              <w:jc w:val="both"/>
              <w:rPr>
                <w:b/>
                <w:lang w:val="pl-PL"/>
              </w:rPr>
            </w:pPr>
          </w:p>
        </w:tc>
        <w:tc>
          <w:tcPr>
            <w:tcW w:w="5386" w:type="dxa"/>
          </w:tcPr>
          <w:p w14:paraId="22CAF9E6" w14:textId="77777777" w:rsidR="00D34FCD" w:rsidRPr="009B208B" w:rsidRDefault="00D34FCD" w:rsidP="00A76FBA">
            <w:pPr>
              <w:jc w:val="both"/>
              <w:rPr>
                <w:b/>
                <w:lang w:val="pl-PL"/>
              </w:rPr>
            </w:pPr>
            <w:r w:rsidRPr="009B208B">
              <w:rPr>
                <w:b/>
                <w:lang w:val="pl-PL"/>
              </w:rPr>
              <w:t>Liczba personelu przeszkolonego w dziedzinie wsparcia dla małoletnich bez opieki ubiegających się o azyl i innych wrażliwych grup społecznych (z podziałem według płci)</w:t>
            </w:r>
          </w:p>
        </w:tc>
      </w:tr>
      <w:tr w:rsidR="00D34FCD" w:rsidRPr="002F30FC" w14:paraId="79607748" w14:textId="77777777" w:rsidTr="009030B6">
        <w:trPr>
          <w:trHeight w:val="547"/>
        </w:trPr>
        <w:tc>
          <w:tcPr>
            <w:tcW w:w="3681" w:type="dxa"/>
          </w:tcPr>
          <w:p w14:paraId="6F4C12FD" w14:textId="14773B80" w:rsidR="00D34FCD" w:rsidRDefault="00D34FCD" w:rsidP="00D34FCD">
            <w:pPr>
              <w:jc w:val="both"/>
              <w:rPr>
                <w:b/>
                <w:lang w:val="pl-PL"/>
              </w:rPr>
            </w:pPr>
            <w:r>
              <w:rPr>
                <w:b/>
                <w:lang w:val="pl-PL"/>
              </w:rPr>
              <w:t xml:space="preserve">Rezultat </w:t>
            </w:r>
            <w:r w:rsidR="00632393">
              <w:rPr>
                <w:b/>
                <w:lang w:val="pl-PL"/>
              </w:rPr>
              <w:t>2</w:t>
            </w:r>
          </w:p>
          <w:p w14:paraId="54815C49" w14:textId="77777777" w:rsidR="00D34FCD" w:rsidRPr="00D34FCD" w:rsidRDefault="00D34FCD" w:rsidP="00D34FCD">
            <w:pPr>
              <w:jc w:val="both"/>
              <w:rPr>
                <w:lang w:val="pl-PL"/>
              </w:rPr>
            </w:pPr>
            <w:r w:rsidRPr="00D34FCD">
              <w:rPr>
                <w:lang w:val="pl-PL"/>
              </w:rPr>
              <w:t>Lepsza koordynacja i rozwijanie potencjału między właściwymi instytucjami a organizacjami pozarządowymi</w:t>
            </w:r>
          </w:p>
        </w:tc>
        <w:tc>
          <w:tcPr>
            <w:tcW w:w="5386" w:type="dxa"/>
          </w:tcPr>
          <w:p w14:paraId="01BE3769" w14:textId="77777777" w:rsidR="00D34FCD" w:rsidRPr="009B208B" w:rsidRDefault="00125720" w:rsidP="00A76FBA">
            <w:pPr>
              <w:jc w:val="both"/>
              <w:rPr>
                <w:b/>
                <w:lang w:val="pl-PL"/>
              </w:rPr>
            </w:pPr>
            <w:r w:rsidRPr="009B208B">
              <w:rPr>
                <w:b/>
                <w:lang w:val="pl-PL"/>
              </w:rPr>
              <w:t xml:space="preserve">Liczba inicjatyw organizowanych we współpracy </w:t>
            </w:r>
            <w:r w:rsidR="00632393" w:rsidRPr="009B208B">
              <w:rPr>
                <w:b/>
                <w:lang w:val="pl-PL"/>
              </w:rPr>
              <w:br/>
            </w:r>
            <w:r w:rsidRPr="009B208B">
              <w:rPr>
                <w:b/>
                <w:lang w:val="pl-PL"/>
              </w:rPr>
              <w:t>z organizacjami pozarządowymi</w:t>
            </w:r>
          </w:p>
        </w:tc>
      </w:tr>
    </w:tbl>
    <w:p w14:paraId="04CCF195" w14:textId="77777777" w:rsidR="00B56376" w:rsidRDefault="00B56376" w:rsidP="00A76FBA">
      <w:pPr>
        <w:jc w:val="both"/>
        <w:rPr>
          <w:lang w:val="pl-PL"/>
        </w:rPr>
      </w:pPr>
    </w:p>
    <w:p w14:paraId="455CA53D" w14:textId="77777777" w:rsidR="002D7130" w:rsidRPr="00FF1FC0" w:rsidRDefault="00D6048D" w:rsidP="00A76FBA">
      <w:pPr>
        <w:jc w:val="both"/>
        <w:rPr>
          <w:lang w:val="pl-PL"/>
        </w:rPr>
      </w:pPr>
      <w:r w:rsidRPr="008B2D0A">
        <w:rPr>
          <w:b/>
          <w:lang w:val="pl-PL"/>
        </w:rPr>
        <w:t>Dodatkowe wskaźniki dla współpracy bilateralnej</w:t>
      </w:r>
    </w:p>
    <w:p w14:paraId="6A244D51" w14:textId="77777777" w:rsidR="009B208B" w:rsidRDefault="009030B6" w:rsidP="00A76FBA">
      <w:pPr>
        <w:jc w:val="both"/>
        <w:rPr>
          <w:lang w:val="pl-PL"/>
        </w:rPr>
      </w:pPr>
      <w:r w:rsidRPr="009030B6">
        <w:rPr>
          <w:lang w:val="pl-PL"/>
        </w:rPr>
        <w:t>W przypadku projektów realizowanych we współpracy</w:t>
      </w:r>
      <w:r w:rsidR="006A7B08">
        <w:rPr>
          <w:lang w:val="pl-PL"/>
        </w:rPr>
        <w:t xml:space="preserve"> z</w:t>
      </w:r>
      <w:r w:rsidR="00632393">
        <w:rPr>
          <w:lang w:val="pl-PL"/>
        </w:rPr>
        <w:t xml:space="preserve"> </w:t>
      </w:r>
      <w:r w:rsidRPr="009030B6">
        <w:rPr>
          <w:lang w:val="pl-PL"/>
        </w:rPr>
        <w:t>instytucją norweską obligatoryjne jest</w:t>
      </w:r>
      <w:r w:rsidR="009B208B">
        <w:rPr>
          <w:lang w:val="pl-PL"/>
        </w:rPr>
        <w:t>:</w:t>
      </w:r>
      <w:r w:rsidRPr="009030B6">
        <w:rPr>
          <w:lang w:val="pl-PL"/>
        </w:rPr>
        <w:t xml:space="preserve"> </w:t>
      </w:r>
      <w:r w:rsidR="009B208B">
        <w:rPr>
          <w:lang w:val="pl-PL"/>
        </w:rPr>
        <w:br/>
        <w:t xml:space="preserve">- przeprowadzenie badań ankietowych, zgodnie z przypisami 1,2 i 3, w odniesieniu do </w:t>
      </w:r>
      <w:r w:rsidR="009B208B">
        <w:rPr>
          <w:b/>
          <w:lang w:val="pl-PL"/>
        </w:rPr>
        <w:t xml:space="preserve">celu </w:t>
      </w:r>
      <w:r w:rsidR="009B208B">
        <w:rPr>
          <w:lang w:val="pl-PL"/>
        </w:rPr>
        <w:t>Programu;</w:t>
      </w:r>
    </w:p>
    <w:p w14:paraId="0E3BF346" w14:textId="43177214" w:rsidR="009030B6" w:rsidRDefault="009B208B" w:rsidP="00A76FBA">
      <w:pPr>
        <w:jc w:val="both"/>
        <w:rPr>
          <w:lang w:val="pl-PL"/>
        </w:rPr>
      </w:pPr>
      <w:r>
        <w:rPr>
          <w:lang w:val="pl-PL"/>
        </w:rPr>
        <w:t xml:space="preserve">- </w:t>
      </w:r>
      <w:r w:rsidR="009030B6" w:rsidRPr="009030B6">
        <w:rPr>
          <w:lang w:val="pl-PL"/>
        </w:rPr>
        <w:t xml:space="preserve">wybranie co najmniej jednego ze </w:t>
      </w:r>
      <w:r w:rsidR="009030B6" w:rsidRPr="009B208B">
        <w:rPr>
          <w:b/>
          <w:lang w:val="pl-PL"/>
        </w:rPr>
        <w:t>wskaźników</w:t>
      </w:r>
      <w:r w:rsidR="006A7B08">
        <w:rPr>
          <w:lang w:val="pl-PL"/>
        </w:rPr>
        <w:t xml:space="preserve"> w</w:t>
      </w:r>
      <w:r w:rsidR="00632393">
        <w:rPr>
          <w:lang w:val="pl-PL"/>
        </w:rPr>
        <w:t xml:space="preserve"> </w:t>
      </w:r>
      <w:r w:rsidR="009030B6">
        <w:rPr>
          <w:lang w:val="pl-PL"/>
        </w:rPr>
        <w:t xml:space="preserve">zakresie </w:t>
      </w:r>
      <w:r w:rsidR="009030B6" w:rsidRPr="009B208B">
        <w:rPr>
          <w:b/>
          <w:lang w:val="pl-PL"/>
        </w:rPr>
        <w:t>rezultatów</w:t>
      </w:r>
      <w:r w:rsidR="009030B6">
        <w:rPr>
          <w:lang w:val="pl-PL"/>
        </w:rPr>
        <w:t xml:space="preserve"> </w:t>
      </w:r>
      <w:r w:rsidR="009030B6" w:rsidRPr="009030B6">
        <w:rPr>
          <w:lang w:val="pl-PL"/>
        </w:rPr>
        <w:t xml:space="preserve">wskazanych dla Programu </w:t>
      </w:r>
      <w:r w:rsidR="009030B6">
        <w:rPr>
          <w:lang w:val="pl-PL"/>
        </w:rPr>
        <w:t>„</w:t>
      </w:r>
      <w:r w:rsidR="009030B6" w:rsidRPr="009030B6">
        <w:rPr>
          <w:lang w:val="pl-PL"/>
        </w:rPr>
        <w:t xml:space="preserve">Sprawy wewnętrzne”. </w:t>
      </w:r>
    </w:p>
    <w:p w14:paraId="3B64981B" w14:textId="77777777" w:rsidR="00886C99" w:rsidRDefault="00886C99" w:rsidP="00A76FBA">
      <w:pPr>
        <w:jc w:val="both"/>
        <w:rPr>
          <w:lang w:val="pl-PL"/>
        </w:rPr>
      </w:pPr>
    </w:p>
    <w:p w14:paraId="6F9208CD" w14:textId="77777777" w:rsidR="00886C99" w:rsidRDefault="00886C99" w:rsidP="00A76FBA">
      <w:pPr>
        <w:jc w:val="both"/>
        <w:rPr>
          <w:lang w:val="pl-PL"/>
        </w:rPr>
      </w:pPr>
    </w:p>
    <w:p w14:paraId="0B700A75" w14:textId="77777777" w:rsidR="00886C99" w:rsidRPr="009030B6" w:rsidRDefault="00886C99" w:rsidP="00A76FBA">
      <w:pPr>
        <w:jc w:val="both"/>
        <w:rPr>
          <w:b/>
          <w:lang w:val="pl-PL"/>
        </w:rPr>
      </w:pPr>
    </w:p>
    <w:tbl>
      <w:tblPr>
        <w:tblStyle w:val="Tabela-Siatka"/>
        <w:tblW w:w="9067" w:type="dxa"/>
        <w:tblLook w:val="04A0" w:firstRow="1" w:lastRow="0" w:firstColumn="1" w:lastColumn="0" w:noHBand="0" w:noVBand="1"/>
      </w:tblPr>
      <w:tblGrid>
        <w:gridCol w:w="3681"/>
        <w:gridCol w:w="5386"/>
      </w:tblGrid>
      <w:tr w:rsidR="003570CE" w14:paraId="290EC229" w14:textId="77777777" w:rsidTr="009030B6">
        <w:tc>
          <w:tcPr>
            <w:tcW w:w="3681" w:type="dxa"/>
          </w:tcPr>
          <w:p w14:paraId="2CF07D4D" w14:textId="77777777" w:rsidR="003570CE" w:rsidRDefault="003570CE" w:rsidP="00D25356">
            <w:pPr>
              <w:jc w:val="both"/>
              <w:rPr>
                <w:b/>
                <w:lang w:val="pl-PL"/>
              </w:rPr>
            </w:pPr>
            <w:r>
              <w:rPr>
                <w:b/>
                <w:lang w:val="pl-PL"/>
              </w:rPr>
              <w:lastRenderedPageBreak/>
              <w:t>Oczekiwane cele</w:t>
            </w:r>
            <w:r w:rsidR="006A7B08">
              <w:rPr>
                <w:b/>
                <w:lang w:val="pl-PL"/>
              </w:rPr>
              <w:t xml:space="preserve"> i </w:t>
            </w:r>
            <w:r>
              <w:rPr>
                <w:b/>
                <w:lang w:val="pl-PL"/>
              </w:rPr>
              <w:t>rezultaty Programu</w:t>
            </w:r>
          </w:p>
        </w:tc>
        <w:tc>
          <w:tcPr>
            <w:tcW w:w="5386" w:type="dxa"/>
          </w:tcPr>
          <w:p w14:paraId="2103C7A5" w14:textId="77777777" w:rsidR="003570CE" w:rsidRDefault="003570CE" w:rsidP="00D25356">
            <w:pPr>
              <w:jc w:val="both"/>
              <w:rPr>
                <w:b/>
                <w:lang w:val="pl-PL"/>
              </w:rPr>
            </w:pPr>
            <w:r>
              <w:rPr>
                <w:b/>
                <w:lang w:val="pl-PL"/>
              </w:rPr>
              <w:t>Wskaźnik</w:t>
            </w:r>
          </w:p>
        </w:tc>
      </w:tr>
      <w:tr w:rsidR="00632393" w:rsidRPr="002F30FC" w14:paraId="3A194906" w14:textId="77777777" w:rsidTr="00632393">
        <w:trPr>
          <w:trHeight w:val="458"/>
        </w:trPr>
        <w:tc>
          <w:tcPr>
            <w:tcW w:w="3681" w:type="dxa"/>
            <w:vMerge w:val="restart"/>
          </w:tcPr>
          <w:p w14:paraId="363B61BB" w14:textId="77777777" w:rsidR="00632393" w:rsidRDefault="00632393" w:rsidP="00D25356">
            <w:pPr>
              <w:jc w:val="both"/>
              <w:rPr>
                <w:b/>
                <w:lang w:val="pl-PL"/>
              </w:rPr>
            </w:pPr>
            <w:r>
              <w:rPr>
                <w:b/>
                <w:lang w:val="pl-PL"/>
              </w:rPr>
              <w:t>Cel</w:t>
            </w:r>
          </w:p>
          <w:p w14:paraId="1F211DAD" w14:textId="77777777" w:rsidR="00632393" w:rsidRPr="00685676" w:rsidRDefault="00632393" w:rsidP="00632393">
            <w:pPr>
              <w:jc w:val="both"/>
              <w:rPr>
                <w:lang w:val="pl-PL"/>
              </w:rPr>
            </w:pPr>
            <w:r>
              <w:rPr>
                <w:lang w:val="pl-PL"/>
              </w:rPr>
              <w:t>Wzmocniona współpraca pomiędzy polskimi i norweskimi podmiotami zaangażowanymi w Program „Sprawy wewnętrzne”</w:t>
            </w:r>
          </w:p>
        </w:tc>
        <w:tc>
          <w:tcPr>
            <w:tcW w:w="5386" w:type="dxa"/>
          </w:tcPr>
          <w:p w14:paraId="547C280C" w14:textId="77777777" w:rsidR="00632393" w:rsidRPr="00DC32DA" w:rsidRDefault="00632393" w:rsidP="00632393">
            <w:pPr>
              <w:jc w:val="both"/>
              <w:rPr>
                <w:lang w:val="pl-PL"/>
              </w:rPr>
            </w:pPr>
            <w:r>
              <w:rPr>
                <w:lang w:val="pl-PL"/>
              </w:rPr>
              <w:t>Udział procentowy organizacji, które stosują wiedzę zdobytą w ramach partnerstwa dwustronnego</w:t>
            </w:r>
            <w:r>
              <w:rPr>
                <w:rStyle w:val="Odwoanieprzypisudolnego"/>
                <w:lang w:val="pl-PL"/>
              </w:rPr>
              <w:footnoteReference w:id="1"/>
            </w:r>
          </w:p>
        </w:tc>
      </w:tr>
      <w:tr w:rsidR="00632393" w:rsidRPr="00632393" w14:paraId="39842343" w14:textId="77777777" w:rsidTr="003C3CA1">
        <w:trPr>
          <w:trHeight w:val="457"/>
        </w:trPr>
        <w:tc>
          <w:tcPr>
            <w:tcW w:w="3681" w:type="dxa"/>
            <w:vMerge/>
          </w:tcPr>
          <w:p w14:paraId="77133DE6" w14:textId="77777777" w:rsidR="00632393" w:rsidRDefault="00632393" w:rsidP="00D25356">
            <w:pPr>
              <w:jc w:val="both"/>
              <w:rPr>
                <w:b/>
                <w:lang w:val="pl-PL"/>
              </w:rPr>
            </w:pPr>
          </w:p>
        </w:tc>
        <w:tc>
          <w:tcPr>
            <w:tcW w:w="5386" w:type="dxa"/>
          </w:tcPr>
          <w:p w14:paraId="383A8EC6" w14:textId="77777777" w:rsidR="00632393" w:rsidRDefault="00632393" w:rsidP="00D25356">
            <w:pPr>
              <w:jc w:val="both"/>
              <w:rPr>
                <w:lang w:val="pl-PL"/>
              </w:rPr>
            </w:pPr>
            <w:r>
              <w:rPr>
                <w:lang w:val="pl-PL"/>
              </w:rPr>
              <w:t>Poziom zadowolenia z partnerstwa</w:t>
            </w:r>
            <w:r>
              <w:rPr>
                <w:rStyle w:val="Odwoanieprzypisudolnego"/>
                <w:lang w:val="pl-PL"/>
              </w:rPr>
              <w:footnoteReference w:id="2"/>
            </w:r>
          </w:p>
        </w:tc>
      </w:tr>
      <w:tr w:rsidR="00632393" w:rsidRPr="002F30FC" w14:paraId="14A202BA" w14:textId="77777777" w:rsidTr="009030B6">
        <w:trPr>
          <w:trHeight w:val="450"/>
        </w:trPr>
        <w:tc>
          <w:tcPr>
            <w:tcW w:w="3681" w:type="dxa"/>
            <w:vMerge/>
          </w:tcPr>
          <w:p w14:paraId="1D49994F" w14:textId="77777777" w:rsidR="00632393" w:rsidRDefault="00632393" w:rsidP="00D25356">
            <w:pPr>
              <w:jc w:val="both"/>
              <w:rPr>
                <w:b/>
                <w:lang w:val="pl-PL"/>
              </w:rPr>
            </w:pPr>
          </w:p>
        </w:tc>
        <w:tc>
          <w:tcPr>
            <w:tcW w:w="5386" w:type="dxa"/>
          </w:tcPr>
          <w:p w14:paraId="2B8B289E" w14:textId="77777777" w:rsidR="00632393" w:rsidRPr="00DC32DA" w:rsidRDefault="00632393" w:rsidP="00EB3838">
            <w:pPr>
              <w:rPr>
                <w:lang w:val="pl-PL"/>
              </w:rPr>
            </w:pPr>
            <w:r w:rsidRPr="008B2D0A">
              <w:rPr>
                <w:lang w:val="pl-PL"/>
              </w:rPr>
              <w:t>Poziom zaufania między współpracującymi podmiotami</w:t>
            </w:r>
            <w:r>
              <w:rPr>
                <w:lang w:val="pl-PL"/>
              </w:rPr>
              <w:t xml:space="preserve"> w </w:t>
            </w:r>
            <w:r w:rsidRPr="008B2D0A">
              <w:rPr>
                <w:lang w:val="pl-PL"/>
              </w:rPr>
              <w:t>państwach będących beneficjentami</w:t>
            </w:r>
            <w:r>
              <w:rPr>
                <w:lang w:val="pl-PL"/>
              </w:rPr>
              <w:t xml:space="preserve"> i w P</w:t>
            </w:r>
            <w:r w:rsidRPr="008B2D0A">
              <w:rPr>
                <w:lang w:val="pl-PL"/>
              </w:rPr>
              <w:t>aństwie-</w:t>
            </w:r>
            <w:r>
              <w:rPr>
                <w:lang w:val="pl-PL"/>
              </w:rPr>
              <w:t>D</w:t>
            </w:r>
            <w:r w:rsidRPr="008B2D0A">
              <w:rPr>
                <w:lang w:val="pl-PL"/>
              </w:rPr>
              <w:t>arczyńcy</w:t>
            </w:r>
            <w:r>
              <w:rPr>
                <w:rStyle w:val="Odwoanieprzypisudolnego"/>
                <w:lang w:val="pl-PL"/>
              </w:rPr>
              <w:footnoteReference w:id="3"/>
            </w:r>
          </w:p>
        </w:tc>
      </w:tr>
      <w:tr w:rsidR="00125720" w:rsidRPr="002F30FC" w14:paraId="17F7CBE1" w14:textId="77777777" w:rsidTr="009030B6">
        <w:trPr>
          <w:trHeight w:val="204"/>
        </w:trPr>
        <w:tc>
          <w:tcPr>
            <w:tcW w:w="3681" w:type="dxa"/>
            <w:vMerge w:val="restart"/>
          </w:tcPr>
          <w:p w14:paraId="264F5E6E" w14:textId="77777777" w:rsidR="00125720" w:rsidRPr="008B2D0A" w:rsidRDefault="00125720" w:rsidP="00D25356">
            <w:pPr>
              <w:jc w:val="both"/>
              <w:rPr>
                <w:b/>
                <w:lang w:val="pl-PL"/>
              </w:rPr>
            </w:pPr>
            <w:r w:rsidRPr="008B2D0A">
              <w:rPr>
                <w:b/>
                <w:lang w:val="pl-PL"/>
              </w:rPr>
              <w:t>Rezultat</w:t>
            </w:r>
          </w:p>
          <w:p w14:paraId="4DE67907" w14:textId="77777777" w:rsidR="00125720" w:rsidRDefault="00125720" w:rsidP="00632393">
            <w:pPr>
              <w:jc w:val="both"/>
              <w:rPr>
                <w:b/>
                <w:lang w:val="pl-PL"/>
              </w:rPr>
            </w:pPr>
            <w:r>
              <w:rPr>
                <w:lang w:val="pl-PL"/>
              </w:rPr>
              <w:t>Budowanie potencjału w</w:t>
            </w:r>
            <w:r w:rsidR="00632393">
              <w:rPr>
                <w:lang w:val="pl-PL"/>
              </w:rPr>
              <w:t xml:space="preserve"> </w:t>
            </w:r>
            <w:r>
              <w:rPr>
                <w:lang w:val="pl-PL"/>
              </w:rPr>
              <w:t>celu wzmocnienia praworządności</w:t>
            </w:r>
          </w:p>
        </w:tc>
        <w:tc>
          <w:tcPr>
            <w:tcW w:w="5386" w:type="dxa"/>
          </w:tcPr>
          <w:p w14:paraId="1DBDDDEF" w14:textId="77777777" w:rsidR="00125720" w:rsidRPr="009B208B" w:rsidRDefault="00125720" w:rsidP="008B2D0A">
            <w:pPr>
              <w:rPr>
                <w:b/>
                <w:lang w:val="pl-PL"/>
              </w:rPr>
            </w:pPr>
            <w:r w:rsidRPr="009B208B">
              <w:rPr>
                <w:b/>
                <w:lang w:val="pl-PL"/>
              </w:rPr>
              <w:t>Liczba seminariów, szkoleń i warsztatów między polskimi i norweskimi organami ścigania</w:t>
            </w:r>
          </w:p>
        </w:tc>
      </w:tr>
      <w:tr w:rsidR="00125720" w:rsidRPr="002F30FC" w14:paraId="7A357240" w14:textId="77777777" w:rsidTr="00125720">
        <w:trPr>
          <w:trHeight w:val="270"/>
        </w:trPr>
        <w:tc>
          <w:tcPr>
            <w:tcW w:w="3681" w:type="dxa"/>
            <w:vMerge/>
          </w:tcPr>
          <w:p w14:paraId="1855371B" w14:textId="77777777" w:rsidR="00125720" w:rsidRPr="008B2D0A" w:rsidRDefault="00125720" w:rsidP="00D25356">
            <w:pPr>
              <w:jc w:val="both"/>
              <w:rPr>
                <w:b/>
                <w:lang w:val="pl-PL"/>
              </w:rPr>
            </w:pPr>
          </w:p>
        </w:tc>
        <w:tc>
          <w:tcPr>
            <w:tcW w:w="5386" w:type="dxa"/>
          </w:tcPr>
          <w:p w14:paraId="182FBB69" w14:textId="77777777" w:rsidR="00125720" w:rsidRPr="009B208B" w:rsidRDefault="00125720" w:rsidP="009030B6">
            <w:pPr>
              <w:rPr>
                <w:b/>
                <w:lang w:val="pl-PL"/>
              </w:rPr>
            </w:pPr>
            <w:r w:rsidRPr="009B208B">
              <w:rPr>
                <w:b/>
                <w:lang w:val="pl-PL"/>
              </w:rPr>
              <w:t>Liczba projektów obejmujących współpracę z partnerem projektu z Państwa-Darczyńcy</w:t>
            </w:r>
          </w:p>
        </w:tc>
      </w:tr>
    </w:tbl>
    <w:p w14:paraId="77AFD2AB" w14:textId="77777777" w:rsidR="00C3241C" w:rsidRPr="00364E32" w:rsidRDefault="00C3241C" w:rsidP="00A76FBA">
      <w:pPr>
        <w:jc w:val="both"/>
        <w:rPr>
          <w:rFonts w:cs="Arial"/>
          <w:lang w:val="pl-PL"/>
        </w:rPr>
      </w:pPr>
    </w:p>
    <w:p w14:paraId="2F31E05C" w14:textId="77777777" w:rsidR="009F0D2A" w:rsidRPr="009D6B77" w:rsidRDefault="002D7130" w:rsidP="00A76FBA">
      <w:pPr>
        <w:jc w:val="both"/>
        <w:rPr>
          <w:rFonts w:cs="Arial"/>
          <w:b/>
          <w:lang w:val="pl-PL"/>
        </w:rPr>
      </w:pPr>
      <w:r>
        <w:rPr>
          <w:rFonts w:cs="Arial"/>
          <w:b/>
          <w:lang w:val="pl-PL"/>
        </w:rPr>
        <w:t>I</w:t>
      </w:r>
      <w:r w:rsidR="009F0D2A" w:rsidRPr="00364E32">
        <w:rPr>
          <w:rFonts w:cs="Arial"/>
          <w:b/>
          <w:lang w:val="pl-PL"/>
        </w:rPr>
        <w:t xml:space="preserve">I. </w:t>
      </w:r>
      <w:r w:rsidR="00D60CFE" w:rsidRPr="00364E32">
        <w:rPr>
          <w:rFonts w:cs="Arial"/>
          <w:b/>
          <w:lang w:val="pl-PL"/>
        </w:rPr>
        <w:t>PRZYGOTOWANIE I ZŁOŻENIE WNIOSKU APLIKACYJNEGO</w:t>
      </w:r>
    </w:p>
    <w:p w14:paraId="2778F52D" w14:textId="77777777" w:rsidR="006562AA" w:rsidRPr="00364E32" w:rsidRDefault="006562AA" w:rsidP="00A76FBA">
      <w:pPr>
        <w:jc w:val="both"/>
        <w:rPr>
          <w:rFonts w:cs="Arial"/>
          <w:lang w:val="pl-PL"/>
        </w:rPr>
      </w:pPr>
      <w:r w:rsidRPr="00364E32">
        <w:rPr>
          <w:rFonts w:cs="Arial"/>
          <w:lang w:val="pl-PL"/>
        </w:rPr>
        <w:t xml:space="preserve">Wniosek aplikacyjny </w:t>
      </w:r>
      <w:r w:rsidR="005E51B7">
        <w:rPr>
          <w:rFonts w:cs="Arial"/>
          <w:lang w:val="pl-PL"/>
        </w:rPr>
        <w:t>jest</w:t>
      </w:r>
      <w:r w:rsidRPr="00364E32">
        <w:rPr>
          <w:rFonts w:cs="Arial"/>
          <w:lang w:val="pl-PL"/>
        </w:rPr>
        <w:t xml:space="preserve"> przygotow</w:t>
      </w:r>
      <w:r w:rsidR="005E51B7">
        <w:rPr>
          <w:rFonts w:cs="Arial"/>
          <w:lang w:val="pl-PL"/>
        </w:rPr>
        <w:t>yw</w:t>
      </w:r>
      <w:r w:rsidRPr="00364E32">
        <w:rPr>
          <w:rFonts w:cs="Arial"/>
          <w:lang w:val="pl-PL"/>
        </w:rPr>
        <w:t xml:space="preserve">any </w:t>
      </w:r>
      <w:r w:rsidR="00C460B0" w:rsidRPr="00364E32">
        <w:rPr>
          <w:rFonts w:cs="Arial"/>
          <w:lang w:val="pl-PL"/>
        </w:rPr>
        <w:t>przez wnioskodawcę na wzorze udostępnionym przez Operatora Programu</w:t>
      </w:r>
      <w:r w:rsidR="0022766F" w:rsidRPr="00364E32">
        <w:rPr>
          <w:rFonts w:cs="Arial"/>
          <w:lang w:val="pl-PL"/>
        </w:rPr>
        <w:t>/</w:t>
      </w:r>
      <w:r w:rsidR="006A7B08">
        <w:rPr>
          <w:rFonts w:cs="Arial"/>
          <w:lang w:val="pl-PL"/>
        </w:rPr>
        <w:t>COPE MSWiA</w:t>
      </w:r>
      <w:r w:rsidR="00C460B0" w:rsidRPr="00364E32">
        <w:rPr>
          <w:rFonts w:cs="Arial"/>
          <w:lang w:val="pl-PL"/>
        </w:rPr>
        <w:t xml:space="preserve"> (Załącznik nr 1 do </w:t>
      </w:r>
      <w:r w:rsidR="005E51B7" w:rsidRPr="002C46D3">
        <w:rPr>
          <w:rFonts w:cs="Arial"/>
          <w:i/>
          <w:lang w:val="pl-PL"/>
        </w:rPr>
        <w:t>Ogłoszenia</w:t>
      </w:r>
      <w:r w:rsidR="006A7B08">
        <w:rPr>
          <w:rFonts w:cs="Arial"/>
          <w:i/>
          <w:lang w:val="pl-PL"/>
        </w:rPr>
        <w:t xml:space="preserve"> o </w:t>
      </w:r>
      <w:r w:rsidR="005E51B7" w:rsidRPr="002C46D3">
        <w:rPr>
          <w:rFonts w:cs="Arial"/>
          <w:i/>
          <w:lang w:val="pl-PL"/>
        </w:rPr>
        <w:t>naborze wniosków</w:t>
      </w:r>
      <w:r w:rsidR="000871B3" w:rsidRPr="00364E32">
        <w:rPr>
          <w:rFonts w:cs="Arial"/>
          <w:lang w:val="pl-PL"/>
        </w:rPr>
        <w:t xml:space="preserve">). Wnioski, które zostaną wypełnione na innym formularzu, </w:t>
      </w:r>
      <w:r w:rsidR="00AD6C98" w:rsidRPr="00364E32">
        <w:rPr>
          <w:rFonts w:cs="Arial"/>
          <w:lang w:val="pl-PL"/>
        </w:rPr>
        <w:t xml:space="preserve">zostaną </w:t>
      </w:r>
      <w:r w:rsidR="003A7BB0">
        <w:rPr>
          <w:rFonts w:cs="Arial"/>
          <w:lang w:val="pl-PL"/>
        </w:rPr>
        <w:t>wykluczone</w:t>
      </w:r>
      <w:r w:rsidR="006A7B08">
        <w:rPr>
          <w:rFonts w:cs="Arial"/>
          <w:lang w:val="pl-PL"/>
        </w:rPr>
        <w:t xml:space="preserve"> z </w:t>
      </w:r>
      <w:r w:rsidR="00AD6C98" w:rsidRPr="00364E32">
        <w:rPr>
          <w:rFonts w:cs="Arial"/>
          <w:lang w:val="pl-PL"/>
        </w:rPr>
        <w:t xml:space="preserve">dalszej oceny </w:t>
      </w:r>
      <w:r w:rsidR="000871B3" w:rsidRPr="00364E32">
        <w:rPr>
          <w:rFonts w:cs="Arial"/>
          <w:lang w:val="pl-PL"/>
        </w:rPr>
        <w:t>na etapie oceny formalnej.</w:t>
      </w:r>
    </w:p>
    <w:p w14:paraId="66628B53" w14:textId="77777777" w:rsidR="00CA5AC8" w:rsidRDefault="00CA5AC8" w:rsidP="00A76FBA">
      <w:pPr>
        <w:jc w:val="both"/>
        <w:rPr>
          <w:rFonts w:cs="Arial"/>
          <w:lang w:val="pl-PL"/>
        </w:rPr>
      </w:pPr>
      <w:r>
        <w:rPr>
          <w:rFonts w:cs="Arial"/>
          <w:lang w:val="pl-PL"/>
        </w:rPr>
        <w:t>Wniosek składa się</w:t>
      </w:r>
      <w:r w:rsidR="006A7B08">
        <w:rPr>
          <w:rFonts w:cs="Arial"/>
          <w:lang w:val="pl-PL"/>
        </w:rPr>
        <w:t xml:space="preserve"> z </w:t>
      </w:r>
      <w:r>
        <w:rPr>
          <w:rFonts w:cs="Arial"/>
          <w:lang w:val="pl-PL"/>
        </w:rPr>
        <w:t xml:space="preserve">części merytorycznej (opisowej) oraz finansowej (budżetu). </w:t>
      </w:r>
      <w:r w:rsidR="005F099E">
        <w:rPr>
          <w:rFonts w:cs="Arial"/>
          <w:lang w:val="pl-PL"/>
        </w:rPr>
        <w:t>Zasady ogólne kwalifikowalności wydatków</w:t>
      </w:r>
      <w:r w:rsidR="00D84A05">
        <w:rPr>
          <w:rFonts w:cs="Arial"/>
          <w:lang w:val="pl-PL"/>
        </w:rPr>
        <w:t>, według których należy sporządzać budżet wniosku,</w:t>
      </w:r>
      <w:r w:rsidR="005F099E">
        <w:rPr>
          <w:rFonts w:cs="Arial"/>
          <w:lang w:val="pl-PL"/>
        </w:rPr>
        <w:t xml:space="preserve"> </w:t>
      </w:r>
      <w:r w:rsidR="005E51B7">
        <w:rPr>
          <w:rFonts w:cs="Arial"/>
          <w:lang w:val="pl-PL"/>
        </w:rPr>
        <w:t xml:space="preserve">są </w:t>
      </w:r>
      <w:r w:rsidR="005F099E">
        <w:rPr>
          <w:rFonts w:cs="Arial"/>
          <w:lang w:val="pl-PL"/>
        </w:rPr>
        <w:t>zawarte</w:t>
      </w:r>
      <w:r w:rsidR="006A7B08">
        <w:rPr>
          <w:rFonts w:cs="Arial"/>
          <w:lang w:val="pl-PL"/>
        </w:rPr>
        <w:t xml:space="preserve"> w </w:t>
      </w:r>
      <w:r w:rsidR="00B97675">
        <w:rPr>
          <w:rFonts w:cs="Arial"/>
          <w:lang w:val="pl-PL"/>
        </w:rPr>
        <w:t xml:space="preserve">Rozdziale 8 </w:t>
      </w:r>
      <w:r w:rsidR="005F099E" w:rsidRPr="009030B6">
        <w:rPr>
          <w:rFonts w:cs="Arial"/>
          <w:i/>
          <w:lang w:val="pl-PL"/>
        </w:rPr>
        <w:t>Regulacj</w:t>
      </w:r>
      <w:r w:rsidR="00B97675" w:rsidRPr="009030B6">
        <w:rPr>
          <w:rFonts w:cs="Arial"/>
          <w:i/>
          <w:lang w:val="pl-PL"/>
        </w:rPr>
        <w:t>i NMF 2014-2021</w:t>
      </w:r>
      <w:r w:rsidR="00D84A05">
        <w:rPr>
          <w:rFonts w:cs="Arial"/>
          <w:lang w:val="pl-PL"/>
        </w:rPr>
        <w:t>, a</w:t>
      </w:r>
      <w:r w:rsidR="00B97675">
        <w:rPr>
          <w:rFonts w:cs="Arial"/>
          <w:lang w:val="pl-PL"/>
        </w:rPr>
        <w:t xml:space="preserve"> </w:t>
      </w:r>
      <w:r w:rsidR="00D84A05">
        <w:rPr>
          <w:rFonts w:cs="Arial"/>
          <w:lang w:val="pl-PL"/>
        </w:rPr>
        <w:t>s</w:t>
      </w:r>
      <w:r w:rsidR="00B97675">
        <w:rPr>
          <w:rFonts w:cs="Arial"/>
          <w:lang w:val="pl-PL"/>
        </w:rPr>
        <w:t>zczegółowe informacje</w:t>
      </w:r>
      <w:r w:rsidR="006A7B08">
        <w:rPr>
          <w:rFonts w:cs="Arial"/>
          <w:lang w:val="pl-PL"/>
        </w:rPr>
        <w:t xml:space="preserve"> w </w:t>
      </w:r>
      <w:r w:rsidR="00B97675">
        <w:rPr>
          <w:rFonts w:cs="Arial"/>
          <w:lang w:val="pl-PL"/>
        </w:rPr>
        <w:t>tym zakresie oraz system przepływów finansowych</w:t>
      </w:r>
      <w:r w:rsidR="006A7B08">
        <w:rPr>
          <w:rFonts w:cs="Arial"/>
          <w:lang w:val="pl-PL"/>
        </w:rPr>
        <w:t xml:space="preserve"> i </w:t>
      </w:r>
      <w:r w:rsidR="00B97675">
        <w:rPr>
          <w:rFonts w:cs="Arial"/>
          <w:lang w:val="pl-PL"/>
        </w:rPr>
        <w:t>inne wskazówki dla Beneficjentów</w:t>
      </w:r>
      <w:r w:rsidR="006A7B08">
        <w:rPr>
          <w:rFonts w:cs="Arial"/>
          <w:lang w:val="pl-PL"/>
        </w:rPr>
        <w:t xml:space="preserve"> w </w:t>
      </w:r>
      <w:r w:rsidR="00E34E47">
        <w:rPr>
          <w:rFonts w:cs="Arial"/>
          <w:lang w:val="pl-PL"/>
        </w:rPr>
        <w:t>zakresie systemu raportowania</w:t>
      </w:r>
      <w:r w:rsidR="006A7B08">
        <w:rPr>
          <w:rFonts w:cs="Arial"/>
          <w:lang w:val="pl-PL"/>
        </w:rPr>
        <w:t xml:space="preserve"> i </w:t>
      </w:r>
      <w:r w:rsidR="00E34E47">
        <w:rPr>
          <w:rFonts w:cs="Arial"/>
          <w:lang w:val="pl-PL"/>
        </w:rPr>
        <w:t xml:space="preserve">rozliczania ponoszonych wydatków </w:t>
      </w:r>
      <w:r w:rsidR="005E51B7">
        <w:rPr>
          <w:rFonts w:cs="Arial"/>
          <w:lang w:val="pl-PL"/>
        </w:rPr>
        <w:t xml:space="preserve">zostały </w:t>
      </w:r>
      <w:r w:rsidR="00B97675">
        <w:rPr>
          <w:rFonts w:cs="Arial"/>
          <w:lang w:val="pl-PL"/>
        </w:rPr>
        <w:t>zawarte</w:t>
      </w:r>
      <w:r w:rsidR="006A7B08">
        <w:rPr>
          <w:rFonts w:cs="Arial"/>
          <w:lang w:val="pl-PL"/>
        </w:rPr>
        <w:t xml:space="preserve"> w </w:t>
      </w:r>
      <w:r w:rsidR="00B97675" w:rsidRPr="00B97675">
        <w:rPr>
          <w:rFonts w:cs="Arial"/>
          <w:i/>
          <w:lang w:val="pl-PL"/>
        </w:rPr>
        <w:t xml:space="preserve">Wytycznych dla Beneficjentów </w:t>
      </w:r>
      <w:r w:rsidR="00632393">
        <w:rPr>
          <w:rFonts w:cs="Arial"/>
          <w:i/>
          <w:lang w:val="pl-PL"/>
        </w:rPr>
        <w:t>P</w:t>
      </w:r>
      <w:r w:rsidR="00B97675" w:rsidRPr="00B97675">
        <w:rPr>
          <w:rFonts w:cs="Arial"/>
          <w:i/>
          <w:lang w:val="pl-PL"/>
        </w:rPr>
        <w:t xml:space="preserve">rogramu </w:t>
      </w:r>
      <w:r w:rsidR="00632393">
        <w:rPr>
          <w:rFonts w:cs="Arial"/>
          <w:i/>
          <w:lang w:val="pl-PL"/>
        </w:rPr>
        <w:t>„</w:t>
      </w:r>
      <w:r w:rsidR="00B97675" w:rsidRPr="00B97675">
        <w:rPr>
          <w:rFonts w:cs="Arial"/>
          <w:i/>
          <w:lang w:val="pl-PL"/>
        </w:rPr>
        <w:t>Sprawy wewnętrzne</w:t>
      </w:r>
      <w:r w:rsidR="00632393">
        <w:rPr>
          <w:rFonts w:cs="Arial"/>
          <w:i/>
          <w:lang w:val="pl-PL"/>
        </w:rPr>
        <w:t xml:space="preserve">” </w:t>
      </w:r>
      <w:r w:rsidR="00B97675" w:rsidRPr="00B97675">
        <w:rPr>
          <w:rFonts w:cs="Arial"/>
          <w:i/>
          <w:lang w:val="pl-PL"/>
        </w:rPr>
        <w:t>NMF 2014-2021</w:t>
      </w:r>
      <w:r w:rsidR="00B97675">
        <w:rPr>
          <w:rFonts w:cs="Arial"/>
          <w:i/>
          <w:lang w:val="pl-PL"/>
        </w:rPr>
        <w:t xml:space="preserve">, </w:t>
      </w:r>
      <w:r w:rsidR="00B97675" w:rsidRPr="005576C6">
        <w:rPr>
          <w:rFonts w:cs="Arial"/>
          <w:lang w:val="pl-PL"/>
        </w:rPr>
        <w:t xml:space="preserve">stanowiących Załącznik </w:t>
      </w:r>
      <w:r w:rsidR="008B0E0C" w:rsidRPr="005576C6">
        <w:rPr>
          <w:rFonts w:cs="Arial"/>
          <w:lang w:val="pl-PL"/>
        </w:rPr>
        <w:t xml:space="preserve">nr 2 </w:t>
      </w:r>
      <w:r w:rsidR="00B97675" w:rsidRPr="005576C6">
        <w:rPr>
          <w:rFonts w:cs="Arial"/>
          <w:lang w:val="pl-PL"/>
        </w:rPr>
        <w:t>do</w:t>
      </w:r>
      <w:r w:rsidR="00B97675">
        <w:rPr>
          <w:rFonts w:cs="Arial"/>
          <w:lang w:val="pl-PL"/>
        </w:rPr>
        <w:t xml:space="preserve"> </w:t>
      </w:r>
      <w:r w:rsidR="00B97675" w:rsidRPr="002C46D3">
        <w:rPr>
          <w:rFonts w:cs="Arial"/>
          <w:i/>
          <w:lang w:val="pl-PL"/>
        </w:rPr>
        <w:t>Ogłoszenia</w:t>
      </w:r>
      <w:r w:rsidR="006A7B08">
        <w:rPr>
          <w:rFonts w:cs="Arial"/>
          <w:i/>
          <w:lang w:val="pl-PL"/>
        </w:rPr>
        <w:t xml:space="preserve"> o</w:t>
      </w:r>
      <w:r w:rsidR="00632393">
        <w:rPr>
          <w:rFonts w:cs="Arial"/>
          <w:i/>
          <w:lang w:val="pl-PL"/>
        </w:rPr>
        <w:t xml:space="preserve"> </w:t>
      </w:r>
      <w:r w:rsidR="00B97675" w:rsidRPr="002C46D3">
        <w:rPr>
          <w:rFonts w:cs="Arial"/>
          <w:i/>
          <w:lang w:val="pl-PL"/>
        </w:rPr>
        <w:t>naborze wniosków</w:t>
      </w:r>
      <w:r w:rsidR="00B97675">
        <w:rPr>
          <w:rFonts w:cs="Arial"/>
          <w:lang w:val="pl-PL"/>
        </w:rPr>
        <w:t>.</w:t>
      </w:r>
    </w:p>
    <w:p w14:paraId="034B8984" w14:textId="77777777" w:rsidR="00A06E0A" w:rsidRPr="00A06E0A" w:rsidRDefault="00A06E0A" w:rsidP="00A06E0A">
      <w:pPr>
        <w:spacing w:after="120" w:line="240" w:lineRule="auto"/>
        <w:jc w:val="both"/>
        <w:rPr>
          <w:lang w:val="pl-PL"/>
        </w:rPr>
      </w:pPr>
      <w:r w:rsidRPr="00A06E0A">
        <w:rPr>
          <w:lang w:val="pl-PL"/>
        </w:rPr>
        <w:t>Wnioski należy złożyć w języku polskim w:</w:t>
      </w:r>
    </w:p>
    <w:p w14:paraId="03E73FE9" w14:textId="38D14A72" w:rsidR="00A06E0A" w:rsidRPr="00C96AB8" w:rsidRDefault="00A06E0A" w:rsidP="00A06E0A">
      <w:pPr>
        <w:pStyle w:val="Akapitzlist"/>
        <w:numPr>
          <w:ilvl w:val="0"/>
          <w:numId w:val="30"/>
        </w:numPr>
        <w:spacing w:after="120" w:line="240" w:lineRule="auto"/>
        <w:jc w:val="both"/>
        <w:rPr>
          <w:b/>
          <w:bCs/>
        </w:rPr>
      </w:pPr>
      <w:r>
        <w:t xml:space="preserve">2 egzemplarzach </w:t>
      </w:r>
      <w:r w:rsidRPr="00930772">
        <w:t xml:space="preserve">w formie </w:t>
      </w:r>
      <w:r>
        <w:t>pisemnej (w postaci papierowej) i</w:t>
      </w:r>
      <w:r w:rsidRPr="00930772">
        <w:t xml:space="preserve"> </w:t>
      </w:r>
      <w:r w:rsidR="00A7210B">
        <w:t>w wersji</w:t>
      </w:r>
      <w:r>
        <w:t xml:space="preserve"> </w:t>
      </w:r>
      <w:r w:rsidRPr="00930772">
        <w:t>elektronicznej</w:t>
      </w:r>
      <w:r>
        <w:t xml:space="preserve"> </w:t>
      </w:r>
      <w:r w:rsidRPr="00930772">
        <w:t>osobiście</w:t>
      </w:r>
      <w:r>
        <w:t xml:space="preserve"> lub</w:t>
      </w:r>
      <w:r w:rsidRPr="00930772">
        <w:t xml:space="preserve"> nadać pocztą</w:t>
      </w:r>
      <w:r>
        <w:t>/</w:t>
      </w:r>
      <w:r w:rsidRPr="00930772">
        <w:t xml:space="preserve">kurierem na adres siedziby </w:t>
      </w:r>
      <w:r>
        <w:t>COPE MSWiA</w:t>
      </w:r>
      <w:r w:rsidRPr="00930772">
        <w:t>:</w:t>
      </w:r>
      <w:r w:rsidRPr="00C96AB8">
        <w:rPr>
          <w:b/>
          <w:bCs/>
        </w:rPr>
        <w:t xml:space="preserve"> Centrum Obsługi Projektów Europejskich Ministerstwa Spraw Wewnętrznych i</w:t>
      </w:r>
      <w:r>
        <w:rPr>
          <w:b/>
          <w:bCs/>
        </w:rPr>
        <w:t> </w:t>
      </w:r>
      <w:r w:rsidRPr="00C96AB8">
        <w:rPr>
          <w:b/>
          <w:bCs/>
        </w:rPr>
        <w:t>Administracji, ul. Puławska 99a, 02-595 Warszawa.</w:t>
      </w:r>
    </w:p>
    <w:p w14:paraId="598B6E8A" w14:textId="77777777" w:rsidR="00A06E0A" w:rsidRPr="00A06E0A" w:rsidRDefault="00A06E0A" w:rsidP="00A06E0A">
      <w:pPr>
        <w:ind w:left="851"/>
        <w:jc w:val="both"/>
        <w:rPr>
          <w:lang w:val="pl-PL"/>
        </w:rPr>
      </w:pPr>
      <w:r w:rsidRPr="00A06E0A">
        <w:rPr>
          <w:rFonts w:cs="Arial"/>
          <w:lang w:val="pl-PL"/>
        </w:rPr>
        <w:t xml:space="preserve">Oba egzemplarze w postaci papierowej muszą być podpisane przez wnioskodawcę lub osobę upoważnioną do reprezentowania instytucji wraz </w:t>
      </w:r>
      <w:r w:rsidRPr="00A06E0A">
        <w:rPr>
          <w:lang w:val="pl-PL"/>
        </w:rPr>
        <w:t>z załączeniem oryginału lub kopii dokumentu poświadczającego umocowanie takiej osoby do reprezentowania wnioskodawcy</w:t>
      </w:r>
      <w:r>
        <w:rPr>
          <w:rStyle w:val="Odwoanieprzypisudolnego"/>
        </w:rPr>
        <w:footnoteReference w:id="4"/>
      </w:r>
      <w:r w:rsidRPr="00A06E0A">
        <w:rPr>
          <w:lang w:val="pl-PL"/>
        </w:rPr>
        <w:t xml:space="preserve">. </w:t>
      </w:r>
    </w:p>
    <w:p w14:paraId="551C8B00" w14:textId="77777777" w:rsidR="00A06E0A" w:rsidRPr="00364E32" w:rsidRDefault="00A06E0A" w:rsidP="00A06E0A">
      <w:pPr>
        <w:ind w:firstLine="708"/>
        <w:jc w:val="both"/>
        <w:rPr>
          <w:rFonts w:cs="Arial"/>
        </w:rPr>
      </w:pPr>
      <w:r>
        <w:rPr>
          <w:rFonts w:cs="Arial"/>
        </w:rPr>
        <w:t>albo</w:t>
      </w:r>
    </w:p>
    <w:p w14:paraId="6CAB4EE7" w14:textId="1CFF384F" w:rsidR="00A06E0A" w:rsidRPr="00A06E0A" w:rsidRDefault="00A06E0A" w:rsidP="00A76FBA">
      <w:pPr>
        <w:pStyle w:val="Akapitzlist"/>
        <w:numPr>
          <w:ilvl w:val="0"/>
          <w:numId w:val="30"/>
        </w:numPr>
        <w:spacing w:after="120" w:line="240" w:lineRule="auto"/>
        <w:jc w:val="both"/>
      </w:pPr>
      <w:r>
        <w:lastRenderedPageBreak/>
        <w:t xml:space="preserve">w formie elektronicznej </w:t>
      </w:r>
      <w:r w:rsidRPr="00C96AB8">
        <w:t>poprzez platformę EPUAP</w:t>
      </w:r>
      <w:r w:rsidRPr="0048703F">
        <w:t xml:space="preserve"> n</w:t>
      </w:r>
      <w:r>
        <w:t>a elektroniczną skrzynkę podawcz</w:t>
      </w:r>
      <w:r w:rsidRPr="0048703F">
        <w:t xml:space="preserve">ą </w:t>
      </w:r>
      <w:r w:rsidRPr="00C96AB8">
        <w:t xml:space="preserve">Centrum Obsługi Projektów Europejskich Ministerstwa Spraw Wewnętrznych i Administracji (adres: </w:t>
      </w:r>
      <w:r>
        <w:t>/COPEMSW/SkrytkaESP</w:t>
      </w:r>
      <w:r w:rsidRPr="00B94137">
        <w:t>)</w:t>
      </w:r>
      <w:r w:rsidRPr="0048703F">
        <w:t>. Wnios</w:t>
      </w:r>
      <w:r>
        <w:t>e</w:t>
      </w:r>
      <w:r w:rsidRPr="0048703F">
        <w:t>k mus</w:t>
      </w:r>
      <w:r>
        <w:t>i</w:t>
      </w:r>
      <w:r w:rsidRPr="0048703F">
        <w:t xml:space="preserve"> zawierać podpis </w:t>
      </w:r>
      <w:r>
        <w:t xml:space="preserve">kwalifikowany </w:t>
      </w:r>
      <w:r w:rsidRPr="0048703F">
        <w:t>osoby upoważnionej</w:t>
      </w:r>
      <w:r>
        <w:t xml:space="preserve"> </w:t>
      </w:r>
      <w:r w:rsidRPr="00364E32">
        <w:rPr>
          <w:rFonts w:cs="Arial"/>
        </w:rPr>
        <w:t xml:space="preserve">wraz </w:t>
      </w:r>
      <w:r w:rsidRPr="00364E32">
        <w:t>z załączeniem oryginału lub kopii dokumentu poświadczającego umocowanie takiej osoby do reprezentowania wnioskodawcy</w:t>
      </w:r>
      <w:r>
        <w:rPr>
          <w:rStyle w:val="Odwoanieprzypisudolnego"/>
        </w:rPr>
        <w:footnoteReference w:id="5"/>
      </w:r>
      <w:r w:rsidRPr="00364E32">
        <w:t>.</w:t>
      </w:r>
      <w:r w:rsidRPr="0048703F" w:rsidDel="00B94137">
        <w:t xml:space="preserve"> </w:t>
      </w:r>
    </w:p>
    <w:p w14:paraId="0E44BDCB" w14:textId="77777777" w:rsidR="00CD00FE" w:rsidRDefault="00CD00FE" w:rsidP="00A76FBA">
      <w:pPr>
        <w:jc w:val="both"/>
        <w:rPr>
          <w:rFonts w:cs="Arial"/>
          <w:lang w:val="pl-PL"/>
        </w:rPr>
      </w:pPr>
      <w:r>
        <w:rPr>
          <w:rFonts w:cs="Arial"/>
          <w:lang w:val="pl-PL"/>
        </w:rPr>
        <w:t>Z</w:t>
      </w:r>
      <w:r w:rsidR="006E0FA3">
        <w:rPr>
          <w:rFonts w:cs="Arial"/>
          <w:lang w:val="pl-PL"/>
        </w:rPr>
        <w:t>ałączniki do wniosku</w:t>
      </w:r>
      <w:r>
        <w:rPr>
          <w:rFonts w:cs="Arial"/>
          <w:lang w:val="pl-PL"/>
        </w:rPr>
        <w:t>:</w:t>
      </w:r>
    </w:p>
    <w:p w14:paraId="7E31C406" w14:textId="77777777" w:rsidR="00CD00FE" w:rsidRPr="009C2B5F" w:rsidRDefault="006E0FA3" w:rsidP="009C2B5F">
      <w:pPr>
        <w:pStyle w:val="Akapitzlist"/>
        <w:numPr>
          <w:ilvl w:val="0"/>
          <w:numId w:val="24"/>
        </w:numPr>
        <w:ind w:left="426"/>
        <w:jc w:val="both"/>
        <w:rPr>
          <w:rFonts w:cs="Arial"/>
        </w:rPr>
      </w:pPr>
      <w:r w:rsidRPr="009C2B5F">
        <w:rPr>
          <w:rFonts w:cs="Arial"/>
        </w:rPr>
        <w:t>kopia dokumentu potwierdzającego status prawny</w:t>
      </w:r>
      <w:r w:rsidR="00056362" w:rsidRPr="009C2B5F">
        <w:rPr>
          <w:rFonts w:cs="Arial"/>
        </w:rPr>
        <w:t xml:space="preserve"> i kwalifikowalność</w:t>
      </w:r>
      <w:r w:rsidRPr="009C2B5F">
        <w:rPr>
          <w:rFonts w:cs="Arial"/>
        </w:rPr>
        <w:t xml:space="preserve"> wnioskodawcy</w:t>
      </w:r>
      <w:r w:rsidR="00056362">
        <w:rPr>
          <w:rStyle w:val="Odwoanieprzypisudolnego"/>
          <w:rFonts w:cs="Arial"/>
        </w:rPr>
        <w:footnoteReference w:id="6"/>
      </w:r>
      <w:r w:rsidRPr="009C2B5F">
        <w:rPr>
          <w:rFonts w:cs="Arial"/>
        </w:rPr>
        <w:t xml:space="preserve"> (np. statut</w:t>
      </w:r>
      <w:r w:rsidR="00056362" w:rsidRPr="009C2B5F">
        <w:rPr>
          <w:rFonts w:cs="Arial"/>
        </w:rPr>
        <w:t xml:space="preserve"> w przypadku organizacji pozarządowej, </w:t>
      </w:r>
      <w:r w:rsidR="00056362" w:rsidRPr="009C2B5F">
        <w:t>akt ustanawiający organizację międzynarodową, jej organ lub agencję w przypadku organizacji międzynarodowej, jej organu lub agencji</w:t>
      </w:r>
      <w:r w:rsidR="000E00B9" w:rsidRPr="009C2B5F">
        <w:rPr>
          <w:rFonts w:cs="Arial"/>
        </w:rPr>
        <w:t>)</w:t>
      </w:r>
      <w:r w:rsidR="00CD00FE" w:rsidRPr="009C2B5F">
        <w:rPr>
          <w:rFonts w:cs="Arial"/>
        </w:rPr>
        <w:t>;</w:t>
      </w:r>
    </w:p>
    <w:p w14:paraId="563A0B9F" w14:textId="77777777" w:rsidR="00CD00FE" w:rsidRPr="009C2B5F" w:rsidRDefault="00CD00FE" w:rsidP="009C2B5F">
      <w:pPr>
        <w:pStyle w:val="Akapitzlist"/>
        <w:numPr>
          <w:ilvl w:val="0"/>
          <w:numId w:val="24"/>
        </w:numPr>
        <w:ind w:left="426"/>
        <w:jc w:val="both"/>
        <w:rPr>
          <w:rFonts w:cs="Arial"/>
        </w:rPr>
      </w:pPr>
      <w:r w:rsidRPr="009C2B5F">
        <w:rPr>
          <w:rFonts w:cs="Arial"/>
        </w:rPr>
        <w:t>pełnomocnictwo dla podpisującego (jeżeli dotyczy)</w:t>
      </w:r>
      <w:r w:rsidR="00632393" w:rsidRPr="00632393">
        <w:rPr>
          <w:rStyle w:val="Odwoanieprzypisudolnego"/>
          <w:rFonts w:cs="Arial"/>
        </w:rPr>
        <w:t xml:space="preserve"> </w:t>
      </w:r>
      <w:r w:rsidR="00632393">
        <w:rPr>
          <w:rStyle w:val="Odwoanieprzypisudolnego"/>
          <w:rFonts w:cs="Arial"/>
        </w:rPr>
        <w:footnoteReference w:id="7"/>
      </w:r>
      <w:r w:rsidRPr="009C2B5F">
        <w:rPr>
          <w:rFonts w:cs="Arial"/>
        </w:rPr>
        <w:t>;</w:t>
      </w:r>
    </w:p>
    <w:p w14:paraId="0BDCACE7" w14:textId="77777777" w:rsidR="00CD00FE" w:rsidRPr="009C2B5F" w:rsidRDefault="00CD00FE" w:rsidP="009C2B5F">
      <w:pPr>
        <w:pStyle w:val="Akapitzlist"/>
        <w:numPr>
          <w:ilvl w:val="0"/>
          <w:numId w:val="24"/>
        </w:numPr>
        <w:ind w:left="426"/>
        <w:jc w:val="both"/>
        <w:rPr>
          <w:rFonts w:cs="Arial"/>
        </w:rPr>
      </w:pPr>
      <w:r w:rsidRPr="009C2B5F">
        <w:rPr>
          <w:rFonts w:cs="Arial"/>
        </w:rPr>
        <w:t>list intencyjny lub umowa partnerska (w przypadku projektów realizowanych w partnerstwie);</w:t>
      </w:r>
    </w:p>
    <w:p w14:paraId="2BE1E11A" w14:textId="77777777" w:rsidR="00125964" w:rsidRPr="009C2B5F" w:rsidRDefault="00125964" w:rsidP="009C2B5F">
      <w:pPr>
        <w:pStyle w:val="Akapitzlist"/>
        <w:numPr>
          <w:ilvl w:val="0"/>
          <w:numId w:val="24"/>
        </w:numPr>
        <w:ind w:left="426"/>
        <w:jc w:val="both"/>
        <w:rPr>
          <w:rFonts w:cs="Arial"/>
        </w:rPr>
      </w:pPr>
      <w:r w:rsidRPr="009C2B5F">
        <w:rPr>
          <w:rFonts w:cs="Arial"/>
        </w:rPr>
        <w:t>oświadczenia o niepodleganiu Wnioskodawcy (oraz ew. partnerów) wykluczeniu z możliwości aplikowania o dofinansowanie na podstawie:</w:t>
      </w:r>
    </w:p>
    <w:p w14:paraId="13856B5B" w14:textId="77777777" w:rsidR="00125964" w:rsidRPr="00125964" w:rsidRDefault="00125964" w:rsidP="00125964">
      <w:pPr>
        <w:pStyle w:val="Akapitzlist"/>
        <w:numPr>
          <w:ilvl w:val="0"/>
          <w:numId w:val="8"/>
        </w:numPr>
        <w:jc w:val="both"/>
        <w:rPr>
          <w:rFonts w:cs="Arial"/>
        </w:rPr>
      </w:pPr>
      <w:r w:rsidRPr="00125964">
        <w:rPr>
          <w:rFonts w:cs="Arial"/>
        </w:rPr>
        <w:t xml:space="preserve">Art. 207 ust. 4 </w:t>
      </w:r>
      <w:r w:rsidR="00632393">
        <w:rPr>
          <w:rFonts w:cs="Arial"/>
        </w:rPr>
        <w:t>u</w:t>
      </w:r>
      <w:r w:rsidRPr="00125964">
        <w:rPr>
          <w:rFonts w:cs="Arial"/>
        </w:rPr>
        <w:t xml:space="preserve">stawy </w:t>
      </w:r>
      <w:r w:rsidR="00632393">
        <w:rPr>
          <w:rFonts w:cs="Arial"/>
        </w:rPr>
        <w:t xml:space="preserve">z dnia 27 sierpnia 2009 r. </w:t>
      </w:r>
      <w:r w:rsidRPr="00632393">
        <w:rPr>
          <w:rFonts w:cs="Arial"/>
          <w:i/>
        </w:rPr>
        <w:t xml:space="preserve">o </w:t>
      </w:r>
      <w:r w:rsidR="00632393" w:rsidRPr="00632393">
        <w:rPr>
          <w:rFonts w:cs="Arial"/>
          <w:i/>
        </w:rPr>
        <w:t>f</w:t>
      </w:r>
      <w:r w:rsidRPr="00632393">
        <w:rPr>
          <w:rFonts w:cs="Arial"/>
          <w:i/>
        </w:rPr>
        <w:t xml:space="preserve">inansach </w:t>
      </w:r>
      <w:r w:rsidR="00632393" w:rsidRPr="00632393">
        <w:rPr>
          <w:rFonts w:cs="Arial"/>
          <w:i/>
        </w:rPr>
        <w:t>p</w:t>
      </w:r>
      <w:r w:rsidRPr="00632393">
        <w:rPr>
          <w:rFonts w:cs="Arial"/>
          <w:i/>
        </w:rPr>
        <w:t>ublicznych</w:t>
      </w:r>
      <w:r w:rsidRPr="00125964">
        <w:rPr>
          <w:rFonts w:cs="Arial"/>
        </w:rPr>
        <w:t xml:space="preserve"> (Dz. U. z 2019 r. </w:t>
      </w:r>
      <w:r w:rsidR="00632393">
        <w:rPr>
          <w:rFonts w:cs="Arial"/>
        </w:rPr>
        <w:br/>
      </w:r>
      <w:r w:rsidRPr="00125964">
        <w:rPr>
          <w:rFonts w:cs="Arial"/>
        </w:rPr>
        <w:t>poz. 869</w:t>
      </w:r>
      <w:r w:rsidR="00632393">
        <w:rPr>
          <w:rFonts w:cs="Arial"/>
        </w:rPr>
        <w:t>, z późn. zm.</w:t>
      </w:r>
      <w:r w:rsidRPr="00125964">
        <w:rPr>
          <w:rFonts w:cs="Arial"/>
        </w:rPr>
        <w:t>);</w:t>
      </w:r>
    </w:p>
    <w:p w14:paraId="00742B6C" w14:textId="77777777" w:rsidR="00125964" w:rsidRPr="00125964" w:rsidRDefault="00125964" w:rsidP="00125964">
      <w:pPr>
        <w:pStyle w:val="Akapitzlist"/>
        <w:numPr>
          <w:ilvl w:val="0"/>
          <w:numId w:val="8"/>
        </w:numPr>
        <w:jc w:val="both"/>
        <w:rPr>
          <w:rFonts w:cs="Arial"/>
        </w:rPr>
      </w:pPr>
      <w:r w:rsidRPr="00125964">
        <w:rPr>
          <w:rFonts w:cs="Arial"/>
        </w:rPr>
        <w:t xml:space="preserve">Art. 12 ust. 1 pkt 1 ustawy </w:t>
      </w:r>
      <w:r w:rsidR="00632393">
        <w:rPr>
          <w:rFonts w:cs="Arial"/>
        </w:rPr>
        <w:t xml:space="preserve">z dnia 15 czerwca 2012 r. </w:t>
      </w:r>
      <w:r w:rsidRPr="00632393">
        <w:rPr>
          <w:rFonts w:cs="Arial"/>
          <w:i/>
        </w:rPr>
        <w:t>o skutkach powierzania wykonywania pracy cudzoziemcom przebywającym wbrew przepisom na terytorium rzeczypospolitej polskiej</w:t>
      </w:r>
      <w:r w:rsidRPr="00125964">
        <w:rPr>
          <w:rFonts w:cs="Arial"/>
        </w:rPr>
        <w:t xml:space="preserve"> </w:t>
      </w:r>
      <w:r w:rsidR="00632393">
        <w:rPr>
          <w:rFonts w:cs="Arial"/>
        </w:rPr>
        <w:br/>
      </w:r>
      <w:r w:rsidRPr="00125964">
        <w:rPr>
          <w:rFonts w:cs="Arial"/>
        </w:rPr>
        <w:t>Dz. U. poz. 769</w:t>
      </w:r>
      <w:r w:rsidR="00632393">
        <w:rPr>
          <w:rFonts w:cs="Arial"/>
        </w:rPr>
        <w:t>)</w:t>
      </w:r>
      <w:r w:rsidRPr="00125964">
        <w:rPr>
          <w:rFonts w:cs="Arial"/>
        </w:rPr>
        <w:t>;</w:t>
      </w:r>
    </w:p>
    <w:p w14:paraId="03B28BE8" w14:textId="77777777" w:rsidR="00125964" w:rsidRDefault="00125964" w:rsidP="00125964">
      <w:pPr>
        <w:pStyle w:val="Akapitzlist"/>
        <w:numPr>
          <w:ilvl w:val="0"/>
          <w:numId w:val="8"/>
        </w:numPr>
        <w:jc w:val="both"/>
        <w:rPr>
          <w:rFonts w:cs="Arial"/>
        </w:rPr>
      </w:pPr>
      <w:r w:rsidRPr="00125964">
        <w:rPr>
          <w:rFonts w:cs="Arial"/>
        </w:rPr>
        <w:t xml:space="preserve">Art. 9 ust. 1 pkt 2a ustawy </w:t>
      </w:r>
      <w:r w:rsidR="00632393" w:rsidRPr="00632393">
        <w:rPr>
          <w:rFonts w:cstheme="minorHAnsi"/>
          <w:bCs/>
          <w:color w:val="333333"/>
          <w:shd w:val="clear" w:color="auto" w:fill="FFFFFF"/>
        </w:rPr>
        <w:t>z dnia 28 października 2002 r.</w:t>
      </w:r>
      <w:r w:rsidR="00632393">
        <w:rPr>
          <w:rFonts w:cstheme="minorHAnsi"/>
          <w:bCs/>
          <w:color w:val="333333"/>
          <w:shd w:val="clear" w:color="auto" w:fill="FFFFFF"/>
        </w:rPr>
        <w:t xml:space="preserve"> </w:t>
      </w:r>
      <w:r w:rsidRPr="00632393">
        <w:rPr>
          <w:rFonts w:cs="Arial"/>
          <w:i/>
        </w:rPr>
        <w:t>o odpowiedzialności podmiotów zbiorowych za czyny zabronione pod groźbą kary</w:t>
      </w:r>
      <w:r w:rsidRPr="00125964">
        <w:rPr>
          <w:rFonts w:cs="Arial"/>
        </w:rPr>
        <w:t xml:space="preserve"> (Dz. U. z 2019 r. poz. 628</w:t>
      </w:r>
      <w:r w:rsidR="00632393">
        <w:rPr>
          <w:rFonts w:cs="Arial"/>
        </w:rPr>
        <w:t>,</w:t>
      </w:r>
      <w:r w:rsidRPr="00125964">
        <w:rPr>
          <w:rFonts w:cs="Arial"/>
        </w:rPr>
        <w:t xml:space="preserve"> z późn. zm.).</w:t>
      </w:r>
    </w:p>
    <w:p w14:paraId="73ADE333" w14:textId="77777777" w:rsidR="00125964" w:rsidRDefault="00125964" w:rsidP="00125964">
      <w:pPr>
        <w:jc w:val="both"/>
        <w:rPr>
          <w:rFonts w:cs="Arial"/>
          <w:lang w:val="pl-PL"/>
        </w:rPr>
      </w:pPr>
      <w:r w:rsidRPr="00125964">
        <w:rPr>
          <w:rFonts w:cs="Arial"/>
          <w:lang w:val="pl-PL"/>
        </w:rPr>
        <w:t>Z</w:t>
      </w:r>
      <w:r>
        <w:rPr>
          <w:rFonts w:cs="Arial"/>
          <w:lang w:val="pl-PL"/>
        </w:rPr>
        <w:t>ałącznikiem nieobligatoryjnym jest rozpoznanie rynku</w:t>
      </w:r>
      <w:r w:rsidR="005074CC">
        <w:rPr>
          <w:rFonts w:cs="Arial"/>
          <w:lang w:val="pl-PL"/>
        </w:rPr>
        <w:t xml:space="preserve"> (uzasadniające wysokość przyjętych w budżecie stawek)</w:t>
      </w:r>
      <w:r>
        <w:rPr>
          <w:rFonts w:cs="Arial"/>
          <w:lang w:val="pl-PL"/>
        </w:rPr>
        <w:t xml:space="preserve">. Przy ocenie pod uwagę brane będą rozpoznania przeprowadzone wśród </w:t>
      </w:r>
      <w:r w:rsidR="00632393">
        <w:rPr>
          <w:rFonts w:cs="Arial"/>
          <w:lang w:val="pl-PL"/>
        </w:rPr>
        <w:br/>
      </w:r>
      <w:r>
        <w:rPr>
          <w:rFonts w:cs="Arial"/>
          <w:lang w:val="pl-PL"/>
        </w:rPr>
        <w:t xml:space="preserve">co najmniej 3 podmiotów, nie </w:t>
      </w:r>
      <w:r w:rsidR="00AC2EDC">
        <w:rPr>
          <w:rFonts w:cs="Arial"/>
          <w:lang w:val="pl-PL"/>
        </w:rPr>
        <w:t>więcej</w:t>
      </w:r>
      <w:r>
        <w:rPr>
          <w:rFonts w:cs="Arial"/>
          <w:lang w:val="pl-PL"/>
        </w:rPr>
        <w:t xml:space="preserve"> niż rok przed złożeniem wniosku.</w:t>
      </w:r>
    </w:p>
    <w:p w14:paraId="70F20F66" w14:textId="0A9F42B9" w:rsidR="005D775E" w:rsidRPr="00364E32" w:rsidRDefault="005D775E" w:rsidP="00A76FBA">
      <w:pPr>
        <w:jc w:val="both"/>
        <w:rPr>
          <w:rFonts w:cs="Arial"/>
          <w:lang w:val="pl-PL"/>
        </w:rPr>
      </w:pPr>
      <w:r w:rsidRPr="00364E32">
        <w:rPr>
          <w:rFonts w:cs="Arial"/>
          <w:lang w:val="pl-PL"/>
        </w:rPr>
        <w:t>Do wniosków</w:t>
      </w:r>
      <w:r w:rsidR="006A7B08">
        <w:rPr>
          <w:rFonts w:cs="Arial"/>
          <w:lang w:val="pl-PL"/>
        </w:rPr>
        <w:t xml:space="preserve"> w </w:t>
      </w:r>
      <w:r w:rsidR="00163783">
        <w:rPr>
          <w:rFonts w:cs="Arial"/>
          <w:lang w:val="pl-PL"/>
        </w:rPr>
        <w:t>postaci</w:t>
      </w:r>
      <w:r w:rsidR="00163783" w:rsidRPr="00364E32">
        <w:rPr>
          <w:rFonts w:cs="Arial"/>
          <w:lang w:val="pl-PL"/>
        </w:rPr>
        <w:t xml:space="preserve"> </w:t>
      </w:r>
      <w:r w:rsidRPr="00364E32">
        <w:rPr>
          <w:rFonts w:cs="Arial"/>
          <w:lang w:val="pl-PL"/>
        </w:rPr>
        <w:t>papierowej należy dołączyć jeden egzemplarz</w:t>
      </w:r>
      <w:r w:rsidR="00DD0AAE" w:rsidRPr="00364E32">
        <w:rPr>
          <w:rFonts w:cs="Arial"/>
          <w:lang w:val="pl-PL"/>
        </w:rPr>
        <w:t xml:space="preserve"> wniosku</w:t>
      </w:r>
      <w:r w:rsidR="006A7B08">
        <w:rPr>
          <w:rFonts w:cs="Arial"/>
          <w:lang w:val="pl-PL"/>
        </w:rPr>
        <w:t xml:space="preserve"> w </w:t>
      </w:r>
      <w:r w:rsidR="00DD0AAE" w:rsidRPr="00364E32">
        <w:rPr>
          <w:rFonts w:cs="Arial"/>
          <w:lang w:val="pl-PL"/>
        </w:rPr>
        <w:t>języku polskim</w:t>
      </w:r>
      <w:r w:rsidR="006A7B08">
        <w:rPr>
          <w:rFonts w:cs="Arial"/>
          <w:lang w:val="pl-PL"/>
        </w:rPr>
        <w:t xml:space="preserve"> o </w:t>
      </w:r>
      <w:r w:rsidRPr="00364E32">
        <w:rPr>
          <w:rFonts w:cs="Arial"/>
          <w:lang w:val="pl-PL"/>
        </w:rPr>
        <w:t>tożsamej treści,</w:t>
      </w:r>
      <w:r w:rsidR="006A7B08">
        <w:rPr>
          <w:rFonts w:cs="Arial"/>
          <w:lang w:val="pl-PL"/>
        </w:rPr>
        <w:t xml:space="preserve"> w </w:t>
      </w:r>
      <w:r w:rsidR="000F18EF">
        <w:rPr>
          <w:rFonts w:cs="Arial"/>
          <w:lang w:val="pl-PL"/>
        </w:rPr>
        <w:t>postaci</w:t>
      </w:r>
      <w:r w:rsidR="000F18EF" w:rsidRPr="00364E32">
        <w:rPr>
          <w:rFonts w:cs="Arial"/>
          <w:lang w:val="pl-PL"/>
        </w:rPr>
        <w:t xml:space="preserve"> </w:t>
      </w:r>
      <w:r w:rsidRPr="00364E32">
        <w:rPr>
          <w:rFonts w:cs="Arial"/>
          <w:lang w:val="pl-PL"/>
        </w:rPr>
        <w:t>elektronicznej</w:t>
      </w:r>
      <w:r w:rsidR="0022766F" w:rsidRPr="00364E32">
        <w:rPr>
          <w:rFonts w:cs="Arial"/>
          <w:lang w:val="pl-PL"/>
        </w:rPr>
        <w:t xml:space="preserve"> (</w:t>
      </w:r>
      <w:r w:rsidR="00A06E0A">
        <w:rPr>
          <w:rFonts w:cs="Arial"/>
          <w:lang w:val="pl-PL"/>
        </w:rPr>
        <w:t xml:space="preserve">wniosek </w:t>
      </w:r>
      <w:r w:rsidR="00163783">
        <w:rPr>
          <w:rFonts w:cs="Arial"/>
          <w:lang w:val="pl-PL"/>
        </w:rPr>
        <w:t>w formacie .xlsx</w:t>
      </w:r>
      <w:r w:rsidR="0022766F" w:rsidRPr="00364E32">
        <w:rPr>
          <w:rFonts w:cs="Arial"/>
          <w:lang w:val="pl-PL"/>
        </w:rPr>
        <w:t>)</w:t>
      </w:r>
      <w:r w:rsidR="005E51B7">
        <w:rPr>
          <w:rFonts w:cs="Arial"/>
          <w:lang w:val="pl-PL"/>
        </w:rPr>
        <w:t xml:space="preserve"> wraz</w:t>
      </w:r>
      <w:r w:rsidR="006A7B08">
        <w:rPr>
          <w:rFonts w:cs="Arial"/>
          <w:lang w:val="pl-PL"/>
        </w:rPr>
        <w:t xml:space="preserve"> z</w:t>
      </w:r>
      <w:r w:rsidR="006E0FA3">
        <w:rPr>
          <w:rFonts w:cs="Arial"/>
          <w:lang w:val="pl-PL"/>
        </w:rPr>
        <w:t>e</w:t>
      </w:r>
      <w:r w:rsidR="006A7B08">
        <w:rPr>
          <w:rFonts w:cs="Arial"/>
          <w:lang w:val="pl-PL"/>
        </w:rPr>
        <w:t> </w:t>
      </w:r>
      <w:r w:rsidR="00AD6C98">
        <w:rPr>
          <w:rFonts w:cs="Arial"/>
          <w:lang w:val="pl-PL"/>
        </w:rPr>
        <w:t>wszystkimi</w:t>
      </w:r>
      <w:r w:rsidR="005E51B7">
        <w:rPr>
          <w:rFonts w:cs="Arial"/>
          <w:lang w:val="pl-PL"/>
        </w:rPr>
        <w:t xml:space="preserve"> załącznikami</w:t>
      </w:r>
      <w:r w:rsidRPr="00364E32">
        <w:rPr>
          <w:rFonts w:cs="Arial"/>
          <w:lang w:val="pl-PL"/>
        </w:rPr>
        <w:t>. Dopuszcza się następujące formy wniosku</w:t>
      </w:r>
      <w:r w:rsidR="006A7B08">
        <w:rPr>
          <w:rFonts w:cs="Arial"/>
          <w:lang w:val="pl-PL"/>
        </w:rPr>
        <w:t xml:space="preserve"> w </w:t>
      </w:r>
      <w:r w:rsidR="000F18EF">
        <w:rPr>
          <w:rFonts w:cs="Arial"/>
          <w:lang w:val="pl-PL"/>
        </w:rPr>
        <w:t>postaci</w:t>
      </w:r>
      <w:r w:rsidR="000F18EF" w:rsidRPr="00364E32">
        <w:rPr>
          <w:rFonts w:cs="Arial"/>
          <w:lang w:val="pl-PL"/>
        </w:rPr>
        <w:t xml:space="preserve"> </w:t>
      </w:r>
      <w:r w:rsidRPr="00364E32">
        <w:rPr>
          <w:rFonts w:cs="Arial"/>
          <w:lang w:val="pl-PL"/>
        </w:rPr>
        <w:t>elektronicznej: płyta CD/DVD</w:t>
      </w:r>
      <w:r w:rsidR="00DB5CB7">
        <w:rPr>
          <w:rFonts w:cs="Arial"/>
          <w:lang w:val="pl-PL"/>
        </w:rPr>
        <w:t>/dysk zewn</w:t>
      </w:r>
      <w:r w:rsidR="00265256">
        <w:rPr>
          <w:rFonts w:cs="Arial"/>
          <w:lang w:val="pl-PL"/>
        </w:rPr>
        <w:t>. (pen </w:t>
      </w:r>
      <w:r w:rsidR="004D012F">
        <w:rPr>
          <w:rFonts w:cs="Arial"/>
          <w:lang w:val="pl-PL"/>
        </w:rPr>
        <w:t>drive)</w:t>
      </w:r>
      <w:r w:rsidR="00DB5CB7">
        <w:rPr>
          <w:rFonts w:cs="Arial"/>
          <w:lang w:val="pl-PL"/>
        </w:rPr>
        <w:t>.</w:t>
      </w:r>
    </w:p>
    <w:p w14:paraId="11459DFD" w14:textId="08FB95F4" w:rsidR="002B164D" w:rsidRPr="00364E32" w:rsidRDefault="005D775E" w:rsidP="00A76FBA">
      <w:pPr>
        <w:jc w:val="both"/>
        <w:rPr>
          <w:rFonts w:cs="Arial"/>
          <w:lang w:val="pl-PL"/>
        </w:rPr>
      </w:pPr>
      <w:r w:rsidRPr="00364E32">
        <w:rPr>
          <w:rFonts w:cs="Arial"/>
          <w:lang w:val="pl-PL"/>
        </w:rPr>
        <w:t>Oba egzemplarze wniosku</w:t>
      </w:r>
      <w:r w:rsidR="006A7B08">
        <w:rPr>
          <w:rFonts w:cs="Arial"/>
          <w:lang w:val="pl-PL"/>
        </w:rPr>
        <w:t xml:space="preserve"> w </w:t>
      </w:r>
      <w:r w:rsidR="000F18EF">
        <w:rPr>
          <w:rFonts w:cs="Arial"/>
          <w:lang w:val="pl-PL"/>
        </w:rPr>
        <w:t>postaci</w:t>
      </w:r>
      <w:r w:rsidR="000F18EF" w:rsidRPr="00364E32">
        <w:rPr>
          <w:rFonts w:cs="Arial"/>
          <w:lang w:val="pl-PL"/>
        </w:rPr>
        <w:t xml:space="preserve"> </w:t>
      </w:r>
      <w:r w:rsidR="0022766F" w:rsidRPr="00364E32">
        <w:rPr>
          <w:rFonts w:cs="Arial"/>
          <w:lang w:val="pl-PL"/>
        </w:rPr>
        <w:t>papierowej wraz</w:t>
      </w:r>
      <w:r w:rsidR="006A7B08">
        <w:rPr>
          <w:rFonts w:cs="Arial"/>
          <w:lang w:val="pl-PL"/>
        </w:rPr>
        <w:t xml:space="preserve"> </w:t>
      </w:r>
      <w:r w:rsidR="00A7210B">
        <w:rPr>
          <w:rFonts w:cs="Arial"/>
          <w:lang w:val="pl-PL"/>
        </w:rPr>
        <w:t>z wersją</w:t>
      </w:r>
      <w:r w:rsidR="000F18EF" w:rsidRPr="00364E32">
        <w:rPr>
          <w:rFonts w:cs="Arial"/>
          <w:lang w:val="pl-PL"/>
        </w:rPr>
        <w:t xml:space="preserve"> </w:t>
      </w:r>
      <w:r w:rsidR="0022766F" w:rsidRPr="00364E32">
        <w:rPr>
          <w:rFonts w:cs="Arial"/>
          <w:lang w:val="pl-PL"/>
        </w:rPr>
        <w:t xml:space="preserve">elektroniczną </w:t>
      </w:r>
      <w:r w:rsidRPr="00364E32">
        <w:rPr>
          <w:rFonts w:cs="Arial"/>
          <w:lang w:val="pl-PL"/>
        </w:rPr>
        <w:t>należy przesłać</w:t>
      </w:r>
      <w:r w:rsidR="006A7B08">
        <w:rPr>
          <w:rFonts w:cs="Arial"/>
          <w:lang w:val="pl-PL"/>
        </w:rPr>
        <w:t xml:space="preserve"> w </w:t>
      </w:r>
      <w:r w:rsidR="0022766F" w:rsidRPr="00364E32">
        <w:rPr>
          <w:rFonts w:cs="Arial"/>
          <w:lang w:val="pl-PL"/>
        </w:rPr>
        <w:t>zamkniętej kopercie lub innym stosownym opakowaniu</w:t>
      </w:r>
      <w:r w:rsidRPr="00364E32">
        <w:rPr>
          <w:rFonts w:cs="Arial"/>
          <w:lang w:val="pl-PL"/>
        </w:rPr>
        <w:t xml:space="preserve"> do </w:t>
      </w:r>
      <w:r w:rsidR="00747A03">
        <w:rPr>
          <w:rFonts w:cs="Arial"/>
          <w:lang w:val="pl-PL"/>
        </w:rPr>
        <w:t>COPE MSWiA</w:t>
      </w:r>
      <w:r w:rsidR="004D012F">
        <w:rPr>
          <w:rFonts w:cs="Arial"/>
          <w:lang w:val="pl-PL"/>
        </w:rPr>
        <w:t>,</w:t>
      </w:r>
      <w:r w:rsidR="006A7B08">
        <w:rPr>
          <w:rFonts w:cs="Arial"/>
          <w:lang w:val="pl-PL"/>
        </w:rPr>
        <w:t xml:space="preserve"> w </w:t>
      </w:r>
      <w:r w:rsidRPr="00364E32">
        <w:rPr>
          <w:rFonts w:cs="Arial"/>
          <w:lang w:val="pl-PL"/>
        </w:rPr>
        <w:t>terminie określonym</w:t>
      </w:r>
      <w:r w:rsidR="006A7B08">
        <w:rPr>
          <w:rFonts w:cs="Arial"/>
          <w:lang w:val="pl-PL"/>
        </w:rPr>
        <w:t xml:space="preserve"> w </w:t>
      </w:r>
      <w:r w:rsidRPr="00364E32">
        <w:rPr>
          <w:rFonts w:cs="Arial"/>
          <w:i/>
          <w:lang w:val="pl-PL"/>
        </w:rPr>
        <w:t>Ogłoszeniu</w:t>
      </w:r>
      <w:r w:rsidR="006A7B08">
        <w:rPr>
          <w:rFonts w:cs="Arial"/>
          <w:i/>
          <w:lang w:val="pl-PL"/>
        </w:rPr>
        <w:t xml:space="preserve"> o </w:t>
      </w:r>
      <w:r w:rsidRPr="00364E32">
        <w:rPr>
          <w:rFonts w:cs="Arial"/>
          <w:i/>
          <w:lang w:val="pl-PL"/>
        </w:rPr>
        <w:t>otwartym naborze wniosków</w:t>
      </w:r>
      <w:r w:rsidRPr="00364E32">
        <w:rPr>
          <w:rFonts w:cs="Arial"/>
          <w:lang w:val="pl-PL"/>
        </w:rPr>
        <w:t>.</w:t>
      </w:r>
      <w:r w:rsidR="000871B3" w:rsidRPr="00364E32">
        <w:rPr>
          <w:rFonts w:cs="Arial"/>
          <w:lang w:val="pl-PL"/>
        </w:rPr>
        <w:t xml:space="preserve"> </w:t>
      </w:r>
      <w:r w:rsidR="002B164D" w:rsidRPr="00364E32">
        <w:rPr>
          <w:rFonts w:cs="Arial"/>
          <w:lang w:val="pl-PL"/>
        </w:rPr>
        <w:t>Wnioski można również składać osobiście</w:t>
      </w:r>
      <w:r w:rsidR="006A7B08">
        <w:rPr>
          <w:rFonts w:cs="Arial"/>
          <w:lang w:val="pl-PL"/>
        </w:rPr>
        <w:t xml:space="preserve"> w </w:t>
      </w:r>
      <w:r w:rsidR="002B164D" w:rsidRPr="00364E32">
        <w:rPr>
          <w:rFonts w:cs="Arial"/>
          <w:lang w:val="pl-PL"/>
        </w:rPr>
        <w:t xml:space="preserve">siedzibie </w:t>
      </w:r>
      <w:r w:rsidR="00747A03">
        <w:rPr>
          <w:rFonts w:cs="Arial"/>
          <w:lang w:val="pl-PL"/>
        </w:rPr>
        <w:t xml:space="preserve">COPE MSWiA </w:t>
      </w:r>
      <w:r w:rsidR="004D012F">
        <w:rPr>
          <w:rFonts w:cs="Arial"/>
          <w:lang w:val="pl-PL"/>
        </w:rPr>
        <w:t xml:space="preserve">(adres </w:t>
      </w:r>
      <w:r w:rsidR="005E51B7">
        <w:rPr>
          <w:rFonts w:cs="Arial"/>
          <w:lang w:val="pl-PL"/>
        </w:rPr>
        <w:t>podany poniżej</w:t>
      </w:r>
      <w:r w:rsidR="004D012F">
        <w:rPr>
          <w:rFonts w:cs="Arial"/>
          <w:lang w:val="pl-PL"/>
        </w:rPr>
        <w:t xml:space="preserve"> – sekretariat na I piętrze)</w:t>
      </w:r>
      <w:r w:rsidR="002B164D" w:rsidRPr="00364E32">
        <w:rPr>
          <w:rFonts w:cs="Arial"/>
          <w:lang w:val="pl-PL"/>
        </w:rPr>
        <w:t>,</w:t>
      </w:r>
      <w:r w:rsidR="006A7B08">
        <w:rPr>
          <w:rFonts w:cs="Arial"/>
          <w:lang w:val="pl-PL"/>
        </w:rPr>
        <w:t xml:space="preserve"> w </w:t>
      </w:r>
      <w:r w:rsidR="002B164D" w:rsidRPr="00364E32">
        <w:rPr>
          <w:rFonts w:cs="Arial"/>
          <w:lang w:val="pl-PL"/>
        </w:rPr>
        <w:t xml:space="preserve">godzinach pracy biura </w:t>
      </w:r>
      <w:r w:rsidR="00747A03">
        <w:rPr>
          <w:rFonts w:cs="Arial"/>
          <w:lang w:val="pl-PL"/>
        </w:rPr>
        <w:t>COPE MSWiA</w:t>
      </w:r>
      <w:r w:rsidR="002B164D" w:rsidRPr="00364E32">
        <w:rPr>
          <w:rFonts w:cs="Arial"/>
          <w:lang w:val="pl-PL"/>
        </w:rPr>
        <w:t xml:space="preserve"> (</w:t>
      </w:r>
      <w:r w:rsidR="004D012F">
        <w:rPr>
          <w:rFonts w:cs="Arial"/>
          <w:lang w:val="pl-PL"/>
        </w:rPr>
        <w:t xml:space="preserve">pon.-pt., godz. </w:t>
      </w:r>
      <w:r w:rsidR="002B164D" w:rsidRPr="00364E32">
        <w:rPr>
          <w:rFonts w:cs="Arial"/>
          <w:lang w:val="pl-PL"/>
        </w:rPr>
        <w:t>8.00-16.00)</w:t>
      </w:r>
      <w:r w:rsidR="0089286E" w:rsidRPr="00364E32">
        <w:rPr>
          <w:rFonts w:cs="Arial"/>
          <w:lang w:val="pl-PL"/>
        </w:rPr>
        <w:t xml:space="preserve">. </w:t>
      </w:r>
      <w:r w:rsidR="008B0E0C">
        <w:rPr>
          <w:rFonts w:cs="Arial"/>
          <w:lang w:val="pl-PL"/>
        </w:rPr>
        <w:t xml:space="preserve">Ewentualne odstępstwa od podanych godzin/dni pracy biura </w:t>
      </w:r>
      <w:r w:rsidR="00747A03">
        <w:rPr>
          <w:rFonts w:cs="Arial"/>
          <w:lang w:val="pl-PL"/>
        </w:rPr>
        <w:t>COPE MSWiA</w:t>
      </w:r>
      <w:r w:rsidR="008B0E0C">
        <w:rPr>
          <w:rFonts w:cs="Arial"/>
          <w:lang w:val="pl-PL"/>
        </w:rPr>
        <w:t xml:space="preserve"> są ogłaszane na stronie internetowej: </w:t>
      </w:r>
      <w:hyperlink r:id="rId11" w:history="1">
        <w:r w:rsidR="008B0E0C" w:rsidRPr="00D82B05">
          <w:rPr>
            <w:rStyle w:val="Hipercze"/>
            <w:rFonts w:cs="Arial"/>
            <w:lang w:val="pl-PL"/>
          </w:rPr>
          <w:t>www.copemswia.gov.pl</w:t>
        </w:r>
      </w:hyperlink>
      <w:r w:rsidR="00632393">
        <w:rPr>
          <w:rStyle w:val="Hipercze"/>
          <w:rFonts w:cs="Arial"/>
          <w:lang w:val="pl-PL"/>
        </w:rPr>
        <w:t>.</w:t>
      </w:r>
      <w:r w:rsidR="008B0E0C">
        <w:rPr>
          <w:rFonts w:cs="Arial"/>
          <w:lang w:val="pl-PL"/>
        </w:rPr>
        <w:t xml:space="preserve"> </w:t>
      </w:r>
      <w:r w:rsidR="002B164D" w:rsidRPr="00364E32">
        <w:rPr>
          <w:rFonts w:cs="Arial"/>
          <w:lang w:val="pl-PL"/>
        </w:rPr>
        <w:t xml:space="preserve"> </w:t>
      </w:r>
    </w:p>
    <w:p w14:paraId="36CAB5F9" w14:textId="77777777" w:rsidR="002B164D" w:rsidRPr="00364E32" w:rsidRDefault="002B164D" w:rsidP="00A76FBA">
      <w:pPr>
        <w:spacing w:after="0" w:line="240" w:lineRule="auto"/>
        <w:jc w:val="both"/>
        <w:rPr>
          <w:rFonts w:cs="Arial"/>
          <w:lang w:val="pl-PL"/>
        </w:rPr>
      </w:pPr>
      <w:r w:rsidRPr="00364E32">
        <w:rPr>
          <w:rFonts w:cs="Arial"/>
          <w:lang w:val="pl-PL"/>
        </w:rPr>
        <w:t xml:space="preserve">Adres siedziby </w:t>
      </w:r>
      <w:r w:rsidR="00747A03">
        <w:rPr>
          <w:rFonts w:cs="Arial"/>
          <w:lang w:val="pl-PL"/>
        </w:rPr>
        <w:t>COPE MSWiA</w:t>
      </w:r>
      <w:r w:rsidRPr="00364E32">
        <w:rPr>
          <w:rFonts w:cs="Arial"/>
          <w:lang w:val="pl-PL"/>
        </w:rPr>
        <w:t>, na który należy przesyłać wnioski lub składać osobiście:</w:t>
      </w:r>
    </w:p>
    <w:p w14:paraId="19B3DABD" w14:textId="77777777" w:rsidR="002B164D" w:rsidRPr="008B0E0C" w:rsidRDefault="002B164D" w:rsidP="00A76FBA">
      <w:pPr>
        <w:spacing w:after="0" w:line="240" w:lineRule="auto"/>
        <w:jc w:val="both"/>
        <w:rPr>
          <w:rFonts w:cs="Arial"/>
          <w:b/>
          <w:lang w:val="pl-PL"/>
        </w:rPr>
      </w:pPr>
      <w:r w:rsidRPr="008B0E0C">
        <w:rPr>
          <w:rFonts w:cs="Arial"/>
          <w:b/>
          <w:lang w:val="pl-PL"/>
        </w:rPr>
        <w:t>Centrum Obsługi Projektów Europejskich MSWiA, ul. Puławska 99a, 02-595 Warszawa</w:t>
      </w:r>
      <w:r w:rsidR="004D012F" w:rsidRPr="008B0E0C">
        <w:rPr>
          <w:rFonts w:cs="Arial"/>
          <w:b/>
          <w:lang w:val="pl-PL"/>
        </w:rPr>
        <w:t xml:space="preserve"> (I piętro)</w:t>
      </w:r>
    </w:p>
    <w:p w14:paraId="23DB50DD" w14:textId="77777777" w:rsidR="00A76FBA" w:rsidRPr="00364E32" w:rsidRDefault="00A76FBA" w:rsidP="00A76FBA">
      <w:pPr>
        <w:spacing w:after="0" w:line="240" w:lineRule="auto"/>
        <w:jc w:val="both"/>
        <w:rPr>
          <w:rFonts w:cs="Arial"/>
          <w:lang w:val="pl-PL"/>
        </w:rPr>
      </w:pPr>
    </w:p>
    <w:p w14:paraId="2FB9FDB6" w14:textId="77777777" w:rsidR="000871B3" w:rsidRPr="00364E32" w:rsidRDefault="0022766F" w:rsidP="00A76FBA">
      <w:pPr>
        <w:jc w:val="both"/>
        <w:rPr>
          <w:rFonts w:cs="Arial"/>
          <w:lang w:val="pl-PL"/>
        </w:rPr>
      </w:pPr>
      <w:r w:rsidRPr="00364E32">
        <w:rPr>
          <w:rFonts w:cs="Arial"/>
          <w:lang w:val="pl-PL"/>
        </w:rPr>
        <w:t>Koperta/opakowanie</w:t>
      </w:r>
      <w:r w:rsidR="006A7B08">
        <w:rPr>
          <w:rFonts w:cs="Arial"/>
          <w:lang w:val="pl-PL"/>
        </w:rPr>
        <w:t xml:space="preserve"> z </w:t>
      </w:r>
      <w:r w:rsidRPr="00364E32">
        <w:rPr>
          <w:rFonts w:cs="Arial"/>
          <w:lang w:val="pl-PL"/>
        </w:rPr>
        <w:t>wnioskiem musi być oznaczona</w:t>
      </w:r>
      <w:r w:rsidR="006A7B08">
        <w:rPr>
          <w:rFonts w:cs="Arial"/>
          <w:lang w:val="pl-PL"/>
        </w:rPr>
        <w:t xml:space="preserve"> w </w:t>
      </w:r>
      <w:r w:rsidRPr="00364E32">
        <w:rPr>
          <w:rFonts w:cs="Arial"/>
          <w:lang w:val="pl-PL"/>
        </w:rPr>
        <w:t>następujący sposób:</w:t>
      </w:r>
    </w:p>
    <w:p w14:paraId="0D46F747" w14:textId="77777777" w:rsidR="0022766F" w:rsidRPr="00364E32" w:rsidRDefault="0022766F" w:rsidP="00A76FBA">
      <w:pPr>
        <w:jc w:val="both"/>
        <w:rPr>
          <w:rFonts w:cs="Arial"/>
          <w:b/>
          <w:i/>
          <w:lang w:val="pl-PL"/>
        </w:rPr>
      </w:pPr>
      <w:r w:rsidRPr="00364E32">
        <w:rPr>
          <w:rFonts w:cs="Arial"/>
          <w:b/>
          <w:i/>
          <w:lang w:val="pl-PL"/>
        </w:rPr>
        <w:lastRenderedPageBreak/>
        <w:t xml:space="preserve">NMF – </w:t>
      </w:r>
      <w:r w:rsidR="005E51B7">
        <w:rPr>
          <w:rFonts w:cs="Arial"/>
          <w:b/>
          <w:i/>
          <w:lang w:val="pl-PL"/>
        </w:rPr>
        <w:t>P</w:t>
      </w:r>
      <w:r w:rsidR="005E51B7" w:rsidRPr="00364E32">
        <w:rPr>
          <w:rFonts w:cs="Arial"/>
          <w:b/>
          <w:i/>
          <w:lang w:val="pl-PL"/>
        </w:rPr>
        <w:t xml:space="preserve">rogram </w:t>
      </w:r>
      <w:r w:rsidRPr="00364E32">
        <w:rPr>
          <w:rFonts w:cs="Arial"/>
          <w:b/>
          <w:i/>
          <w:lang w:val="pl-PL"/>
        </w:rPr>
        <w:t>„Sprawy wewnętrzne” – nabór wniosków</w:t>
      </w:r>
      <w:r w:rsidR="006A7B08">
        <w:rPr>
          <w:rFonts w:cs="Arial"/>
          <w:b/>
          <w:i/>
          <w:lang w:val="pl-PL"/>
        </w:rPr>
        <w:t xml:space="preserve"> w </w:t>
      </w:r>
      <w:r w:rsidRPr="00364E32">
        <w:rPr>
          <w:rFonts w:cs="Arial"/>
          <w:b/>
          <w:i/>
          <w:lang w:val="pl-PL"/>
        </w:rPr>
        <w:t xml:space="preserve">PA </w:t>
      </w:r>
      <w:r w:rsidR="00125720">
        <w:rPr>
          <w:rFonts w:cs="Arial"/>
          <w:b/>
          <w:i/>
          <w:lang w:val="pl-PL"/>
        </w:rPr>
        <w:t>18</w:t>
      </w:r>
      <w:r w:rsidRPr="00364E32">
        <w:rPr>
          <w:rFonts w:cs="Arial"/>
          <w:b/>
          <w:i/>
          <w:lang w:val="pl-PL"/>
        </w:rPr>
        <w:t>.</w:t>
      </w:r>
    </w:p>
    <w:p w14:paraId="76890F32" w14:textId="77777777" w:rsidR="0022766F" w:rsidRPr="00B56376" w:rsidRDefault="0022766F" w:rsidP="00A76FBA">
      <w:pPr>
        <w:jc w:val="both"/>
        <w:rPr>
          <w:rFonts w:cs="Arial"/>
          <w:lang w:val="pl-PL"/>
        </w:rPr>
      </w:pPr>
      <w:r w:rsidRPr="00364E32">
        <w:rPr>
          <w:rFonts w:cs="Arial"/>
          <w:lang w:val="pl-PL"/>
        </w:rPr>
        <w:t xml:space="preserve">Obie wersje </w:t>
      </w:r>
      <w:r w:rsidR="000A1B21">
        <w:rPr>
          <w:rFonts w:cs="Arial"/>
          <w:lang w:val="pl-PL"/>
        </w:rPr>
        <w:t xml:space="preserve">postaci </w:t>
      </w:r>
      <w:r w:rsidRPr="00364E32">
        <w:rPr>
          <w:rFonts w:cs="Arial"/>
          <w:lang w:val="pl-PL"/>
        </w:rPr>
        <w:t>papierowe</w:t>
      </w:r>
      <w:r w:rsidR="000A1B21">
        <w:rPr>
          <w:rFonts w:cs="Arial"/>
          <w:lang w:val="pl-PL"/>
        </w:rPr>
        <w:t>j</w:t>
      </w:r>
      <w:r w:rsidRPr="00364E32">
        <w:rPr>
          <w:rFonts w:cs="Arial"/>
          <w:lang w:val="pl-PL"/>
        </w:rPr>
        <w:t xml:space="preserve"> </w:t>
      </w:r>
      <w:r w:rsidR="002E6870" w:rsidRPr="00364E32">
        <w:rPr>
          <w:rFonts w:cs="Arial"/>
          <w:lang w:val="pl-PL"/>
        </w:rPr>
        <w:t xml:space="preserve">muszą być podpisane przez </w:t>
      </w:r>
      <w:r w:rsidR="0089286E" w:rsidRPr="00364E32">
        <w:rPr>
          <w:rFonts w:cs="Arial"/>
          <w:lang w:val="pl-PL"/>
        </w:rPr>
        <w:t xml:space="preserve">wnioskodawcę lub </w:t>
      </w:r>
      <w:r w:rsidR="004917DF" w:rsidRPr="00364E32">
        <w:rPr>
          <w:rFonts w:cs="Arial"/>
          <w:lang w:val="pl-PL"/>
        </w:rPr>
        <w:t xml:space="preserve">osobę upoważnioną </w:t>
      </w:r>
      <w:r w:rsidR="001E5BA5">
        <w:rPr>
          <w:rFonts w:cs="Arial"/>
          <w:lang w:val="pl-PL"/>
        </w:rPr>
        <w:t>do </w:t>
      </w:r>
      <w:r w:rsidR="004917DF" w:rsidRPr="00364E32">
        <w:rPr>
          <w:rFonts w:cs="Arial"/>
          <w:lang w:val="pl-PL"/>
        </w:rPr>
        <w:t xml:space="preserve">reprezentowania instytucji </w:t>
      </w:r>
      <w:r w:rsidR="0089286E" w:rsidRPr="00364E32">
        <w:rPr>
          <w:rFonts w:cs="Arial"/>
          <w:lang w:val="pl-PL"/>
        </w:rPr>
        <w:t>wraz</w:t>
      </w:r>
      <w:r w:rsidR="006A7B08">
        <w:rPr>
          <w:rFonts w:cs="Arial"/>
          <w:lang w:val="pl-PL"/>
        </w:rPr>
        <w:t xml:space="preserve"> z </w:t>
      </w:r>
      <w:r w:rsidR="0089286E" w:rsidRPr="00364E32">
        <w:rPr>
          <w:lang w:val="pl-PL"/>
        </w:rPr>
        <w:t>załączeniem oryginału lub kopii dokumentu poświadczającego umocowanie takiej osoby do reprezentowania wnioskodawcy</w:t>
      </w:r>
      <w:r w:rsidR="008B0E0C">
        <w:rPr>
          <w:lang w:val="pl-PL"/>
        </w:rPr>
        <w:t xml:space="preserve"> (o ile </w:t>
      </w:r>
      <w:r w:rsidR="00415BD7">
        <w:rPr>
          <w:lang w:val="pl-PL"/>
        </w:rPr>
        <w:t>dotyczy)</w:t>
      </w:r>
      <w:r w:rsidR="0089286E" w:rsidRPr="00364E32">
        <w:rPr>
          <w:lang w:val="pl-PL"/>
        </w:rPr>
        <w:t>.</w:t>
      </w:r>
      <w:r w:rsidR="006A7B08">
        <w:rPr>
          <w:lang w:val="pl-PL"/>
        </w:rPr>
        <w:t xml:space="preserve"> W</w:t>
      </w:r>
      <w:r w:rsidR="00AC6156">
        <w:rPr>
          <w:lang w:val="pl-PL"/>
        </w:rPr>
        <w:t>e</w:t>
      </w:r>
      <w:r w:rsidR="006A7B08">
        <w:rPr>
          <w:lang w:val="pl-PL"/>
        </w:rPr>
        <w:t> </w:t>
      </w:r>
      <w:r w:rsidR="00AC6156">
        <w:rPr>
          <w:lang w:val="pl-PL"/>
        </w:rPr>
        <w:t>wniosku</w:t>
      </w:r>
      <w:r w:rsidR="00B56376" w:rsidRPr="009030B6">
        <w:rPr>
          <w:lang w:val="pl-PL"/>
        </w:rPr>
        <w:t xml:space="preserve"> muszą zostać również wskazani wszyscy konsultanci zaangażowan</w:t>
      </w:r>
      <w:r w:rsidR="00B56376">
        <w:rPr>
          <w:lang w:val="pl-PL"/>
        </w:rPr>
        <w:t>i</w:t>
      </w:r>
      <w:r w:rsidR="006A7B08">
        <w:rPr>
          <w:lang w:val="pl-PL"/>
        </w:rPr>
        <w:t xml:space="preserve"> w </w:t>
      </w:r>
      <w:r w:rsidR="00AC6156">
        <w:rPr>
          <w:lang w:val="pl-PL"/>
        </w:rPr>
        <w:t xml:space="preserve">jego </w:t>
      </w:r>
      <w:r w:rsidR="00B56376" w:rsidRPr="009030B6">
        <w:rPr>
          <w:lang w:val="pl-PL"/>
        </w:rPr>
        <w:t>przygotowanie.</w:t>
      </w:r>
    </w:p>
    <w:p w14:paraId="0318D80B" w14:textId="77777777" w:rsidR="0022766F" w:rsidRPr="00364E32" w:rsidRDefault="0022766F" w:rsidP="00A76FBA">
      <w:pPr>
        <w:jc w:val="both"/>
        <w:rPr>
          <w:rFonts w:cs="Arial"/>
          <w:lang w:val="pl-PL"/>
        </w:rPr>
      </w:pPr>
      <w:r w:rsidRPr="00364E32">
        <w:rPr>
          <w:rFonts w:cs="Arial"/>
          <w:lang w:val="pl-PL"/>
        </w:rPr>
        <w:t>UWAGA!</w:t>
      </w:r>
    </w:p>
    <w:p w14:paraId="6B24E09B" w14:textId="237F6A8C" w:rsidR="0022766F" w:rsidRPr="00364E32" w:rsidRDefault="00D41480" w:rsidP="00A76FBA">
      <w:pPr>
        <w:spacing w:after="120" w:line="240" w:lineRule="auto"/>
        <w:jc w:val="both"/>
        <w:rPr>
          <w:lang w:val="pl-PL"/>
        </w:rPr>
      </w:pPr>
      <w:r>
        <w:rPr>
          <w:bCs/>
          <w:lang w:val="pl-PL"/>
        </w:rPr>
        <w:t xml:space="preserve">W przypadku złożenia wniosku jedynie w postaci elektronicznej, </w:t>
      </w:r>
      <w:r w:rsidR="0022766F" w:rsidRPr="00364E32">
        <w:rPr>
          <w:bCs/>
          <w:lang w:val="pl-PL"/>
        </w:rPr>
        <w:t>wnios</w:t>
      </w:r>
      <w:r>
        <w:rPr>
          <w:bCs/>
          <w:lang w:val="pl-PL"/>
        </w:rPr>
        <w:t>ek</w:t>
      </w:r>
      <w:r w:rsidR="0022766F" w:rsidRPr="00364E32">
        <w:rPr>
          <w:bCs/>
          <w:lang w:val="pl-PL"/>
        </w:rPr>
        <w:t xml:space="preserve"> </w:t>
      </w:r>
      <w:r w:rsidR="005E51B7">
        <w:rPr>
          <w:bCs/>
          <w:lang w:val="pl-PL"/>
        </w:rPr>
        <w:t>wraz</w:t>
      </w:r>
      <w:r w:rsidR="006A7B08">
        <w:rPr>
          <w:bCs/>
          <w:lang w:val="pl-PL"/>
        </w:rPr>
        <w:t xml:space="preserve"> z </w:t>
      </w:r>
      <w:r w:rsidR="005E51B7">
        <w:rPr>
          <w:bCs/>
          <w:lang w:val="pl-PL"/>
        </w:rPr>
        <w:t>ewentualnym</w:t>
      </w:r>
      <w:r w:rsidR="00AD6C98">
        <w:rPr>
          <w:bCs/>
          <w:lang w:val="pl-PL"/>
        </w:rPr>
        <w:t>i</w:t>
      </w:r>
      <w:r w:rsidR="005E51B7">
        <w:rPr>
          <w:bCs/>
          <w:lang w:val="pl-PL"/>
        </w:rPr>
        <w:t xml:space="preserve"> załącznikami </w:t>
      </w:r>
      <w:r>
        <w:rPr>
          <w:bCs/>
          <w:lang w:val="pl-PL"/>
        </w:rPr>
        <w:t xml:space="preserve">może zostać złożony wyłącznie </w:t>
      </w:r>
      <w:r w:rsidR="0022766F" w:rsidRPr="00364E32">
        <w:rPr>
          <w:bCs/>
          <w:lang w:val="pl-PL"/>
        </w:rPr>
        <w:t xml:space="preserve">poprzez platformę </w:t>
      </w:r>
      <w:r w:rsidR="00DD0AAE" w:rsidRPr="00364E32">
        <w:rPr>
          <w:bCs/>
          <w:lang w:val="pl-PL"/>
        </w:rPr>
        <w:t>e</w:t>
      </w:r>
      <w:r w:rsidR="0022766F" w:rsidRPr="00364E32">
        <w:rPr>
          <w:bCs/>
          <w:lang w:val="pl-PL"/>
        </w:rPr>
        <w:t>PUAP</w:t>
      </w:r>
      <w:r w:rsidR="0022766F" w:rsidRPr="00364E32">
        <w:rPr>
          <w:lang w:val="pl-PL"/>
        </w:rPr>
        <w:t xml:space="preserve"> na </w:t>
      </w:r>
      <w:r w:rsidR="00DD0AAE" w:rsidRPr="00364E32">
        <w:rPr>
          <w:lang w:val="pl-PL"/>
        </w:rPr>
        <w:t xml:space="preserve">adres </w:t>
      </w:r>
      <w:r w:rsidR="0022766F" w:rsidRPr="00364E32">
        <w:rPr>
          <w:lang w:val="pl-PL"/>
        </w:rPr>
        <w:t>elektroniczn</w:t>
      </w:r>
      <w:r w:rsidR="00DD0AAE" w:rsidRPr="00364E32">
        <w:rPr>
          <w:lang w:val="pl-PL"/>
        </w:rPr>
        <w:t>ej</w:t>
      </w:r>
      <w:r w:rsidR="0022766F" w:rsidRPr="00364E32">
        <w:rPr>
          <w:lang w:val="pl-PL"/>
        </w:rPr>
        <w:t xml:space="preserve"> skrzynk</w:t>
      </w:r>
      <w:r w:rsidR="00DD0AAE" w:rsidRPr="00364E32">
        <w:rPr>
          <w:lang w:val="pl-PL"/>
        </w:rPr>
        <w:t>i</w:t>
      </w:r>
      <w:r w:rsidR="0022766F" w:rsidRPr="00364E32">
        <w:rPr>
          <w:lang w:val="pl-PL"/>
        </w:rPr>
        <w:t xml:space="preserve"> podawcz</w:t>
      </w:r>
      <w:r w:rsidR="00DD0AAE" w:rsidRPr="00364E32">
        <w:rPr>
          <w:lang w:val="pl-PL"/>
        </w:rPr>
        <w:t>ej</w:t>
      </w:r>
      <w:r w:rsidR="0022766F" w:rsidRPr="00364E32">
        <w:rPr>
          <w:lang w:val="pl-PL"/>
        </w:rPr>
        <w:t xml:space="preserve"> </w:t>
      </w:r>
      <w:r w:rsidR="0022766F" w:rsidRPr="00364E32">
        <w:rPr>
          <w:bCs/>
          <w:lang w:val="pl-PL"/>
        </w:rPr>
        <w:t>Centrum Obsługi Projektów Europejskich Ministerstwa Spraw Wewnętrznych</w:t>
      </w:r>
      <w:r w:rsidR="006A7B08">
        <w:rPr>
          <w:bCs/>
          <w:lang w:val="pl-PL"/>
        </w:rPr>
        <w:t xml:space="preserve"> i </w:t>
      </w:r>
      <w:r w:rsidR="0022766F" w:rsidRPr="00364E32">
        <w:rPr>
          <w:bCs/>
          <w:lang w:val="pl-PL"/>
        </w:rPr>
        <w:t>Administracji</w:t>
      </w:r>
      <w:r w:rsidR="004917DF" w:rsidRPr="00364E32">
        <w:rPr>
          <w:bCs/>
          <w:lang w:val="pl-PL"/>
        </w:rPr>
        <w:t xml:space="preserve"> (adres: </w:t>
      </w:r>
      <w:r w:rsidR="000A1B21">
        <w:rPr>
          <w:rStyle w:val="Pogrubienie"/>
          <w:rFonts w:ascii="Roboto" w:hAnsi="Roboto"/>
          <w:color w:val="444444"/>
          <w:sz w:val="23"/>
          <w:szCs w:val="23"/>
          <w:bdr w:val="none" w:sz="0" w:space="0" w:color="auto" w:frame="1"/>
          <w:lang w:val="pl-PL"/>
        </w:rPr>
        <w:t>/COPEMSW/SkrytkaESP</w:t>
      </w:r>
      <w:r w:rsidR="004917DF" w:rsidRPr="00364E32">
        <w:rPr>
          <w:rStyle w:val="Pogrubienie"/>
          <w:rFonts w:ascii="Roboto" w:hAnsi="Roboto"/>
          <w:color w:val="444444"/>
          <w:sz w:val="23"/>
          <w:szCs w:val="23"/>
          <w:bdr w:val="none" w:sz="0" w:space="0" w:color="auto" w:frame="1"/>
          <w:lang w:val="pl-PL"/>
        </w:rPr>
        <w:t>)</w:t>
      </w:r>
      <w:r w:rsidR="004917DF" w:rsidRPr="00364E32">
        <w:rPr>
          <w:lang w:val="pl-PL"/>
        </w:rPr>
        <w:t>.</w:t>
      </w:r>
      <w:r w:rsidR="0022766F" w:rsidRPr="00364E32">
        <w:rPr>
          <w:lang w:val="pl-PL"/>
        </w:rPr>
        <w:t xml:space="preserve"> Wnios</w:t>
      </w:r>
      <w:r w:rsidR="002E6870" w:rsidRPr="00364E32">
        <w:rPr>
          <w:lang w:val="pl-PL"/>
        </w:rPr>
        <w:t>ek składany</w:t>
      </w:r>
      <w:r w:rsidR="006A7B08">
        <w:rPr>
          <w:lang w:val="pl-PL"/>
        </w:rPr>
        <w:t xml:space="preserve"> w </w:t>
      </w:r>
      <w:r w:rsidR="002E6870" w:rsidRPr="00364E32">
        <w:rPr>
          <w:lang w:val="pl-PL"/>
        </w:rPr>
        <w:t xml:space="preserve">takiej formie </w:t>
      </w:r>
      <w:r w:rsidR="0022766F" w:rsidRPr="00364E32">
        <w:rPr>
          <w:lang w:val="pl-PL"/>
        </w:rPr>
        <w:t>mus</w:t>
      </w:r>
      <w:r w:rsidR="002E6870" w:rsidRPr="00364E32">
        <w:rPr>
          <w:lang w:val="pl-PL"/>
        </w:rPr>
        <w:t>i</w:t>
      </w:r>
      <w:r w:rsidR="0022766F" w:rsidRPr="00364E32">
        <w:rPr>
          <w:lang w:val="pl-PL"/>
        </w:rPr>
        <w:t xml:space="preserve"> zawierać podpis kwalifikowany osoby upoważnionej.</w:t>
      </w:r>
      <w:r w:rsidR="002E6870" w:rsidRPr="00364E32">
        <w:rPr>
          <w:lang w:val="pl-PL"/>
        </w:rPr>
        <w:t xml:space="preserve"> </w:t>
      </w:r>
      <w:r w:rsidR="00265256">
        <w:rPr>
          <w:lang w:val="pl-PL"/>
        </w:rPr>
        <w:t>W </w:t>
      </w:r>
      <w:r w:rsidR="00632393">
        <w:rPr>
          <w:lang w:val="pl-PL"/>
        </w:rPr>
        <w:t xml:space="preserve">przypadku składania wniosków </w:t>
      </w:r>
      <w:r w:rsidR="00861BE4">
        <w:rPr>
          <w:lang w:val="pl-PL"/>
        </w:rPr>
        <w:t>w formie</w:t>
      </w:r>
      <w:r w:rsidR="002E6870" w:rsidRPr="00364E32">
        <w:rPr>
          <w:lang w:val="pl-PL"/>
        </w:rPr>
        <w:t xml:space="preserve"> elektroniczn</w:t>
      </w:r>
      <w:r w:rsidR="00861BE4">
        <w:rPr>
          <w:lang w:val="pl-PL"/>
        </w:rPr>
        <w:t>ej</w:t>
      </w:r>
      <w:r w:rsidR="002E6870" w:rsidRPr="00364E32">
        <w:rPr>
          <w:lang w:val="pl-PL"/>
        </w:rPr>
        <w:t xml:space="preserve"> </w:t>
      </w:r>
      <w:r w:rsidR="00DD0AAE" w:rsidRPr="00364E32">
        <w:rPr>
          <w:lang w:val="pl-PL"/>
        </w:rPr>
        <w:t xml:space="preserve">poprzez platformę ePUAP </w:t>
      </w:r>
      <w:r w:rsidR="005E51B7" w:rsidRPr="00364E32">
        <w:rPr>
          <w:lang w:val="pl-PL"/>
        </w:rPr>
        <w:t xml:space="preserve">jest </w:t>
      </w:r>
      <w:r w:rsidR="002E6870" w:rsidRPr="00364E32">
        <w:rPr>
          <w:lang w:val="pl-PL"/>
        </w:rPr>
        <w:t>wymagany tylko jeden egzemplarz.</w:t>
      </w:r>
      <w:r w:rsidR="006A7B08">
        <w:rPr>
          <w:lang w:val="pl-PL"/>
        </w:rPr>
        <w:t xml:space="preserve"> W </w:t>
      </w:r>
      <w:r w:rsidR="00163783" w:rsidRPr="00163783">
        <w:rPr>
          <w:lang w:val="pl-PL"/>
        </w:rPr>
        <w:t>przypadku</w:t>
      </w:r>
      <w:r w:rsidR="00632393">
        <w:rPr>
          <w:lang w:val="pl-PL"/>
        </w:rPr>
        <w:t>,</w:t>
      </w:r>
      <w:r w:rsidR="00163783" w:rsidRPr="00163783">
        <w:rPr>
          <w:lang w:val="pl-PL"/>
        </w:rPr>
        <w:t xml:space="preserve"> gdy format podpisanego wniosku jest inny niż .xlsx, do wniosku należy załączyć edytowalny wniosek</w:t>
      </w:r>
      <w:r w:rsidR="006A7B08">
        <w:rPr>
          <w:lang w:val="pl-PL"/>
        </w:rPr>
        <w:t xml:space="preserve"> w </w:t>
      </w:r>
      <w:r w:rsidR="00163783" w:rsidRPr="00163783">
        <w:rPr>
          <w:lang w:val="pl-PL"/>
        </w:rPr>
        <w:t>postaci elektronicznej</w:t>
      </w:r>
      <w:r w:rsidR="006A7B08">
        <w:rPr>
          <w:lang w:val="pl-PL"/>
        </w:rPr>
        <w:t xml:space="preserve"> w </w:t>
      </w:r>
      <w:r w:rsidR="00163783" w:rsidRPr="00163783">
        <w:rPr>
          <w:lang w:val="pl-PL"/>
        </w:rPr>
        <w:t>formacie .xlsx.</w:t>
      </w:r>
      <w:r w:rsidR="002E6870" w:rsidRPr="00364E32">
        <w:rPr>
          <w:lang w:val="pl-PL"/>
        </w:rPr>
        <w:t xml:space="preserve"> </w:t>
      </w:r>
    </w:p>
    <w:p w14:paraId="00C98683" w14:textId="77777777" w:rsidR="004917DF" w:rsidRPr="00364E32" w:rsidRDefault="004917DF" w:rsidP="009C2B5F">
      <w:pPr>
        <w:keepNext/>
        <w:jc w:val="both"/>
        <w:rPr>
          <w:lang w:val="pl-PL"/>
        </w:rPr>
      </w:pPr>
      <w:r w:rsidRPr="00364E32">
        <w:rPr>
          <w:u w:val="single"/>
          <w:lang w:val="pl-PL"/>
        </w:rPr>
        <w:t xml:space="preserve">Za datę wpływu do </w:t>
      </w:r>
      <w:r w:rsidR="00747A03" w:rsidRPr="006A7B08">
        <w:rPr>
          <w:rFonts w:cs="Arial"/>
          <w:u w:val="single"/>
          <w:lang w:val="pl-PL"/>
        </w:rPr>
        <w:t>COPE MSWiA</w:t>
      </w:r>
      <w:r w:rsidR="00747A03" w:rsidRPr="00364E32" w:rsidDel="00747A03">
        <w:rPr>
          <w:u w:val="single"/>
          <w:lang w:val="pl-PL"/>
        </w:rPr>
        <w:t xml:space="preserve"> </w:t>
      </w:r>
      <w:r w:rsidRPr="00364E32">
        <w:rPr>
          <w:u w:val="single"/>
          <w:lang w:val="pl-PL"/>
        </w:rPr>
        <w:t>uznaje się:</w:t>
      </w:r>
    </w:p>
    <w:p w14:paraId="4E39FEDE" w14:textId="7320CCEE" w:rsidR="004917DF" w:rsidRPr="00D41480" w:rsidRDefault="004917DF" w:rsidP="00D41480">
      <w:pPr>
        <w:numPr>
          <w:ilvl w:val="0"/>
          <w:numId w:val="2"/>
        </w:numPr>
        <w:jc w:val="both"/>
        <w:rPr>
          <w:lang w:val="pl-PL"/>
        </w:rPr>
      </w:pPr>
      <w:r w:rsidRPr="00364E32">
        <w:rPr>
          <w:lang w:val="pl-PL"/>
        </w:rPr>
        <w:t>datę nadania (datę stempla pocztowego) – wyłącznie</w:t>
      </w:r>
      <w:r w:rsidR="006A7B08">
        <w:rPr>
          <w:lang w:val="pl-PL"/>
        </w:rPr>
        <w:t xml:space="preserve"> w </w:t>
      </w:r>
      <w:r w:rsidRPr="00364E32">
        <w:rPr>
          <w:lang w:val="pl-PL"/>
        </w:rPr>
        <w:t>przypadku nadania</w:t>
      </w:r>
      <w:r w:rsidR="006A7B08">
        <w:rPr>
          <w:lang w:val="pl-PL"/>
        </w:rPr>
        <w:t xml:space="preserve"> w </w:t>
      </w:r>
      <w:r w:rsidRPr="00364E32">
        <w:rPr>
          <w:lang w:val="pl-PL"/>
        </w:rPr>
        <w:t>polskiej placówce pocztowej operatora wyznaczonego</w:t>
      </w:r>
      <w:r w:rsidR="006A7B08">
        <w:rPr>
          <w:lang w:val="pl-PL"/>
        </w:rPr>
        <w:t xml:space="preserve"> w </w:t>
      </w:r>
      <w:r w:rsidRPr="00364E32">
        <w:rPr>
          <w:lang w:val="pl-PL"/>
        </w:rPr>
        <w:t>rozumieniu ustawy</w:t>
      </w:r>
      <w:r w:rsidR="006A7B08">
        <w:rPr>
          <w:lang w:val="pl-PL"/>
        </w:rPr>
        <w:t xml:space="preserve"> z </w:t>
      </w:r>
      <w:r w:rsidRPr="00364E32">
        <w:rPr>
          <w:lang w:val="pl-PL"/>
        </w:rPr>
        <w:t xml:space="preserve">dnia 23 listopada </w:t>
      </w:r>
      <w:r w:rsidR="001E5BA5">
        <w:rPr>
          <w:lang w:val="pl-PL"/>
        </w:rPr>
        <w:t>2012 </w:t>
      </w:r>
      <w:r w:rsidRPr="00364E32">
        <w:rPr>
          <w:lang w:val="pl-PL"/>
        </w:rPr>
        <w:t xml:space="preserve">r. </w:t>
      </w:r>
      <w:r w:rsidR="00170B1E">
        <w:rPr>
          <w:lang w:val="pl-PL"/>
        </w:rPr>
        <w:t>–</w:t>
      </w:r>
      <w:r w:rsidRPr="00364E32">
        <w:rPr>
          <w:lang w:val="pl-PL"/>
        </w:rPr>
        <w:t xml:space="preserve"> </w:t>
      </w:r>
      <w:r w:rsidRPr="002C46D3">
        <w:rPr>
          <w:i/>
          <w:lang w:val="pl-PL"/>
        </w:rPr>
        <w:t>Prawo pocztowe</w:t>
      </w:r>
      <w:r w:rsidR="00170B1E">
        <w:rPr>
          <w:lang w:val="pl-PL"/>
        </w:rPr>
        <w:t xml:space="preserve"> </w:t>
      </w:r>
      <w:r w:rsidR="00170B1E" w:rsidRPr="002C46D3">
        <w:rPr>
          <w:lang w:val="pl-PL"/>
        </w:rPr>
        <w:t>(Dz. U.</w:t>
      </w:r>
      <w:r w:rsidR="006A7B08">
        <w:rPr>
          <w:lang w:val="pl-PL"/>
        </w:rPr>
        <w:t xml:space="preserve"> z </w:t>
      </w:r>
      <w:r w:rsidR="00170B1E" w:rsidRPr="002C46D3">
        <w:rPr>
          <w:lang w:val="pl-PL"/>
        </w:rPr>
        <w:t>2018 r. poz. 2188,</w:t>
      </w:r>
      <w:r w:rsidR="006A7B08">
        <w:rPr>
          <w:lang w:val="pl-PL"/>
        </w:rPr>
        <w:t xml:space="preserve"> z </w:t>
      </w:r>
      <w:r w:rsidR="00170B1E" w:rsidRPr="002C46D3">
        <w:rPr>
          <w:lang w:val="pl-PL"/>
        </w:rPr>
        <w:t>późn. zm.)</w:t>
      </w:r>
      <w:r w:rsidR="00D41480">
        <w:rPr>
          <w:lang w:val="pl-PL"/>
        </w:rPr>
        <w:t>.</w:t>
      </w:r>
      <w:r w:rsidR="00D41480" w:rsidRPr="00D41480">
        <w:rPr>
          <w:lang w:val="pl-PL"/>
        </w:rPr>
        <w:t xml:space="preserve"> Jednocześnie tylko wnioski, które wpłyną do COPE MSWiA (Centrum Obsługi Projektów Europejskich Ministerstw Spraw Wewnętrznych i Administracji, ul. Puławska 99a, 02-595 Warszawa) w terminie 14 dni </w:t>
      </w:r>
      <w:r w:rsidR="00D41480" w:rsidRPr="00D41480">
        <w:rPr>
          <w:lang w:val="pl-PL"/>
        </w:rPr>
        <w:br/>
        <w:t xml:space="preserve">od zakończenia zaproszenia do składania wniosków, będą traktowane jako wnioski złożone </w:t>
      </w:r>
      <w:r w:rsidR="00D41480" w:rsidRPr="00D41480">
        <w:rPr>
          <w:lang w:val="pl-PL"/>
        </w:rPr>
        <w:br/>
        <w:t>w terminie;</w:t>
      </w:r>
    </w:p>
    <w:p w14:paraId="21F37C18" w14:textId="31034490" w:rsidR="004917DF" w:rsidRPr="00A5779B" w:rsidRDefault="00170B1E" w:rsidP="00A5779B">
      <w:pPr>
        <w:numPr>
          <w:ilvl w:val="0"/>
          <w:numId w:val="2"/>
        </w:numPr>
        <w:jc w:val="both"/>
        <w:rPr>
          <w:lang w:val="pl-PL"/>
        </w:rPr>
      </w:pPr>
      <w:r w:rsidRPr="00364E32">
        <w:rPr>
          <w:lang w:val="pl-PL"/>
        </w:rPr>
        <w:t>datę wpływu</w:t>
      </w:r>
      <w:r w:rsidR="00A5779B">
        <w:rPr>
          <w:lang w:val="pl-PL"/>
        </w:rPr>
        <w:t>/dostarczenia</w:t>
      </w:r>
      <w:r w:rsidRPr="00364E32">
        <w:rPr>
          <w:lang w:val="pl-PL"/>
        </w:rPr>
        <w:t xml:space="preserve"> do siedziby </w:t>
      </w:r>
      <w:r w:rsidR="00747A03">
        <w:rPr>
          <w:rFonts w:cs="Arial"/>
          <w:lang w:val="pl-PL"/>
        </w:rPr>
        <w:t>COPE MSWiA</w:t>
      </w:r>
      <w:r w:rsidR="00747A03" w:rsidRPr="00364E32" w:rsidDel="00747A03">
        <w:rPr>
          <w:lang w:val="pl-PL"/>
        </w:rPr>
        <w:t xml:space="preserve"> </w:t>
      </w:r>
      <w:r>
        <w:rPr>
          <w:lang w:val="pl-PL"/>
        </w:rPr>
        <w:t>–</w:t>
      </w:r>
      <w:r w:rsidR="006A7B08">
        <w:rPr>
          <w:lang w:val="pl-PL"/>
        </w:rPr>
        <w:t xml:space="preserve"> w </w:t>
      </w:r>
      <w:r w:rsidR="004917DF" w:rsidRPr="00364E32">
        <w:rPr>
          <w:lang w:val="pl-PL"/>
        </w:rPr>
        <w:t>przypadku złożenia osobiście, nadania za pośrednictwem innego operatora pocztowego niż operator wyznaczony,</w:t>
      </w:r>
      <w:r w:rsidR="006A7B08">
        <w:rPr>
          <w:lang w:val="pl-PL"/>
        </w:rPr>
        <w:t xml:space="preserve"> o </w:t>
      </w:r>
      <w:r w:rsidR="004917DF" w:rsidRPr="00364E32">
        <w:rPr>
          <w:lang w:val="pl-PL"/>
        </w:rPr>
        <w:t>którym mowa</w:t>
      </w:r>
      <w:r w:rsidR="006A7B08">
        <w:rPr>
          <w:lang w:val="pl-PL"/>
        </w:rPr>
        <w:t xml:space="preserve"> w </w:t>
      </w:r>
      <w:r w:rsidR="00632393">
        <w:rPr>
          <w:lang w:val="pl-PL"/>
        </w:rPr>
        <w:t>pkt. 1 lub nadania kurierem</w:t>
      </w:r>
      <w:r w:rsidR="00A5779B" w:rsidRPr="00A5779B">
        <w:rPr>
          <w:lang w:val="pl-PL"/>
        </w:rPr>
        <w:t>, datę otrzymania przez COPE MSWiA uważa się za wiążącą;</w:t>
      </w:r>
    </w:p>
    <w:p w14:paraId="14EC63D0" w14:textId="77777777" w:rsidR="004917DF" w:rsidRPr="0040661C" w:rsidRDefault="00170B1E" w:rsidP="0040661C">
      <w:pPr>
        <w:numPr>
          <w:ilvl w:val="0"/>
          <w:numId w:val="2"/>
        </w:numPr>
        <w:jc w:val="both"/>
        <w:rPr>
          <w:lang w:val="pl-PL"/>
        </w:rPr>
      </w:pPr>
      <w:r w:rsidRPr="00364E32">
        <w:rPr>
          <w:lang w:val="pl-PL"/>
        </w:rPr>
        <w:t>dat</w:t>
      </w:r>
      <w:r>
        <w:rPr>
          <w:lang w:val="pl-PL"/>
        </w:rPr>
        <w:t>ę</w:t>
      </w:r>
      <w:r w:rsidRPr="00364E32">
        <w:rPr>
          <w:lang w:val="pl-PL"/>
        </w:rPr>
        <w:t xml:space="preserve"> wpływu na adres skrzynki podawczej </w:t>
      </w:r>
      <w:r w:rsidR="00747A03">
        <w:rPr>
          <w:rFonts w:cs="Arial"/>
          <w:lang w:val="pl-PL"/>
        </w:rPr>
        <w:t>COPE MSWiA</w:t>
      </w:r>
      <w:r w:rsidR="00747A03" w:rsidDel="00747A03">
        <w:rPr>
          <w:lang w:val="pl-PL"/>
        </w:rPr>
        <w:t xml:space="preserve"> </w:t>
      </w:r>
      <w:r>
        <w:rPr>
          <w:lang w:val="pl-PL"/>
        </w:rPr>
        <w:t>–</w:t>
      </w:r>
      <w:r w:rsidR="006A7B08">
        <w:rPr>
          <w:lang w:val="pl-PL"/>
        </w:rPr>
        <w:t xml:space="preserve"> w </w:t>
      </w:r>
      <w:r w:rsidR="00DD0AAE" w:rsidRPr="00364E32">
        <w:rPr>
          <w:lang w:val="pl-PL"/>
        </w:rPr>
        <w:t>przypadku przesłania wniosku platformą ePUAP</w:t>
      </w:r>
      <w:r>
        <w:rPr>
          <w:lang w:val="pl-PL"/>
        </w:rPr>
        <w:t>.</w:t>
      </w:r>
      <w:r w:rsidR="00DD0AAE" w:rsidRPr="00364E32">
        <w:rPr>
          <w:lang w:val="pl-PL"/>
        </w:rPr>
        <w:t xml:space="preserve"> </w:t>
      </w:r>
    </w:p>
    <w:p w14:paraId="4BBDD3CA" w14:textId="77777777" w:rsidR="004917DF" w:rsidRPr="00364E32" w:rsidRDefault="002D7130" w:rsidP="00A76FBA">
      <w:pPr>
        <w:spacing w:after="120" w:line="240" w:lineRule="auto"/>
        <w:jc w:val="both"/>
        <w:rPr>
          <w:b/>
          <w:lang w:val="pl-PL"/>
        </w:rPr>
      </w:pPr>
      <w:r>
        <w:rPr>
          <w:b/>
          <w:lang w:val="pl-PL"/>
        </w:rPr>
        <w:t>I</w:t>
      </w:r>
      <w:r w:rsidR="004917DF" w:rsidRPr="00364E32">
        <w:rPr>
          <w:b/>
          <w:lang w:val="pl-PL"/>
        </w:rPr>
        <w:t>II. OCENA WNIOSKÓW</w:t>
      </w:r>
    </w:p>
    <w:p w14:paraId="4C72D32F" w14:textId="77777777" w:rsidR="004917DF" w:rsidRPr="00364E32" w:rsidRDefault="004917DF" w:rsidP="00A76FBA">
      <w:pPr>
        <w:spacing w:after="120" w:line="240" w:lineRule="auto"/>
        <w:jc w:val="both"/>
        <w:rPr>
          <w:lang w:val="pl-PL"/>
        </w:rPr>
      </w:pPr>
      <w:r w:rsidRPr="00364E32">
        <w:rPr>
          <w:lang w:val="pl-PL"/>
        </w:rPr>
        <w:t>Ocena wniosków</w:t>
      </w:r>
      <w:r w:rsidR="006A7B08">
        <w:rPr>
          <w:lang w:val="pl-PL"/>
        </w:rPr>
        <w:t xml:space="preserve"> o </w:t>
      </w:r>
      <w:r w:rsidR="005C7BBC" w:rsidRPr="00364E32">
        <w:rPr>
          <w:lang w:val="pl-PL"/>
        </w:rPr>
        <w:t xml:space="preserve">przyznanie dofinansowania ze środków Programu </w:t>
      </w:r>
      <w:r w:rsidRPr="00364E32">
        <w:rPr>
          <w:lang w:val="pl-PL"/>
        </w:rPr>
        <w:t>składa się</w:t>
      </w:r>
      <w:r w:rsidR="006A7B08">
        <w:rPr>
          <w:lang w:val="pl-PL"/>
        </w:rPr>
        <w:t xml:space="preserve"> z </w:t>
      </w:r>
      <w:r w:rsidRPr="00364E32">
        <w:rPr>
          <w:lang w:val="pl-PL"/>
        </w:rPr>
        <w:t>dwóch odrębnych etapów:</w:t>
      </w:r>
    </w:p>
    <w:p w14:paraId="6C1C9401" w14:textId="77777777" w:rsidR="00A76FBA" w:rsidRDefault="004917DF" w:rsidP="00A76FBA">
      <w:pPr>
        <w:pStyle w:val="Akapitzlist"/>
        <w:numPr>
          <w:ilvl w:val="0"/>
          <w:numId w:val="3"/>
        </w:numPr>
        <w:spacing w:after="120" w:line="240" w:lineRule="auto"/>
        <w:jc w:val="both"/>
      </w:pPr>
      <w:r w:rsidRPr="00A76FBA">
        <w:rPr>
          <w:b/>
          <w:i/>
        </w:rPr>
        <w:t>ocena formalna</w:t>
      </w:r>
      <w:r w:rsidRPr="00A76FBA">
        <w:t xml:space="preserve"> </w:t>
      </w:r>
      <w:r w:rsidR="005C7BBC" w:rsidRPr="00A76FBA">
        <w:t xml:space="preserve">(według </w:t>
      </w:r>
      <w:r w:rsidR="004377F0">
        <w:t>karty</w:t>
      </w:r>
      <w:r w:rsidR="004377F0" w:rsidRPr="00A76FBA">
        <w:t xml:space="preserve"> </w:t>
      </w:r>
      <w:r w:rsidR="005C7BBC" w:rsidRPr="00A76FBA">
        <w:t>oceny formalnej, zawierającej kryteria administracyjne</w:t>
      </w:r>
      <w:r w:rsidR="006A7B08">
        <w:t xml:space="preserve"> i </w:t>
      </w:r>
      <w:r w:rsidR="006D3227">
        <w:t>kwalifikowalności</w:t>
      </w:r>
      <w:r w:rsidR="005C7BBC" w:rsidRPr="00A76FBA">
        <w:t xml:space="preserve"> – Załącznik nr </w:t>
      </w:r>
      <w:r w:rsidR="006D3227">
        <w:t>4</w:t>
      </w:r>
      <w:r w:rsidR="005C7BBC" w:rsidRPr="00A76FBA">
        <w:t xml:space="preserve"> do </w:t>
      </w:r>
      <w:r w:rsidR="006D3227" w:rsidRPr="009030B6">
        <w:rPr>
          <w:i/>
        </w:rPr>
        <w:t>Ogłoszenia</w:t>
      </w:r>
      <w:r w:rsidR="006A7B08">
        <w:rPr>
          <w:i/>
        </w:rPr>
        <w:t xml:space="preserve"> o </w:t>
      </w:r>
      <w:r w:rsidR="006D3227" w:rsidRPr="009030B6">
        <w:rPr>
          <w:i/>
        </w:rPr>
        <w:t>naborze</w:t>
      </w:r>
      <w:r w:rsidR="005C7BBC" w:rsidRPr="00A76FBA">
        <w:t>)</w:t>
      </w:r>
      <w:r w:rsidR="00D276AD">
        <w:t>. Weryfikacja wniosków pod kątem kryteriów formalnych będzie trwała 20 dni roboczych, od dnia roboczego następującego po ostatnim dniu składania wniosków;</w:t>
      </w:r>
    </w:p>
    <w:p w14:paraId="1F66D3B7" w14:textId="77777777" w:rsidR="00ED79B4" w:rsidRDefault="00ED79B4" w:rsidP="00ED79B4">
      <w:pPr>
        <w:pStyle w:val="Akapitzlist"/>
        <w:spacing w:after="120" w:line="240" w:lineRule="auto"/>
        <w:jc w:val="both"/>
      </w:pPr>
    </w:p>
    <w:p w14:paraId="46D4D5F1" w14:textId="77777777" w:rsidR="009030B6" w:rsidRDefault="005C7BBC" w:rsidP="00A76FBA">
      <w:pPr>
        <w:pStyle w:val="Akapitzlist"/>
        <w:numPr>
          <w:ilvl w:val="0"/>
          <w:numId w:val="3"/>
        </w:numPr>
        <w:spacing w:after="120" w:line="240" w:lineRule="auto"/>
        <w:jc w:val="both"/>
      </w:pPr>
      <w:r w:rsidRPr="00A76FBA">
        <w:rPr>
          <w:b/>
          <w:i/>
        </w:rPr>
        <w:t>ocena merytoryczna</w:t>
      </w:r>
      <w:r w:rsidRPr="00A76FBA">
        <w:t xml:space="preserve"> (według </w:t>
      </w:r>
      <w:r w:rsidR="004377F0">
        <w:t>karty</w:t>
      </w:r>
      <w:r w:rsidR="004377F0" w:rsidRPr="00A76FBA">
        <w:t xml:space="preserve"> </w:t>
      </w:r>
      <w:r w:rsidRPr="00A76FBA">
        <w:t xml:space="preserve">oceny merytorycznej – Załącznik nr </w:t>
      </w:r>
      <w:r w:rsidR="006D3227">
        <w:t>5</w:t>
      </w:r>
      <w:r w:rsidR="00E63832" w:rsidRPr="00A76FBA">
        <w:t xml:space="preserve"> </w:t>
      </w:r>
      <w:r w:rsidRPr="00A76FBA">
        <w:t xml:space="preserve">do </w:t>
      </w:r>
      <w:r w:rsidR="006D3227" w:rsidRPr="009030B6">
        <w:rPr>
          <w:i/>
        </w:rPr>
        <w:t>Ogłoszenia</w:t>
      </w:r>
      <w:r w:rsidR="006A7B08">
        <w:rPr>
          <w:i/>
        </w:rPr>
        <w:t xml:space="preserve"> o </w:t>
      </w:r>
      <w:r w:rsidR="006D3227" w:rsidRPr="009030B6">
        <w:rPr>
          <w:i/>
        </w:rPr>
        <w:t>naborze</w:t>
      </w:r>
      <w:r w:rsidRPr="00A76FBA">
        <w:t>)</w:t>
      </w:r>
      <w:r w:rsidR="00E34E47">
        <w:t>.</w:t>
      </w:r>
      <w:r w:rsidR="00D276AD">
        <w:t xml:space="preserve"> Ocena merytoryczna</w:t>
      </w:r>
      <w:r w:rsidR="000A1B21">
        <w:t xml:space="preserve"> będzie trwała 45 dni roboczych</w:t>
      </w:r>
      <w:r w:rsidR="00D276AD">
        <w:t xml:space="preserve"> po zakończeniu weryfikacji formalnej.</w:t>
      </w:r>
    </w:p>
    <w:p w14:paraId="6E205CCF" w14:textId="77777777" w:rsidR="009F0D2A" w:rsidRPr="00364E32" w:rsidRDefault="002D7130" w:rsidP="00A76FBA">
      <w:pPr>
        <w:jc w:val="both"/>
        <w:rPr>
          <w:b/>
          <w:lang w:val="pl-PL"/>
        </w:rPr>
      </w:pPr>
      <w:r>
        <w:rPr>
          <w:b/>
          <w:lang w:val="pl-PL"/>
        </w:rPr>
        <w:t>I</w:t>
      </w:r>
      <w:r w:rsidR="000278EB" w:rsidRPr="00364E32">
        <w:rPr>
          <w:b/>
          <w:lang w:val="pl-PL"/>
        </w:rPr>
        <w:t>II.1</w:t>
      </w:r>
      <w:r w:rsidR="00DD0AAE" w:rsidRPr="00364E32">
        <w:rPr>
          <w:b/>
          <w:lang w:val="pl-PL"/>
        </w:rPr>
        <w:t xml:space="preserve"> Ocena formalna</w:t>
      </w:r>
    </w:p>
    <w:p w14:paraId="6A955E5E" w14:textId="77777777" w:rsidR="0031168C" w:rsidRPr="00364E32" w:rsidRDefault="00DD0AAE" w:rsidP="00A76FBA">
      <w:pPr>
        <w:jc w:val="both"/>
        <w:rPr>
          <w:lang w:val="pl-PL"/>
        </w:rPr>
      </w:pPr>
      <w:r w:rsidRPr="00364E32">
        <w:rPr>
          <w:lang w:val="pl-PL"/>
        </w:rPr>
        <w:t xml:space="preserve">Ocena formalna jest dokonywana przez </w:t>
      </w:r>
      <w:r w:rsidR="006A7B08">
        <w:rPr>
          <w:lang w:val="pl-PL"/>
        </w:rPr>
        <w:t>COPE MSWiA</w:t>
      </w:r>
      <w:r w:rsidRPr="00364E32">
        <w:rPr>
          <w:lang w:val="pl-PL"/>
        </w:rPr>
        <w:t xml:space="preserve"> na podstawie </w:t>
      </w:r>
      <w:r w:rsidR="004377F0">
        <w:rPr>
          <w:i/>
          <w:lang w:val="pl-PL"/>
        </w:rPr>
        <w:t>Karty</w:t>
      </w:r>
      <w:r w:rsidR="004377F0" w:rsidRPr="00ED79B4">
        <w:rPr>
          <w:i/>
          <w:lang w:val="pl-PL"/>
        </w:rPr>
        <w:t xml:space="preserve"> </w:t>
      </w:r>
      <w:r w:rsidRPr="00ED79B4">
        <w:rPr>
          <w:i/>
          <w:lang w:val="pl-PL"/>
        </w:rPr>
        <w:t>oceny formalnej</w:t>
      </w:r>
      <w:r w:rsidRPr="00364E32">
        <w:rPr>
          <w:lang w:val="pl-PL"/>
        </w:rPr>
        <w:t>.</w:t>
      </w:r>
      <w:r w:rsidR="00AF10DA" w:rsidRPr="00364E32">
        <w:rPr>
          <w:lang w:val="pl-PL"/>
        </w:rPr>
        <w:t xml:space="preserve"> </w:t>
      </w:r>
      <w:r w:rsidR="0031168C" w:rsidRPr="00364E32">
        <w:rPr>
          <w:lang w:val="pl-PL"/>
        </w:rPr>
        <w:t xml:space="preserve">Ocena formalna ma charakter „zero-jedynkowy”. </w:t>
      </w:r>
      <w:r w:rsidR="002E75C7">
        <w:rPr>
          <w:lang w:val="pl-PL"/>
        </w:rPr>
        <w:t>Ekspert przed dokonaniem oceny podpisuje deklarację bezstronności.</w:t>
      </w:r>
    </w:p>
    <w:p w14:paraId="7F522F03" w14:textId="77777777" w:rsidR="00DD0AAE" w:rsidRPr="00364E32" w:rsidRDefault="00241DD0" w:rsidP="00A76FBA">
      <w:pPr>
        <w:jc w:val="both"/>
        <w:rPr>
          <w:lang w:val="pl-PL"/>
        </w:rPr>
      </w:pPr>
      <w:r w:rsidRPr="00364E32">
        <w:rPr>
          <w:lang w:val="pl-PL"/>
        </w:rPr>
        <w:lastRenderedPageBreak/>
        <w:t>W pierwszej kolejności wniosek jest sprawdzany pod względem formalnym</w:t>
      </w:r>
      <w:r w:rsidR="006A7B08">
        <w:rPr>
          <w:lang w:val="pl-PL"/>
        </w:rPr>
        <w:t xml:space="preserve"> z</w:t>
      </w:r>
      <w:r w:rsidR="004B7EE6">
        <w:rPr>
          <w:lang w:val="pl-PL"/>
        </w:rPr>
        <w:t xml:space="preserve"> </w:t>
      </w:r>
      <w:r w:rsidR="0031168C" w:rsidRPr="00364E32">
        <w:rPr>
          <w:lang w:val="pl-PL"/>
        </w:rPr>
        <w:t xml:space="preserve">zastosowaniem </w:t>
      </w:r>
      <w:r w:rsidR="0031168C" w:rsidRPr="00ED79B4">
        <w:rPr>
          <w:i/>
          <w:lang w:val="pl-PL"/>
        </w:rPr>
        <w:t xml:space="preserve">kryteriów </w:t>
      </w:r>
      <w:r w:rsidR="00581B6E">
        <w:rPr>
          <w:i/>
          <w:lang w:val="pl-PL"/>
        </w:rPr>
        <w:t>administracyjnych</w:t>
      </w:r>
      <w:r w:rsidR="004B7EE6">
        <w:rPr>
          <w:i/>
          <w:lang w:val="pl-PL"/>
        </w:rPr>
        <w:t xml:space="preserve"> oraz </w:t>
      </w:r>
      <w:r w:rsidR="0068478E" w:rsidRPr="00ED79B4">
        <w:rPr>
          <w:i/>
          <w:lang w:val="pl-PL"/>
        </w:rPr>
        <w:t>kwalifik</w:t>
      </w:r>
      <w:r w:rsidR="0068478E">
        <w:rPr>
          <w:i/>
          <w:lang w:val="pl-PL"/>
        </w:rPr>
        <w:t>owalności</w:t>
      </w:r>
      <w:r w:rsidR="0031168C" w:rsidRPr="00364E32">
        <w:rPr>
          <w:lang w:val="pl-PL"/>
        </w:rPr>
        <w:t>. Jeśli, któreś ze wskazanych</w:t>
      </w:r>
      <w:r w:rsidR="006A7B08">
        <w:rPr>
          <w:lang w:val="pl-PL"/>
        </w:rPr>
        <w:t xml:space="preserve"> w</w:t>
      </w:r>
      <w:r w:rsidR="004B7EE6">
        <w:rPr>
          <w:lang w:val="pl-PL"/>
        </w:rPr>
        <w:t xml:space="preserve"> karcie</w:t>
      </w:r>
      <w:r w:rsidR="004B7EE6" w:rsidRPr="00364E32">
        <w:rPr>
          <w:lang w:val="pl-PL"/>
        </w:rPr>
        <w:t xml:space="preserve"> </w:t>
      </w:r>
      <w:r w:rsidR="0031168C" w:rsidRPr="00364E32">
        <w:rPr>
          <w:lang w:val="pl-PL"/>
        </w:rPr>
        <w:t xml:space="preserve">oceny formalnej </w:t>
      </w:r>
      <w:r w:rsidR="0031168C" w:rsidRPr="00ED79B4">
        <w:rPr>
          <w:i/>
          <w:lang w:val="pl-PL"/>
        </w:rPr>
        <w:t xml:space="preserve">kryteriów </w:t>
      </w:r>
      <w:r w:rsidR="004B7EE6">
        <w:rPr>
          <w:i/>
          <w:lang w:val="pl-PL"/>
        </w:rPr>
        <w:t xml:space="preserve">niepodlegających uzupełnieniu </w:t>
      </w:r>
      <w:r w:rsidR="0031168C" w:rsidRPr="00364E32">
        <w:rPr>
          <w:lang w:val="pl-PL"/>
        </w:rPr>
        <w:t xml:space="preserve">nie zostanie spełnione, wniosek zostaje </w:t>
      </w:r>
      <w:r w:rsidR="000E5B09">
        <w:rPr>
          <w:lang w:val="pl-PL"/>
        </w:rPr>
        <w:t>pozostawiony bez rozpatrzenia</w:t>
      </w:r>
      <w:r w:rsidR="0031168C" w:rsidRPr="00364E32">
        <w:rPr>
          <w:lang w:val="pl-PL"/>
        </w:rPr>
        <w:t>.</w:t>
      </w:r>
    </w:p>
    <w:p w14:paraId="0EE27164" w14:textId="77777777" w:rsidR="00EE14E5" w:rsidRPr="00364E32" w:rsidRDefault="0031168C" w:rsidP="00A76FBA">
      <w:pPr>
        <w:jc w:val="both"/>
        <w:rPr>
          <w:lang w:val="pl-PL"/>
        </w:rPr>
      </w:pPr>
      <w:r w:rsidRPr="00364E32">
        <w:rPr>
          <w:lang w:val="pl-PL"/>
        </w:rPr>
        <w:t xml:space="preserve">Wszystkie wnioski, które spełniają </w:t>
      </w:r>
      <w:r w:rsidRPr="00ED79B4">
        <w:rPr>
          <w:i/>
          <w:lang w:val="pl-PL"/>
        </w:rPr>
        <w:t xml:space="preserve">kryteria </w:t>
      </w:r>
      <w:r w:rsidR="0040661C">
        <w:rPr>
          <w:i/>
          <w:lang w:val="pl-PL"/>
        </w:rPr>
        <w:t xml:space="preserve">niepodlegające uzupełnieniu </w:t>
      </w:r>
      <w:r w:rsidRPr="00364E32">
        <w:rPr>
          <w:lang w:val="pl-PL"/>
        </w:rPr>
        <w:t>są</w:t>
      </w:r>
      <w:r w:rsidR="006A7B08">
        <w:rPr>
          <w:lang w:val="pl-PL"/>
        </w:rPr>
        <w:t xml:space="preserve"> w</w:t>
      </w:r>
      <w:r w:rsidR="004B7EE6">
        <w:rPr>
          <w:lang w:val="pl-PL"/>
        </w:rPr>
        <w:t xml:space="preserve"> </w:t>
      </w:r>
      <w:r w:rsidRPr="00364E32">
        <w:rPr>
          <w:lang w:val="pl-PL"/>
        </w:rPr>
        <w:t>dalszej kolejności sprawdzane pod względem formalnym</w:t>
      </w:r>
      <w:r w:rsidR="006A7B08">
        <w:rPr>
          <w:lang w:val="pl-PL"/>
        </w:rPr>
        <w:t xml:space="preserve"> z</w:t>
      </w:r>
      <w:r w:rsidR="004B7EE6">
        <w:rPr>
          <w:lang w:val="pl-PL"/>
        </w:rPr>
        <w:t xml:space="preserve"> </w:t>
      </w:r>
      <w:r w:rsidRPr="00364E32">
        <w:rPr>
          <w:lang w:val="pl-PL"/>
        </w:rPr>
        <w:t xml:space="preserve">zastosowaniem </w:t>
      </w:r>
      <w:r w:rsidRPr="00ED79B4">
        <w:rPr>
          <w:i/>
          <w:lang w:val="pl-PL"/>
        </w:rPr>
        <w:t xml:space="preserve">kryteriów </w:t>
      </w:r>
      <w:r w:rsidR="004B7EE6">
        <w:rPr>
          <w:i/>
          <w:lang w:val="pl-PL"/>
        </w:rPr>
        <w:t>podlegających uzupełnieniu</w:t>
      </w:r>
      <w:r w:rsidRPr="00364E32">
        <w:rPr>
          <w:lang w:val="pl-PL"/>
        </w:rPr>
        <w:t>.</w:t>
      </w:r>
      <w:r w:rsidR="006A7B08">
        <w:rPr>
          <w:lang w:val="pl-PL"/>
        </w:rPr>
        <w:t xml:space="preserve"> W</w:t>
      </w:r>
      <w:r w:rsidR="00265256">
        <w:rPr>
          <w:lang w:val="pl-PL"/>
        </w:rPr>
        <w:t> </w:t>
      </w:r>
      <w:r w:rsidRPr="00364E32">
        <w:rPr>
          <w:lang w:val="pl-PL"/>
        </w:rPr>
        <w:t xml:space="preserve">przypadku </w:t>
      </w:r>
      <w:r w:rsidR="00EE14E5" w:rsidRPr="00364E32">
        <w:rPr>
          <w:lang w:val="pl-PL"/>
        </w:rPr>
        <w:t>braków</w:t>
      </w:r>
      <w:r w:rsidR="006A7B08">
        <w:rPr>
          <w:lang w:val="pl-PL"/>
        </w:rPr>
        <w:t xml:space="preserve"> w</w:t>
      </w:r>
      <w:r w:rsidR="004B7EE6">
        <w:rPr>
          <w:lang w:val="pl-PL"/>
        </w:rPr>
        <w:t xml:space="preserve"> </w:t>
      </w:r>
      <w:r w:rsidR="00EE14E5" w:rsidRPr="00364E32">
        <w:rPr>
          <w:lang w:val="pl-PL"/>
        </w:rPr>
        <w:t xml:space="preserve">zakresie </w:t>
      </w:r>
      <w:r w:rsidRPr="00364E32">
        <w:rPr>
          <w:lang w:val="pl-PL"/>
        </w:rPr>
        <w:t>któregoś</w:t>
      </w:r>
      <w:r w:rsidR="006A7B08">
        <w:rPr>
          <w:lang w:val="pl-PL"/>
        </w:rPr>
        <w:t xml:space="preserve"> z</w:t>
      </w:r>
      <w:r w:rsidR="004B7EE6">
        <w:rPr>
          <w:lang w:val="pl-PL"/>
        </w:rPr>
        <w:t xml:space="preserve"> </w:t>
      </w:r>
      <w:r w:rsidRPr="00ED79B4">
        <w:rPr>
          <w:i/>
          <w:lang w:val="pl-PL"/>
        </w:rPr>
        <w:t xml:space="preserve">kryteriów </w:t>
      </w:r>
      <w:r w:rsidR="004B7EE6">
        <w:rPr>
          <w:i/>
          <w:lang w:val="pl-PL"/>
        </w:rPr>
        <w:t>podlegających uzupełnieniu</w:t>
      </w:r>
      <w:r w:rsidRPr="00364E32">
        <w:rPr>
          <w:lang w:val="pl-PL"/>
        </w:rPr>
        <w:t xml:space="preserve">, wnioskodawca </w:t>
      </w:r>
      <w:r w:rsidR="00AE4F2B" w:rsidRPr="00364E32">
        <w:rPr>
          <w:lang w:val="pl-PL"/>
        </w:rPr>
        <w:t xml:space="preserve">jest wezwany przez </w:t>
      </w:r>
      <w:r w:rsidR="006A7B08">
        <w:rPr>
          <w:lang w:val="pl-PL"/>
        </w:rPr>
        <w:t>COPE MSWiA</w:t>
      </w:r>
      <w:r w:rsidR="00AE4F2B" w:rsidRPr="00364E32">
        <w:rPr>
          <w:lang w:val="pl-PL"/>
        </w:rPr>
        <w:t xml:space="preserve"> do dokonania niezbędnych </w:t>
      </w:r>
      <w:r w:rsidR="006710FB" w:rsidRPr="00364E32">
        <w:rPr>
          <w:lang w:val="pl-PL"/>
        </w:rPr>
        <w:t xml:space="preserve">poprawek i/lub </w:t>
      </w:r>
      <w:r w:rsidR="00AE4F2B" w:rsidRPr="00364E32">
        <w:rPr>
          <w:lang w:val="pl-PL"/>
        </w:rPr>
        <w:t xml:space="preserve">uzupełnień. </w:t>
      </w:r>
      <w:r w:rsidR="00747A03">
        <w:rPr>
          <w:rFonts w:cs="Arial"/>
          <w:lang w:val="pl-PL"/>
        </w:rPr>
        <w:t>COPE MSWiA</w:t>
      </w:r>
      <w:r w:rsidR="00AE4F2B" w:rsidRPr="00364E32">
        <w:rPr>
          <w:lang w:val="pl-PL"/>
        </w:rPr>
        <w:t xml:space="preserve"> przekazuje </w:t>
      </w:r>
      <w:r w:rsidR="003C2243" w:rsidRPr="00364E32">
        <w:rPr>
          <w:lang w:val="pl-PL"/>
        </w:rPr>
        <w:t xml:space="preserve">uwagi do wnioskodawcy </w:t>
      </w:r>
      <w:r w:rsidR="00AE4F2B" w:rsidRPr="00364E32">
        <w:rPr>
          <w:lang w:val="pl-PL"/>
        </w:rPr>
        <w:t xml:space="preserve">pisemnie </w:t>
      </w:r>
      <w:r w:rsidR="003C2243" w:rsidRPr="00364E32">
        <w:rPr>
          <w:lang w:val="pl-PL"/>
        </w:rPr>
        <w:t>lub drogą elektroniczną</w:t>
      </w:r>
      <w:r w:rsidR="00EB3838">
        <w:rPr>
          <w:lang w:val="pl-PL"/>
        </w:rPr>
        <w:t xml:space="preserve"> (za pośrednictwem platformy ePUAP)</w:t>
      </w:r>
      <w:r w:rsidR="00AE4F2B" w:rsidRPr="00364E32">
        <w:rPr>
          <w:lang w:val="pl-PL"/>
        </w:rPr>
        <w:t xml:space="preserve">. Wnioskodawca musi poprawić </w:t>
      </w:r>
      <w:r w:rsidR="003C2243" w:rsidRPr="00364E32">
        <w:rPr>
          <w:lang w:val="pl-PL"/>
        </w:rPr>
        <w:t xml:space="preserve">i/lub </w:t>
      </w:r>
      <w:r w:rsidR="00ED79B4">
        <w:rPr>
          <w:lang w:val="pl-PL"/>
        </w:rPr>
        <w:t xml:space="preserve">uzupełnić </w:t>
      </w:r>
      <w:r w:rsidR="00AE4F2B" w:rsidRPr="00364E32">
        <w:rPr>
          <w:lang w:val="pl-PL"/>
        </w:rPr>
        <w:t>wniosek zgodnie</w:t>
      </w:r>
      <w:r w:rsidR="006A7B08">
        <w:rPr>
          <w:lang w:val="pl-PL"/>
        </w:rPr>
        <w:t xml:space="preserve"> z</w:t>
      </w:r>
      <w:r w:rsidR="004B7EE6">
        <w:rPr>
          <w:lang w:val="pl-PL"/>
        </w:rPr>
        <w:t xml:space="preserve"> </w:t>
      </w:r>
      <w:r w:rsidR="00AE4F2B" w:rsidRPr="00364E32">
        <w:rPr>
          <w:lang w:val="pl-PL"/>
        </w:rPr>
        <w:t xml:space="preserve">uwagami </w:t>
      </w:r>
      <w:r w:rsidR="00747A03">
        <w:rPr>
          <w:rFonts w:cs="Arial"/>
          <w:lang w:val="pl-PL"/>
        </w:rPr>
        <w:t>COPE MSWiA</w:t>
      </w:r>
      <w:r w:rsidR="00AE4F2B" w:rsidRPr="00364E32">
        <w:rPr>
          <w:lang w:val="pl-PL"/>
        </w:rPr>
        <w:t xml:space="preserve"> </w:t>
      </w:r>
      <w:r w:rsidR="000F3173" w:rsidRPr="00364E32">
        <w:rPr>
          <w:lang w:val="pl-PL"/>
        </w:rPr>
        <w:t xml:space="preserve">oraz przesłać </w:t>
      </w:r>
      <w:r w:rsidR="003C2243" w:rsidRPr="00364E32">
        <w:rPr>
          <w:lang w:val="pl-PL"/>
        </w:rPr>
        <w:t xml:space="preserve">poprawiony i/lub uzupełniony wniosek </w:t>
      </w:r>
      <w:r w:rsidR="000F3173" w:rsidRPr="00364E32">
        <w:rPr>
          <w:lang w:val="pl-PL"/>
        </w:rPr>
        <w:t xml:space="preserve">na adres </w:t>
      </w:r>
      <w:r w:rsidR="00747A03">
        <w:rPr>
          <w:rFonts w:cs="Arial"/>
          <w:lang w:val="pl-PL"/>
        </w:rPr>
        <w:t>COPE MSWiA</w:t>
      </w:r>
      <w:r w:rsidR="000F3173" w:rsidRPr="00364E32">
        <w:rPr>
          <w:lang w:val="pl-PL"/>
        </w:rPr>
        <w:t xml:space="preserve"> (</w:t>
      </w:r>
      <w:r w:rsidR="000E5B09">
        <w:rPr>
          <w:lang w:val="pl-PL"/>
        </w:rPr>
        <w:t>miejsce</w:t>
      </w:r>
      <w:r w:rsidR="006A7B08">
        <w:rPr>
          <w:lang w:val="pl-PL"/>
        </w:rPr>
        <w:t xml:space="preserve"> i</w:t>
      </w:r>
      <w:r w:rsidR="004B7EE6">
        <w:rPr>
          <w:lang w:val="pl-PL"/>
        </w:rPr>
        <w:t xml:space="preserve"> </w:t>
      </w:r>
      <w:r w:rsidR="000E5B09">
        <w:rPr>
          <w:lang w:val="pl-PL"/>
        </w:rPr>
        <w:t>forma składania poprawionego/uzupełnionego wniosku są tożsame</w:t>
      </w:r>
      <w:r w:rsidR="006A7B08">
        <w:rPr>
          <w:lang w:val="pl-PL"/>
        </w:rPr>
        <w:t xml:space="preserve"> z</w:t>
      </w:r>
      <w:r w:rsidR="004B7EE6">
        <w:rPr>
          <w:lang w:val="pl-PL"/>
        </w:rPr>
        <w:t xml:space="preserve"> </w:t>
      </w:r>
      <w:r w:rsidR="000E5B09">
        <w:rPr>
          <w:lang w:val="pl-PL"/>
        </w:rPr>
        <w:t>zasadami składania wniosków</w:t>
      </w:r>
      <w:r w:rsidR="006A7B08">
        <w:rPr>
          <w:lang w:val="pl-PL"/>
        </w:rPr>
        <w:t xml:space="preserve"> o </w:t>
      </w:r>
      <w:r w:rsidR="000E5B09">
        <w:rPr>
          <w:lang w:val="pl-PL"/>
        </w:rPr>
        <w:t>dofinansowanie, opisanymi</w:t>
      </w:r>
      <w:r w:rsidR="006A7B08">
        <w:rPr>
          <w:lang w:val="pl-PL"/>
        </w:rPr>
        <w:t xml:space="preserve"> w</w:t>
      </w:r>
      <w:r w:rsidR="004B7EE6">
        <w:rPr>
          <w:lang w:val="pl-PL"/>
        </w:rPr>
        <w:t xml:space="preserve"> </w:t>
      </w:r>
      <w:r w:rsidR="000E5B09">
        <w:rPr>
          <w:lang w:val="pl-PL"/>
        </w:rPr>
        <w:t>rozdziale II</w:t>
      </w:r>
      <w:r w:rsidR="000F3173" w:rsidRPr="00364E32">
        <w:rPr>
          <w:lang w:val="pl-PL"/>
        </w:rPr>
        <w:t>)</w:t>
      </w:r>
      <w:r w:rsidR="006A7B08">
        <w:rPr>
          <w:lang w:val="pl-PL"/>
        </w:rPr>
        <w:t xml:space="preserve"> w</w:t>
      </w:r>
      <w:r w:rsidR="004B7EE6">
        <w:rPr>
          <w:lang w:val="pl-PL"/>
        </w:rPr>
        <w:t xml:space="preserve"> </w:t>
      </w:r>
      <w:r w:rsidR="000F3173" w:rsidRPr="00364E32">
        <w:rPr>
          <w:lang w:val="pl-PL"/>
        </w:rPr>
        <w:t xml:space="preserve">ciągu </w:t>
      </w:r>
      <w:r w:rsidR="003C2243" w:rsidRPr="00364E32">
        <w:rPr>
          <w:lang w:val="pl-PL"/>
        </w:rPr>
        <w:t>7</w:t>
      </w:r>
      <w:r w:rsidR="000F3173" w:rsidRPr="00364E32">
        <w:rPr>
          <w:lang w:val="pl-PL"/>
        </w:rPr>
        <w:t xml:space="preserve"> dni od daty otrzymania uwag.</w:t>
      </w:r>
      <w:r w:rsidR="006A7B08">
        <w:rPr>
          <w:lang w:val="pl-PL"/>
        </w:rPr>
        <w:t xml:space="preserve"> W</w:t>
      </w:r>
      <w:r w:rsidR="004B7EE6">
        <w:rPr>
          <w:lang w:val="pl-PL"/>
        </w:rPr>
        <w:t xml:space="preserve"> </w:t>
      </w:r>
      <w:r w:rsidR="000F3173" w:rsidRPr="00364E32">
        <w:rPr>
          <w:lang w:val="pl-PL"/>
        </w:rPr>
        <w:t xml:space="preserve">przypadku niedotrzymania tego terminu wniosek </w:t>
      </w:r>
      <w:r w:rsidR="000E5B09">
        <w:rPr>
          <w:lang w:val="pl-PL"/>
        </w:rPr>
        <w:t>otrzyma ocenę negatywną</w:t>
      </w:r>
      <w:r w:rsidR="000F3173" w:rsidRPr="00364E32">
        <w:rPr>
          <w:lang w:val="pl-PL"/>
        </w:rPr>
        <w:t>.</w:t>
      </w:r>
      <w:r w:rsidR="00B67BB9">
        <w:rPr>
          <w:lang w:val="pl-PL"/>
        </w:rPr>
        <w:t xml:space="preserve"> Nie będą brane pod uwagę wprowadzone przez Wnioskodawcę zmiany inne, niż te, które zostały wskazane przez COPE MSWiA. W zakresie, w którym COPE MSWiA nie wzywało do uzupełnienia lub poprawy wniosku, będzie oceniana pierwotna treść wniosku.</w:t>
      </w:r>
    </w:p>
    <w:p w14:paraId="2024C101" w14:textId="77777777" w:rsidR="006710FB" w:rsidRDefault="00747A03" w:rsidP="00A76FBA">
      <w:pPr>
        <w:jc w:val="both"/>
        <w:rPr>
          <w:lang w:val="pl-PL"/>
        </w:rPr>
      </w:pPr>
      <w:r>
        <w:rPr>
          <w:rFonts w:cs="Arial"/>
          <w:lang w:val="pl-PL"/>
        </w:rPr>
        <w:t>COPE MSWiA</w:t>
      </w:r>
      <w:r w:rsidR="00C20640" w:rsidRPr="00364E32">
        <w:rPr>
          <w:lang w:val="pl-PL"/>
        </w:rPr>
        <w:t xml:space="preserve"> n</w:t>
      </w:r>
      <w:r w:rsidR="000278EB" w:rsidRPr="00364E32">
        <w:rPr>
          <w:lang w:val="pl-PL"/>
        </w:rPr>
        <w:t>iezwłocznie p</w:t>
      </w:r>
      <w:r w:rsidR="006710FB" w:rsidRPr="00364E32">
        <w:rPr>
          <w:lang w:val="pl-PL"/>
        </w:rPr>
        <w:t>o zakończeniu oceny</w:t>
      </w:r>
      <w:r w:rsidR="000278EB" w:rsidRPr="00364E32">
        <w:rPr>
          <w:lang w:val="pl-PL"/>
        </w:rPr>
        <w:t xml:space="preserve"> </w:t>
      </w:r>
      <w:r w:rsidR="006710FB" w:rsidRPr="00364E32">
        <w:rPr>
          <w:lang w:val="pl-PL"/>
        </w:rPr>
        <w:t>formalnej</w:t>
      </w:r>
      <w:r w:rsidR="000278EB" w:rsidRPr="00364E32">
        <w:rPr>
          <w:lang w:val="pl-PL"/>
        </w:rPr>
        <w:t xml:space="preserve"> </w:t>
      </w:r>
      <w:r w:rsidR="00C20640" w:rsidRPr="00364E32">
        <w:rPr>
          <w:lang w:val="pl-PL"/>
        </w:rPr>
        <w:t>informuje wnioskodawcę</w:t>
      </w:r>
      <w:r w:rsidR="006A7B08">
        <w:rPr>
          <w:lang w:val="pl-PL"/>
        </w:rPr>
        <w:t xml:space="preserve"> o </w:t>
      </w:r>
      <w:r w:rsidR="000278EB" w:rsidRPr="00364E32">
        <w:rPr>
          <w:lang w:val="pl-PL"/>
        </w:rPr>
        <w:t>jej wynikach.</w:t>
      </w:r>
    </w:p>
    <w:p w14:paraId="3D0CF544" w14:textId="77777777" w:rsidR="009140A1" w:rsidRPr="001E5A4D" w:rsidRDefault="009140A1" w:rsidP="006D3227">
      <w:pPr>
        <w:jc w:val="both"/>
        <w:rPr>
          <w:lang w:val="pl-PL"/>
        </w:rPr>
      </w:pPr>
      <w:r w:rsidRPr="001E5A4D">
        <w:rPr>
          <w:lang w:val="pl-PL"/>
        </w:rPr>
        <w:t xml:space="preserve">Jeżeli wniosek otrzymał negatywną ocenę lub został pozostawiony bez rozpatrzenia, informacja, </w:t>
      </w:r>
      <w:r w:rsidR="00265256">
        <w:rPr>
          <w:lang w:val="pl-PL"/>
        </w:rPr>
        <w:t>o </w:t>
      </w:r>
      <w:r w:rsidRPr="001E5A4D">
        <w:rPr>
          <w:lang w:val="pl-PL"/>
        </w:rPr>
        <w:t>której mowa powyżej, zawiera pouczenie o możliwości wni</w:t>
      </w:r>
      <w:r w:rsidR="00B67BB9">
        <w:rPr>
          <w:lang w:val="pl-PL"/>
        </w:rPr>
        <w:t>esienia odwołania na zasadach i </w:t>
      </w:r>
      <w:r w:rsidRPr="001E5A4D">
        <w:rPr>
          <w:lang w:val="pl-PL"/>
        </w:rPr>
        <w:t>w</w:t>
      </w:r>
      <w:r w:rsidR="00B67BB9">
        <w:rPr>
          <w:lang w:val="pl-PL"/>
        </w:rPr>
        <w:t> </w:t>
      </w:r>
      <w:r w:rsidR="00265256">
        <w:rPr>
          <w:lang w:val="pl-PL"/>
        </w:rPr>
        <w:t>trybie, o </w:t>
      </w:r>
      <w:r w:rsidRPr="001E5A4D">
        <w:rPr>
          <w:lang w:val="pl-PL"/>
        </w:rPr>
        <w:t>którym mowa w III.2, określające:</w:t>
      </w:r>
    </w:p>
    <w:p w14:paraId="352A0A7E" w14:textId="77777777" w:rsidR="009140A1" w:rsidRPr="001E5A4D" w:rsidRDefault="009140A1" w:rsidP="006D3227">
      <w:pPr>
        <w:jc w:val="both"/>
        <w:rPr>
          <w:lang w:val="pl-PL"/>
        </w:rPr>
      </w:pPr>
      <w:r w:rsidRPr="001E5A4D">
        <w:rPr>
          <w:lang w:val="pl-PL"/>
        </w:rPr>
        <w:t>a) termin na wniesienie odwołania</w:t>
      </w:r>
      <w:r w:rsidR="001E5A4D">
        <w:rPr>
          <w:lang w:val="pl-PL"/>
        </w:rPr>
        <w:t>,</w:t>
      </w:r>
    </w:p>
    <w:p w14:paraId="28E166FB" w14:textId="77777777" w:rsidR="009140A1" w:rsidRPr="001E5A4D" w:rsidRDefault="009140A1" w:rsidP="006D3227">
      <w:pPr>
        <w:jc w:val="both"/>
        <w:rPr>
          <w:lang w:val="pl-PL"/>
        </w:rPr>
      </w:pPr>
      <w:r w:rsidRPr="001E5A4D">
        <w:rPr>
          <w:lang w:val="pl-PL"/>
        </w:rPr>
        <w:t>b) instytucję</w:t>
      </w:r>
      <w:r w:rsidR="001E5A4D">
        <w:rPr>
          <w:lang w:val="pl-PL"/>
        </w:rPr>
        <w:t>,</w:t>
      </w:r>
      <w:r w:rsidRPr="001E5A4D">
        <w:rPr>
          <w:lang w:val="pl-PL"/>
        </w:rPr>
        <w:t xml:space="preserve"> do której należy wnieść odwołanie (</w:t>
      </w:r>
      <w:r w:rsidR="00861BE4">
        <w:rPr>
          <w:lang w:val="pl-PL"/>
        </w:rPr>
        <w:t xml:space="preserve">Krajowy Punkt Kontaktowy za pośrednictwem </w:t>
      </w:r>
      <w:r w:rsidRPr="001E5A4D">
        <w:rPr>
          <w:lang w:val="pl-PL"/>
        </w:rPr>
        <w:t>COPE MSWiA)</w:t>
      </w:r>
      <w:r w:rsidR="001E5A4D">
        <w:rPr>
          <w:lang w:val="pl-PL"/>
        </w:rPr>
        <w:t>,</w:t>
      </w:r>
    </w:p>
    <w:p w14:paraId="6A38718A" w14:textId="77777777" w:rsidR="009140A1" w:rsidRPr="009140A1" w:rsidRDefault="009140A1" w:rsidP="00A76FBA">
      <w:pPr>
        <w:jc w:val="both"/>
        <w:rPr>
          <w:lang w:val="pl-PL"/>
        </w:rPr>
      </w:pPr>
      <w:r w:rsidRPr="001E5A4D">
        <w:rPr>
          <w:lang w:val="pl-PL"/>
        </w:rPr>
        <w:t>c) wymogi formalne odwołania, o których mowa w pkt. III.2.</w:t>
      </w:r>
    </w:p>
    <w:p w14:paraId="1268AA7B" w14:textId="77777777" w:rsidR="006D3227" w:rsidRPr="0040661C" w:rsidRDefault="006D3227" w:rsidP="00A76FBA">
      <w:pPr>
        <w:jc w:val="both"/>
        <w:rPr>
          <w:i/>
          <w:lang w:val="pl-PL"/>
        </w:rPr>
      </w:pPr>
      <w:r w:rsidRPr="00DB5CB7">
        <w:rPr>
          <w:i/>
          <w:lang w:val="pl-PL"/>
        </w:rPr>
        <w:t>Uwaga:</w:t>
      </w:r>
      <w:r w:rsidR="006A7B08">
        <w:rPr>
          <w:i/>
          <w:lang w:val="pl-PL"/>
        </w:rPr>
        <w:t xml:space="preserve"> W </w:t>
      </w:r>
      <w:r w:rsidRPr="00DB5CB7">
        <w:rPr>
          <w:i/>
          <w:lang w:val="pl-PL"/>
        </w:rPr>
        <w:t xml:space="preserve">przypadku gdy wniosek </w:t>
      </w:r>
      <w:r>
        <w:rPr>
          <w:i/>
          <w:lang w:val="pl-PL"/>
        </w:rPr>
        <w:t>zostanie zaakceptowany pod względem formalnym,</w:t>
      </w:r>
      <w:r w:rsidR="006A7B08">
        <w:rPr>
          <w:i/>
          <w:lang w:val="pl-PL"/>
        </w:rPr>
        <w:t xml:space="preserve"> w </w:t>
      </w:r>
      <w:r w:rsidRPr="00DB5CB7">
        <w:rPr>
          <w:i/>
          <w:lang w:val="pl-PL"/>
        </w:rPr>
        <w:t>trybie zwykłym lub</w:t>
      </w:r>
      <w:r w:rsidR="006A7B08">
        <w:rPr>
          <w:i/>
          <w:lang w:val="pl-PL"/>
        </w:rPr>
        <w:t xml:space="preserve"> w </w:t>
      </w:r>
      <w:r w:rsidRPr="00DB5CB7">
        <w:rPr>
          <w:i/>
          <w:lang w:val="pl-PL"/>
        </w:rPr>
        <w:t xml:space="preserve">procedurze odwoławczej, </w:t>
      </w:r>
      <w:r w:rsidR="00747A03" w:rsidRPr="00747A03">
        <w:rPr>
          <w:i/>
          <w:lang w:val="pl-PL"/>
        </w:rPr>
        <w:t>COPE MSWiA</w:t>
      </w:r>
      <w:r w:rsidRPr="00DB5CB7">
        <w:rPr>
          <w:i/>
          <w:lang w:val="pl-PL"/>
        </w:rPr>
        <w:t xml:space="preserve"> wraz</w:t>
      </w:r>
      <w:r w:rsidR="006A7B08">
        <w:rPr>
          <w:i/>
          <w:lang w:val="pl-PL"/>
        </w:rPr>
        <w:t xml:space="preserve"> z </w:t>
      </w:r>
      <w:r w:rsidRPr="00DB5CB7">
        <w:rPr>
          <w:i/>
          <w:lang w:val="pl-PL"/>
        </w:rPr>
        <w:t>informacją</w:t>
      </w:r>
      <w:r w:rsidR="006A7B08">
        <w:rPr>
          <w:i/>
          <w:lang w:val="pl-PL"/>
        </w:rPr>
        <w:t xml:space="preserve"> o </w:t>
      </w:r>
      <w:r w:rsidRPr="00DB5CB7">
        <w:rPr>
          <w:i/>
          <w:lang w:val="pl-PL"/>
        </w:rPr>
        <w:t xml:space="preserve">tym </w:t>
      </w:r>
      <w:r>
        <w:rPr>
          <w:i/>
          <w:lang w:val="pl-PL"/>
        </w:rPr>
        <w:t xml:space="preserve">fakcie </w:t>
      </w:r>
      <w:r w:rsidRPr="00DB5CB7">
        <w:rPr>
          <w:i/>
          <w:lang w:val="pl-PL"/>
        </w:rPr>
        <w:t xml:space="preserve">przekaże wnioskodawcy </w:t>
      </w:r>
      <w:r>
        <w:rPr>
          <w:i/>
          <w:lang w:val="pl-PL"/>
        </w:rPr>
        <w:t>prośbę</w:t>
      </w:r>
      <w:r w:rsidR="006A7B08">
        <w:rPr>
          <w:i/>
          <w:lang w:val="pl-PL"/>
        </w:rPr>
        <w:t xml:space="preserve"> o </w:t>
      </w:r>
      <w:r w:rsidRPr="00DB5CB7">
        <w:rPr>
          <w:i/>
          <w:lang w:val="pl-PL"/>
        </w:rPr>
        <w:t>przesłanie tłumacze</w:t>
      </w:r>
      <w:r w:rsidR="0040661C">
        <w:rPr>
          <w:i/>
          <w:lang w:val="pl-PL"/>
        </w:rPr>
        <w:t>nia wniosku na język angielski.</w:t>
      </w:r>
    </w:p>
    <w:p w14:paraId="5460E103" w14:textId="77777777" w:rsidR="007C4842" w:rsidRDefault="005F3E4B" w:rsidP="005F3E4B">
      <w:pPr>
        <w:pStyle w:val="Nagwek1"/>
        <w:numPr>
          <w:ilvl w:val="0"/>
          <w:numId w:val="0"/>
        </w:numPr>
        <w:jc w:val="left"/>
        <w:rPr>
          <w:rFonts w:asciiTheme="minorHAnsi" w:hAnsiTheme="minorHAnsi"/>
          <w:sz w:val="22"/>
          <w:szCs w:val="22"/>
        </w:rPr>
      </w:pPr>
      <w:bookmarkStart w:id="1" w:name="_Toc531678504"/>
      <w:r>
        <w:rPr>
          <w:rFonts w:asciiTheme="minorHAnsi" w:hAnsiTheme="minorHAnsi"/>
          <w:sz w:val="22"/>
          <w:szCs w:val="22"/>
        </w:rPr>
        <w:t>III.2</w:t>
      </w:r>
      <w:r w:rsidRPr="00E0392C">
        <w:rPr>
          <w:rFonts w:asciiTheme="minorHAnsi" w:hAnsiTheme="minorHAnsi"/>
          <w:sz w:val="22"/>
          <w:szCs w:val="22"/>
        </w:rPr>
        <w:t xml:space="preserve"> Procedura odwoławcza dotycząca </w:t>
      </w:r>
      <w:r>
        <w:rPr>
          <w:rFonts w:asciiTheme="minorHAnsi" w:hAnsiTheme="minorHAnsi"/>
          <w:sz w:val="22"/>
          <w:szCs w:val="22"/>
        </w:rPr>
        <w:t>oceny</w:t>
      </w:r>
      <w:r w:rsidRPr="00E0392C">
        <w:rPr>
          <w:rFonts w:asciiTheme="minorHAnsi" w:hAnsiTheme="minorHAnsi"/>
          <w:sz w:val="22"/>
          <w:szCs w:val="22"/>
        </w:rPr>
        <w:t xml:space="preserve"> formaln</w:t>
      </w:r>
      <w:bookmarkEnd w:id="1"/>
      <w:r>
        <w:rPr>
          <w:rFonts w:asciiTheme="minorHAnsi" w:hAnsiTheme="minorHAnsi"/>
          <w:sz w:val="22"/>
          <w:szCs w:val="22"/>
        </w:rPr>
        <w:t>ej</w:t>
      </w:r>
    </w:p>
    <w:p w14:paraId="23A51000" w14:textId="77777777" w:rsidR="007C4842" w:rsidRPr="009C2B5F"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rPr>
      </w:pPr>
      <w:r w:rsidRPr="009C2B5F">
        <w:rPr>
          <w:rFonts w:cstheme="minorHAnsi"/>
          <w:szCs w:val="24"/>
        </w:rPr>
        <w:t>Wnioskodawcy, w przypadku negatywnej oceny w zakresie spełniania warunków formalnych lub pozostawienia jego wniosku bez rozpatrzenia (o ile dotyczy), przysługuje prawo wniesienia odwołania w celu ponownego sprawdzenia złożonego wniosku w zakresie spełniania warunków formalnych.</w:t>
      </w:r>
    </w:p>
    <w:p w14:paraId="0E6396A9" w14:textId="77777777" w:rsidR="007C4842" w:rsidRPr="009C2B5F"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rPr>
      </w:pPr>
      <w:r w:rsidRPr="009C2B5F">
        <w:rPr>
          <w:rFonts w:cstheme="minorHAnsi"/>
          <w:szCs w:val="24"/>
        </w:rPr>
        <w:t>Odwołanie wnoszone jest do Krajowego Punktu Kontaktowego za pośrednictwem COPE MSWiA zgodnie z pouczeniem, o którym mowa w pkt III.1.</w:t>
      </w:r>
    </w:p>
    <w:p w14:paraId="1D978FE3" w14:textId="77777777" w:rsidR="007C4842" w:rsidRPr="009C2B5F"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rPr>
      </w:pPr>
      <w:r w:rsidRPr="009C2B5F">
        <w:rPr>
          <w:rFonts w:cstheme="minorHAnsi"/>
          <w:szCs w:val="24"/>
        </w:rPr>
        <w:t>Wnioskodawca może wnieść odwołanie w terminie 14 dni od dnia doręczenia informacji, o której mowa w pkt III.1.</w:t>
      </w:r>
    </w:p>
    <w:p w14:paraId="5A77BDAC" w14:textId="77777777" w:rsidR="007C4842" w:rsidRPr="009C2B5F"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rPr>
      </w:pPr>
      <w:r w:rsidRPr="009C2B5F">
        <w:rPr>
          <w:rFonts w:cstheme="minorHAnsi"/>
          <w:szCs w:val="24"/>
        </w:rPr>
        <w:t>Odwołanie jest wnoszone w formie pisemnej i zawiera:</w:t>
      </w:r>
    </w:p>
    <w:p w14:paraId="3EB450E4" w14:textId="77777777" w:rsidR="007C4842" w:rsidRPr="009C2B5F" w:rsidRDefault="007C4842" w:rsidP="009C2B5F">
      <w:pPr>
        <w:pStyle w:val="Akapitzlist"/>
        <w:numPr>
          <w:ilvl w:val="0"/>
          <w:numId w:val="17"/>
        </w:numPr>
        <w:autoSpaceDE w:val="0"/>
        <w:autoSpaceDN w:val="0"/>
        <w:adjustRightInd w:val="0"/>
        <w:spacing w:before="120" w:after="120" w:line="240" w:lineRule="auto"/>
        <w:jc w:val="both"/>
        <w:rPr>
          <w:rFonts w:cstheme="minorHAnsi"/>
          <w:szCs w:val="24"/>
        </w:rPr>
      </w:pPr>
      <w:r w:rsidRPr="009C2B5F">
        <w:rPr>
          <w:rFonts w:cstheme="minorHAnsi"/>
          <w:szCs w:val="24"/>
        </w:rPr>
        <w:t>oznaczenie/nazwę wnioskodawcy,</w:t>
      </w:r>
    </w:p>
    <w:p w14:paraId="269019C4" w14:textId="77777777" w:rsidR="007C4842" w:rsidRPr="009C2B5F" w:rsidRDefault="007C4842" w:rsidP="009C2B5F">
      <w:pPr>
        <w:pStyle w:val="Akapitzlist"/>
        <w:numPr>
          <w:ilvl w:val="0"/>
          <w:numId w:val="17"/>
        </w:numPr>
        <w:autoSpaceDE w:val="0"/>
        <w:autoSpaceDN w:val="0"/>
        <w:adjustRightInd w:val="0"/>
        <w:spacing w:before="120" w:after="120" w:line="240" w:lineRule="auto"/>
        <w:jc w:val="both"/>
        <w:rPr>
          <w:rFonts w:cstheme="minorHAnsi"/>
          <w:szCs w:val="24"/>
        </w:rPr>
      </w:pPr>
      <w:r w:rsidRPr="009C2B5F">
        <w:rPr>
          <w:rFonts w:cstheme="minorHAnsi"/>
          <w:szCs w:val="24"/>
        </w:rPr>
        <w:t>numer wniosku, nadany wcześniej przez COPE MSWiA,</w:t>
      </w:r>
    </w:p>
    <w:p w14:paraId="01392D01" w14:textId="77777777" w:rsidR="007C4842" w:rsidRPr="009C2B5F" w:rsidRDefault="007C4842" w:rsidP="009C2B5F">
      <w:pPr>
        <w:pStyle w:val="Akapitzlist"/>
        <w:numPr>
          <w:ilvl w:val="0"/>
          <w:numId w:val="17"/>
        </w:numPr>
        <w:autoSpaceDE w:val="0"/>
        <w:autoSpaceDN w:val="0"/>
        <w:adjustRightInd w:val="0"/>
        <w:spacing w:before="120" w:after="120" w:line="240" w:lineRule="auto"/>
        <w:jc w:val="both"/>
        <w:rPr>
          <w:rFonts w:cstheme="minorHAnsi"/>
          <w:szCs w:val="24"/>
        </w:rPr>
      </w:pPr>
      <w:r w:rsidRPr="009C2B5F">
        <w:rPr>
          <w:rFonts w:cstheme="minorHAnsi"/>
          <w:szCs w:val="24"/>
        </w:rPr>
        <w:t>sprzeciw od zakończenia oceny projektu z odniesieniem się do wszystkich niespełnionych warunków formalnych wskazanych przez COPE MSWiA, wraz z uzasadnieniem dlaczego wnioskodawca nie zgadza się z oceną spełnienia każdego z tych warunków,</w:t>
      </w:r>
    </w:p>
    <w:p w14:paraId="098026B4" w14:textId="77777777" w:rsidR="007C4842" w:rsidRPr="009C2B5F" w:rsidRDefault="007C4842" w:rsidP="009C2B5F">
      <w:pPr>
        <w:pStyle w:val="Akapitzlist"/>
        <w:numPr>
          <w:ilvl w:val="0"/>
          <w:numId w:val="17"/>
        </w:numPr>
        <w:autoSpaceDE w:val="0"/>
        <w:autoSpaceDN w:val="0"/>
        <w:adjustRightInd w:val="0"/>
        <w:spacing w:before="120" w:after="120" w:line="240" w:lineRule="auto"/>
        <w:jc w:val="both"/>
        <w:rPr>
          <w:rFonts w:cstheme="minorHAnsi"/>
          <w:szCs w:val="24"/>
        </w:rPr>
      </w:pPr>
      <w:r w:rsidRPr="009C2B5F">
        <w:rPr>
          <w:rFonts w:cstheme="minorHAnsi"/>
          <w:szCs w:val="24"/>
        </w:rPr>
        <w:lastRenderedPageBreak/>
        <w:t xml:space="preserve">podpis wnioskodawcy lub osoby upoważnionej do jego reprezentowania, z załączeniem oryginału lub kopii dokumentu poświadczającego umocowanie takiej osoby </w:t>
      </w:r>
      <w:r w:rsidR="003C3CA1">
        <w:rPr>
          <w:rFonts w:cstheme="minorHAnsi"/>
          <w:szCs w:val="24"/>
        </w:rPr>
        <w:br/>
      </w:r>
      <w:r w:rsidRPr="009C2B5F">
        <w:rPr>
          <w:rFonts w:cstheme="minorHAnsi"/>
          <w:szCs w:val="24"/>
        </w:rPr>
        <w:t>do reprezentowania wnioskodawcy, jeżeli jej umocowanie nie wynika z dokumentów wcześniej przekazanych do COPE MSWiA</w:t>
      </w:r>
      <w:r w:rsidR="00BD1080">
        <w:rPr>
          <w:rStyle w:val="Odwoanieprzypisudolnego"/>
          <w:rFonts w:cstheme="minorHAnsi"/>
          <w:szCs w:val="24"/>
        </w:rPr>
        <w:footnoteReference w:id="8"/>
      </w:r>
      <w:r w:rsidRPr="009C2B5F">
        <w:rPr>
          <w:rFonts w:cstheme="minorHAnsi"/>
          <w:szCs w:val="24"/>
        </w:rPr>
        <w:t>.</w:t>
      </w:r>
    </w:p>
    <w:p w14:paraId="145988BB" w14:textId="77777777" w:rsidR="007C4842" w:rsidRPr="009C2B5F"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rPr>
      </w:pPr>
      <w:r w:rsidRPr="009C2B5F">
        <w:rPr>
          <w:rFonts w:cstheme="minorHAnsi"/>
          <w:szCs w:val="24"/>
        </w:rPr>
        <w:t xml:space="preserve">COPE MSWiA zwraca wnioskodawcy odwołanie i jednocześnie wzywa wnioskodawcę </w:t>
      </w:r>
      <w:r w:rsidR="003C3CA1">
        <w:rPr>
          <w:rFonts w:cstheme="minorHAnsi"/>
          <w:szCs w:val="24"/>
        </w:rPr>
        <w:br/>
      </w:r>
      <w:r w:rsidRPr="009C2B5F">
        <w:rPr>
          <w:rFonts w:cstheme="minorHAnsi"/>
          <w:szCs w:val="24"/>
        </w:rPr>
        <w:t xml:space="preserve">do uzupełnienia braku lub poprawienia oczywistej omyłki w zakresie spełniania warunków formalnych wniosku, zgodnie z pkt III.1 , jeśli stwierdzi, że wnioskodawca nie został prawidłowo wezwany do uzupełnienia braku lub poprawienia oczywistej omyłki w zakresie spełniania warunków formalnych wniosku. W takim przypadku </w:t>
      </w:r>
      <w:r w:rsidR="00B77CE8" w:rsidRPr="009C2B5F">
        <w:rPr>
          <w:rFonts w:cstheme="minorHAnsi"/>
          <w:szCs w:val="24"/>
        </w:rPr>
        <w:t>COPE MSWiA</w:t>
      </w:r>
      <w:r w:rsidRPr="009C2B5F">
        <w:rPr>
          <w:rFonts w:cstheme="minorHAnsi"/>
          <w:szCs w:val="24"/>
        </w:rPr>
        <w:t xml:space="preserve"> powtarza czynności oceny spełniania warunków formalnych wniosku, zgodnie z pkt III.1.</w:t>
      </w:r>
    </w:p>
    <w:p w14:paraId="49DF3BE5" w14:textId="77777777" w:rsidR="007C4842" w:rsidRPr="009C2B5F"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rPr>
      </w:pPr>
      <w:r w:rsidRPr="009C2B5F">
        <w:rPr>
          <w:rFonts w:cstheme="minorHAnsi"/>
          <w:szCs w:val="24"/>
        </w:rPr>
        <w:t>W przypadku wniesienia odwołania niespełniającego wymogów formalnych, o których mowa w</w:t>
      </w:r>
      <w:r w:rsidR="00265256" w:rsidRPr="009C2B5F">
        <w:rPr>
          <w:rFonts w:cstheme="minorHAnsi"/>
          <w:szCs w:val="24"/>
        </w:rPr>
        <w:t> </w:t>
      </w:r>
      <w:r w:rsidRPr="009C2B5F">
        <w:rPr>
          <w:rFonts w:cstheme="minorHAnsi"/>
          <w:szCs w:val="24"/>
        </w:rPr>
        <w:t>pkt</w:t>
      </w:r>
      <w:r w:rsidR="00265256" w:rsidRPr="009C2B5F">
        <w:rPr>
          <w:rFonts w:cstheme="minorHAnsi"/>
          <w:szCs w:val="24"/>
        </w:rPr>
        <w:t> </w:t>
      </w:r>
      <w:r w:rsidRPr="009C2B5F">
        <w:rPr>
          <w:rFonts w:cstheme="minorHAnsi"/>
          <w:szCs w:val="24"/>
        </w:rPr>
        <w:t>III.2. 4, lub zawierającego oczywiste omyłki, COPE MSWiA:</w:t>
      </w:r>
    </w:p>
    <w:p w14:paraId="1409AD1A" w14:textId="77777777" w:rsidR="007C4842" w:rsidRPr="009C2B5F" w:rsidRDefault="007C4842" w:rsidP="009C2B5F">
      <w:pPr>
        <w:pStyle w:val="Akapitzlist"/>
        <w:numPr>
          <w:ilvl w:val="0"/>
          <w:numId w:val="20"/>
        </w:numPr>
        <w:autoSpaceDE w:val="0"/>
        <w:autoSpaceDN w:val="0"/>
        <w:adjustRightInd w:val="0"/>
        <w:spacing w:before="120" w:after="120" w:line="240" w:lineRule="auto"/>
        <w:jc w:val="both"/>
        <w:rPr>
          <w:rFonts w:cstheme="minorHAnsi"/>
          <w:szCs w:val="24"/>
        </w:rPr>
      </w:pPr>
      <w:r w:rsidRPr="009C2B5F">
        <w:rPr>
          <w:rFonts w:cstheme="minorHAnsi"/>
          <w:szCs w:val="24"/>
        </w:rPr>
        <w:t xml:space="preserve">wzywa wnioskodawcę do jego uzupełnienia lub poprawienia w nim oczywistych omyłek, </w:t>
      </w:r>
      <w:r w:rsidR="009C2B5F">
        <w:rPr>
          <w:rFonts w:cstheme="minorHAnsi"/>
          <w:szCs w:val="24"/>
        </w:rPr>
        <w:t>w </w:t>
      </w:r>
      <w:r w:rsidRPr="009C2B5F">
        <w:rPr>
          <w:rFonts w:cstheme="minorHAnsi"/>
          <w:szCs w:val="24"/>
        </w:rPr>
        <w:t>terminie 7 dni, pod rygorem pozostawienia odwołania bez rozpatrzenia albo</w:t>
      </w:r>
    </w:p>
    <w:p w14:paraId="524285A0" w14:textId="77777777" w:rsidR="007C4842" w:rsidRPr="009C2B5F" w:rsidRDefault="007C4842" w:rsidP="009C2B5F">
      <w:pPr>
        <w:pStyle w:val="Akapitzlist"/>
        <w:numPr>
          <w:ilvl w:val="0"/>
          <w:numId w:val="20"/>
        </w:numPr>
        <w:autoSpaceDE w:val="0"/>
        <w:autoSpaceDN w:val="0"/>
        <w:adjustRightInd w:val="0"/>
        <w:spacing w:before="120" w:after="120" w:line="240" w:lineRule="auto"/>
        <w:jc w:val="both"/>
        <w:rPr>
          <w:rFonts w:cstheme="minorHAnsi"/>
          <w:szCs w:val="24"/>
        </w:rPr>
      </w:pPr>
      <w:r w:rsidRPr="009C2B5F">
        <w:rPr>
          <w:rFonts w:cstheme="minorHAnsi"/>
          <w:szCs w:val="24"/>
        </w:rPr>
        <w:t>przekazuje wnioskodawcy pouczenie o możliwości wniesienia odwołania, zgodnie z pkt III.2, jeżeli COPE MSWiA stwierdzi, że odwołujący się nie został prawidłowo pouczony o możliwości wniesienia odwołania. W takim przypadku wnioskodawca może wnieść odwołanie w terminie 14 dni od dnia doręczenia tego pouczenia.</w:t>
      </w:r>
    </w:p>
    <w:p w14:paraId="5D0D3A64" w14:textId="77777777" w:rsidR="007C4842" w:rsidRPr="009C2B5F"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rPr>
      </w:pPr>
      <w:r w:rsidRPr="009C2B5F">
        <w:rPr>
          <w:rFonts w:cstheme="minorHAnsi"/>
          <w:szCs w:val="24"/>
        </w:rPr>
        <w:t xml:space="preserve">Uzupełnienie odwołania, o którym mowa w pkt III.2.5, może nastąpić wyłącznie w odniesieniu </w:t>
      </w:r>
      <w:r w:rsidR="003C3CA1">
        <w:rPr>
          <w:rFonts w:cstheme="minorHAnsi"/>
          <w:szCs w:val="24"/>
        </w:rPr>
        <w:br/>
      </w:r>
      <w:r w:rsidRPr="009C2B5F">
        <w:rPr>
          <w:rFonts w:cstheme="minorHAnsi"/>
          <w:szCs w:val="24"/>
        </w:rPr>
        <w:t>do wymogów formalnych, o których mowa w pkt III.2.4 lit. a-b i d.</w:t>
      </w:r>
    </w:p>
    <w:p w14:paraId="5F86046A" w14:textId="77777777" w:rsidR="007C4842" w:rsidRPr="009C2B5F"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rPr>
      </w:pPr>
      <w:r w:rsidRPr="009C2B5F">
        <w:rPr>
          <w:rFonts w:cstheme="minorHAnsi"/>
          <w:szCs w:val="24"/>
        </w:rPr>
        <w:t>Wezwanie, o którym mowa w pkt III.2.6 lit. a, wstrzymuje bi</w:t>
      </w:r>
      <w:r w:rsidR="009C2B5F">
        <w:rPr>
          <w:rFonts w:cstheme="minorHAnsi"/>
          <w:szCs w:val="24"/>
        </w:rPr>
        <w:t>eg terminu, o którym mowa w pkt </w:t>
      </w:r>
      <w:r w:rsidRPr="009C2B5F">
        <w:rPr>
          <w:rFonts w:cstheme="minorHAnsi"/>
          <w:szCs w:val="24"/>
        </w:rPr>
        <w:t>III.2.17. Bieg terminu ulega zawieszeniu na czas uzupełnien</w:t>
      </w:r>
      <w:r w:rsidR="009C2B5F">
        <w:rPr>
          <w:rFonts w:cstheme="minorHAnsi"/>
          <w:szCs w:val="24"/>
        </w:rPr>
        <w:t>ia lub poprawienia odwołania, o </w:t>
      </w:r>
      <w:r w:rsidRPr="009C2B5F">
        <w:rPr>
          <w:rFonts w:cstheme="minorHAnsi"/>
          <w:szCs w:val="24"/>
        </w:rPr>
        <w:t>którym mowa w pkt 3.2.6 lit. a.</w:t>
      </w:r>
    </w:p>
    <w:p w14:paraId="33643A8A" w14:textId="77777777" w:rsidR="007C4842" w:rsidRPr="009C2B5F"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rPr>
      </w:pPr>
      <w:r w:rsidRPr="009C2B5F">
        <w:rPr>
          <w:rFonts w:cstheme="minorHAnsi"/>
          <w:szCs w:val="24"/>
        </w:rPr>
        <w:t xml:space="preserve">Na prawo wnioskodawcy do wniesienia odwołania nie wpływa negatywnie błędne pouczenie </w:t>
      </w:r>
      <w:r w:rsidR="003C3CA1">
        <w:rPr>
          <w:rFonts w:cstheme="minorHAnsi"/>
          <w:szCs w:val="24"/>
        </w:rPr>
        <w:br/>
      </w:r>
      <w:r w:rsidRPr="009C2B5F">
        <w:rPr>
          <w:rFonts w:cstheme="minorHAnsi"/>
          <w:szCs w:val="24"/>
        </w:rPr>
        <w:t>lub brak pouczenia, o którym mowa w pkt III.1.</w:t>
      </w:r>
    </w:p>
    <w:p w14:paraId="2726866B" w14:textId="77777777" w:rsidR="007C4842" w:rsidRPr="009C2B5F"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rPr>
      </w:pPr>
      <w:r w:rsidRPr="009C2B5F">
        <w:rPr>
          <w:rFonts w:cstheme="minorHAnsi"/>
          <w:szCs w:val="24"/>
        </w:rPr>
        <w:t>COPE MSWiA pozostawia odwołanie bez rozpatrzenia, jeżeli mimo prawidłowego pouczenia, o</w:t>
      </w:r>
      <w:r w:rsidR="00265256" w:rsidRPr="009C2B5F">
        <w:rPr>
          <w:rFonts w:cstheme="minorHAnsi"/>
          <w:szCs w:val="24"/>
        </w:rPr>
        <w:t> </w:t>
      </w:r>
      <w:r w:rsidRPr="009C2B5F">
        <w:rPr>
          <w:rFonts w:cstheme="minorHAnsi"/>
          <w:szCs w:val="24"/>
        </w:rPr>
        <w:t>którym mowa w pkt III.1, zostało wniesione:</w:t>
      </w:r>
    </w:p>
    <w:p w14:paraId="0BFF78E3" w14:textId="77777777" w:rsidR="007C4842" w:rsidRPr="009C2B5F" w:rsidRDefault="007C4842" w:rsidP="009C2B5F">
      <w:pPr>
        <w:pStyle w:val="Akapitzlist"/>
        <w:numPr>
          <w:ilvl w:val="0"/>
          <w:numId w:val="15"/>
        </w:numPr>
        <w:autoSpaceDE w:val="0"/>
        <w:autoSpaceDN w:val="0"/>
        <w:adjustRightInd w:val="0"/>
        <w:spacing w:before="120" w:after="120" w:line="240" w:lineRule="auto"/>
        <w:rPr>
          <w:rFonts w:cstheme="minorHAnsi"/>
          <w:szCs w:val="24"/>
        </w:rPr>
      </w:pPr>
      <w:r w:rsidRPr="009C2B5F">
        <w:rPr>
          <w:rFonts w:cstheme="minorHAnsi"/>
          <w:szCs w:val="24"/>
        </w:rPr>
        <w:t>po terminie,</w:t>
      </w:r>
    </w:p>
    <w:p w14:paraId="62CD50EA" w14:textId="77777777" w:rsidR="007C4842" w:rsidRPr="009C2B5F" w:rsidRDefault="007C4842" w:rsidP="009C2B5F">
      <w:pPr>
        <w:pStyle w:val="Akapitzlist"/>
        <w:numPr>
          <w:ilvl w:val="0"/>
          <w:numId w:val="15"/>
        </w:numPr>
        <w:autoSpaceDE w:val="0"/>
        <w:autoSpaceDN w:val="0"/>
        <w:adjustRightInd w:val="0"/>
        <w:spacing w:before="120" w:after="120" w:line="240" w:lineRule="auto"/>
        <w:rPr>
          <w:rFonts w:cstheme="minorHAnsi"/>
          <w:szCs w:val="24"/>
        </w:rPr>
      </w:pPr>
      <w:r w:rsidRPr="009C2B5F">
        <w:rPr>
          <w:rFonts w:cstheme="minorHAnsi"/>
          <w:szCs w:val="24"/>
        </w:rPr>
        <w:t>bez spełnienia wymogów określonych w pkt III.2.4 lit. c,</w:t>
      </w:r>
    </w:p>
    <w:p w14:paraId="79A6008A" w14:textId="77777777" w:rsidR="007C4842" w:rsidRPr="007C4842" w:rsidRDefault="007C4842" w:rsidP="009C2B5F">
      <w:pPr>
        <w:autoSpaceDE w:val="0"/>
        <w:autoSpaceDN w:val="0"/>
        <w:adjustRightInd w:val="0"/>
        <w:spacing w:before="120" w:after="120" w:line="240" w:lineRule="auto"/>
        <w:jc w:val="both"/>
        <w:rPr>
          <w:rFonts w:cstheme="minorHAnsi"/>
          <w:szCs w:val="24"/>
          <w:lang w:val="pl-PL"/>
        </w:rPr>
      </w:pPr>
      <w:r w:rsidRPr="007C4842">
        <w:rPr>
          <w:rFonts w:cstheme="minorHAnsi"/>
          <w:szCs w:val="24"/>
          <w:lang w:val="pl-PL"/>
        </w:rPr>
        <w:t>– o czym wnioskodawca jest informowany na piśmie.</w:t>
      </w:r>
    </w:p>
    <w:p w14:paraId="706F9EAC" w14:textId="77777777" w:rsidR="007C4842" w:rsidRPr="009C2B5F"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rPr>
      </w:pPr>
      <w:r w:rsidRPr="009C2B5F">
        <w:rPr>
          <w:rFonts w:cstheme="minorHAnsi"/>
          <w:szCs w:val="24"/>
        </w:rPr>
        <w:t xml:space="preserve">W przypadku pozostawienia przez COPE MSWiA odwołania bez rozpatrzenia wnioskodawcy </w:t>
      </w:r>
      <w:r w:rsidR="003C3CA1">
        <w:rPr>
          <w:rFonts w:cstheme="minorHAnsi"/>
          <w:szCs w:val="24"/>
        </w:rPr>
        <w:br/>
      </w:r>
      <w:r w:rsidRPr="009C2B5F">
        <w:rPr>
          <w:rFonts w:cstheme="minorHAnsi"/>
          <w:szCs w:val="24"/>
        </w:rPr>
        <w:t>nie przysługują inne środki zaskarżenia.</w:t>
      </w:r>
    </w:p>
    <w:p w14:paraId="05272619" w14:textId="77777777" w:rsidR="007C4842" w:rsidRPr="009C2B5F"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rPr>
      </w:pPr>
      <w:r w:rsidRPr="009C2B5F">
        <w:rPr>
          <w:rFonts w:cstheme="minorHAnsi"/>
          <w:szCs w:val="24"/>
        </w:rPr>
        <w:t>Wnioskodawca może wycofać odwołanie do czasu zakończenia rozpatrywania odwołania przez KPK.</w:t>
      </w:r>
    </w:p>
    <w:p w14:paraId="49ED3911" w14:textId="77777777" w:rsidR="007C4842" w:rsidRPr="009C2B5F"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rPr>
      </w:pPr>
      <w:r w:rsidRPr="009C2B5F">
        <w:rPr>
          <w:rFonts w:cstheme="minorHAnsi"/>
          <w:szCs w:val="24"/>
        </w:rPr>
        <w:t>Wycofanie odwołania następuje przez złożenie do COPE</w:t>
      </w:r>
      <w:r w:rsidR="009C2B5F">
        <w:rPr>
          <w:rFonts w:cstheme="minorHAnsi"/>
          <w:szCs w:val="24"/>
        </w:rPr>
        <w:t xml:space="preserve"> MSWiA pisemnego oświadczenia o </w:t>
      </w:r>
      <w:r w:rsidRPr="009C2B5F">
        <w:rPr>
          <w:rFonts w:cstheme="minorHAnsi"/>
          <w:szCs w:val="24"/>
        </w:rPr>
        <w:t>wycofaniu odwołania.</w:t>
      </w:r>
    </w:p>
    <w:p w14:paraId="2CB30C8E" w14:textId="77777777" w:rsidR="007C4842" w:rsidRPr="009C2B5F"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rPr>
      </w:pPr>
      <w:r w:rsidRPr="009C2B5F">
        <w:rPr>
          <w:rFonts w:cstheme="minorHAnsi"/>
          <w:szCs w:val="24"/>
        </w:rPr>
        <w:t>W przypadku wycofania odwołania przez wnioskodawcę COPE MSWiA:</w:t>
      </w:r>
    </w:p>
    <w:p w14:paraId="6BF57315" w14:textId="77777777" w:rsidR="007C4842" w:rsidRPr="009C2B5F" w:rsidRDefault="007C4842" w:rsidP="009C2B5F">
      <w:pPr>
        <w:pStyle w:val="Akapitzlist"/>
        <w:numPr>
          <w:ilvl w:val="0"/>
          <w:numId w:val="22"/>
        </w:numPr>
        <w:autoSpaceDE w:val="0"/>
        <w:autoSpaceDN w:val="0"/>
        <w:adjustRightInd w:val="0"/>
        <w:spacing w:before="120" w:after="120" w:line="240" w:lineRule="auto"/>
        <w:jc w:val="both"/>
        <w:rPr>
          <w:rFonts w:cstheme="minorHAnsi"/>
          <w:szCs w:val="24"/>
        </w:rPr>
      </w:pPr>
      <w:r w:rsidRPr="009C2B5F">
        <w:rPr>
          <w:rFonts w:cstheme="minorHAnsi"/>
          <w:szCs w:val="24"/>
        </w:rPr>
        <w:t>pozostawia odwołanie bez rozpatrzenia, informując o tym wnioskodawcę w formie pisemnej;</w:t>
      </w:r>
    </w:p>
    <w:p w14:paraId="424CE21E" w14:textId="77777777" w:rsidR="007C4842" w:rsidRPr="009C2B5F" w:rsidRDefault="007C4842" w:rsidP="009C2B5F">
      <w:pPr>
        <w:pStyle w:val="Akapitzlist"/>
        <w:numPr>
          <w:ilvl w:val="0"/>
          <w:numId w:val="22"/>
        </w:numPr>
        <w:autoSpaceDE w:val="0"/>
        <w:autoSpaceDN w:val="0"/>
        <w:adjustRightInd w:val="0"/>
        <w:spacing w:before="120" w:after="120" w:line="240" w:lineRule="auto"/>
        <w:jc w:val="both"/>
        <w:rPr>
          <w:rFonts w:cstheme="minorHAnsi"/>
          <w:szCs w:val="24"/>
        </w:rPr>
      </w:pPr>
      <w:r w:rsidRPr="009C2B5F">
        <w:rPr>
          <w:rFonts w:cstheme="minorHAnsi"/>
          <w:szCs w:val="24"/>
        </w:rPr>
        <w:t>przekazuje oświadczenie o wycofaniu odwołania do KPK, jeżeli skierował odwołanie do tej instytucji.</w:t>
      </w:r>
    </w:p>
    <w:p w14:paraId="1A8B6B8C" w14:textId="77777777" w:rsidR="007C4842" w:rsidRPr="009C2B5F"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rPr>
      </w:pPr>
      <w:r w:rsidRPr="009C2B5F">
        <w:rPr>
          <w:rFonts w:cstheme="minorHAnsi"/>
          <w:szCs w:val="24"/>
        </w:rPr>
        <w:t>W przypadku, o którym mowa w pkt III.2.14 lit. b, KPK pozostawia odwołanie bez rozpatrzenia, informując o tym wnioskodawcę i COPE MSWiA w formie pisemnej.</w:t>
      </w:r>
    </w:p>
    <w:p w14:paraId="71A99ABF" w14:textId="77777777" w:rsidR="007C4842" w:rsidRPr="009C2B5F"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rPr>
      </w:pPr>
      <w:r w:rsidRPr="009C2B5F">
        <w:rPr>
          <w:rFonts w:cstheme="minorHAnsi"/>
          <w:szCs w:val="24"/>
        </w:rPr>
        <w:t>W przypadku wycofania odwołania ponowne jego wniesienie jest niedopuszczalne.</w:t>
      </w:r>
    </w:p>
    <w:p w14:paraId="12A276C5" w14:textId="77777777" w:rsidR="007C4842" w:rsidRPr="009C2B5F"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rPr>
      </w:pPr>
      <w:r w:rsidRPr="009C2B5F">
        <w:rPr>
          <w:rFonts w:cstheme="minorHAnsi"/>
          <w:szCs w:val="24"/>
        </w:rPr>
        <w:t>COPE MSWiA w terminie 21 dni od dnia otrzymania odwołania weryfikuje wyniki dokonanej przez siebie oceny wniosku w zakresie warunków formalnych, o których mowa w pkt III.2.4 lit. c, i:</w:t>
      </w:r>
    </w:p>
    <w:p w14:paraId="7DB30DE6" w14:textId="77777777" w:rsidR="007C4842" w:rsidRPr="009C2B5F" w:rsidRDefault="007C4842" w:rsidP="002B59F8">
      <w:pPr>
        <w:pStyle w:val="Akapitzlist"/>
        <w:numPr>
          <w:ilvl w:val="0"/>
          <w:numId w:val="12"/>
        </w:numPr>
        <w:autoSpaceDE w:val="0"/>
        <w:autoSpaceDN w:val="0"/>
        <w:adjustRightInd w:val="0"/>
        <w:spacing w:before="120" w:after="120" w:line="240" w:lineRule="auto"/>
        <w:ind w:left="709"/>
        <w:jc w:val="both"/>
        <w:rPr>
          <w:rFonts w:cstheme="minorHAnsi"/>
          <w:szCs w:val="24"/>
        </w:rPr>
      </w:pPr>
      <w:r w:rsidRPr="009C2B5F">
        <w:rPr>
          <w:rFonts w:cstheme="minorHAnsi"/>
          <w:szCs w:val="24"/>
        </w:rPr>
        <w:t xml:space="preserve">uwzględnia odwołanie i dokonuje zmiany podjętego rozstrzygnięcia, co skutkuje skierowaniem projektu do właściwego etapu oceny oraz poinformowaniem wnioskodawcy na piśmie </w:t>
      </w:r>
      <w:r w:rsidR="00A069AD">
        <w:rPr>
          <w:rFonts w:cstheme="minorHAnsi"/>
          <w:szCs w:val="24"/>
        </w:rPr>
        <w:br/>
      </w:r>
      <w:r w:rsidRPr="009C2B5F">
        <w:rPr>
          <w:rFonts w:cstheme="minorHAnsi"/>
          <w:szCs w:val="24"/>
        </w:rPr>
        <w:t>o pozytywnym rozpatrzeniu odwołania, albo</w:t>
      </w:r>
    </w:p>
    <w:p w14:paraId="59292272" w14:textId="77777777" w:rsidR="007C4842" w:rsidRPr="009C2B5F" w:rsidRDefault="007C4842" w:rsidP="002B59F8">
      <w:pPr>
        <w:pStyle w:val="Akapitzlist"/>
        <w:numPr>
          <w:ilvl w:val="0"/>
          <w:numId w:val="12"/>
        </w:numPr>
        <w:autoSpaceDE w:val="0"/>
        <w:autoSpaceDN w:val="0"/>
        <w:adjustRightInd w:val="0"/>
        <w:spacing w:before="120" w:after="120" w:line="240" w:lineRule="auto"/>
        <w:ind w:left="709"/>
        <w:jc w:val="both"/>
        <w:rPr>
          <w:rFonts w:cstheme="minorHAnsi"/>
          <w:szCs w:val="24"/>
        </w:rPr>
      </w:pPr>
      <w:r w:rsidRPr="009C2B5F">
        <w:rPr>
          <w:rFonts w:cstheme="minorHAnsi"/>
          <w:szCs w:val="24"/>
        </w:rPr>
        <w:lastRenderedPageBreak/>
        <w:t>nie uwzględnia odwołania i kieruje odwołanie wraz z dokumentacją do KPK, załączając do niego stanowisko dotyczące braku podstaw do zmiany podjętego rozstrzygnięcia, oraz informuje wnioskodawcę na piśmie o przekazaniu odwołania.</w:t>
      </w:r>
    </w:p>
    <w:p w14:paraId="1A1B4CDA" w14:textId="77777777" w:rsidR="007C4842" w:rsidRPr="009C2B5F"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rPr>
      </w:pPr>
      <w:r w:rsidRPr="009C2B5F">
        <w:rPr>
          <w:rFonts w:cstheme="minorHAnsi"/>
          <w:szCs w:val="24"/>
        </w:rPr>
        <w:t>KPK rozpatruje odwołanie, weryfikując prawidłowość oceny projektu w zakresie warunków formalnych, o których mowa w pkt III.2.4 lit. c, w terminie nie dłuższym niż 21 dni, licząc od dnia jego otrzymania.</w:t>
      </w:r>
    </w:p>
    <w:p w14:paraId="24600E14" w14:textId="77777777" w:rsidR="007C4842" w:rsidRPr="009C2B5F"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rPr>
      </w:pPr>
      <w:r w:rsidRPr="009C2B5F">
        <w:rPr>
          <w:rFonts w:cstheme="minorHAnsi"/>
          <w:szCs w:val="24"/>
        </w:rPr>
        <w:t>KPK informuje wnioskodawcę na piśmie o wyniku rozpatrzenia jego odwołania. Informacja ta zawiera w szczególności treść rozstrzygnięcia polegającego na uwzględnieniu albo nieuwzględnieniu odwołania, wraz z uzasadnieniem.</w:t>
      </w:r>
    </w:p>
    <w:p w14:paraId="1408E8AA" w14:textId="77777777" w:rsidR="007C4842" w:rsidRPr="009C2B5F"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rPr>
      </w:pPr>
      <w:r w:rsidRPr="009C2B5F">
        <w:rPr>
          <w:rFonts w:cstheme="minorHAnsi"/>
          <w:szCs w:val="24"/>
        </w:rPr>
        <w:t>W przypadku uwzględnienia odwołania KPK kieruje projekt do właściwego etapu oceny. KPK może wskazać czynności do podjęcia przez COPE MSWiA.</w:t>
      </w:r>
    </w:p>
    <w:p w14:paraId="34D27B9A" w14:textId="77777777" w:rsidR="007C4842" w:rsidRPr="009C2B5F"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rPr>
      </w:pPr>
      <w:r w:rsidRPr="009C2B5F">
        <w:rPr>
          <w:rFonts w:cstheme="minorHAnsi"/>
          <w:szCs w:val="24"/>
        </w:rPr>
        <w:t>W przypadku nieuwzględnienia przez KPK odwołania, wnioskodawcy nie przysługują inne środki zaskarżenia.</w:t>
      </w:r>
    </w:p>
    <w:p w14:paraId="09DCA57B" w14:textId="77777777" w:rsidR="007C4842" w:rsidRPr="009C2B5F"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rPr>
      </w:pPr>
      <w:r w:rsidRPr="009C2B5F">
        <w:rPr>
          <w:rFonts w:cstheme="minorHAnsi"/>
          <w:szCs w:val="24"/>
        </w:rPr>
        <w:t>COPE MSWiA informuje wnioskodawcę na piśmie o wyniku oceny warunków formalnych, dokonanej w następstwie uwzględnienia odwołania przez KPK, i:</w:t>
      </w:r>
    </w:p>
    <w:p w14:paraId="70C50DB0" w14:textId="77777777" w:rsidR="007C4842" w:rsidRPr="009C2B5F" w:rsidRDefault="007C4842" w:rsidP="009C2B5F">
      <w:pPr>
        <w:pStyle w:val="Akapitzlist"/>
        <w:numPr>
          <w:ilvl w:val="0"/>
          <w:numId w:val="10"/>
        </w:numPr>
        <w:autoSpaceDE w:val="0"/>
        <w:autoSpaceDN w:val="0"/>
        <w:adjustRightInd w:val="0"/>
        <w:spacing w:before="120" w:after="120" w:line="240" w:lineRule="auto"/>
        <w:jc w:val="both"/>
        <w:rPr>
          <w:rFonts w:cstheme="minorHAnsi"/>
          <w:szCs w:val="24"/>
        </w:rPr>
      </w:pPr>
      <w:r w:rsidRPr="009C2B5F">
        <w:rPr>
          <w:rFonts w:cstheme="minorHAnsi"/>
          <w:szCs w:val="24"/>
        </w:rPr>
        <w:t>w przypadku pozytywnej oceny warunków formalnych wniosku kieruje projekt do etapu oceny kryteriów wyboru;</w:t>
      </w:r>
    </w:p>
    <w:p w14:paraId="52AB0702" w14:textId="44A5EAD3" w:rsidR="005F3E4B" w:rsidRDefault="007C4842" w:rsidP="009C2B5F">
      <w:pPr>
        <w:pStyle w:val="Akapitzlist"/>
        <w:numPr>
          <w:ilvl w:val="0"/>
          <w:numId w:val="10"/>
        </w:numPr>
        <w:autoSpaceDE w:val="0"/>
        <w:autoSpaceDN w:val="0"/>
        <w:adjustRightInd w:val="0"/>
        <w:spacing w:before="120" w:after="120" w:line="240" w:lineRule="auto"/>
        <w:jc w:val="both"/>
        <w:rPr>
          <w:rFonts w:cstheme="minorHAnsi"/>
          <w:szCs w:val="24"/>
        </w:rPr>
      </w:pPr>
      <w:r w:rsidRPr="009C2B5F">
        <w:rPr>
          <w:rFonts w:cstheme="minorHAnsi"/>
          <w:szCs w:val="24"/>
        </w:rPr>
        <w:t>w przypadku negatywnej oceny warunków formalnych wniosku do informacji załącza dodatkowo pouczenie o możliwości wniesienia odwołania na z</w:t>
      </w:r>
      <w:r w:rsidR="009C2B5F" w:rsidRPr="009C2B5F">
        <w:rPr>
          <w:rFonts w:cstheme="minorHAnsi"/>
          <w:szCs w:val="24"/>
        </w:rPr>
        <w:t>asadach określonych w pkt III.1</w:t>
      </w:r>
      <w:r w:rsidR="00A5779B">
        <w:rPr>
          <w:rFonts w:cstheme="minorHAnsi"/>
          <w:szCs w:val="24"/>
        </w:rPr>
        <w:t>.</w:t>
      </w:r>
    </w:p>
    <w:p w14:paraId="33A4643B" w14:textId="6C1E9812" w:rsidR="00A5779B" w:rsidRPr="00A5779B" w:rsidRDefault="00A5779B" w:rsidP="00A5779B">
      <w:pPr>
        <w:autoSpaceDE w:val="0"/>
        <w:autoSpaceDN w:val="0"/>
        <w:adjustRightInd w:val="0"/>
        <w:spacing w:before="120" w:after="120" w:line="240" w:lineRule="auto"/>
        <w:jc w:val="both"/>
        <w:rPr>
          <w:rFonts w:cstheme="minorHAnsi"/>
          <w:szCs w:val="24"/>
          <w:lang w:val="pl-PL"/>
        </w:rPr>
      </w:pPr>
      <w:r w:rsidRPr="00A5779B">
        <w:rPr>
          <w:rFonts w:cstheme="minorHAnsi"/>
          <w:szCs w:val="24"/>
          <w:lang w:val="pl-PL"/>
        </w:rPr>
        <w:t>Nie ma dalszej wewnętrznej procedury odwoławczej od decyzji Krajowego Punktu Kontaktowego.</w:t>
      </w:r>
    </w:p>
    <w:p w14:paraId="0638AB20" w14:textId="77777777" w:rsidR="0007470B" w:rsidRPr="0007470B" w:rsidRDefault="002D7130" w:rsidP="009C2B5F">
      <w:pPr>
        <w:keepNext/>
        <w:spacing w:before="160"/>
        <w:jc w:val="both"/>
        <w:rPr>
          <w:b/>
          <w:lang w:val="pl-PL"/>
        </w:rPr>
      </w:pPr>
      <w:r>
        <w:rPr>
          <w:b/>
          <w:lang w:val="pl-PL"/>
        </w:rPr>
        <w:t>I</w:t>
      </w:r>
      <w:r w:rsidR="0007470B" w:rsidRPr="0007470B">
        <w:rPr>
          <w:b/>
          <w:lang w:val="pl-PL"/>
        </w:rPr>
        <w:t>II.3 Ocena merytoryczna</w:t>
      </w:r>
    </w:p>
    <w:p w14:paraId="4709A478" w14:textId="77777777" w:rsidR="0007470B" w:rsidRPr="005033FA" w:rsidRDefault="000818B3" w:rsidP="00A76FBA">
      <w:pPr>
        <w:jc w:val="both"/>
        <w:rPr>
          <w:rStyle w:val="tlid-translation"/>
          <w:lang w:val="pl-PL"/>
        </w:rPr>
      </w:pPr>
      <w:r>
        <w:rPr>
          <w:lang w:val="pl-PL"/>
        </w:rPr>
        <w:t xml:space="preserve">Ocena merytoryczna </w:t>
      </w:r>
      <w:r w:rsidR="00EE3230">
        <w:rPr>
          <w:lang w:val="pl-PL"/>
        </w:rPr>
        <w:t xml:space="preserve">jest </w:t>
      </w:r>
      <w:r>
        <w:rPr>
          <w:lang w:val="pl-PL"/>
        </w:rPr>
        <w:t xml:space="preserve">dokonywana na podstawie </w:t>
      </w:r>
      <w:r w:rsidR="00A7313A">
        <w:rPr>
          <w:lang w:val="pl-PL"/>
        </w:rPr>
        <w:t xml:space="preserve">karty </w:t>
      </w:r>
      <w:r>
        <w:rPr>
          <w:lang w:val="pl-PL"/>
        </w:rPr>
        <w:t>oceny merytorycznej. Każdy wniosek oceniany jest przez dwóch ekspertów</w:t>
      </w:r>
      <w:r w:rsidR="00D60FFC">
        <w:rPr>
          <w:lang w:val="pl-PL"/>
        </w:rPr>
        <w:t xml:space="preserve"> wskazanych/wyznaczonych przez Operatora Programu</w:t>
      </w:r>
      <w:r>
        <w:rPr>
          <w:lang w:val="pl-PL"/>
        </w:rPr>
        <w:t>,</w:t>
      </w:r>
      <w:r w:rsidR="006A7B08">
        <w:rPr>
          <w:lang w:val="pl-PL"/>
        </w:rPr>
        <w:t xml:space="preserve"> w </w:t>
      </w:r>
      <w:r>
        <w:rPr>
          <w:lang w:val="pl-PL"/>
        </w:rPr>
        <w:t xml:space="preserve">tym jeden jest pracownikiem OP lub </w:t>
      </w:r>
      <w:r w:rsidR="006A7B08">
        <w:rPr>
          <w:lang w:val="pl-PL"/>
        </w:rPr>
        <w:t>COPE MSWiA</w:t>
      </w:r>
      <w:r>
        <w:rPr>
          <w:lang w:val="pl-PL"/>
        </w:rPr>
        <w:t xml:space="preserve">, a drugi </w:t>
      </w:r>
      <w:r w:rsidR="004D73A9">
        <w:rPr>
          <w:lang w:val="pl-PL"/>
        </w:rPr>
        <w:t>jest ekspertem zewnętrznym</w:t>
      </w:r>
      <w:r w:rsidR="006A7B08">
        <w:rPr>
          <w:lang w:val="pl-PL"/>
        </w:rPr>
        <w:t xml:space="preserve"> w </w:t>
      </w:r>
      <w:r w:rsidR="004D73A9">
        <w:rPr>
          <w:lang w:val="pl-PL"/>
        </w:rPr>
        <w:t>stosunku do OP</w:t>
      </w:r>
      <w:r w:rsidR="006A7B08">
        <w:rPr>
          <w:lang w:val="pl-PL"/>
        </w:rPr>
        <w:t xml:space="preserve"> i COPE MSWiA</w:t>
      </w:r>
      <w:r>
        <w:rPr>
          <w:lang w:val="pl-PL"/>
        </w:rPr>
        <w:t xml:space="preserve">. </w:t>
      </w:r>
      <w:r w:rsidR="004D73A9">
        <w:rPr>
          <w:lang w:val="pl-PL"/>
        </w:rPr>
        <w:t xml:space="preserve">Ekspert przed dokonaniem oceny podpisuje </w:t>
      </w:r>
      <w:r w:rsidR="00FF1FC0">
        <w:rPr>
          <w:lang w:val="pl-PL"/>
        </w:rPr>
        <w:t>deklarację</w:t>
      </w:r>
      <w:r w:rsidR="004D73A9">
        <w:rPr>
          <w:lang w:val="pl-PL"/>
        </w:rPr>
        <w:t xml:space="preserve"> bezstronności</w:t>
      </w:r>
      <w:r>
        <w:rPr>
          <w:lang w:val="pl-PL"/>
        </w:rPr>
        <w:t xml:space="preserve">. </w:t>
      </w:r>
      <w:r w:rsidR="00D60FFC">
        <w:rPr>
          <w:lang w:val="pl-PL"/>
        </w:rPr>
        <w:t>Wnioski są oceniane</w:t>
      </w:r>
      <w:r w:rsidR="006A7B08">
        <w:rPr>
          <w:lang w:val="pl-PL"/>
        </w:rPr>
        <w:t xml:space="preserve"> w </w:t>
      </w:r>
      <w:r w:rsidR="00D60FFC">
        <w:rPr>
          <w:lang w:val="pl-PL"/>
        </w:rPr>
        <w:t xml:space="preserve">skali od </w:t>
      </w:r>
      <w:r w:rsidR="003A7BB0" w:rsidRPr="00CB728F">
        <w:rPr>
          <w:lang w:val="pl-PL"/>
        </w:rPr>
        <w:t>0</w:t>
      </w:r>
      <w:r w:rsidR="00EE3230" w:rsidRPr="00CB728F">
        <w:rPr>
          <w:lang w:val="pl-PL"/>
        </w:rPr>
        <w:t xml:space="preserve"> do </w:t>
      </w:r>
      <w:r w:rsidR="00EB3838" w:rsidRPr="00CB728F">
        <w:rPr>
          <w:lang w:val="pl-PL"/>
        </w:rPr>
        <w:t xml:space="preserve">115 </w:t>
      </w:r>
      <w:r w:rsidR="00D60FFC" w:rsidRPr="00CB728F">
        <w:rPr>
          <w:lang w:val="pl-PL"/>
        </w:rPr>
        <w:t>pkt</w:t>
      </w:r>
      <w:r w:rsidR="00D60FFC">
        <w:rPr>
          <w:lang w:val="pl-PL"/>
        </w:rPr>
        <w:t>.</w:t>
      </w:r>
      <w:r w:rsidR="0056266F">
        <w:rPr>
          <w:lang w:val="pl-PL"/>
        </w:rPr>
        <w:t>,</w:t>
      </w:r>
      <w:r w:rsidR="00D60FFC">
        <w:rPr>
          <w:lang w:val="pl-PL"/>
        </w:rPr>
        <w:t xml:space="preserve"> </w:t>
      </w:r>
      <w:r w:rsidR="0056266F">
        <w:rPr>
          <w:lang w:val="pl-PL"/>
        </w:rPr>
        <w:t>p</w:t>
      </w:r>
      <w:r w:rsidR="00D60FFC">
        <w:rPr>
          <w:lang w:val="pl-PL"/>
        </w:rPr>
        <w:t>rzy czym ostateczna liczba punktów wynika</w:t>
      </w:r>
      <w:r w:rsidR="006A7B08">
        <w:rPr>
          <w:lang w:val="pl-PL"/>
        </w:rPr>
        <w:t xml:space="preserve"> z </w:t>
      </w:r>
      <w:r w:rsidR="00D60FFC">
        <w:rPr>
          <w:lang w:val="pl-PL"/>
        </w:rPr>
        <w:t xml:space="preserve">uśrednienia </w:t>
      </w:r>
      <w:r w:rsidR="00A069AD">
        <w:rPr>
          <w:lang w:val="pl-PL"/>
        </w:rPr>
        <w:t>liczby</w:t>
      </w:r>
      <w:r w:rsidR="00D60FFC">
        <w:rPr>
          <w:lang w:val="pl-PL"/>
        </w:rPr>
        <w:t xml:space="preserve"> punktów przydzielonych przez obu ekspertów.</w:t>
      </w:r>
      <w:r w:rsidR="006A7B08">
        <w:rPr>
          <w:lang w:val="pl-PL"/>
        </w:rPr>
        <w:t xml:space="preserve"> W </w:t>
      </w:r>
      <w:r w:rsidR="00D60FFC">
        <w:rPr>
          <w:lang w:val="pl-PL"/>
        </w:rPr>
        <w:t xml:space="preserve">przypadku </w:t>
      </w:r>
      <w:r w:rsidR="0053693C">
        <w:rPr>
          <w:lang w:val="pl-PL"/>
        </w:rPr>
        <w:t>gdy rozbieżność między punktami przyznanymi przez ekspertów</w:t>
      </w:r>
      <w:r w:rsidR="00D60FFC">
        <w:rPr>
          <w:lang w:val="pl-PL"/>
        </w:rPr>
        <w:t xml:space="preserve"> jest większa niż 30</w:t>
      </w:r>
      <w:r w:rsidR="00914F1C">
        <w:rPr>
          <w:lang w:val="pl-PL"/>
        </w:rPr>
        <w:t>%</w:t>
      </w:r>
      <w:r w:rsidR="00D60FFC">
        <w:rPr>
          <w:lang w:val="pl-PL"/>
        </w:rPr>
        <w:t xml:space="preserve">, wniosek jest weryfikowany pod względem </w:t>
      </w:r>
      <w:r w:rsidR="005033FA">
        <w:rPr>
          <w:lang w:val="pl-PL"/>
        </w:rPr>
        <w:t xml:space="preserve">merytorycznym przez </w:t>
      </w:r>
      <w:r w:rsidR="00D60FFC">
        <w:rPr>
          <w:lang w:val="pl-PL"/>
        </w:rPr>
        <w:t>trzeciego, niezależnego eksperta wskazanego przez OP.</w:t>
      </w:r>
      <w:r w:rsidR="006A7B08">
        <w:rPr>
          <w:lang w:val="pl-PL"/>
        </w:rPr>
        <w:t xml:space="preserve"> W </w:t>
      </w:r>
      <w:r w:rsidR="005033FA" w:rsidRPr="005033FA">
        <w:rPr>
          <w:rStyle w:val="tlid-translation"/>
          <w:lang w:val="pl-PL"/>
        </w:rPr>
        <w:t xml:space="preserve">takich przypadkach stosuje się uśredniony wynik dwóch </w:t>
      </w:r>
      <w:r w:rsidR="00EE3230" w:rsidRPr="005033FA">
        <w:rPr>
          <w:rStyle w:val="tlid-translation"/>
          <w:lang w:val="pl-PL"/>
        </w:rPr>
        <w:t>najb</w:t>
      </w:r>
      <w:r w:rsidR="00EE3230">
        <w:rPr>
          <w:rStyle w:val="tlid-translation"/>
          <w:lang w:val="pl-PL"/>
        </w:rPr>
        <w:t>ardziej</w:t>
      </w:r>
      <w:r w:rsidR="00EE3230" w:rsidRPr="005033FA">
        <w:rPr>
          <w:rStyle w:val="tlid-translation"/>
          <w:lang w:val="pl-PL"/>
        </w:rPr>
        <w:t xml:space="preserve"> </w:t>
      </w:r>
      <w:r w:rsidR="005033FA" w:rsidRPr="005033FA">
        <w:rPr>
          <w:rStyle w:val="tlid-translation"/>
          <w:lang w:val="pl-PL"/>
        </w:rPr>
        <w:t xml:space="preserve">zbliżonych ocen punktowych. </w:t>
      </w:r>
      <w:r w:rsidR="00EE3230">
        <w:rPr>
          <w:rStyle w:val="tlid-translation"/>
          <w:lang w:val="pl-PL"/>
        </w:rPr>
        <w:t xml:space="preserve"> </w:t>
      </w:r>
    </w:p>
    <w:p w14:paraId="57F77220" w14:textId="77777777" w:rsidR="003B3CB1" w:rsidRPr="00CB728F" w:rsidRDefault="003B3CB1" w:rsidP="003B3CB1">
      <w:pPr>
        <w:jc w:val="both"/>
        <w:rPr>
          <w:u w:val="single"/>
          <w:lang w:val="pl-PL"/>
        </w:rPr>
      </w:pPr>
      <w:r w:rsidRPr="00CB728F">
        <w:rPr>
          <w:lang w:val="pl-PL"/>
        </w:rPr>
        <w:t xml:space="preserve">Minimalna łączna liczba punktów (po uśrednieniu ocen ekspertów), która pozwala uznać wniosek jako rekomendowany wynosi: </w:t>
      </w:r>
      <w:r w:rsidRPr="00CB728F">
        <w:rPr>
          <w:b/>
          <w:lang w:val="pl-PL"/>
        </w:rPr>
        <w:t>65 pkt</w:t>
      </w:r>
      <w:r w:rsidRPr="00CB728F">
        <w:rPr>
          <w:lang w:val="pl-PL"/>
        </w:rPr>
        <w:t xml:space="preserve">., przy czym należy również spełnić </w:t>
      </w:r>
      <w:r w:rsidRPr="00CB728F">
        <w:rPr>
          <w:b/>
          <w:lang w:val="pl-PL"/>
        </w:rPr>
        <w:t>kryteria dopuszczające</w:t>
      </w:r>
      <w:r w:rsidRPr="00CB728F">
        <w:rPr>
          <w:lang w:val="pl-PL"/>
        </w:rPr>
        <w:t xml:space="preserve">, </w:t>
      </w:r>
      <w:r w:rsidR="00A069AD" w:rsidRPr="00CB728F">
        <w:rPr>
          <w:lang w:val="pl-PL"/>
        </w:rPr>
        <w:br/>
      </w:r>
      <w:r w:rsidR="00EB3838" w:rsidRPr="00CB728F">
        <w:rPr>
          <w:lang w:val="pl-PL"/>
        </w:rPr>
        <w:t>tj.</w:t>
      </w:r>
      <w:r w:rsidR="006A7B08" w:rsidRPr="00CB728F">
        <w:rPr>
          <w:lang w:val="pl-PL"/>
        </w:rPr>
        <w:t xml:space="preserve"> w </w:t>
      </w:r>
      <w:r w:rsidRPr="00CB728F">
        <w:rPr>
          <w:u w:val="single"/>
          <w:lang w:val="pl-PL"/>
        </w:rPr>
        <w:t>kryterium nr 1:</w:t>
      </w:r>
    </w:p>
    <w:p w14:paraId="4AE209FE" w14:textId="77777777" w:rsidR="00B67BB9" w:rsidRPr="00CB728F" w:rsidRDefault="003B3CB1" w:rsidP="003B3CB1">
      <w:pPr>
        <w:pStyle w:val="Akapitzlist"/>
        <w:numPr>
          <w:ilvl w:val="0"/>
          <w:numId w:val="6"/>
        </w:numPr>
        <w:spacing w:line="259" w:lineRule="auto"/>
        <w:jc w:val="both"/>
      </w:pPr>
      <w:r w:rsidRPr="00CB728F">
        <w:t>należy uzyskać minimum 19 pkt.,</w:t>
      </w:r>
    </w:p>
    <w:p w14:paraId="5CA64357" w14:textId="77777777" w:rsidR="003B3CB1" w:rsidRPr="00CB728F" w:rsidRDefault="00B67BB9" w:rsidP="00B67BB9">
      <w:pPr>
        <w:pStyle w:val="Akapitzlist"/>
        <w:numPr>
          <w:ilvl w:val="0"/>
          <w:numId w:val="6"/>
        </w:numPr>
        <w:spacing w:line="259" w:lineRule="auto"/>
        <w:jc w:val="both"/>
      </w:pPr>
      <w:r w:rsidRPr="00CB728F">
        <w:t xml:space="preserve">należy uzyskać minimum 8 pkt. w podpunkcie 1.4 </w:t>
      </w:r>
    </w:p>
    <w:p w14:paraId="71725A49" w14:textId="77777777" w:rsidR="003B3CB1" w:rsidRPr="00CB728F" w:rsidRDefault="003B3CB1" w:rsidP="003B3CB1">
      <w:pPr>
        <w:pStyle w:val="Akapitzlist"/>
        <w:numPr>
          <w:ilvl w:val="0"/>
          <w:numId w:val="6"/>
        </w:numPr>
        <w:spacing w:line="259" w:lineRule="auto"/>
        <w:jc w:val="both"/>
      </w:pPr>
      <w:r w:rsidRPr="00CB728F">
        <w:t>wybrać co najmniej jeden wskaźnik wskazany dla Programu „Sprawy wewnętrzne”,</w:t>
      </w:r>
    </w:p>
    <w:p w14:paraId="4AFEA21F" w14:textId="77777777" w:rsidR="003B3CB1" w:rsidRPr="00CB728F" w:rsidRDefault="003B3CB1" w:rsidP="003B3CB1">
      <w:pPr>
        <w:pStyle w:val="Akapitzlist"/>
        <w:numPr>
          <w:ilvl w:val="0"/>
          <w:numId w:val="6"/>
        </w:numPr>
        <w:spacing w:line="259" w:lineRule="auto"/>
        <w:jc w:val="both"/>
      </w:pPr>
      <w:r w:rsidRPr="00CB728F">
        <w:t>stworzyć co najmniej jeden wskaźnik własny dla projektu,</w:t>
      </w:r>
    </w:p>
    <w:p w14:paraId="259E65FE" w14:textId="77777777" w:rsidR="003B3CB1" w:rsidRPr="00CB728F" w:rsidRDefault="003B3CB1" w:rsidP="009C2B5F">
      <w:pPr>
        <w:pStyle w:val="Akapitzlist"/>
        <w:numPr>
          <w:ilvl w:val="0"/>
          <w:numId w:val="6"/>
        </w:numPr>
        <w:spacing w:line="259" w:lineRule="auto"/>
        <w:jc w:val="both"/>
      </w:pPr>
      <w:r w:rsidRPr="00CB728F">
        <w:t xml:space="preserve">w przypadku </w:t>
      </w:r>
      <w:r w:rsidRPr="00CB728F">
        <w:rPr>
          <w:szCs w:val="24"/>
        </w:rPr>
        <w:t>projektu prowadzonego</w:t>
      </w:r>
      <w:r w:rsidR="006A7B08" w:rsidRPr="00CB728F">
        <w:rPr>
          <w:szCs w:val="24"/>
        </w:rPr>
        <w:t xml:space="preserve"> w </w:t>
      </w:r>
      <w:r w:rsidRPr="00CB728F">
        <w:rPr>
          <w:szCs w:val="24"/>
        </w:rPr>
        <w:t>partnerstwie</w:t>
      </w:r>
      <w:r w:rsidR="006A7B08" w:rsidRPr="00CB728F">
        <w:rPr>
          <w:szCs w:val="24"/>
        </w:rPr>
        <w:t xml:space="preserve"> z </w:t>
      </w:r>
      <w:r w:rsidRPr="00CB728F">
        <w:rPr>
          <w:szCs w:val="24"/>
        </w:rPr>
        <w:t>instytucją norweską</w:t>
      </w:r>
      <w:r w:rsidR="008D0A85" w:rsidRPr="00CB728F">
        <w:rPr>
          <w:szCs w:val="24"/>
        </w:rPr>
        <w:t xml:space="preserve"> i/lub organizacją międzynarodową</w:t>
      </w:r>
      <w:r w:rsidRPr="00CB728F">
        <w:rPr>
          <w:szCs w:val="24"/>
        </w:rPr>
        <w:t xml:space="preserve"> – należy wybrać co najmniej jeden wskaźnik bilateralny wskazany dla Programu „Sprawy wewnętrzne”;</w:t>
      </w:r>
    </w:p>
    <w:p w14:paraId="48BB75DF" w14:textId="77777777" w:rsidR="00B67BB9" w:rsidRPr="00B67BB9" w:rsidRDefault="003B3CB1" w:rsidP="009829AB">
      <w:pPr>
        <w:jc w:val="both"/>
        <w:rPr>
          <w:lang w:val="pl-PL"/>
        </w:rPr>
      </w:pPr>
      <w:r w:rsidRPr="00CB728F">
        <w:rPr>
          <w:u w:val="single"/>
          <w:lang w:val="pl-PL"/>
        </w:rPr>
        <w:t>w kryterium nr 2</w:t>
      </w:r>
      <w:r w:rsidRPr="00CB728F">
        <w:rPr>
          <w:lang w:val="pl-PL"/>
        </w:rPr>
        <w:t>: należy uzyskać minimum 10 pkt.</w:t>
      </w:r>
      <w:r w:rsidRPr="003B3CB1">
        <w:rPr>
          <w:lang w:val="pl-PL"/>
        </w:rPr>
        <w:t xml:space="preserve"> </w:t>
      </w:r>
    </w:p>
    <w:p w14:paraId="5AA5D97B" w14:textId="77777777" w:rsidR="00CB2B8B" w:rsidRDefault="0056266F" w:rsidP="00A76FBA">
      <w:pPr>
        <w:jc w:val="both"/>
        <w:rPr>
          <w:rStyle w:val="tlid-translation"/>
          <w:u w:val="single"/>
          <w:lang w:val="pl-PL"/>
        </w:rPr>
      </w:pPr>
      <w:r w:rsidRPr="0056266F">
        <w:rPr>
          <w:rStyle w:val="tlid-translation"/>
          <w:u w:val="single"/>
          <w:lang w:val="pl-PL"/>
        </w:rPr>
        <w:t>Wyniki oceny merytorycznej nie podlegają procedurze odwoławczej.</w:t>
      </w:r>
    </w:p>
    <w:p w14:paraId="6A1A7F5D" w14:textId="7F51081C" w:rsidR="00A5779B" w:rsidRPr="00711B2B" w:rsidRDefault="00711B2B" w:rsidP="00A76FBA">
      <w:pPr>
        <w:jc w:val="both"/>
        <w:rPr>
          <w:u w:val="single"/>
          <w:lang w:val="pl-PL"/>
        </w:rPr>
      </w:pPr>
      <w:r w:rsidRPr="0037140F">
        <w:rPr>
          <w:u w:val="single"/>
          <w:lang w:val="pl-PL"/>
        </w:rPr>
        <w:t xml:space="preserve">Projekty, które otrzymały minimalną liczbę punktów (65 pkt) są rekomendowane do dofinansowania, co nie jest równoznaczne z otrzymaniem dofinansowania. </w:t>
      </w:r>
      <w:r w:rsidRPr="00711B2B">
        <w:rPr>
          <w:u w:val="single"/>
          <w:lang w:val="pl-PL"/>
        </w:rPr>
        <w:t>Dofinansowane zostaną projekty mieszczące się w limicie dostępnych środków.</w:t>
      </w:r>
    </w:p>
    <w:p w14:paraId="27952BFC" w14:textId="77777777" w:rsidR="0089327C" w:rsidRPr="0089327C" w:rsidRDefault="0089327C" w:rsidP="00A76FBA">
      <w:pPr>
        <w:jc w:val="both"/>
        <w:rPr>
          <w:b/>
          <w:lang w:val="pl-PL"/>
        </w:rPr>
      </w:pPr>
      <w:r w:rsidRPr="0089327C">
        <w:rPr>
          <w:b/>
          <w:lang w:val="pl-PL"/>
        </w:rPr>
        <w:lastRenderedPageBreak/>
        <w:t>I</w:t>
      </w:r>
      <w:r w:rsidR="002D7130">
        <w:rPr>
          <w:b/>
          <w:lang w:val="pl-PL"/>
        </w:rPr>
        <w:t>V</w:t>
      </w:r>
      <w:r w:rsidRPr="0089327C">
        <w:rPr>
          <w:b/>
          <w:lang w:val="pl-PL"/>
        </w:rPr>
        <w:t xml:space="preserve">. </w:t>
      </w:r>
      <w:r w:rsidR="00D60CFE">
        <w:rPr>
          <w:b/>
          <w:lang w:val="pl-PL"/>
        </w:rPr>
        <w:t>ZATWIERDZENIE WNIOSKÓW DO DOFINANSOWANIA</w:t>
      </w:r>
    </w:p>
    <w:p w14:paraId="20C53665" w14:textId="7F6A0F70" w:rsidR="005033FA" w:rsidRDefault="005033FA" w:rsidP="00A76FBA">
      <w:pPr>
        <w:jc w:val="both"/>
        <w:rPr>
          <w:lang w:val="pl-PL"/>
        </w:rPr>
      </w:pPr>
      <w:r>
        <w:rPr>
          <w:lang w:val="pl-PL"/>
        </w:rPr>
        <w:t>Po ocenie merytorycznej OP sporządza listę rankingową,</w:t>
      </w:r>
      <w:r w:rsidR="006A7B08">
        <w:rPr>
          <w:lang w:val="pl-PL"/>
        </w:rPr>
        <w:t xml:space="preserve"> w </w:t>
      </w:r>
      <w:r>
        <w:rPr>
          <w:lang w:val="pl-PL"/>
        </w:rPr>
        <w:t xml:space="preserve">której wskazane są projekty rekomendowane </w:t>
      </w:r>
      <w:r w:rsidR="006F116E">
        <w:rPr>
          <w:lang w:val="pl-PL"/>
        </w:rPr>
        <w:t>(</w:t>
      </w:r>
      <w:r w:rsidR="0056266F">
        <w:rPr>
          <w:lang w:val="pl-PL"/>
        </w:rPr>
        <w:t xml:space="preserve">średnia ocena </w:t>
      </w:r>
      <w:r w:rsidR="006F116E">
        <w:rPr>
          <w:lang w:val="pl-PL"/>
        </w:rPr>
        <w:t xml:space="preserve">minimum </w:t>
      </w:r>
      <w:r w:rsidR="006F116E" w:rsidRPr="009C2B5F">
        <w:rPr>
          <w:lang w:val="pl-PL"/>
        </w:rPr>
        <w:t xml:space="preserve">65 pkt.) </w:t>
      </w:r>
      <w:r w:rsidR="00F02AC4" w:rsidRPr="009C2B5F">
        <w:rPr>
          <w:lang w:val="pl-PL"/>
        </w:rPr>
        <w:t>–</w:t>
      </w:r>
      <w:r w:rsidRPr="009C2B5F">
        <w:rPr>
          <w:lang w:val="pl-PL"/>
        </w:rPr>
        <w:t xml:space="preserve"> </w:t>
      </w:r>
      <w:r w:rsidR="00F02AC4" w:rsidRPr="009C2B5F">
        <w:rPr>
          <w:lang w:val="pl-PL"/>
        </w:rPr>
        <w:t xml:space="preserve">uszeregowane malejąco wg przyznanej liczby punktów </w:t>
      </w:r>
      <w:r w:rsidRPr="009C2B5F">
        <w:rPr>
          <w:lang w:val="pl-PL"/>
        </w:rPr>
        <w:t xml:space="preserve">oraz projekty nierekomendowane (średnia </w:t>
      </w:r>
      <w:r w:rsidR="0056266F" w:rsidRPr="009C2B5F">
        <w:rPr>
          <w:lang w:val="pl-PL"/>
        </w:rPr>
        <w:t xml:space="preserve">ocena </w:t>
      </w:r>
      <w:r w:rsidRPr="009C2B5F">
        <w:rPr>
          <w:lang w:val="pl-PL"/>
        </w:rPr>
        <w:t xml:space="preserve">poniżej </w:t>
      </w:r>
      <w:r w:rsidR="0089732D" w:rsidRPr="009C2B5F">
        <w:rPr>
          <w:lang w:val="pl-PL"/>
        </w:rPr>
        <w:t>65 pkt.).</w:t>
      </w:r>
      <w:r w:rsidR="0089732D">
        <w:rPr>
          <w:lang w:val="pl-PL"/>
        </w:rPr>
        <w:t xml:space="preserve"> Operator Programu przedstawia listę rankingow</w:t>
      </w:r>
      <w:r w:rsidR="00274DD0">
        <w:rPr>
          <w:lang w:val="pl-PL"/>
        </w:rPr>
        <w:t>ą</w:t>
      </w:r>
      <w:r w:rsidR="0089732D">
        <w:rPr>
          <w:lang w:val="pl-PL"/>
        </w:rPr>
        <w:t xml:space="preserve"> projektów wraz</w:t>
      </w:r>
      <w:r w:rsidR="006A7B08">
        <w:rPr>
          <w:lang w:val="pl-PL"/>
        </w:rPr>
        <w:t xml:space="preserve"> z </w:t>
      </w:r>
      <w:r w:rsidR="0089732D">
        <w:rPr>
          <w:lang w:val="pl-PL"/>
        </w:rPr>
        <w:t xml:space="preserve">listą wniosków odrzuconych pod względem formalnym Komitetowi do </w:t>
      </w:r>
      <w:r w:rsidR="00A7047D">
        <w:rPr>
          <w:lang w:val="pl-PL"/>
        </w:rPr>
        <w:t xml:space="preserve">spraw </w:t>
      </w:r>
      <w:r w:rsidR="0089732D">
        <w:rPr>
          <w:lang w:val="pl-PL"/>
        </w:rPr>
        <w:t>Wyboru Projektów (KWP). KWP składa się</w:t>
      </w:r>
      <w:r w:rsidR="006A7B08">
        <w:rPr>
          <w:lang w:val="pl-PL"/>
        </w:rPr>
        <w:t xml:space="preserve"> z </w:t>
      </w:r>
      <w:r w:rsidR="0089732D">
        <w:rPr>
          <w:lang w:val="pl-PL"/>
        </w:rPr>
        <w:t xml:space="preserve">członków niegłosujących </w:t>
      </w:r>
      <w:r w:rsidR="00914F1C">
        <w:rPr>
          <w:lang w:val="pl-PL"/>
        </w:rPr>
        <w:br/>
      </w:r>
      <w:r w:rsidR="006F116E">
        <w:rPr>
          <w:lang w:val="pl-PL"/>
        </w:rPr>
        <w:t>– przedstawicieli OP</w:t>
      </w:r>
      <w:r w:rsidR="00044063">
        <w:rPr>
          <w:lang w:val="pl-PL"/>
        </w:rPr>
        <w:t>,</w:t>
      </w:r>
      <w:r w:rsidR="006F116E">
        <w:rPr>
          <w:lang w:val="pl-PL"/>
        </w:rPr>
        <w:t xml:space="preserve"> </w:t>
      </w:r>
      <w:r w:rsidR="0089732D">
        <w:rPr>
          <w:lang w:val="pl-PL"/>
        </w:rPr>
        <w:t>tj. przewodniczącego</w:t>
      </w:r>
      <w:r w:rsidR="006A7B08">
        <w:rPr>
          <w:lang w:val="pl-PL"/>
        </w:rPr>
        <w:t xml:space="preserve"> i </w:t>
      </w:r>
      <w:r w:rsidR="0089732D">
        <w:rPr>
          <w:lang w:val="pl-PL"/>
        </w:rPr>
        <w:t xml:space="preserve">sekretarza oraz </w:t>
      </w:r>
      <w:r w:rsidR="006F116E">
        <w:rPr>
          <w:lang w:val="pl-PL"/>
        </w:rPr>
        <w:t xml:space="preserve">minimum czterech </w:t>
      </w:r>
      <w:r w:rsidR="0089732D">
        <w:rPr>
          <w:lang w:val="pl-PL"/>
        </w:rPr>
        <w:t>członków głosujących</w:t>
      </w:r>
      <w:r w:rsidR="006F116E">
        <w:rPr>
          <w:lang w:val="pl-PL"/>
        </w:rPr>
        <w:t>,</w:t>
      </w:r>
      <w:r w:rsidR="006A7B08">
        <w:rPr>
          <w:lang w:val="pl-PL"/>
        </w:rPr>
        <w:t xml:space="preserve"> w </w:t>
      </w:r>
      <w:r w:rsidR="006F116E">
        <w:rPr>
          <w:lang w:val="pl-PL"/>
        </w:rPr>
        <w:t>tym</w:t>
      </w:r>
      <w:r w:rsidR="0089732D">
        <w:rPr>
          <w:lang w:val="pl-PL"/>
        </w:rPr>
        <w:t xml:space="preserve"> </w:t>
      </w:r>
      <w:r w:rsidR="00A5779B" w:rsidRPr="00A5779B">
        <w:rPr>
          <w:bCs/>
          <w:lang w:val="pl-PL"/>
        </w:rPr>
        <w:t xml:space="preserve">w tym 2 przedstawicieli wyznaczonych przez OP oraz 2 przedstawicieli Partnerów Programu </w:t>
      </w:r>
      <w:r w:rsidR="00A5779B" w:rsidRPr="00A5779B">
        <w:rPr>
          <w:bCs/>
          <w:lang w:val="pl-PL"/>
        </w:rPr>
        <w:br/>
        <w:t>z Państwa-Darczyńcy.</w:t>
      </w:r>
      <w:r w:rsidR="006F116E">
        <w:rPr>
          <w:lang w:val="pl-PL"/>
        </w:rPr>
        <w:t xml:space="preserve">. </w:t>
      </w:r>
      <w:r w:rsidR="00F02AC4" w:rsidRPr="00F02AC4">
        <w:rPr>
          <w:bCs/>
          <w:lang w:val="pl-PL"/>
        </w:rPr>
        <w:t>Przedstawiciele KPK</w:t>
      </w:r>
      <w:r w:rsidR="006A7B08">
        <w:rPr>
          <w:bCs/>
          <w:lang w:val="pl-PL"/>
        </w:rPr>
        <w:t xml:space="preserve"> i</w:t>
      </w:r>
      <w:r w:rsidR="00A5779B">
        <w:rPr>
          <w:bCs/>
          <w:lang w:val="pl-PL"/>
        </w:rPr>
        <w:t xml:space="preserve"> </w:t>
      </w:r>
      <w:r w:rsidR="00F02AC4" w:rsidRPr="00F02AC4">
        <w:rPr>
          <w:bCs/>
          <w:lang w:val="pl-PL"/>
        </w:rPr>
        <w:t xml:space="preserve">Norweskiego MSZ będą zapraszani do udziału </w:t>
      </w:r>
      <w:r w:rsidR="00A069AD">
        <w:rPr>
          <w:bCs/>
          <w:lang w:val="pl-PL"/>
        </w:rPr>
        <w:br/>
        <w:t xml:space="preserve">w </w:t>
      </w:r>
      <w:r w:rsidR="00F02AC4" w:rsidRPr="00F02AC4">
        <w:rPr>
          <w:bCs/>
          <w:lang w:val="pl-PL"/>
        </w:rPr>
        <w:t>procesie wyboru projektów jako obserwatorzy.</w:t>
      </w:r>
      <w:r w:rsidR="00F02AC4">
        <w:rPr>
          <w:bCs/>
          <w:lang w:val="pl-PL"/>
        </w:rPr>
        <w:t xml:space="preserve"> </w:t>
      </w:r>
      <w:r w:rsidR="006F116E">
        <w:rPr>
          <w:lang w:val="pl-PL"/>
        </w:rPr>
        <w:t xml:space="preserve">Szczegółowe zasady działania KWP </w:t>
      </w:r>
      <w:r w:rsidR="00044063">
        <w:rPr>
          <w:lang w:val="pl-PL"/>
        </w:rPr>
        <w:t xml:space="preserve">zostały </w:t>
      </w:r>
      <w:r w:rsidR="006F116E">
        <w:rPr>
          <w:lang w:val="pl-PL"/>
        </w:rPr>
        <w:t>określone</w:t>
      </w:r>
      <w:r w:rsidR="006A7B08">
        <w:rPr>
          <w:lang w:val="pl-PL"/>
        </w:rPr>
        <w:t xml:space="preserve"> w </w:t>
      </w:r>
      <w:r w:rsidR="00044063">
        <w:rPr>
          <w:lang w:val="pl-PL"/>
        </w:rPr>
        <w:t xml:space="preserve">Regulaminie </w:t>
      </w:r>
      <w:r w:rsidR="006F116E">
        <w:rPr>
          <w:lang w:val="pl-PL"/>
        </w:rPr>
        <w:t>KWP.</w:t>
      </w:r>
      <w:r w:rsidR="0089327C">
        <w:rPr>
          <w:lang w:val="pl-PL"/>
        </w:rPr>
        <w:t xml:space="preserve"> </w:t>
      </w:r>
    </w:p>
    <w:p w14:paraId="48C47DFC" w14:textId="17ED754C" w:rsidR="0089327C" w:rsidRDefault="00274DD0" w:rsidP="00A76FBA">
      <w:pPr>
        <w:jc w:val="both"/>
        <w:rPr>
          <w:rStyle w:val="tlid-translation"/>
          <w:lang w:val="pl-PL"/>
        </w:rPr>
      </w:pPr>
      <w:r>
        <w:rPr>
          <w:rStyle w:val="tlid-translation"/>
          <w:lang w:val="pl-PL"/>
        </w:rPr>
        <w:t>KWP</w:t>
      </w:r>
      <w:r w:rsidRPr="00274DD0">
        <w:rPr>
          <w:rStyle w:val="tlid-translation"/>
          <w:lang w:val="pl-PL"/>
        </w:rPr>
        <w:t xml:space="preserve"> dokonuje przeglądu listy rankingowej projektów</w:t>
      </w:r>
      <w:r w:rsidR="00213566">
        <w:rPr>
          <w:rStyle w:val="tlid-translation"/>
          <w:lang w:val="pl-PL"/>
        </w:rPr>
        <w:t xml:space="preserve">, </w:t>
      </w:r>
      <w:r w:rsidR="00044063">
        <w:rPr>
          <w:rStyle w:val="tlid-translation"/>
          <w:lang w:val="pl-PL"/>
        </w:rPr>
        <w:t>podczas posiedzenia lub drogą korespondencyjną.</w:t>
      </w:r>
      <w:r w:rsidR="006A7B08">
        <w:rPr>
          <w:rStyle w:val="tlid-translation"/>
          <w:lang w:val="pl-PL"/>
        </w:rPr>
        <w:t xml:space="preserve"> W </w:t>
      </w:r>
      <w:r w:rsidRPr="00274DD0">
        <w:rPr>
          <w:rStyle w:val="tlid-translation"/>
          <w:lang w:val="pl-PL"/>
        </w:rPr>
        <w:t xml:space="preserve">uzasadnionych przypadkach możliwe jest </w:t>
      </w:r>
      <w:r w:rsidR="00213566">
        <w:rPr>
          <w:rStyle w:val="tlid-translation"/>
          <w:lang w:val="pl-PL"/>
        </w:rPr>
        <w:t xml:space="preserve">jej </w:t>
      </w:r>
      <w:r w:rsidRPr="00274DD0">
        <w:rPr>
          <w:rStyle w:val="tlid-translation"/>
          <w:lang w:val="pl-PL"/>
        </w:rPr>
        <w:t xml:space="preserve">modyfikowanie </w:t>
      </w:r>
      <w:r w:rsidR="00213566">
        <w:rPr>
          <w:rStyle w:val="tlid-translation"/>
          <w:lang w:val="pl-PL"/>
        </w:rPr>
        <w:t>przez KWP</w:t>
      </w:r>
      <w:r w:rsidRPr="00274DD0">
        <w:rPr>
          <w:rStyle w:val="tlid-translation"/>
          <w:lang w:val="pl-PL"/>
        </w:rPr>
        <w:t xml:space="preserve">. </w:t>
      </w:r>
      <w:r>
        <w:rPr>
          <w:rStyle w:val="tlid-translation"/>
          <w:lang w:val="pl-PL"/>
        </w:rPr>
        <w:t>Szczegółowe u</w:t>
      </w:r>
      <w:r w:rsidRPr="00274DD0">
        <w:rPr>
          <w:rStyle w:val="tlid-translation"/>
          <w:lang w:val="pl-PL"/>
        </w:rPr>
        <w:t xml:space="preserve">zasadnienie zmian </w:t>
      </w:r>
      <w:r w:rsidR="0056266F">
        <w:rPr>
          <w:rStyle w:val="tlid-translation"/>
          <w:lang w:val="pl-PL"/>
        </w:rPr>
        <w:t xml:space="preserve">na liście rankingowej </w:t>
      </w:r>
      <w:r>
        <w:rPr>
          <w:rStyle w:val="tlid-translation"/>
          <w:lang w:val="pl-PL"/>
        </w:rPr>
        <w:t>zawarte będzie</w:t>
      </w:r>
      <w:r w:rsidR="006A7B08">
        <w:rPr>
          <w:rStyle w:val="tlid-translation"/>
          <w:lang w:val="pl-PL"/>
        </w:rPr>
        <w:t xml:space="preserve"> w </w:t>
      </w:r>
      <w:r w:rsidRPr="00274DD0">
        <w:rPr>
          <w:rStyle w:val="tlid-translation"/>
          <w:lang w:val="pl-PL"/>
        </w:rPr>
        <w:t xml:space="preserve">protokole </w:t>
      </w:r>
      <w:r w:rsidR="001E5BA5">
        <w:rPr>
          <w:rStyle w:val="tlid-translation"/>
          <w:lang w:val="pl-PL"/>
        </w:rPr>
        <w:t>KWP. Protokół wraz</w:t>
      </w:r>
      <w:r w:rsidR="006A7B08">
        <w:rPr>
          <w:rStyle w:val="tlid-translation"/>
          <w:lang w:val="pl-PL"/>
        </w:rPr>
        <w:t xml:space="preserve"> z </w:t>
      </w:r>
      <w:r>
        <w:rPr>
          <w:rStyle w:val="tlid-translation"/>
          <w:lang w:val="pl-PL"/>
        </w:rPr>
        <w:t>list</w:t>
      </w:r>
      <w:r w:rsidR="00213566">
        <w:rPr>
          <w:rStyle w:val="tlid-translation"/>
          <w:lang w:val="pl-PL"/>
        </w:rPr>
        <w:t>ą</w:t>
      </w:r>
      <w:r>
        <w:rPr>
          <w:rStyle w:val="tlid-translation"/>
          <w:lang w:val="pl-PL"/>
        </w:rPr>
        <w:t xml:space="preserve"> rekomendowanych projektów </w:t>
      </w:r>
      <w:r w:rsidR="00213566">
        <w:rPr>
          <w:rStyle w:val="tlid-translation"/>
          <w:lang w:val="pl-PL"/>
        </w:rPr>
        <w:t>(mieszczących się</w:t>
      </w:r>
      <w:r w:rsidR="006A7B08">
        <w:rPr>
          <w:rStyle w:val="tlid-translation"/>
          <w:lang w:val="pl-PL"/>
        </w:rPr>
        <w:t xml:space="preserve"> w </w:t>
      </w:r>
      <w:r w:rsidR="00213566">
        <w:rPr>
          <w:rStyle w:val="tlid-translation"/>
          <w:lang w:val="pl-PL"/>
        </w:rPr>
        <w:t xml:space="preserve">dostępnej alokacji finansowej) </w:t>
      </w:r>
      <w:r w:rsidR="00044063">
        <w:rPr>
          <w:rStyle w:val="tlid-translation"/>
          <w:lang w:val="pl-PL"/>
        </w:rPr>
        <w:t>oraz</w:t>
      </w:r>
      <w:r w:rsidR="006A7B08">
        <w:rPr>
          <w:rStyle w:val="tlid-translation"/>
          <w:lang w:val="pl-PL"/>
        </w:rPr>
        <w:t xml:space="preserve"> z </w:t>
      </w:r>
      <w:r w:rsidR="00A5779B">
        <w:rPr>
          <w:rStyle w:val="tlid-translation"/>
          <w:lang w:val="pl-PL"/>
        </w:rPr>
        <w:t xml:space="preserve">listą projektów, które uzyskał powyżej 65 pkt., ale </w:t>
      </w:r>
      <w:r w:rsidR="0053693C">
        <w:rPr>
          <w:rStyle w:val="tlid-translation"/>
          <w:lang w:val="pl-PL"/>
        </w:rPr>
        <w:t>niemieszczących się</w:t>
      </w:r>
      <w:r w:rsidR="006A7B08">
        <w:rPr>
          <w:rStyle w:val="tlid-translation"/>
          <w:lang w:val="pl-PL"/>
        </w:rPr>
        <w:t xml:space="preserve"> w </w:t>
      </w:r>
      <w:r w:rsidR="00A5779B">
        <w:rPr>
          <w:rStyle w:val="tlid-translation"/>
          <w:lang w:val="pl-PL"/>
        </w:rPr>
        <w:t>dostępnej alokacji finansowej</w:t>
      </w:r>
      <w:r w:rsidR="00044063">
        <w:rPr>
          <w:rStyle w:val="tlid-translation"/>
          <w:lang w:val="pl-PL"/>
        </w:rPr>
        <w:t xml:space="preserve">, </w:t>
      </w:r>
      <w:r w:rsidR="00A5779B">
        <w:rPr>
          <w:rStyle w:val="tlid-translation"/>
          <w:lang w:val="pl-PL"/>
        </w:rPr>
        <w:br/>
      </w:r>
      <w:r w:rsidR="00044063">
        <w:rPr>
          <w:rStyle w:val="tlid-translation"/>
          <w:lang w:val="pl-PL"/>
        </w:rPr>
        <w:t>a także</w:t>
      </w:r>
      <w:r w:rsidR="00213566">
        <w:rPr>
          <w:rStyle w:val="tlid-translation"/>
          <w:lang w:val="pl-PL"/>
        </w:rPr>
        <w:t xml:space="preserve"> </w:t>
      </w:r>
      <w:r>
        <w:rPr>
          <w:rStyle w:val="tlid-translation"/>
          <w:lang w:val="pl-PL"/>
        </w:rPr>
        <w:t>list</w:t>
      </w:r>
      <w:r w:rsidR="0056266F">
        <w:rPr>
          <w:rStyle w:val="tlid-translation"/>
          <w:lang w:val="pl-PL"/>
        </w:rPr>
        <w:t>ą</w:t>
      </w:r>
      <w:r>
        <w:rPr>
          <w:rStyle w:val="tlid-translation"/>
          <w:lang w:val="pl-PL"/>
        </w:rPr>
        <w:t xml:space="preserve"> projektów odrzuconych jest przekazywany Operatorowi Programu.</w:t>
      </w:r>
    </w:p>
    <w:p w14:paraId="3521F65A" w14:textId="351C40C4" w:rsidR="00274DD0" w:rsidRPr="00091319" w:rsidRDefault="00044063" w:rsidP="00A76FBA">
      <w:pPr>
        <w:jc w:val="both"/>
        <w:rPr>
          <w:lang w:val="pl-PL"/>
        </w:rPr>
      </w:pPr>
      <w:r w:rsidRPr="00044063">
        <w:rPr>
          <w:bCs/>
          <w:lang w:val="pl-PL"/>
        </w:rPr>
        <w:t xml:space="preserve">Ostateczna rekomendacja projektów do dofinansowania powinna zostać </w:t>
      </w:r>
      <w:r w:rsidR="00A5779B">
        <w:rPr>
          <w:bCs/>
          <w:lang w:val="pl-PL"/>
        </w:rPr>
        <w:t>dokonana</w:t>
      </w:r>
      <w:r w:rsidRPr="00044063">
        <w:rPr>
          <w:bCs/>
          <w:lang w:val="pl-PL"/>
        </w:rPr>
        <w:t xml:space="preserve"> przez</w:t>
      </w:r>
      <w:r w:rsidRPr="00044063">
        <w:rPr>
          <w:rStyle w:val="HTML-cytat"/>
          <w:lang w:val="pl-PL"/>
        </w:rPr>
        <w:t xml:space="preserve"> </w:t>
      </w:r>
      <w:r w:rsidR="00274DD0" w:rsidRPr="00884530">
        <w:rPr>
          <w:i/>
          <w:lang w:val="pl-PL"/>
        </w:rPr>
        <w:t xml:space="preserve">Międzyresortowy Zespół ds. </w:t>
      </w:r>
      <w:r w:rsidR="003476C1" w:rsidRPr="00884530">
        <w:rPr>
          <w:i/>
          <w:lang w:val="pl-PL"/>
        </w:rPr>
        <w:t>Europejskich Funduszy Spraw Wewnętrznych</w:t>
      </w:r>
      <w:r>
        <w:rPr>
          <w:rStyle w:val="Odwoanieprzypisudolnego"/>
          <w:lang w:val="pl-PL"/>
        </w:rPr>
        <w:footnoteReference w:id="9"/>
      </w:r>
      <w:r w:rsidR="006A7B08">
        <w:rPr>
          <w:rStyle w:val="HTML-cytat"/>
          <w:i w:val="0"/>
          <w:lang w:val="pl-PL"/>
        </w:rPr>
        <w:t xml:space="preserve"> w </w:t>
      </w:r>
      <w:r w:rsidR="0053693C">
        <w:rPr>
          <w:rStyle w:val="HTML-cytat"/>
          <w:i w:val="0"/>
          <w:lang w:val="pl-PL"/>
        </w:rPr>
        <w:t xml:space="preserve">drodze </w:t>
      </w:r>
      <w:r w:rsidR="004D73A9">
        <w:rPr>
          <w:rStyle w:val="HTML-cytat"/>
          <w:i w:val="0"/>
          <w:lang w:val="pl-PL"/>
        </w:rPr>
        <w:t>uchwały</w:t>
      </w:r>
      <w:r w:rsidR="003476C1">
        <w:rPr>
          <w:lang w:val="pl-PL"/>
        </w:rPr>
        <w:t>.</w:t>
      </w:r>
      <w:r w:rsidR="00902F18">
        <w:rPr>
          <w:lang w:val="pl-PL"/>
        </w:rPr>
        <w:t xml:space="preserve"> Ponadto </w:t>
      </w:r>
      <w:r w:rsidR="004D73A9">
        <w:rPr>
          <w:lang w:val="pl-PL"/>
        </w:rPr>
        <w:t>uchwała</w:t>
      </w:r>
      <w:r w:rsidR="00902F18">
        <w:rPr>
          <w:lang w:val="pl-PL"/>
        </w:rPr>
        <w:t xml:space="preserve"> jest gwarancją, że projekty znajdujące się na</w:t>
      </w:r>
      <w:r w:rsidR="00EB3838">
        <w:rPr>
          <w:lang w:val="pl-PL"/>
        </w:rPr>
        <w:t xml:space="preserve"> liście rankingowej są zgodne</w:t>
      </w:r>
      <w:r w:rsidR="006A7B08">
        <w:rPr>
          <w:lang w:val="pl-PL"/>
        </w:rPr>
        <w:t xml:space="preserve"> z </w:t>
      </w:r>
      <w:r w:rsidR="00902F18">
        <w:rPr>
          <w:lang w:val="pl-PL"/>
        </w:rPr>
        <w:t>wytycznymi wskazanymi</w:t>
      </w:r>
      <w:r w:rsidR="006A7B08">
        <w:rPr>
          <w:lang w:val="pl-PL"/>
        </w:rPr>
        <w:t xml:space="preserve"> w </w:t>
      </w:r>
      <w:r w:rsidR="00902F18">
        <w:rPr>
          <w:lang w:val="pl-PL"/>
        </w:rPr>
        <w:t>ogłoszeniu</w:t>
      </w:r>
      <w:r w:rsidR="006A7B08">
        <w:rPr>
          <w:lang w:val="pl-PL"/>
        </w:rPr>
        <w:t xml:space="preserve"> o </w:t>
      </w:r>
      <w:r w:rsidR="00902F18">
        <w:rPr>
          <w:lang w:val="pl-PL"/>
        </w:rPr>
        <w:t xml:space="preserve">naborze. </w:t>
      </w:r>
    </w:p>
    <w:p w14:paraId="72F4B14F" w14:textId="77777777" w:rsidR="00274DD0" w:rsidRDefault="00274DD0" w:rsidP="00A5779B">
      <w:pPr>
        <w:jc w:val="both"/>
        <w:rPr>
          <w:lang w:val="pl-PL"/>
        </w:rPr>
      </w:pPr>
      <w:r>
        <w:rPr>
          <w:lang w:val="pl-PL"/>
        </w:rPr>
        <w:t xml:space="preserve">Operator </w:t>
      </w:r>
      <w:r w:rsidR="00B71BD4">
        <w:rPr>
          <w:lang w:val="pl-PL"/>
        </w:rPr>
        <w:t>Programu</w:t>
      </w:r>
      <w:r>
        <w:rPr>
          <w:lang w:val="pl-PL"/>
        </w:rPr>
        <w:t xml:space="preserve"> weryfikuje czy proces </w:t>
      </w:r>
      <w:r w:rsidR="00B71BD4">
        <w:rPr>
          <w:lang w:val="pl-PL"/>
        </w:rPr>
        <w:t>wyboru projektów przebiegał zgodnie</w:t>
      </w:r>
      <w:r w:rsidR="006A7B08">
        <w:rPr>
          <w:lang w:val="pl-PL"/>
        </w:rPr>
        <w:t xml:space="preserve"> z </w:t>
      </w:r>
      <w:r w:rsidR="00B71BD4" w:rsidRPr="003B3CB1">
        <w:rPr>
          <w:i/>
          <w:lang w:val="pl-PL"/>
        </w:rPr>
        <w:t xml:space="preserve">Regulacjami </w:t>
      </w:r>
      <w:r w:rsidR="00902F18" w:rsidRPr="003B3CB1">
        <w:rPr>
          <w:i/>
          <w:lang w:val="pl-PL"/>
        </w:rPr>
        <w:t>NMF 2014-2021</w:t>
      </w:r>
      <w:r w:rsidR="00902F18">
        <w:rPr>
          <w:lang w:val="pl-PL"/>
        </w:rPr>
        <w:t xml:space="preserve"> </w:t>
      </w:r>
      <w:r w:rsidR="00B71BD4">
        <w:rPr>
          <w:lang w:val="pl-PL"/>
        </w:rPr>
        <w:t>oraz czy rekomendacje wydane przez KWP</w:t>
      </w:r>
      <w:r w:rsidR="006A7B08">
        <w:rPr>
          <w:lang w:val="pl-PL"/>
        </w:rPr>
        <w:t xml:space="preserve"> i </w:t>
      </w:r>
      <w:r w:rsidR="00213566">
        <w:rPr>
          <w:lang w:val="pl-PL"/>
        </w:rPr>
        <w:t xml:space="preserve">Międzyresortowy Zespół </w:t>
      </w:r>
      <w:r w:rsidR="00213566" w:rsidRPr="00213566">
        <w:rPr>
          <w:lang w:val="pl-PL"/>
        </w:rPr>
        <w:t>ds. Europejskich Funduszy Spraw Wewnętrznych</w:t>
      </w:r>
      <w:r w:rsidR="00213566">
        <w:rPr>
          <w:lang w:val="pl-PL"/>
        </w:rPr>
        <w:t xml:space="preserve"> </w:t>
      </w:r>
      <w:r w:rsidR="003535DA">
        <w:rPr>
          <w:lang w:val="pl-PL"/>
        </w:rPr>
        <w:t>zostały wydane zgodnie</w:t>
      </w:r>
      <w:r w:rsidR="006A7B08">
        <w:rPr>
          <w:lang w:val="pl-PL"/>
        </w:rPr>
        <w:t xml:space="preserve"> z </w:t>
      </w:r>
      <w:r w:rsidR="003535DA">
        <w:rPr>
          <w:lang w:val="pl-PL"/>
        </w:rPr>
        <w:t>zasadami</w:t>
      </w:r>
      <w:r w:rsidR="006A7B08">
        <w:rPr>
          <w:lang w:val="pl-PL"/>
        </w:rPr>
        <w:t xml:space="preserve"> i </w:t>
      </w:r>
      <w:r w:rsidR="003535DA">
        <w:rPr>
          <w:lang w:val="pl-PL"/>
        </w:rPr>
        <w:t>celami Programu. Po dokonaniu takiej analizy Operator Programu decyduje ostatecznie</w:t>
      </w:r>
      <w:r w:rsidR="006A7B08">
        <w:rPr>
          <w:lang w:val="pl-PL"/>
        </w:rPr>
        <w:t xml:space="preserve"> o </w:t>
      </w:r>
      <w:r w:rsidR="003535DA">
        <w:rPr>
          <w:lang w:val="pl-PL"/>
        </w:rPr>
        <w:t xml:space="preserve">przyznaniu dofinansowania ze środków Programu. </w:t>
      </w:r>
      <w:r w:rsidR="00902F18">
        <w:rPr>
          <w:lang w:val="pl-PL"/>
        </w:rPr>
        <w:t xml:space="preserve">Końcowe </w:t>
      </w:r>
      <w:r w:rsidR="003535DA">
        <w:rPr>
          <w:lang w:val="pl-PL"/>
        </w:rPr>
        <w:t>wyniki naboru są przekazywane przez Operatora Programu wszystkim wnioskodawcom, a także podawane do publicznej wiadomości na stronach internetowych OP/</w:t>
      </w:r>
      <w:r w:rsidR="006A7B08">
        <w:rPr>
          <w:lang w:val="pl-PL"/>
        </w:rPr>
        <w:t>COPE MSWiA</w:t>
      </w:r>
      <w:r w:rsidR="003535DA">
        <w:rPr>
          <w:lang w:val="pl-PL"/>
        </w:rPr>
        <w:t>.</w:t>
      </w:r>
    </w:p>
    <w:p w14:paraId="4DAE391E" w14:textId="77777777" w:rsidR="00A5779B" w:rsidRPr="00A5779B" w:rsidRDefault="00A5779B" w:rsidP="00A5779B">
      <w:pPr>
        <w:spacing w:after="0" w:line="240" w:lineRule="auto"/>
        <w:jc w:val="both"/>
        <w:rPr>
          <w:lang w:val="pl-PL"/>
        </w:rPr>
      </w:pPr>
      <w:r w:rsidRPr="00A5779B">
        <w:rPr>
          <w:lang w:val="pl-PL"/>
        </w:rPr>
        <w:t>Projekty, które ze względu na niewystarczającą ilość środków nie uzyskały dofinansowania, będą umieszczone na liście rezerwowej.</w:t>
      </w:r>
    </w:p>
    <w:p w14:paraId="14F6ED12" w14:textId="77777777" w:rsidR="00A5779B" w:rsidRPr="00A5779B" w:rsidRDefault="00A5779B" w:rsidP="00A5779B">
      <w:pPr>
        <w:jc w:val="both"/>
        <w:rPr>
          <w:lang w:val="pl-PL"/>
        </w:rPr>
      </w:pPr>
      <w:r w:rsidRPr="00A5779B">
        <w:rPr>
          <w:lang w:val="pl-PL"/>
        </w:rPr>
        <w:t xml:space="preserve">Pytania dot. zasad i zakresu naboru można zgłaszać pocztą elektroniczną na adres </w:t>
      </w:r>
      <w:r w:rsidRPr="00A5779B">
        <w:rPr>
          <w:lang w:val="pl-PL"/>
        </w:rPr>
        <w:br/>
        <w:t>e-mailowy: fundusze.</w:t>
      </w:r>
      <w:hyperlink r:id="rId12" w:history="1">
        <w:r w:rsidRPr="00A5779B">
          <w:rPr>
            <w:rStyle w:val="Hipercze"/>
            <w:lang w:val="pl-PL"/>
          </w:rPr>
          <w:t>kontakt</w:t>
        </w:r>
      </w:hyperlink>
      <w:r w:rsidRPr="00A5779B">
        <w:rPr>
          <w:rStyle w:val="Hipercze"/>
          <w:lang w:val="pl-PL"/>
        </w:rPr>
        <w:t>@mswia.gov.pl</w:t>
      </w:r>
      <w:r w:rsidRPr="00A5779B">
        <w:rPr>
          <w:lang w:val="pl-PL"/>
        </w:rPr>
        <w:t xml:space="preserve"> nie później niż 7 dni roboczych przed upływem terminu składania wniosków.</w:t>
      </w:r>
    </w:p>
    <w:p w14:paraId="6288B3D9" w14:textId="77777777" w:rsidR="00A5779B" w:rsidRDefault="00A5779B" w:rsidP="00A5779B">
      <w:pPr>
        <w:jc w:val="both"/>
        <w:rPr>
          <w:lang w:val="pl-PL"/>
        </w:rPr>
      </w:pPr>
    </w:p>
    <w:p w14:paraId="30432301" w14:textId="77777777" w:rsidR="003535DA" w:rsidRPr="00905D1C" w:rsidRDefault="003535DA" w:rsidP="00A76FBA">
      <w:pPr>
        <w:jc w:val="both"/>
        <w:rPr>
          <w:b/>
          <w:lang w:val="pl-PL"/>
        </w:rPr>
      </w:pPr>
      <w:r w:rsidRPr="00905D1C">
        <w:rPr>
          <w:b/>
          <w:lang w:val="pl-PL"/>
        </w:rPr>
        <w:lastRenderedPageBreak/>
        <w:t>V. PODPISANIE UMÓW/POROZUMIEŃ</w:t>
      </w:r>
    </w:p>
    <w:p w14:paraId="4ACF5E57" w14:textId="6DF28359" w:rsidR="00886C99" w:rsidRPr="00364E32" w:rsidRDefault="00886C99" w:rsidP="00886C99">
      <w:pPr>
        <w:jc w:val="both"/>
        <w:rPr>
          <w:lang w:val="pl-PL"/>
        </w:rPr>
      </w:pPr>
      <w:r>
        <w:rPr>
          <w:lang w:val="pl-PL"/>
        </w:rPr>
        <w:t>Na podstawie wyników oceny wniosków o</w:t>
      </w:r>
      <w:r w:rsidR="00FA59D2">
        <w:rPr>
          <w:lang w:val="pl-PL"/>
        </w:rPr>
        <w:t xml:space="preserve"> </w:t>
      </w:r>
      <w:r>
        <w:rPr>
          <w:lang w:val="pl-PL"/>
        </w:rPr>
        <w:t>dofinansowanie oraz decyzji Operatora Programu o przyznaniu dofinansowania ze środków Programu, jest podpisywana trójstronna Umowa w sprawie projektu (z jednostkami spoza sektora finansów publicznych) lub Porozumienie</w:t>
      </w:r>
      <w:r w:rsidR="00FA59D2">
        <w:rPr>
          <w:lang w:val="pl-PL"/>
        </w:rPr>
        <w:t>/Umowa</w:t>
      </w:r>
      <w:r>
        <w:rPr>
          <w:lang w:val="pl-PL"/>
        </w:rPr>
        <w:t xml:space="preserve"> w sprawie realizacji projektu (z jednostkami z sektora finansów publicznych). Umowa/porozumienie jest zawierane pomiędzy </w:t>
      </w:r>
      <w:r w:rsidR="00FA59D2">
        <w:rPr>
          <w:lang w:val="pl-PL"/>
        </w:rPr>
        <w:t>Departamentem Fundusz Europejskich MSWiA</w:t>
      </w:r>
      <w:r>
        <w:rPr>
          <w:lang w:val="pl-PL"/>
        </w:rPr>
        <w:t>, COPE MSWiA</w:t>
      </w:r>
      <w:r w:rsidR="00FA59D2">
        <w:rPr>
          <w:lang w:val="pl-PL"/>
        </w:rPr>
        <w:t xml:space="preserve"> (które wspólnie pełnią rolę Operatora Programu)</w:t>
      </w:r>
      <w:r>
        <w:rPr>
          <w:lang w:val="pl-PL"/>
        </w:rPr>
        <w:t xml:space="preserve"> i</w:t>
      </w:r>
      <w:r w:rsidR="00FA59D2">
        <w:rPr>
          <w:lang w:val="pl-PL"/>
        </w:rPr>
        <w:t xml:space="preserve"> </w:t>
      </w:r>
      <w:r>
        <w:rPr>
          <w:lang w:val="pl-PL"/>
        </w:rPr>
        <w:t>Beneficjentem. Projekt Umowy/Porozumienia jest przygotowywany i przesyłany do akceptacji Beneficjenta przez Operatora Programu. Podpisana Umowa/Porozumienie w sprawie realizacji projektu stanowi podstawę prawną do realizacji projektu.</w:t>
      </w:r>
    </w:p>
    <w:p w14:paraId="1AA2A838" w14:textId="5597EB8F" w:rsidR="00E63832" w:rsidRPr="00364E32" w:rsidRDefault="00E63832" w:rsidP="00AD6FF6">
      <w:pPr>
        <w:jc w:val="both"/>
        <w:rPr>
          <w:lang w:val="pl-PL"/>
        </w:rPr>
      </w:pPr>
    </w:p>
    <w:sectPr w:rsidR="00E63832" w:rsidRPr="00364E32">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58126" w14:textId="77777777" w:rsidR="0066265B" w:rsidRDefault="0066265B" w:rsidP="00832B43">
      <w:pPr>
        <w:spacing w:after="0" w:line="240" w:lineRule="auto"/>
      </w:pPr>
      <w:r>
        <w:separator/>
      </w:r>
    </w:p>
  </w:endnote>
  <w:endnote w:type="continuationSeparator" w:id="0">
    <w:p w14:paraId="1F754522" w14:textId="77777777" w:rsidR="0066265B" w:rsidRDefault="0066265B" w:rsidP="00832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Roboto">
    <w:altName w:val="Times New Roman"/>
    <w:panose1 w:val="02000000000000000000"/>
    <w:charset w:val="EE"/>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5236E" w14:textId="77777777" w:rsidR="00A069AD" w:rsidRDefault="00A069A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4970883"/>
      <w:docPartObj>
        <w:docPartGallery w:val="Page Numbers (Bottom of Page)"/>
        <w:docPartUnique/>
      </w:docPartObj>
    </w:sdtPr>
    <w:sdtEndPr/>
    <w:sdtContent>
      <w:p w14:paraId="30ECAC18" w14:textId="77777777" w:rsidR="00A069AD" w:rsidRDefault="00A069AD">
        <w:pPr>
          <w:pStyle w:val="Stopka"/>
          <w:jc w:val="right"/>
        </w:pPr>
        <w:r>
          <w:fldChar w:fldCharType="begin"/>
        </w:r>
        <w:r>
          <w:instrText>PAGE   \* MERGEFORMAT</w:instrText>
        </w:r>
        <w:r>
          <w:fldChar w:fldCharType="separate"/>
        </w:r>
        <w:r w:rsidR="002E2B7A" w:rsidRPr="002E2B7A">
          <w:rPr>
            <w:noProof/>
            <w:lang w:val="pl-PL"/>
          </w:rPr>
          <w:t>1</w:t>
        </w:r>
        <w:r>
          <w:fldChar w:fldCharType="end"/>
        </w:r>
      </w:p>
    </w:sdtContent>
  </w:sdt>
  <w:p w14:paraId="0292EBDD" w14:textId="77777777" w:rsidR="00A069AD" w:rsidRDefault="00A069A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8C974" w14:textId="77777777" w:rsidR="00A069AD" w:rsidRDefault="00A069A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CEA26" w14:textId="77777777" w:rsidR="0066265B" w:rsidRDefault="0066265B" w:rsidP="00832B43">
      <w:pPr>
        <w:spacing w:after="0" w:line="240" w:lineRule="auto"/>
      </w:pPr>
      <w:r>
        <w:separator/>
      </w:r>
    </w:p>
  </w:footnote>
  <w:footnote w:type="continuationSeparator" w:id="0">
    <w:p w14:paraId="2A648767" w14:textId="77777777" w:rsidR="0066265B" w:rsidRDefault="0066265B" w:rsidP="00832B43">
      <w:pPr>
        <w:spacing w:after="0" w:line="240" w:lineRule="auto"/>
      </w:pPr>
      <w:r>
        <w:continuationSeparator/>
      </w:r>
    </w:p>
  </w:footnote>
  <w:footnote w:id="1">
    <w:p w14:paraId="7ACCB50E" w14:textId="70B6651D" w:rsidR="00A069AD" w:rsidRPr="009030B6" w:rsidRDefault="00A069AD" w:rsidP="00632393">
      <w:pPr>
        <w:pStyle w:val="Tekstprzypisudolnego"/>
        <w:jc w:val="both"/>
        <w:rPr>
          <w:rFonts w:asciiTheme="minorHAnsi" w:hAnsiTheme="minorHAnsi" w:cstheme="minorHAnsi"/>
        </w:rPr>
      </w:pPr>
      <w:r w:rsidRPr="009030B6">
        <w:rPr>
          <w:rStyle w:val="Odwoanieprzypisudolnego"/>
          <w:rFonts w:asciiTheme="minorHAnsi" w:hAnsiTheme="minorHAnsi" w:cstheme="minorHAnsi"/>
        </w:rPr>
        <w:footnoteRef/>
      </w:r>
      <w:r w:rsidRPr="009030B6">
        <w:rPr>
          <w:rFonts w:asciiTheme="minorHAnsi" w:hAnsiTheme="minorHAnsi" w:cstheme="minorHAnsi"/>
        </w:rPr>
        <w:t xml:space="preserve"> </w:t>
      </w:r>
      <w:r w:rsidR="003C6F3F" w:rsidRPr="003C6F3F">
        <w:rPr>
          <w:rFonts w:asciiTheme="minorHAnsi" w:hAnsiTheme="minorHAnsi" w:cstheme="minorHAnsi"/>
        </w:rPr>
        <w:t xml:space="preserve">Przeprowadzone zostaną ankiety wśród beneficjentów i partnerów projektu z </w:t>
      </w:r>
      <w:r w:rsidR="003C6F3F">
        <w:rPr>
          <w:rFonts w:asciiTheme="minorHAnsi" w:hAnsiTheme="minorHAnsi" w:cstheme="minorHAnsi"/>
        </w:rPr>
        <w:t>P</w:t>
      </w:r>
      <w:r w:rsidR="003C6F3F" w:rsidRPr="003C6F3F">
        <w:rPr>
          <w:rFonts w:asciiTheme="minorHAnsi" w:hAnsiTheme="minorHAnsi" w:cstheme="minorHAnsi"/>
        </w:rPr>
        <w:t>aństw</w:t>
      </w:r>
      <w:r w:rsidR="003C6F3F">
        <w:rPr>
          <w:rFonts w:asciiTheme="minorHAnsi" w:hAnsiTheme="minorHAnsi" w:cstheme="minorHAnsi"/>
        </w:rPr>
        <w:t>a</w:t>
      </w:r>
      <w:r w:rsidR="003C6F3F" w:rsidRPr="003C6F3F">
        <w:rPr>
          <w:rFonts w:asciiTheme="minorHAnsi" w:hAnsiTheme="minorHAnsi" w:cstheme="minorHAnsi"/>
        </w:rPr>
        <w:t>-</w:t>
      </w:r>
      <w:r w:rsidR="003C6F3F">
        <w:rPr>
          <w:rFonts w:asciiTheme="minorHAnsi" w:hAnsiTheme="minorHAnsi" w:cstheme="minorHAnsi"/>
        </w:rPr>
        <w:t>D</w:t>
      </w:r>
      <w:r w:rsidR="003C6F3F" w:rsidRPr="003C6F3F">
        <w:rPr>
          <w:rFonts w:asciiTheme="minorHAnsi" w:hAnsiTheme="minorHAnsi" w:cstheme="minorHAnsi"/>
        </w:rPr>
        <w:t>arczyńc</w:t>
      </w:r>
      <w:r w:rsidR="003C6F3F">
        <w:rPr>
          <w:rFonts w:asciiTheme="minorHAnsi" w:hAnsiTheme="minorHAnsi" w:cstheme="minorHAnsi"/>
        </w:rPr>
        <w:t>y</w:t>
      </w:r>
      <w:r w:rsidR="003C6F3F" w:rsidRPr="003C6F3F">
        <w:rPr>
          <w:rFonts w:asciiTheme="minorHAnsi" w:hAnsiTheme="minorHAnsi" w:cstheme="minorHAnsi"/>
        </w:rPr>
        <w:t xml:space="preserve">, oparte </w:t>
      </w:r>
      <w:r w:rsidR="00886C99">
        <w:rPr>
          <w:rFonts w:asciiTheme="minorHAnsi" w:hAnsiTheme="minorHAnsi" w:cstheme="minorHAnsi"/>
        </w:rPr>
        <w:br/>
      </w:r>
      <w:r w:rsidR="003C6F3F" w:rsidRPr="003C6F3F">
        <w:rPr>
          <w:rFonts w:asciiTheme="minorHAnsi" w:hAnsiTheme="minorHAnsi" w:cstheme="minorHAnsi"/>
        </w:rPr>
        <w:t>na standardowym</w:t>
      </w:r>
      <w:r w:rsidR="003C6F3F">
        <w:rPr>
          <w:rFonts w:asciiTheme="minorHAnsi" w:hAnsiTheme="minorHAnsi" w:cstheme="minorHAnsi"/>
        </w:rPr>
        <w:t>,</w:t>
      </w:r>
      <w:r w:rsidR="003C6F3F" w:rsidRPr="003C6F3F">
        <w:rPr>
          <w:rFonts w:asciiTheme="minorHAnsi" w:hAnsiTheme="minorHAnsi" w:cstheme="minorHAnsi"/>
        </w:rPr>
        <w:t xml:space="preserve"> anonimowym kwestionariuszu</w:t>
      </w:r>
      <w:r w:rsidR="003C6F3F">
        <w:rPr>
          <w:rFonts w:asciiTheme="minorHAnsi" w:hAnsiTheme="minorHAnsi" w:cstheme="minorHAnsi"/>
        </w:rPr>
        <w:t xml:space="preserve"> –</w:t>
      </w:r>
      <w:r w:rsidR="003C6F3F" w:rsidRPr="003C6F3F">
        <w:rPr>
          <w:rFonts w:asciiTheme="minorHAnsi" w:hAnsiTheme="minorHAnsi" w:cstheme="minorHAnsi"/>
        </w:rPr>
        <w:t xml:space="preserve"> ankie</w:t>
      </w:r>
      <w:r w:rsidR="003C6F3F">
        <w:rPr>
          <w:rFonts w:asciiTheme="minorHAnsi" w:hAnsiTheme="minorHAnsi" w:cstheme="minorHAnsi"/>
        </w:rPr>
        <w:t>cie</w:t>
      </w:r>
      <w:r w:rsidR="003C6F3F" w:rsidRPr="003C6F3F">
        <w:rPr>
          <w:rFonts w:asciiTheme="minorHAnsi" w:hAnsiTheme="minorHAnsi" w:cstheme="minorHAnsi"/>
        </w:rPr>
        <w:t xml:space="preserve"> on-line. Ankieta zostanie przeprowadzona </w:t>
      </w:r>
      <w:r w:rsidR="00886C99">
        <w:rPr>
          <w:rFonts w:asciiTheme="minorHAnsi" w:hAnsiTheme="minorHAnsi" w:cstheme="minorHAnsi"/>
        </w:rPr>
        <w:br/>
      </w:r>
      <w:r w:rsidR="003C6F3F" w:rsidRPr="003C6F3F">
        <w:rPr>
          <w:rFonts w:asciiTheme="minorHAnsi" w:hAnsiTheme="minorHAnsi" w:cstheme="minorHAnsi"/>
        </w:rPr>
        <w:t>za pośrednictwem BMF na końcu każdego projektu.</w:t>
      </w:r>
    </w:p>
  </w:footnote>
  <w:footnote w:id="2">
    <w:p w14:paraId="1A4AC9CF" w14:textId="522D5345" w:rsidR="00A069AD" w:rsidRPr="009030B6" w:rsidRDefault="00A069AD" w:rsidP="00632393">
      <w:pPr>
        <w:pStyle w:val="Tekstprzypisudolnego"/>
        <w:jc w:val="both"/>
        <w:rPr>
          <w:rFonts w:asciiTheme="minorHAnsi" w:hAnsiTheme="minorHAnsi" w:cstheme="minorHAnsi"/>
        </w:rPr>
      </w:pPr>
      <w:r w:rsidRPr="009030B6">
        <w:rPr>
          <w:rStyle w:val="Odwoanieprzypisudolnego"/>
          <w:rFonts w:asciiTheme="minorHAnsi" w:hAnsiTheme="minorHAnsi" w:cstheme="minorHAnsi"/>
        </w:rPr>
        <w:footnoteRef/>
      </w:r>
      <w:r w:rsidRPr="009030B6">
        <w:rPr>
          <w:rFonts w:asciiTheme="minorHAnsi" w:hAnsiTheme="minorHAnsi" w:cstheme="minorHAnsi"/>
        </w:rPr>
        <w:t xml:space="preserve"> </w:t>
      </w:r>
      <w:r w:rsidR="003C6F3F" w:rsidRPr="003C6F3F">
        <w:rPr>
          <w:rFonts w:asciiTheme="minorHAnsi" w:hAnsiTheme="minorHAnsi" w:cstheme="minorHAnsi"/>
        </w:rPr>
        <w:t xml:space="preserve">Przeprowadzone zostaną ankiety wśród beneficjentów i partnerów projektu z </w:t>
      </w:r>
      <w:r w:rsidR="003C6F3F">
        <w:rPr>
          <w:rFonts w:asciiTheme="minorHAnsi" w:hAnsiTheme="minorHAnsi" w:cstheme="minorHAnsi"/>
        </w:rPr>
        <w:t>P</w:t>
      </w:r>
      <w:r w:rsidR="003C6F3F" w:rsidRPr="003C6F3F">
        <w:rPr>
          <w:rFonts w:asciiTheme="minorHAnsi" w:hAnsiTheme="minorHAnsi" w:cstheme="minorHAnsi"/>
        </w:rPr>
        <w:t>aństw</w:t>
      </w:r>
      <w:r w:rsidR="003C6F3F">
        <w:rPr>
          <w:rFonts w:asciiTheme="minorHAnsi" w:hAnsiTheme="minorHAnsi" w:cstheme="minorHAnsi"/>
        </w:rPr>
        <w:t>a</w:t>
      </w:r>
      <w:r w:rsidR="003C6F3F" w:rsidRPr="003C6F3F">
        <w:rPr>
          <w:rFonts w:asciiTheme="minorHAnsi" w:hAnsiTheme="minorHAnsi" w:cstheme="minorHAnsi"/>
        </w:rPr>
        <w:t>-</w:t>
      </w:r>
      <w:r w:rsidR="003C6F3F">
        <w:rPr>
          <w:rFonts w:asciiTheme="minorHAnsi" w:hAnsiTheme="minorHAnsi" w:cstheme="minorHAnsi"/>
        </w:rPr>
        <w:t>D</w:t>
      </w:r>
      <w:r w:rsidR="003C6F3F" w:rsidRPr="003C6F3F">
        <w:rPr>
          <w:rFonts w:asciiTheme="minorHAnsi" w:hAnsiTheme="minorHAnsi" w:cstheme="minorHAnsi"/>
        </w:rPr>
        <w:t>arczyńc</w:t>
      </w:r>
      <w:r w:rsidR="003C6F3F">
        <w:rPr>
          <w:rFonts w:asciiTheme="minorHAnsi" w:hAnsiTheme="minorHAnsi" w:cstheme="minorHAnsi"/>
        </w:rPr>
        <w:t>y</w:t>
      </w:r>
      <w:r w:rsidR="003C6F3F" w:rsidRPr="003C6F3F">
        <w:rPr>
          <w:rFonts w:asciiTheme="minorHAnsi" w:hAnsiTheme="minorHAnsi" w:cstheme="minorHAnsi"/>
        </w:rPr>
        <w:t xml:space="preserve">, oparte </w:t>
      </w:r>
      <w:r w:rsidR="00886C99">
        <w:rPr>
          <w:rFonts w:asciiTheme="minorHAnsi" w:hAnsiTheme="minorHAnsi" w:cstheme="minorHAnsi"/>
        </w:rPr>
        <w:br/>
      </w:r>
      <w:r w:rsidR="003C6F3F" w:rsidRPr="003C6F3F">
        <w:rPr>
          <w:rFonts w:asciiTheme="minorHAnsi" w:hAnsiTheme="minorHAnsi" w:cstheme="minorHAnsi"/>
        </w:rPr>
        <w:t>na standardowym</w:t>
      </w:r>
      <w:r w:rsidR="003C6F3F">
        <w:rPr>
          <w:rFonts w:asciiTheme="minorHAnsi" w:hAnsiTheme="minorHAnsi" w:cstheme="minorHAnsi"/>
        </w:rPr>
        <w:t>,</w:t>
      </w:r>
      <w:r w:rsidR="003C6F3F" w:rsidRPr="003C6F3F">
        <w:rPr>
          <w:rFonts w:asciiTheme="minorHAnsi" w:hAnsiTheme="minorHAnsi" w:cstheme="minorHAnsi"/>
        </w:rPr>
        <w:t xml:space="preserve"> anonimowym kwestionariuszu</w:t>
      </w:r>
      <w:r w:rsidR="003C6F3F">
        <w:rPr>
          <w:rFonts w:asciiTheme="minorHAnsi" w:hAnsiTheme="minorHAnsi" w:cstheme="minorHAnsi"/>
        </w:rPr>
        <w:t xml:space="preserve"> –</w:t>
      </w:r>
      <w:r w:rsidR="003C6F3F" w:rsidRPr="003C6F3F">
        <w:rPr>
          <w:rFonts w:asciiTheme="minorHAnsi" w:hAnsiTheme="minorHAnsi" w:cstheme="minorHAnsi"/>
        </w:rPr>
        <w:t xml:space="preserve"> ankie</w:t>
      </w:r>
      <w:r w:rsidR="003C6F3F">
        <w:rPr>
          <w:rFonts w:asciiTheme="minorHAnsi" w:hAnsiTheme="minorHAnsi" w:cstheme="minorHAnsi"/>
        </w:rPr>
        <w:t>cie</w:t>
      </w:r>
      <w:r w:rsidR="003C6F3F" w:rsidRPr="003C6F3F">
        <w:rPr>
          <w:rFonts w:asciiTheme="minorHAnsi" w:hAnsiTheme="minorHAnsi" w:cstheme="minorHAnsi"/>
        </w:rPr>
        <w:t xml:space="preserve"> on-line. Ankieta zostanie przeprowadzona </w:t>
      </w:r>
      <w:r w:rsidR="00886C99">
        <w:rPr>
          <w:rFonts w:asciiTheme="minorHAnsi" w:hAnsiTheme="minorHAnsi" w:cstheme="minorHAnsi"/>
        </w:rPr>
        <w:br/>
      </w:r>
      <w:r w:rsidR="003C6F3F" w:rsidRPr="003C6F3F">
        <w:rPr>
          <w:rFonts w:asciiTheme="minorHAnsi" w:hAnsiTheme="minorHAnsi" w:cstheme="minorHAnsi"/>
        </w:rPr>
        <w:t xml:space="preserve">za pośrednictwem BMF na </w:t>
      </w:r>
      <w:r w:rsidR="003C6F3F">
        <w:rPr>
          <w:rFonts w:asciiTheme="minorHAnsi" w:hAnsiTheme="minorHAnsi" w:cstheme="minorHAnsi"/>
        </w:rPr>
        <w:t xml:space="preserve">początku i na </w:t>
      </w:r>
      <w:r w:rsidR="003C6F3F" w:rsidRPr="003C6F3F">
        <w:rPr>
          <w:rFonts w:asciiTheme="minorHAnsi" w:hAnsiTheme="minorHAnsi" w:cstheme="minorHAnsi"/>
        </w:rPr>
        <w:t>końcu każdego projektu.</w:t>
      </w:r>
      <w:r w:rsidR="003C6F3F">
        <w:rPr>
          <w:rFonts w:asciiTheme="minorHAnsi" w:hAnsiTheme="minorHAnsi" w:cstheme="minorHAnsi"/>
        </w:rPr>
        <w:t xml:space="preserve"> </w:t>
      </w:r>
      <w:r>
        <w:rPr>
          <w:rFonts w:asciiTheme="minorHAnsi" w:hAnsiTheme="minorHAnsi" w:cstheme="minorHAnsi"/>
        </w:rPr>
        <w:t>.</w:t>
      </w:r>
    </w:p>
  </w:footnote>
  <w:footnote w:id="3">
    <w:p w14:paraId="422CB715" w14:textId="51D8F953" w:rsidR="00A069AD" w:rsidRDefault="00A069AD" w:rsidP="009C2B5F">
      <w:pPr>
        <w:pStyle w:val="Tekstprzypisudolnego"/>
        <w:jc w:val="both"/>
      </w:pPr>
      <w:r w:rsidRPr="009030B6">
        <w:rPr>
          <w:rStyle w:val="Odwoanieprzypisudolnego"/>
          <w:rFonts w:asciiTheme="minorHAnsi" w:hAnsiTheme="minorHAnsi" w:cstheme="minorHAnsi"/>
        </w:rPr>
        <w:footnoteRef/>
      </w:r>
      <w:r w:rsidRPr="009030B6">
        <w:rPr>
          <w:rFonts w:asciiTheme="minorHAnsi" w:hAnsiTheme="minorHAnsi" w:cstheme="minorHAnsi"/>
        </w:rPr>
        <w:t xml:space="preserve"> </w:t>
      </w:r>
      <w:r w:rsidR="003C6F3F" w:rsidRPr="003C6F3F">
        <w:rPr>
          <w:rFonts w:asciiTheme="minorHAnsi" w:hAnsiTheme="minorHAnsi" w:cstheme="minorHAnsi"/>
        </w:rPr>
        <w:t xml:space="preserve">Przeprowadzone zostaną ankiety wśród beneficjentów i partnerów projektu z </w:t>
      </w:r>
      <w:r w:rsidR="003C6F3F">
        <w:rPr>
          <w:rFonts w:asciiTheme="minorHAnsi" w:hAnsiTheme="minorHAnsi" w:cstheme="minorHAnsi"/>
        </w:rPr>
        <w:t>P</w:t>
      </w:r>
      <w:r w:rsidR="003C6F3F" w:rsidRPr="003C6F3F">
        <w:rPr>
          <w:rFonts w:asciiTheme="minorHAnsi" w:hAnsiTheme="minorHAnsi" w:cstheme="minorHAnsi"/>
        </w:rPr>
        <w:t>aństw</w:t>
      </w:r>
      <w:r w:rsidR="003C6F3F">
        <w:rPr>
          <w:rFonts w:asciiTheme="minorHAnsi" w:hAnsiTheme="minorHAnsi" w:cstheme="minorHAnsi"/>
        </w:rPr>
        <w:t>a</w:t>
      </w:r>
      <w:r w:rsidR="003C6F3F" w:rsidRPr="003C6F3F">
        <w:rPr>
          <w:rFonts w:asciiTheme="minorHAnsi" w:hAnsiTheme="minorHAnsi" w:cstheme="minorHAnsi"/>
        </w:rPr>
        <w:t>-</w:t>
      </w:r>
      <w:r w:rsidR="003C6F3F">
        <w:rPr>
          <w:rFonts w:asciiTheme="minorHAnsi" w:hAnsiTheme="minorHAnsi" w:cstheme="minorHAnsi"/>
        </w:rPr>
        <w:t>D</w:t>
      </w:r>
      <w:r w:rsidR="003C6F3F" w:rsidRPr="003C6F3F">
        <w:rPr>
          <w:rFonts w:asciiTheme="minorHAnsi" w:hAnsiTheme="minorHAnsi" w:cstheme="minorHAnsi"/>
        </w:rPr>
        <w:t>arczyńc</w:t>
      </w:r>
      <w:r w:rsidR="003C6F3F">
        <w:rPr>
          <w:rFonts w:asciiTheme="minorHAnsi" w:hAnsiTheme="minorHAnsi" w:cstheme="minorHAnsi"/>
        </w:rPr>
        <w:t>y</w:t>
      </w:r>
      <w:r w:rsidR="003C6F3F" w:rsidRPr="003C6F3F">
        <w:rPr>
          <w:rFonts w:asciiTheme="minorHAnsi" w:hAnsiTheme="minorHAnsi" w:cstheme="minorHAnsi"/>
        </w:rPr>
        <w:t xml:space="preserve">, oparte </w:t>
      </w:r>
      <w:r w:rsidR="00886C99">
        <w:rPr>
          <w:rFonts w:asciiTheme="minorHAnsi" w:hAnsiTheme="minorHAnsi" w:cstheme="minorHAnsi"/>
        </w:rPr>
        <w:br/>
      </w:r>
      <w:r w:rsidR="003C6F3F" w:rsidRPr="003C6F3F">
        <w:rPr>
          <w:rFonts w:asciiTheme="minorHAnsi" w:hAnsiTheme="minorHAnsi" w:cstheme="minorHAnsi"/>
        </w:rPr>
        <w:t>na standardowym</w:t>
      </w:r>
      <w:r w:rsidR="003C6F3F">
        <w:rPr>
          <w:rFonts w:asciiTheme="minorHAnsi" w:hAnsiTheme="minorHAnsi" w:cstheme="minorHAnsi"/>
        </w:rPr>
        <w:t>,</w:t>
      </w:r>
      <w:r w:rsidR="003C6F3F" w:rsidRPr="003C6F3F">
        <w:rPr>
          <w:rFonts w:asciiTheme="minorHAnsi" w:hAnsiTheme="minorHAnsi" w:cstheme="minorHAnsi"/>
        </w:rPr>
        <w:t xml:space="preserve"> anonimowym kwestionariuszu</w:t>
      </w:r>
      <w:r w:rsidR="003C6F3F">
        <w:rPr>
          <w:rFonts w:asciiTheme="minorHAnsi" w:hAnsiTheme="minorHAnsi" w:cstheme="minorHAnsi"/>
        </w:rPr>
        <w:t xml:space="preserve"> –</w:t>
      </w:r>
      <w:r w:rsidR="003C6F3F" w:rsidRPr="003C6F3F">
        <w:rPr>
          <w:rFonts w:asciiTheme="minorHAnsi" w:hAnsiTheme="minorHAnsi" w:cstheme="minorHAnsi"/>
        </w:rPr>
        <w:t xml:space="preserve"> ankie</w:t>
      </w:r>
      <w:r w:rsidR="003C6F3F">
        <w:rPr>
          <w:rFonts w:asciiTheme="minorHAnsi" w:hAnsiTheme="minorHAnsi" w:cstheme="minorHAnsi"/>
        </w:rPr>
        <w:t>cie</w:t>
      </w:r>
      <w:r w:rsidR="003C6F3F" w:rsidRPr="003C6F3F">
        <w:rPr>
          <w:rFonts w:asciiTheme="minorHAnsi" w:hAnsiTheme="minorHAnsi" w:cstheme="minorHAnsi"/>
        </w:rPr>
        <w:t xml:space="preserve"> on-line. Ankieta zostanie przeprowadzona </w:t>
      </w:r>
      <w:r w:rsidR="00886C99">
        <w:rPr>
          <w:rFonts w:asciiTheme="minorHAnsi" w:hAnsiTheme="minorHAnsi" w:cstheme="minorHAnsi"/>
        </w:rPr>
        <w:br/>
      </w:r>
      <w:r w:rsidR="003C6F3F" w:rsidRPr="003C6F3F">
        <w:rPr>
          <w:rFonts w:asciiTheme="minorHAnsi" w:hAnsiTheme="minorHAnsi" w:cstheme="minorHAnsi"/>
        </w:rPr>
        <w:t xml:space="preserve">za pośrednictwem BMF na </w:t>
      </w:r>
      <w:r w:rsidR="003C6F3F">
        <w:rPr>
          <w:rFonts w:asciiTheme="minorHAnsi" w:hAnsiTheme="minorHAnsi" w:cstheme="minorHAnsi"/>
        </w:rPr>
        <w:t xml:space="preserve">początku i na </w:t>
      </w:r>
      <w:r w:rsidR="003C6F3F" w:rsidRPr="003C6F3F">
        <w:rPr>
          <w:rFonts w:asciiTheme="minorHAnsi" w:hAnsiTheme="minorHAnsi" w:cstheme="minorHAnsi"/>
        </w:rPr>
        <w:t>końcu każdego projektu.</w:t>
      </w:r>
      <w:r w:rsidR="003C6F3F">
        <w:rPr>
          <w:rFonts w:asciiTheme="minorHAnsi" w:hAnsiTheme="minorHAnsi" w:cstheme="minorHAnsi"/>
        </w:rPr>
        <w:t xml:space="preserve"> </w:t>
      </w:r>
    </w:p>
  </w:footnote>
  <w:footnote w:id="4">
    <w:p w14:paraId="720D622A" w14:textId="77777777" w:rsidR="00A06E0A" w:rsidRPr="00A06E0A" w:rsidRDefault="00A06E0A" w:rsidP="00A06E0A">
      <w:pPr>
        <w:pStyle w:val="Tekstprzypisudolnego"/>
        <w:jc w:val="both"/>
        <w:rPr>
          <w:rFonts w:asciiTheme="minorHAnsi" w:hAnsiTheme="minorHAnsi" w:cstheme="minorHAnsi"/>
        </w:rPr>
      </w:pPr>
      <w:r w:rsidRPr="00A06E0A">
        <w:rPr>
          <w:rStyle w:val="Odwoanieprzypisudolnego"/>
          <w:rFonts w:asciiTheme="minorHAnsi" w:hAnsiTheme="minorHAnsi" w:cstheme="minorHAnsi"/>
        </w:rPr>
        <w:footnoteRef/>
      </w:r>
      <w:r w:rsidRPr="00A06E0A">
        <w:rPr>
          <w:rFonts w:asciiTheme="minorHAnsi" w:hAnsiTheme="minorHAnsi" w:cstheme="minorHAnsi"/>
        </w:rPr>
        <w:t xml:space="preserve"> Nie dotyczy sytuacji gdy dokument rejestracyjny lub dokument zawierający informację o reprezentacji prawnej wnioskodawcy jest dostępny w rejestrach publicznych.</w:t>
      </w:r>
    </w:p>
  </w:footnote>
  <w:footnote w:id="5">
    <w:p w14:paraId="067BCB04" w14:textId="77777777" w:rsidR="00A06E0A" w:rsidRPr="00A06E0A" w:rsidRDefault="00A06E0A" w:rsidP="00A06E0A">
      <w:pPr>
        <w:pStyle w:val="Tekstprzypisudolnego"/>
        <w:jc w:val="both"/>
        <w:rPr>
          <w:rFonts w:asciiTheme="minorHAnsi" w:hAnsiTheme="minorHAnsi" w:cstheme="minorHAnsi"/>
        </w:rPr>
      </w:pPr>
      <w:r w:rsidRPr="00A06E0A">
        <w:rPr>
          <w:rStyle w:val="Odwoanieprzypisudolnego"/>
          <w:rFonts w:asciiTheme="minorHAnsi" w:hAnsiTheme="minorHAnsi" w:cstheme="minorHAnsi"/>
        </w:rPr>
        <w:footnoteRef/>
      </w:r>
      <w:r w:rsidRPr="00A06E0A">
        <w:rPr>
          <w:rFonts w:asciiTheme="minorHAnsi" w:hAnsiTheme="minorHAnsi" w:cstheme="minorHAnsi"/>
        </w:rPr>
        <w:t xml:space="preserve"> Nie dotyczy sytuacji gdy dokument rejestracyjny lub dokument zawierający informację o reprezentacji prawnej wnioskodawcy jest dostępny w rejestrach publicznych.</w:t>
      </w:r>
    </w:p>
  </w:footnote>
  <w:footnote w:id="6">
    <w:p w14:paraId="487872E6" w14:textId="77777777" w:rsidR="00A069AD" w:rsidRPr="00A06E0A" w:rsidRDefault="00A069AD" w:rsidP="009C2B5F">
      <w:pPr>
        <w:pStyle w:val="Tekstprzypisudolnego"/>
        <w:jc w:val="both"/>
        <w:rPr>
          <w:rFonts w:asciiTheme="minorHAnsi" w:hAnsiTheme="minorHAnsi" w:cstheme="minorHAnsi"/>
        </w:rPr>
      </w:pPr>
      <w:r w:rsidRPr="00A06E0A">
        <w:rPr>
          <w:rStyle w:val="Odwoanieprzypisudolnego"/>
          <w:rFonts w:asciiTheme="minorHAnsi" w:hAnsiTheme="minorHAnsi" w:cstheme="minorHAnsi"/>
        </w:rPr>
        <w:footnoteRef/>
      </w:r>
      <w:r w:rsidRPr="00A06E0A">
        <w:rPr>
          <w:rFonts w:asciiTheme="minorHAnsi" w:hAnsiTheme="minorHAnsi" w:cstheme="minorHAnsi"/>
        </w:rPr>
        <w:t xml:space="preserve"> Nie dotyczy sytuacji, gdy wnioskodawca będący jednostką sektora finansów publicznych został utworzony </w:t>
      </w:r>
      <w:r w:rsidRPr="00A06E0A">
        <w:rPr>
          <w:rFonts w:asciiTheme="minorHAnsi" w:hAnsiTheme="minorHAnsi" w:cstheme="minorHAnsi"/>
        </w:rPr>
        <w:br/>
        <w:t>na postawie aktów prawnych publikowanych w dziennikach urzędowych. Nie dotyczy również sytuacji, gdy dokument rejestracyjny lub dokument zawierający informację o reprezentacji prawnej wnioskodawcy jest dostępny w rejestrach publicznych.</w:t>
      </w:r>
    </w:p>
  </w:footnote>
  <w:footnote w:id="7">
    <w:p w14:paraId="4FDCCC54" w14:textId="77777777" w:rsidR="00A069AD" w:rsidRPr="00AE784E" w:rsidRDefault="00A069AD" w:rsidP="00CB728F">
      <w:pPr>
        <w:pStyle w:val="Tekstprzypisudolnego"/>
        <w:jc w:val="both"/>
        <w:rPr>
          <w:rFonts w:ascii="Calibri" w:hAnsi="Calibri" w:cs="Calibri"/>
        </w:rPr>
      </w:pPr>
      <w:r w:rsidRPr="00A06E0A">
        <w:rPr>
          <w:rStyle w:val="Odwoanieprzypisudolnego"/>
          <w:rFonts w:asciiTheme="minorHAnsi" w:hAnsiTheme="minorHAnsi" w:cstheme="minorHAnsi"/>
        </w:rPr>
        <w:footnoteRef/>
      </w:r>
      <w:r w:rsidRPr="00A06E0A">
        <w:rPr>
          <w:rFonts w:asciiTheme="minorHAnsi" w:hAnsiTheme="minorHAnsi" w:cstheme="minorHAnsi"/>
        </w:rPr>
        <w:t xml:space="preserve"> Nie dotyczy sytuacji gdy dokument zawierający informację o reprezentacji prawnej wnioskodawcy jest dostępny w rejestrach publicznych.</w:t>
      </w:r>
    </w:p>
  </w:footnote>
  <w:footnote w:id="8">
    <w:p w14:paraId="64978622" w14:textId="77777777" w:rsidR="00A069AD" w:rsidRDefault="00A069AD">
      <w:pPr>
        <w:pStyle w:val="Tekstprzypisudolnego"/>
      </w:pPr>
      <w:r>
        <w:rPr>
          <w:rStyle w:val="Odwoanieprzypisudolnego"/>
        </w:rPr>
        <w:footnoteRef/>
      </w:r>
      <w:r>
        <w:t xml:space="preserve"> </w:t>
      </w:r>
      <w:r>
        <w:rPr>
          <w:rFonts w:asciiTheme="minorHAnsi" w:hAnsiTheme="minorHAnsi"/>
        </w:rPr>
        <w:t>Nie dotyczy sytuacji gdy dokument jest dostępny w rejestrach publicznych.</w:t>
      </w:r>
    </w:p>
  </w:footnote>
  <w:footnote w:id="9">
    <w:p w14:paraId="2401BB77" w14:textId="4034A49E" w:rsidR="00A069AD" w:rsidRDefault="00A069AD" w:rsidP="00902F18">
      <w:pPr>
        <w:pStyle w:val="Tekstprzypisudolnego"/>
        <w:jc w:val="both"/>
      </w:pPr>
      <w:r>
        <w:rPr>
          <w:rStyle w:val="Odwoanieprzypisudolnego"/>
        </w:rPr>
        <w:footnoteRef/>
      </w:r>
      <w:r>
        <w:t xml:space="preserve"> </w:t>
      </w:r>
      <w:r w:rsidRPr="00902F18">
        <w:rPr>
          <w:rFonts w:asciiTheme="minorHAnsi" w:hAnsiTheme="minorHAnsi" w:cstheme="minorHAnsi"/>
          <w:color w:val="4C4C4C"/>
          <w:sz w:val="18"/>
        </w:rPr>
        <w:t>Międzyresortowy Zespół do spraw Europejskich Funduszy Spraw Wewnętrznych, zwany dalej „Zespołem” jest organem pomocniczym Prezesa Rady Ministrów. Do zadań Zespołu należy koordynacja programowania</w:t>
      </w:r>
      <w:r>
        <w:rPr>
          <w:rFonts w:asciiTheme="minorHAnsi" w:hAnsiTheme="minorHAnsi" w:cstheme="minorHAnsi"/>
          <w:color w:val="4C4C4C"/>
          <w:sz w:val="18"/>
        </w:rPr>
        <w:t xml:space="preserve"> i </w:t>
      </w:r>
      <w:r w:rsidRPr="00902F18">
        <w:rPr>
          <w:rFonts w:asciiTheme="minorHAnsi" w:hAnsiTheme="minorHAnsi" w:cstheme="minorHAnsi"/>
          <w:color w:val="4C4C4C"/>
          <w:sz w:val="18"/>
        </w:rPr>
        <w:t>wdrażania środków</w:t>
      </w:r>
      <w:r>
        <w:rPr>
          <w:rFonts w:asciiTheme="minorHAnsi" w:hAnsiTheme="minorHAnsi" w:cstheme="minorHAnsi"/>
          <w:color w:val="4C4C4C"/>
          <w:sz w:val="18"/>
        </w:rPr>
        <w:t xml:space="preserve"> w </w:t>
      </w:r>
      <w:r w:rsidRPr="00902F18">
        <w:rPr>
          <w:rFonts w:asciiTheme="minorHAnsi" w:hAnsiTheme="minorHAnsi" w:cstheme="minorHAnsi"/>
          <w:color w:val="4C4C4C"/>
          <w:sz w:val="18"/>
        </w:rPr>
        <w:t>ramach m.in. Norweskiego Mechanizmu Finansowego, Funduszu Bezpieczeństwa Wewnętrznego oraz Funduszu Azylu, Migracji</w:t>
      </w:r>
      <w:r>
        <w:rPr>
          <w:rFonts w:asciiTheme="minorHAnsi" w:hAnsiTheme="minorHAnsi" w:cstheme="minorHAnsi"/>
          <w:color w:val="4C4C4C"/>
          <w:sz w:val="18"/>
        </w:rPr>
        <w:t xml:space="preserve"> i </w:t>
      </w:r>
      <w:r w:rsidRPr="00902F18">
        <w:rPr>
          <w:rFonts w:asciiTheme="minorHAnsi" w:hAnsiTheme="minorHAnsi" w:cstheme="minorHAnsi"/>
          <w:color w:val="4C4C4C"/>
          <w:sz w:val="18"/>
        </w:rPr>
        <w:t>Integracji.</w:t>
      </w:r>
      <w:r>
        <w:rPr>
          <w:rFonts w:asciiTheme="minorHAnsi" w:hAnsiTheme="minorHAnsi" w:cstheme="minorHAnsi"/>
          <w:color w:val="4C4C4C"/>
          <w:sz w:val="18"/>
        </w:rPr>
        <w:t xml:space="preserve"> W </w:t>
      </w:r>
      <w:r w:rsidRPr="00902F18">
        <w:rPr>
          <w:rFonts w:asciiTheme="minorHAnsi" w:hAnsiTheme="minorHAnsi" w:cstheme="minorHAnsi"/>
          <w:color w:val="4C4C4C"/>
          <w:sz w:val="18"/>
        </w:rPr>
        <w:t>skład Zespołu wchodzą: przewodniczący (sekretarz stanu albo podsekretarz stanu wyznaczony przez ministra właściwego do spraw wewnętrznych), zastępca przewodniczącego (dyrektor lub zastępca dyrektora komórki organizacyjnej właściwej</w:t>
      </w:r>
      <w:r>
        <w:rPr>
          <w:rFonts w:asciiTheme="minorHAnsi" w:hAnsiTheme="minorHAnsi" w:cstheme="minorHAnsi"/>
          <w:color w:val="4C4C4C"/>
          <w:sz w:val="18"/>
        </w:rPr>
        <w:t xml:space="preserve"> w </w:t>
      </w:r>
      <w:r w:rsidRPr="00902F18">
        <w:rPr>
          <w:rFonts w:asciiTheme="minorHAnsi" w:hAnsiTheme="minorHAnsi" w:cstheme="minorHAnsi"/>
          <w:color w:val="4C4C4C"/>
          <w:sz w:val="18"/>
        </w:rPr>
        <w:t>sprawach europejskich instrumentów finansowych</w:t>
      </w:r>
      <w:r>
        <w:rPr>
          <w:rFonts w:asciiTheme="minorHAnsi" w:hAnsiTheme="minorHAnsi" w:cstheme="minorHAnsi"/>
          <w:color w:val="4C4C4C"/>
          <w:sz w:val="18"/>
        </w:rPr>
        <w:t xml:space="preserve"> z </w:t>
      </w:r>
      <w:r w:rsidRPr="00902F18">
        <w:rPr>
          <w:rFonts w:asciiTheme="minorHAnsi" w:hAnsiTheme="minorHAnsi" w:cstheme="minorHAnsi"/>
          <w:color w:val="4C4C4C"/>
          <w:sz w:val="18"/>
        </w:rPr>
        <w:t>obszaru sprawy wewnętrzne), po jednym członku,</w:t>
      </w:r>
      <w:r>
        <w:rPr>
          <w:rFonts w:asciiTheme="minorHAnsi" w:hAnsiTheme="minorHAnsi" w:cstheme="minorHAnsi"/>
          <w:color w:val="4C4C4C"/>
          <w:sz w:val="18"/>
        </w:rPr>
        <w:t xml:space="preserve"> w </w:t>
      </w:r>
      <w:r w:rsidRPr="00902F18">
        <w:rPr>
          <w:rFonts w:asciiTheme="minorHAnsi" w:hAnsiTheme="minorHAnsi" w:cstheme="minorHAnsi"/>
          <w:color w:val="4C4C4C"/>
          <w:sz w:val="18"/>
        </w:rPr>
        <w:t xml:space="preserve">randze sekretarza albo podsekretarza stanu, wyznaczonym przez: ministra właściwego do spraw zagranicznych, Ministra Sprawiedliwości, ministra właściwego do spraw zabezpieczenia społecznego, ministra właściwego do spraw pracy, ministra właściwego do spraw rozwoju regionalnego, ministra właściwego do spraw finansów publicznych oraz Szef </w:t>
      </w:r>
      <w:r w:rsidR="009B208B">
        <w:rPr>
          <w:rFonts w:asciiTheme="minorHAnsi" w:hAnsiTheme="minorHAnsi" w:cstheme="minorHAnsi"/>
          <w:color w:val="4C4C4C"/>
          <w:sz w:val="18"/>
        </w:rPr>
        <w:t>Krajowej Administracji Skarbowej</w:t>
      </w:r>
      <w:r w:rsidRPr="00902F18">
        <w:rPr>
          <w:rFonts w:asciiTheme="minorHAnsi" w:hAnsiTheme="minorHAnsi" w:cstheme="minorHAnsi"/>
          <w:color w:val="4C4C4C"/>
          <w:sz w:val="18"/>
        </w:rPr>
        <w:t>, Szef Agencji Bezpieczeństwa Wewnętrznego, Szef Urzędu do Spraw Cudzoziemców, Komendant Główny Policji, Komendant Główny Straży Granicznej, Komendant Główny Państwowej Straży Pożarnej, a także sekretarz Zespołu.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F4955" w14:textId="77777777" w:rsidR="00A069AD" w:rsidRDefault="00A069A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14C77" w14:textId="77777777" w:rsidR="00A069AD" w:rsidRDefault="00A069AD">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B8A18" w14:textId="77777777" w:rsidR="00A069AD" w:rsidRDefault="00A069A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46338"/>
    <w:multiLevelType w:val="hybridMultilevel"/>
    <w:tmpl w:val="6C64CF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F97B4F"/>
    <w:multiLevelType w:val="hybridMultilevel"/>
    <w:tmpl w:val="C07E2D9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C12D9B"/>
    <w:multiLevelType w:val="hybridMultilevel"/>
    <w:tmpl w:val="899472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FB3C91"/>
    <w:multiLevelType w:val="hybridMultilevel"/>
    <w:tmpl w:val="4F6C37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0F245E"/>
    <w:multiLevelType w:val="hybridMultilevel"/>
    <w:tmpl w:val="C750CB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590615A"/>
    <w:multiLevelType w:val="hybridMultilevel"/>
    <w:tmpl w:val="0CD0C92A"/>
    <w:lvl w:ilvl="0" w:tplc="D50A677E">
      <w:start w:val="1"/>
      <w:numFmt w:val="decimal"/>
      <w:lvlText w:val="%1)"/>
      <w:lvlJc w:val="left"/>
      <w:pPr>
        <w:tabs>
          <w:tab w:val="num" w:pos="720"/>
        </w:tabs>
        <w:ind w:left="720" w:hanging="360"/>
      </w:pPr>
    </w:lvl>
    <w:lvl w:ilvl="1" w:tplc="E6642ABA" w:tentative="1">
      <w:start w:val="1"/>
      <w:numFmt w:val="decimal"/>
      <w:lvlText w:val="%2)"/>
      <w:lvlJc w:val="left"/>
      <w:pPr>
        <w:tabs>
          <w:tab w:val="num" w:pos="1440"/>
        </w:tabs>
        <w:ind w:left="1440" w:hanging="360"/>
      </w:pPr>
    </w:lvl>
    <w:lvl w:ilvl="2" w:tplc="6A56CF2C" w:tentative="1">
      <w:start w:val="1"/>
      <w:numFmt w:val="decimal"/>
      <w:lvlText w:val="%3)"/>
      <w:lvlJc w:val="left"/>
      <w:pPr>
        <w:tabs>
          <w:tab w:val="num" w:pos="2160"/>
        </w:tabs>
        <w:ind w:left="2160" w:hanging="360"/>
      </w:pPr>
    </w:lvl>
    <w:lvl w:ilvl="3" w:tplc="778A5E28" w:tentative="1">
      <w:start w:val="1"/>
      <w:numFmt w:val="decimal"/>
      <w:lvlText w:val="%4)"/>
      <w:lvlJc w:val="left"/>
      <w:pPr>
        <w:tabs>
          <w:tab w:val="num" w:pos="2880"/>
        </w:tabs>
        <w:ind w:left="2880" w:hanging="360"/>
      </w:pPr>
    </w:lvl>
    <w:lvl w:ilvl="4" w:tplc="A02ADB76" w:tentative="1">
      <w:start w:val="1"/>
      <w:numFmt w:val="decimal"/>
      <w:lvlText w:val="%5)"/>
      <w:lvlJc w:val="left"/>
      <w:pPr>
        <w:tabs>
          <w:tab w:val="num" w:pos="3600"/>
        </w:tabs>
        <w:ind w:left="3600" w:hanging="360"/>
      </w:pPr>
    </w:lvl>
    <w:lvl w:ilvl="5" w:tplc="BCA6CBF0" w:tentative="1">
      <w:start w:val="1"/>
      <w:numFmt w:val="decimal"/>
      <w:lvlText w:val="%6)"/>
      <w:lvlJc w:val="left"/>
      <w:pPr>
        <w:tabs>
          <w:tab w:val="num" w:pos="4320"/>
        </w:tabs>
        <w:ind w:left="4320" w:hanging="360"/>
      </w:pPr>
    </w:lvl>
    <w:lvl w:ilvl="6" w:tplc="3D3440D8" w:tentative="1">
      <w:start w:val="1"/>
      <w:numFmt w:val="decimal"/>
      <w:lvlText w:val="%7)"/>
      <w:lvlJc w:val="left"/>
      <w:pPr>
        <w:tabs>
          <w:tab w:val="num" w:pos="5040"/>
        </w:tabs>
        <w:ind w:left="5040" w:hanging="360"/>
      </w:pPr>
    </w:lvl>
    <w:lvl w:ilvl="7" w:tplc="15083A10" w:tentative="1">
      <w:start w:val="1"/>
      <w:numFmt w:val="decimal"/>
      <w:lvlText w:val="%8)"/>
      <w:lvlJc w:val="left"/>
      <w:pPr>
        <w:tabs>
          <w:tab w:val="num" w:pos="5760"/>
        </w:tabs>
        <w:ind w:left="5760" w:hanging="360"/>
      </w:pPr>
    </w:lvl>
    <w:lvl w:ilvl="8" w:tplc="F8486C14" w:tentative="1">
      <w:start w:val="1"/>
      <w:numFmt w:val="decimal"/>
      <w:lvlText w:val="%9)"/>
      <w:lvlJc w:val="left"/>
      <w:pPr>
        <w:tabs>
          <w:tab w:val="num" w:pos="6480"/>
        </w:tabs>
        <w:ind w:left="6480" w:hanging="360"/>
      </w:pPr>
    </w:lvl>
  </w:abstractNum>
  <w:abstractNum w:abstractNumId="6" w15:restartNumberingAfterBreak="0">
    <w:nsid w:val="1ED577C1"/>
    <w:multiLevelType w:val="hybridMultilevel"/>
    <w:tmpl w:val="5600A956"/>
    <w:lvl w:ilvl="0" w:tplc="A3DEFBF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F355AEA"/>
    <w:multiLevelType w:val="hybridMultilevel"/>
    <w:tmpl w:val="A314A09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214B79B2"/>
    <w:multiLevelType w:val="hybridMultilevel"/>
    <w:tmpl w:val="C4EAC52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2C51E04"/>
    <w:multiLevelType w:val="hybridMultilevel"/>
    <w:tmpl w:val="4710B2A2"/>
    <w:lvl w:ilvl="0" w:tplc="A3DEFBF4">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C7655C"/>
    <w:multiLevelType w:val="hybridMultilevel"/>
    <w:tmpl w:val="9E00D3D6"/>
    <w:lvl w:ilvl="0" w:tplc="04150017">
      <w:start w:val="1"/>
      <w:numFmt w:val="lowerLetter"/>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11" w15:restartNumberingAfterBreak="0">
    <w:nsid w:val="278F50B4"/>
    <w:multiLevelType w:val="hybridMultilevel"/>
    <w:tmpl w:val="DD106C0E"/>
    <w:lvl w:ilvl="0" w:tplc="B526F7BA">
      <w:start w:val="1"/>
      <w:numFmt w:val="decimal"/>
      <w:lvlText w:val="%1)"/>
      <w:lvlJc w:val="left"/>
      <w:pPr>
        <w:ind w:left="775" w:hanging="360"/>
      </w:pPr>
      <w:rPr>
        <w:b w:val="0"/>
      </w:rPr>
    </w:lvl>
    <w:lvl w:ilvl="1" w:tplc="04150019" w:tentative="1">
      <w:start w:val="1"/>
      <w:numFmt w:val="lowerLetter"/>
      <w:lvlText w:val="%2."/>
      <w:lvlJc w:val="left"/>
      <w:pPr>
        <w:ind w:left="1495" w:hanging="360"/>
      </w:p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12" w15:restartNumberingAfterBreak="0">
    <w:nsid w:val="2BBC7CEF"/>
    <w:multiLevelType w:val="hybridMultilevel"/>
    <w:tmpl w:val="672C9D36"/>
    <w:lvl w:ilvl="0" w:tplc="E408C7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033018"/>
    <w:multiLevelType w:val="hybridMultilevel"/>
    <w:tmpl w:val="A2A29D62"/>
    <w:lvl w:ilvl="0" w:tplc="0415000D">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4" w15:restartNumberingAfterBreak="0">
    <w:nsid w:val="3900041B"/>
    <w:multiLevelType w:val="hybridMultilevel"/>
    <w:tmpl w:val="41D4C648"/>
    <w:lvl w:ilvl="0" w:tplc="5F9201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75D7B4B"/>
    <w:multiLevelType w:val="hybridMultilevel"/>
    <w:tmpl w:val="C2E43D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5276FD"/>
    <w:multiLevelType w:val="multilevel"/>
    <w:tmpl w:val="0B728DE2"/>
    <w:lvl w:ilvl="0">
      <w:start w:val="1"/>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0"/>
        </w:tabs>
        <w:ind w:left="0" w:firstLine="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7" w15:restartNumberingAfterBreak="0">
    <w:nsid w:val="4F6C3217"/>
    <w:multiLevelType w:val="hybridMultilevel"/>
    <w:tmpl w:val="B0F2B03A"/>
    <w:lvl w:ilvl="0" w:tplc="5F9201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0B56A81"/>
    <w:multiLevelType w:val="hybridMultilevel"/>
    <w:tmpl w:val="3AF404EC"/>
    <w:lvl w:ilvl="0" w:tplc="E408C7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1565A2"/>
    <w:multiLevelType w:val="hybridMultilevel"/>
    <w:tmpl w:val="94EC979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55F96900"/>
    <w:multiLevelType w:val="hybridMultilevel"/>
    <w:tmpl w:val="BF5E249C"/>
    <w:lvl w:ilvl="0" w:tplc="E408C7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C17E08"/>
    <w:multiLevelType w:val="hybridMultilevel"/>
    <w:tmpl w:val="8A160C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022BBD"/>
    <w:multiLevelType w:val="multilevel"/>
    <w:tmpl w:val="574A1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4B1355"/>
    <w:multiLevelType w:val="hybridMultilevel"/>
    <w:tmpl w:val="E0548538"/>
    <w:lvl w:ilvl="0" w:tplc="788C3586">
      <w:start w:val="1"/>
      <w:numFmt w:val="lowerLetter"/>
      <w:lvlText w:val="%1)"/>
      <w:lvlJc w:val="left"/>
      <w:pPr>
        <w:ind w:left="359" w:hanging="36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24" w15:restartNumberingAfterBreak="0">
    <w:nsid w:val="64D51223"/>
    <w:multiLevelType w:val="hybridMultilevel"/>
    <w:tmpl w:val="E028126A"/>
    <w:lvl w:ilvl="0" w:tplc="F4C6D1FE">
      <w:start w:val="1"/>
      <w:numFmt w:val="bullet"/>
      <w:lvlText w:val=""/>
      <w:lvlJc w:val="left"/>
      <w:pPr>
        <w:tabs>
          <w:tab w:val="num" w:pos="720"/>
        </w:tabs>
        <w:ind w:left="720" w:hanging="360"/>
      </w:pPr>
      <w:rPr>
        <w:rFonts w:ascii="Wingdings" w:hAnsi="Wingdings" w:hint="default"/>
      </w:rPr>
    </w:lvl>
    <w:lvl w:ilvl="1" w:tplc="757224AA" w:tentative="1">
      <w:start w:val="1"/>
      <w:numFmt w:val="bullet"/>
      <w:lvlText w:val=""/>
      <w:lvlJc w:val="left"/>
      <w:pPr>
        <w:tabs>
          <w:tab w:val="num" w:pos="1440"/>
        </w:tabs>
        <w:ind w:left="1440" w:hanging="360"/>
      </w:pPr>
      <w:rPr>
        <w:rFonts w:ascii="Wingdings" w:hAnsi="Wingdings" w:hint="default"/>
      </w:rPr>
    </w:lvl>
    <w:lvl w:ilvl="2" w:tplc="07F21C1C" w:tentative="1">
      <w:start w:val="1"/>
      <w:numFmt w:val="bullet"/>
      <w:lvlText w:val=""/>
      <w:lvlJc w:val="left"/>
      <w:pPr>
        <w:tabs>
          <w:tab w:val="num" w:pos="2160"/>
        </w:tabs>
        <w:ind w:left="2160" w:hanging="360"/>
      </w:pPr>
      <w:rPr>
        <w:rFonts w:ascii="Wingdings" w:hAnsi="Wingdings" w:hint="default"/>
      </w:rPr>
    </w:lvl>
    <w:lvl w:ilvl="3" w:tplc="D130CD64" w:tentative="1">
      <w:start w:val="1"/>
      <w:numFmt w:val="bullet"/>
      <w:lvlText w:val=""/>
      <w:lvlJc w:val="left"/>
      <w:pPr>
        <w:tabs>
          <w:tab w:val="num" w:pos="2880"/>
        </w:tabs>
        <w:ind w:left="2880" w:hanging="360"/>
      </w:pPr>
      <w:rPr>
        <w:rFonts w:ascii="Wingdings" w:hAnsi="Wingdings" w:hint="default"/>
      </w:rPr>
    </w:lvl>
    <w:lvl w:ilvl="4" w:tplc="E9781D54" w:tentative="1">
      <w:start w:val="1"/>
      <w:numFmt w:val="bullet"/>
      <w:lvlText w:val=""/>
      <w:lvlJc w:val="left"/>
      <w:pPr>
        <w:tabs>
          <w:tab w:val="num" w:pos="3600"/>
        </w:tabs>
        <w:ind w:left="3600" w:hanging="360"/>
      </w:pPr>
      <w:rPr>
        <w:rFonts w:ascii="Wingdings" w:hAnsi="Wingdings" w:hint="default"/>
      </w:rPr>
    </w:lvl>
    <w:lvl w:ilvl="5" w:tplc="60C00344" w:tentative="1">
      <w:start w:val="1"/>
      <w:numFmt w:val="bullet"/>
      <w:lvlText w:val=""/>
      <w:lvlJc w:val="left"/>
      <w:pPr>
        <w:tabs>
          <w:tab w:val="num" w:pos="4320"/>
        </w:tabs>
        <w:ind w:left="4320" w:hanging="360"/>
      </w:pPr>
      <w:rPr>
        <w:rFonts w:ascii="Wingdings" w:hAnsi="Wingdings" w:hint="default"/>
      </w:rPr>
    </w:lvl>
    <w:lvl w:ilvl="6" w:tplc="8BD4DC00" w:tentative="1">
      <w:start w:val="1"/>
      <w:numFmt w:val="bullet"/>
      <w:lvlText w:val=""/>
      <w:lvlJc w:val="left"/>
      <w:pPr>
        <w:tabs>
          <w:tab w:val="num" w:pos="5040"/>
        </w:tabs>
        <w:ind w:left="5040" w:hanging="360"/>
      </w:pPr>
      <w:rPr>
        <w:rFonts w:ascii="Wingdings" w:hAnsi="Wingdings" w:hint="default"/>
      </w:rPr>
    </w:lvl>
    <w:lvl w:ilvl="7" w:tplc="6EC2A34A" w:tentative="1">
      <w:start w:val="1"/>
      <w:numFmt w:val="bullet"/>
      <w:lvlText w:val=""/>
      <w:lvlJc w:val="left"/>
      <w:pPr>
        <w:tabs>
          <w:tab w:val="num" w:pos="5760"/>
        </w:tabs>
        <w:ind w:left="5760" w:hanging="360"/>
      </w:pPr>
      <w:rPr>
        <w:rFonts w:ascii="Wingdings" w:hAnsi="Wingdings" w:hint="default"/>
      </w:rPr>
    </w:lvl>
    <w:lvl w:ilvl="8" w:tplc="E45ADE3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B42CEF"/>
    <w:multiLevelType w:val="hybridMultilevel"/>
    <w:tmpl w:val="12B408C2"/>
    <w:lvl w:ilvl="0" w:tplc="CE54F7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86E53F2"/>
    <w:multiLevelType w:val="hybridMultilevel"/>
    <w:tmpl w:val="AA8C58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AE20E4B"/>
    <w:multiLevelType w:val="hybridMultilevel"/>
    <w:tmpl w:val="00BEE0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B217720"/>
    <w:multiLevelType w:val="hybridMultilevel"/>
    <w:tmpl w:val="940646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AB1CD4"/>
    <w:multiLevelType w:val="hybridMultilevel"/>
    <w:tmpl w:val="3EA6D8F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29"/>
  </w:num>
  <w:num w:numId="2">
    <w:abstractNumId w:val="22"/>
  </w:num>
  <w:num w:numId="3">
    <w:abstractNumId w:val="8"/>
  </w:num>
  <w:num w:numId="4">
    <w:abstractNumId w:val="19"/>
  </w:num>
  <w:num w:numId="5">
    <w:abstractNumId w:val="4"/>
  </w:num>
  <w:num w:numId="6">
    <w:abstractNumId w:val="13"/>
  </w:num>
  <w:num w:numId="7">
    <w:abstractNumId w:val="16"/>
  </w:num>
  <w:num w:numId="8">
    <w:abstractNumId w:val="1"/>
  </w:num>
  <w:num w:numId="9">
    <w:abstractNumId w:val="15"/>
  </w:num>
  <w:num w:numId="10">
    <w:abstractNumId w:val="10"/>
  </w:num>
  <w:num w:numId="11">
    <w:abstractNumId w:val="23"/>
  </w:num>
  <w:num w:numId="12">
    <w:abstractNumId w:val="7"/>
  </w:num>
  <w:num w:numId="13">
    <w:abstractNumId w:val="6"/>
  </w:num>
  <w:num w:numId="14">
    <w:abstractNumId w:val="9"/>
  </w:num>
  <w:num w:numId="15">
    <w:abstractNumId w:val="21"/>
  </w:num>
  <w:num w:numId="16">
    <w:abstractNumId w:val="0"/>
  </w:num>
  <w:num w:numId="17">
    <w:abstractNumId w:val="26"/>
  </w:num>
  <w:num w:numId="18">
    <w:abstractNumId w:val="27"/>
  </w:num>
  <w:num w:numId="19">
    <w:abstractNumId w:val="12"/>
  </w:num>
  <w:num w:numId="20">
    <w:abstractNumId w:val="2"/>
  </w:num>
  <w:num w:numId="21">
    <w:abstractNumId w:val="20"/>
  </w:num>
  <w:num w:numId="22">
    <w:abstractNumId w:val="3"/>
  </w:num>
  <w:num w:numId="23">
    <w:abstractNumId w:val="18"/>
  </w:num>
  <w:num w:numId="24">
    <w:abstractNumId w:val="28"/>
  </w:num>
  <w:num w:numId="25">
    <w:abstractNumId w:val="17"/>
  </w:num>
  <w:num w:numId="26">
    <w:abstractNumId w:val="14"/>
  </w:num>
  <w:num w:numId="27">
    <w:abstractNumId w:val="5"/>
  </w:num>
  <w:num w:numId="28">
    <w:abstractNumId w:val="24"/>
  </w:num>
  <w:num w:numId="29">
    <w:abstractNumId w:val="2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AAE"/>
    <w:rsid w:val="0000586E"/>
    <w:rsid w:val="0002018A"/>
    <w:rsid w:val="000278EB"/>
    <w:rsid w:val="00044063"/>
    <w:rsid w:val="000501C9"/>
    <w:rsid w:val="00056362"/>
    <w:rsid w:val="0007470B"/>
    <w:rsid w:val="0007782A"/>
    <w:rsid w:val="000818B3"/>
    <w:rsid w:val="00084E79"/>
    <w:rsid w:val="000871B3"/>
    <w:rsid w:val="00091319"/>
    <w:rsid w:val="00092938"/>
    <w:rsid w:val="000970A6"/>
    <w:rsid w:val="000A1B21"/>
    <w:rsid w:val="000A1B5E"/>
    <w:rsid w:val="000B62EC"/>
    <w:rsid w:val="000D5BF6"/>
    <w:rsid w:val="000E00B9"/>
    <w:rsid w:val="000E0FE9"/>
    <w:rsid w:val="000E5B09"/>
    <w:rsid w:val="000E783F"/>
    <w:rsid w:val="000F18EF"/>
    <w:rsid w:val="000F3173"/>
    <w:rsid w:val="000F3FC7"/>
    <w:rsid w:val="001013EB"/>
    <w:rsid w:val="0010322F"/>
    <w:rsid w:val="001154A9"/>
    <w:rsid w:val="001208B1"/>
    <w:rsid w:val="00125720"/>
    <w:rsid w:val="00125964"/>
    <w:rsid w:val="00134779"/>
    <w:rsid w:val="00135BBC"/>
    <w:rsid w:val="001539F9"/>
    <w:rsid w:val="00154216"/>
    <w:rsid w:val="00156F7C"/>
    <w:rsid w:val="00163783"/>
    <w:rsid w:val="00170B1E"/>
    <w:rsid w:val="001914D4"/>
    <w:rsid w:val="001A63CE"/>
    <w:rsid w:val="001B25B1"/>
    <w:rsid w:val="001E49A0"/>
    <w:rsid w:val="001E5A4D"/>
    <w:rsid w:val="001E5BA5"/>
    <w:rsid w:val="001F2208"/>
    <w:rsid w:val="00213566"/>
    <w:rsid w:val="00223D51"/>
    <w:rsid w:val="00224087"/>
    <w:rsid w:val="0022766F"/>
    <w:rsid w:val="002369B3"/>
    <w:rsid w:val="00241DD0"/>
    <w:rsid w:val="002433B5"/>
    <w:rsid w:val="0025759C"/>
    <w:rsid w:val="002602D6"/>
    <w:rsid w:val="00265256"/>
    <w:rsid w:val="00274DD0"/>
    <w:rsid w:val="0028429F"/>
    <w:rsid w:val="002B164D"/>
    <w:rsid w:val="002B59F8"/>
    <w:rsid w:val="002C46D3"/>
    <w:rsid w:val="002D7130"/>
    <w:rsid w:val="002E2B7A"/>
    <w:rsid w:val="002E6870"/>
    <w:rsid w:val="002E75C7"/>
    <w:rsid w:val="002F30FC"/>
    <w:rsid w:val="00301788"/>
    <w:rsid w:val="0031168C"/>
    <w:rsid w:val="00320D14"/>
    <w:rsid w:val="0034230A"/>
    <w:rsid w:val="003476C1"/>
    <w:rsid w:val="003535DA"/>
    <w:rsid w:val="003570CE"/>
    <w:rsid w:val="00364E32"/>
    <w:rsid w:val="003A1174"/>
    <w:rsid w:val="003A7BB0"/>
    <w:rsid w:val="003B1269"/>
    <w:rsid w:val="003B3CB1"/>
    <w:rsid w:val="003C2243"/>
    <w:rsid w:val="003C3CA1"/>
    <w:rsid w:val="003C6F3F"/>
    <w:rsid w:val="003D0B06"/>
    <w:rsid w:val="003E713F"/>
    <w:rsid w:val="003F3D29"/>
    <w:rsid w:val="0040661C"/>
    <w:rsid w:val="00412282"/>
    <w:rsid w:val="00415BD7"/>
    <w:rsid w:val="004377F0"/>
    <w:rsid w:val="00441401"/>
    <w:rsid w:val="00442D8A"/>
    <w:rsid w:val="004454E4"/>
    <w:rsid w:val="0046714D"/>
    <w:rsid w:val="004726D0"/>
    <w:rsid w:val="004917DF"/>
    <w:rsid w:val="00497E03"/>
    <w:rsid w:val="004A74E1"/>
    <w:rsid w:val="004B7EE6"/>
    <w:rsid w:val="004D012F"/>
    <w:rsid w:val="004D61BC"/>
    <w:rsid w:val="004D68A7"/>
    <w:rsid w:val="004D73A9"/>
    <w:rsid w:val="005033FA"/>
    <w:rsid w:val="00503424"/>
    <w:rsid w:val="005074CC"/>
    <w:rsid w:val="00516657"/>
    <w:rsid w:val="00526AD4"/>
    <w:rsid w:val="005345AC"/>
    <w:rsid w:val="00535DC3"/>
    <w:rsid w:val="0053693C"/>
    <w:rsid w:val="00541652"/>
    <w:rsid w:val="00544E81"/>
    <w:rsid w:val="00545104"/>
    <w:rsid w:val="005470B1"/>
    <w:rsid w:val="005576C6"/>
    <w:rsid w:val="0056266F"/>
    <w:rsid w:val="00581B6E"/>
    <w:rsid w:val="00592B74"/>
    <w:rsid w:val="005A0A48"/>
    <w:rsid w:val="005B621D"/>
    <w:rsid w:val="005B6AC7"/>
    <w:rsid w:val="005C7BBC"/>
    <w:rsid w:val="005D775E"/>
    <w:rsid w:val="005E51B7"/>
    <w:rsid w:val="005F099E"/>
    <w:rsid w:val="005F0FDD"/>
    <w:rsid w:val="005F3E4B"/>
    <w:rsid w:val="00613F1D"/>
    <w:rsid w:val="00622CD0"/>
    <w:rsid w:val="00624C8D"/>
    <w:rsid w:val="00630991"/>
    <w:rsid w:val="00632393"/>
    <w:rsid w:val="006562AA"/>
    <w:rsid w:val="006563BE"/>
    <w:rsid w:val="0066265B"/>
    <w:rsid w:val="00670E6B"/>
    <w:rsid w:val="006710FB"/>
    <w:rsid w:val="006819FB"/>
    <w:rsid w:val="0068478E"/>
    <w:rsid w:val="00685676"/>
    <w:rsid w:val="006875A9"/>
    <w:rsid w:val="0069493E"/>
    <w:rsid w:val="006A5BBF"/>
    <w:rsid w:val="006A7B08"/>
    <w:rsid w:val="006B562E"/>
    <w:rsid w:val="006B7F11"/>
    <w:rsid w:val="006D3227"/>
    <w:rsid w:val="006D4331"/>
    <w:rsid w:val="006E0FA3"/>
    <w:rsid w:val="006E7EDE"/>
    <w:rsid w:val="006F116E"/>
    <w:rsid w:val="007072A3"/>
    <w:rsid w:val="00711B2B"/>
    <w:rsid w:val="00725E24"/>
    <w:rsid w:val="00733493"/>
    <w:rsid w:val="00747A03"/>
    <w:rsid w:val="00765846"/>
    <w:rsid w:val="00781413"/>
    <w:rsid w:val="00793A1B"/>
    <w:rsid w:val="007C4842"/>
    <w:rsid w:val="007C6087"/>
    <w:rsid w:val="007C7075"/>
    <w:rsid w:val="007E2A15"/>
    <w:rsid w:val="007E7393"/>
    <w:rsid w:val="007F297F"/>
    <w:rsid w:val="008105A7"/>
    <w:rsid w:val="00824E96"/>
    <w:rsid w:val="00832B43"/>
    <w:rsid w:val="00836AA8"/>
    <w:rsid w:val="008535CE"/>
    <w:rsid w:val="00861BE4"/>
    <w:rsid w:val="00884530"/>
    <w:rsid w:val="00886C99"/>
    <w:rsid w:val="0089286E"/>
    <w:rsid w:val="0089327C"/>
    <w:rsid w:val="0089732D"/>
    <w:rsid w:val="008A1A29"/>
    <w:rsid w:val="008A1AAE"/>
    <w:rsid w:val="008A6C21"/>
    <w:rsid w:val="008B0E0C"/>
    <w:rsid w:val="008B2D0A"/>
    <w:rsid w:val="008C18FB"/>
    <w:rsid w:val="008C45F0"/>
    <w:rsid w:val="008D0A85"/>
    <w:rsid w:val="008D2BAC"/>
    <w:rsid w:val="008D449B"/>
    <w:rsid w:val="008E0980"/>
    <w:rsid w:val="008E5EDB"/>
    <w:rsid w:val="008F18BF"/>
    <w:rsid w:val="0090225D"/>
    <w:rsid w:val="00902F18"/>
    <w:rsid w:val="009030B6"/>
    <w:rsid w:val="00905D1C"/>
    <w:rsid w:val="009140A1"/>
    <w:rsid w:val="00914F1C"/>
    <w:rsid w:val="009444B0"/>
    <w:rsid w:val="00954B00"/>
    <w:rsid w:val="009829AB"/>
    <w:rsid w:val="009874F2"/>
    <w:rsid w:val="00996638"/>
    <w:rsid w:val="009A2D62"/>
    <w:rsid w:val="009A6198"/>
    <w:rsid w:val="009B0E6F"/>
    <w:rsid w:val="009B208B"/>
    <w:rsid w:val="009C2B5F"/>
    <w:rsid w:val="009D6B77"/>
    <w:rsid w:val="009E0460"/>
    <w:rsid w:val="009F0D2A"/>
    <w:rsid w:val="009F1325"/>
    <w:rsid w:val="00A03EEB"/>
    <w:rsid w:val="00A05D51"/>
    <w:rsid w:val="00A069AD"/>
    <w:rsid w:val="00A06E0A"/>
    <w:rsid w:val="00A07FCD"/>
    <w:rsid w:val="00A277D0"/>
    <w:rsid w:val="00A32AEB"/>
    <w:rsid w:val="00A4538C"/>
    <w:rsid w:val="00A5779B"/>
    <w:rsid w:val="00A67465"/>
    <w:rsid w:val="00A7047D"/>
    <w:rsid w:val="00A7210B"/>
    <w:rsid w:val="00A7313A"/>
    <w:rsid w:val="00A74327"/>
    <w:rsid w:val="00A76FBA"/>
    <w:rsid w:val="00AB3629"/>
    <w:rsid w:val="00AB6E4E"/>
    <w:rsid w:val="00AC2EDC"/>
    <w:rsid w:val="00AC6156"/>
    <w:rsid w:val="00AD6C98"/>
    <w:rsid w:val="00AD6FF6"/>
    <w:rsid w:val="00AE2C96"/>
    <w:rsid w:val="00AE4F2B"/>
    <w:rsid w:val="00AF10DA"/>
    <w:rsid w:val="00B015DC"/>
    <w:rsid w:val="00B265DB"/>
    <w:rsid w:val="00B44422"/>
    <w:rsid w:val="00B55F36"/>
    <w:rsid w:val="00B56376"/>
    <w:rsid w:val="00B67BB9"/>
    <w:rsid w:val="00B71BD4"/>
    <w:rsid w:val="00B77CE8"/>
    <w:rsid w:val="00B845A2"/>
    <w:rsid w:val="00B85080"/>
    <w:rsid w:val="00B93673"/>
    <w:rsid w:val="00B97675"/>
    <w:rsid w:val="00BA4088"/>
    <w:rsid w:val="00BC4537"/>
    <w:rsid w:val="00BC52E3"/>
    <w:rsid w:val="00BD1080"/>
    <w:rsid w:val="00BD7B0D"/>
    <w:rsid w:val="00BF1CBF"/>
    <w:rsid w:val="00C20640"/>
    <w:rsid w:val="00C2526E"/>
    <w:rsid w:val="00C2659B"/>
    <w:rsid w:val="00C3241C"/>
    <w:rsid w:val="00C34D33"/>
    <w:rsid w:val="00C460B0"/>
    <w:rsid w:val="00C62B1F"/>
    <w:rsid w:val="00CA5AC8"/>
    <w:rsid w:val="00CB2B8B"/>
    <w:rsid w:val="00CB6733"/>
    <w:rsid w:val="00CB728F"/>
    <w:rsid w:val="00CC2EC8"/>
    <w:rsid w:val="00CC4E0E"/>
    <w:rsid w:val="00CC692F"/>
    <w:rsid w:val="00CD00FE"/>
    <w:rsid w:val="00CD7568"/>
    <w:rsid w:val="00CE2ACE"/>
    <w:rsid w:val="00CF0E31"/>
    <w:rsid w:val="00CF51A4"/>
    <w:rsid w:val="00D13AA2"/>
    <w:rsid w:val="00D214B6"/>
    <w:rsid w:val="00D25356"/>
    <w:rsid w:val="00D276AD"/>
    <w:rsid w:val="00D34FCD"/>
    <w:rsid w:val="00D41480"/>
    <w:rsid w:val="00D45219"/>
    <w:rsid w:val="00D6048D"/>
    <w:rsid w:val="00D60CFE"/>
    <w:rsid w:val="00D60FFC"/>
    <w:rsid w:val="00D83831"/>
    <w:rsid w:val="00D84A05"/>
    <w:rsid w:val="00DB5CB7"/>
    <w:rsid w:val="00DB7117"/>
    <w:rsid w:val="00DC2C3A"/>
    <w:rsid w:val="00DC32DA"/>
    <w:rsid w:val="00DC5E3B"/>
    <w:rsid w:val="00DC6269"/>
    <w:rsid w:val="00DD0AAE"/>
    <w:rsid w:val="00DE1A37"/>
    <w:rsid w:val="00E21FBC"/>
    <w:rsid w:val="00E23334"/>
    <w:rsid w:val="00E2506D"/>
    <w:rsid w:val="00E34E47"/>
    <w:rsid w:val="00E62D37"/>
    <w:rsid w:val="00E63832"/>
    <w:rsid w:val="00E943AD"/>
    <w:rsid w:val="00E95CD7"/>
    <w:rsid w:val="00EB3838"/>
    <w:rsid w:val="00EC071C"/>
    <w:rsid w:val="00EC4DA8"/>
    <w:rsid w:val="00EC6C4F"/>
    <w:rsid w:val="00ED0498"/>
    <w:rsid w:val="00ED79B4"/>
    <w:rsid w:val="00EE14E5"/>
    <w:rsid w:val="00EE3230"/>
    <w:rsid w:val="00F02AC4"/>
    <w:rsid w:val="00F03C7B"/>
    <w:rsid w:val="00F212C7"/>
    <w:rsid w:val="00F30C92"/>
    <w:rsid w:val="00F3408B"/>
    <w:rsid w:val="00F456F4"/>
    <w:rsid w:val="00F507A0"/>
    <w:rsid w:val="00F80030"/>
    <w:rsid w:val="00F81CFB"/>
    <w:rsid w:val="00FA59D2"/>
    <w:rsid w:val="00FC7B32"/>
    <w:rsid w:val="00FF1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0AE70"/>
  <w15:docId w15:val="{230B63B2-F0A7-4153-930A-19C519E3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5F3E4B"/>
    <w:pPr>
      <w:keepNext/>
      <w:numPr>
        <w:numId w:val="7"/>
      </w:numPr>
      <w:spacing w:before="240" w:after="60" w:line="360" w:lineRule="auto"/>
      <w:jc w:val="center"/>
      <w:outlineLvl w:val="0"/>
    </w:pPr>
    <w:rPr>
      <w:rFonts w:ascii="Arial" w:eastAsia="Times New Roman" w:hAnsi="Arial" w:cs="Arial"/>
      <w:b/>
      <w:bCs/>
      <w:kern w:val="32"/>
      <w:sz w:val="24"/>
      <w:szCs w:val="32"/>
      <w:lang w:val="pl-PL" w:eastAsia="pl-PL"/>
    </w:rPr>
  </w:style>
  <w:style w:type="paragraph" w:styleId="Nagwek2">
    <w:name w:val="heading 2"/>
    <w:basedOn w:val="Normalny"/>
    <w:next w:val="Normalny"/>
    <w:link w:val="Nagwek2Znak"/>
    <w:qFormat/>
    <w:rsid w:val="005F3E4B"/>
    <w:pPr>
      <w:keepNext/>
      <w:numPr>
        <w:ilvl w:val="1"/>
        <w:numId w:val="7"/>
      </w:numPr>
      <w:spacing w:before="240" w:after="60" w:line="360" w:lineRule="auto"/>
      <w:jc w:val="center"/>
      <w:outlineLvl w:val="1"/>
    </w:pPr>
    <w:rPr>
      <w:rFonts w:ascii="Arial" w:eastAsia="Times New Roman" w:hAnsi="Arial" w:cs="Arial"/>
      <w:b/>
      <w:bCs/>
      <w:i/>
      <w:iCs/>
      <w:szCs w:val="28"/>
      <w:lang w:val="pl-PL" w:eastAsia="pl-PL"/>
    </w:rPr>
  </w:style>
  <w:style w:type="paragraph" w:styleId="Nagwek3">
    <w:name w:val="heading 3"/>
    <w:basedOn w:val="Normalny"/>
    <w:next w:val="Normalny"/>
    <w:link w:val="Nagwek3Znak"/>
    <w:qFormat/>
    <w:rsid w:val="005F3E4B"/>
    <w:pPr>
      <w:keepNext/>
      <w:numPr>
        <w:ilvl w:val="2"/>
        <w:numId w:val="7"/>
      </w:numPr>
      <w:spacing w:before="240" w:after="60" w:line="360" w:lineRule="auto"/>
      <w:jc w:val="center"/>
      <w:outlineLvl w:val="2"/>
    </w:pPr>
    <w:rPr>
      <w:rFonts w:ascii="Arial" w:eastAsia="Times New Roman" w:hAnsi="Arial" w:cs="Arial"/>
      <w:b/>
      <w:bCs/>
      <w:sz w:val="26"/>
      <w:szCs w:val="26"/>
      <w:lang w:val="pl-PL" w:eastAsia="pl-PL"/>
    </w:rPr>
  </w:style>
  <w:style w:type="paragraph" w:styleId="Nagwek4">
    <w:name w:val="heading 4"/>
    <w:basedOn w:val="Normalny"/>
    <w:next w:val="Normalny"/>
    <w:link w:val="Nagwek4Znak"/>
    <w:qFormat/>
    <w:rsid w:val="005F3E4B"/>
    <w:pPr>
      <w:keepNext/>
      <w:numPr>
        <w:ilvl w:val="3"/>
        <w:numId w:val="7"/>
      </w:numPr>
      <w:spacing w:before="240" w:after="60" w:line="360" w:lineRule="auto"/>
      <w:jc w:val="both"/>
      <w:outlineLvl w:val="3"/>
    </w:pPr>
    <w:rPr>
      <w:rFonts w:ascii="Times New Roman" w:eastAsia="Times New Roman" w:hAnsi="Times New Roman" w:cs="Times New Roman"/>
      <w:b/>
      <w:bCs/>
      <w:sz w:val="28"/>
      <w:szCs w:val="28"/>
      <w:lang w:val="pl-PL" w:eastAsia="pl-PL"/>
    </w:rPr>
  </w:style>
  <w:style w:type="paragraph" w:styleId="Nagwek5">
    <w:name w:val="heading 5"/>
    <w:basedOn w:val="Normalny"/>
    <w:next w:val="Normalny"/>
    <w:link w:val="Nagwek5Znak"/>
    <w:qFormat/>
    <w:rsid w:val="005F3E4B"/>
    <w:pPr>
      <w:numPr>
        <w:ilvl w:val="4"/>
        <w:numId w:val="7"/>
      </w:numPr>
      <w:spacing w:before="240" w:after="60" w:line="360" w:lineRule="auto"/>
      <w:jc w:val="both"/>
      <w:outlineLvl w:val="4"/>
    </w:pPr>
    <w:rPr>
      <w:rFonts w:ascii="Arial" w:eastAsia="Times New Roman" w:hAnsi="Arial" w:cs="Times New Roman"/>
      <w:b/>
      <w:bCs/>
      <w:i/>
      <w:iCs/>
      <w:sz w:val="26"/>
      <w:szCs w:val="26"/>
      <w:lang w:val="pl-PL" w:eastAsia="pl-PL"/>
    </w:rPr>
  </w:style>
  <w:style w:type="paragraph" w:styleId="Nagwek6">
    <w:name w:val="heading 6"/>
    <w:basedOn w:val="Normalny"/>
    <w:next w:val="Normalny"/>
    <w:link w:val="Nagwek6Znak"/>
    <w:qFormat/>
    <w:rsid w:val="005F3E4B"/>
    <w:pPr>
      <w:numPr>
        <w:ilvl w:val="5"/>
        <w:numId w:val="7"/>
      </w:numPr>
      <w:spacing w:before="240" w:after="60" w:line="360" w:lineRule="auto"/>
      <w:jc w:val="both"/>
      <w:outlineLvl w:val="5"/>
    </w:pPr>
    <w:rPr>
      <w:rFonts w:ascii="Times New Roman" w:eastAsia="Times New Roman" w:hAnsi="Times New Roman" w:cs="Times New Roman"/>
      <w:b/>
      <w:bCs/>
      <w:lang w:val="pl-PL" w:eastAsia="pl-PL"/>
    </w:rPr>
  </w:style>
  <w:style w:type="paragraph" w:styleId="Nagwek7">
    <w:name w:val="heading 7"/>
    <w:basedOn w:val="Normalny"/>
    <w:next w:val="Normalny"/>
    <w:link w:val="Nagwek7Znak"/>
    <w:qFormat/>
    <w:rsid w:val="005F3E4B"/>
    <w:pPr>
      <w:numPr>
        <w:ilvl w:val="6"/>
        <w:numId w:val="7"/>
      </w:numPr>
      <w:spacing w:before="240" w:after="60" w:line="360" w:lineRule="auto"/>
      <w:jc w:val="both"/>
      <w:outlineLvl w:val="6"/>
    </w:pPr>
    <w:rPr>
      <w:rFonts w:ascii="Times New Roman" w:eastAsia="Times New Roman" w:hAnsi="Times New Roman" w:cs="Times New Roman"/>
      <w:sz w:val="24"/>
      <w:szCs w:val="24"/>
      <w:lang w:val="pl-PL" w:eastAsia="pl-PL"/>
    </w:rPr>
  </w:style>
  <w:style w:type="paragraph" w:styleId="Nagwek8">
    <w:name w:val="heading 8"/>
    <w:basedOn w:val="Normalny"/>
    <w:next w:val="Normalny"/>
    <w:link w:val="Nagwek8Znak"/>
    <w:qFormat/>
    <w:rsid w:val="005F3E4B"/>
    <w:pPr>
      <w:numPr>
        <w:ilvl w:val="7"/>
        <w:numId w:val="7"/>
      </w:numPr>
      <w:spacing w:before="240" w:after="60" w:line="360" w:lineRule="auto"/>
      <w:jc w:val="both"/>
      <w:outlineLvl w:val="7"/>
    </w:pPr>
    <w:rPr>
      <w:rFonts w:ascii="Times New Roman" w:eastAsia="Times New Roman" w:hAnsi="Times New Roman" w:cs="Times New Roman"/>
      <w:i/>
      <w:iCs/>
      <w:sz w:val="24"/>
      <w:szCs w:val="24"/>
      <w:lang w:val="pl-PL" w:eastAsia="pl-PL"/>
    </w:rPr>
  </w:style>
  <w:style w:type="paragraph" w:styleId="Nagwek9">
    <w:name w:val="heading 9"/>
    <w:basedOn w:val="Normalny"/>
    <w:next w:val="Normalny"/>
    <w:link w:val="Nagwek9Znak"/>
    <w:qFormat/>
    <w:rsid w:val="005F3E4B"/>
    <w:pPr>
      <w:numPr>
        <w:ilvl w:val="8"/>
        <w:numId w:val="7"/>
      </w:numPr>
      <w:spacing w:before="240" w:after="60" w:line="360" w:lineRule="auto"/>
      <w:jc w:val="both"/>
      <w:outlineLvl w:val="8"/>
    </w:pPr>
    <w:rPr>
      <w:rFonts w:ascii="Arial" w:eastAsia="Times New Roman" w:hAnsi="Arial" w:cs="Arial"/>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32B43"/>
    <w:pPr>
      <w:spacing w:line="256" w:lineRule="auto"/>
      <w:ind w:left="720"/>
      <w:contextualSpacing/>
    </w:pPr>
    <w:rPr>
      <w:lang w:val="pl-PL"/>
    </w:rPr>
  </w:style>
  <w:style w:type="character" w:customStyle="1" w:styleId="tlid-translation">
    <w:name w:val="tlid-translation"/>
    <w:basedOn w:val="Domylnaczcionkaakapitu"/>
    <w:rsid w:val="00832B43"/>
  </w:style>
  <w:style w:type="paragraph" w:styleId="Tekstprzypisudolnego">
    <w:name w:val="footnote text"/>
    <w:aliases w:val="Footnote,Podrozdzia3,-E Fuﬂnotentext,Fuﬂnotentext Ursprung,Fußnotentext Ursprung,-E Fußnotentext,Footnote text,Tekst przypisu Znak Znak Znak Znak,Tekst przypisu Znak Znak Znak Znak Znak,footnote text,Fußnote,FOOTNOTES,o,fn"/>
    <w:basedOn w:val="Normalny"/>
    <w:link w:val="TekstprzypisudolnegoZnak"/>
    <w:uiPriority w:val="99"/>
    <w:rsid w:val="00832B43"/>
    <w:pPr>
      <w:spacing w:after="0" w:line="240" w:lineRule="auto"/>
    </w:pPr>
    <w:rPr>
      <w:rFonts w:ascii="Times New Roman" w:eastAsia="Times New Roman" w:hAnsi="Times New Roman" w:cs="Times New Roman"/>
      <w:sz w:val="20"/>
      <w:szCs w:val="20"/>
      <w:lang w:val="pl-PL" w:eastAsia="pl-PL"/>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ootnote text Znak,Fußnote Znak,o Znak"/>
    <w:basedOn w:val="Domylnaczcionkaakapitu"/>
    <w:link w:val="Tekstprzypisudolnego"/>
    <w:uiPriority w:val="99"/>
    <w:rsid w:val="00832B43"/>
    <w:rPr>
      <w:rFonts w:ascii="Times New Roman" w:eastAsia="Times New Roman" w:hAnsi="Times New Roman" w:cs="Times New Roman"/>
      <w:sz w:val="20"/>
      <w:szCs w:val="20"/>
      <w:lang w:val="pl-PL" w:eastAsia="pl-PL"/>
    </w:rPr>
  </w:style>
  <w:style w:type="character" w:styleId="Odwoanieprzypisudolnego">
    <w:name w:val="footnote reference"/>
    <w:aliases w:val="Footnote Reference Number,Footnote symbol"/>
    <w:uiPriority w:val="99"/>
    <w:semiHidden/>
    <w:rsid w:val="00832B43"/>
    <w:rPr>
      <w:vertAlign w:val="superscript"/>
    </w:rPr>
  </w:style>
  <w:style w:type="character" w:styleId="Hipercze">
    <w:name w:val="Hyperlink"/>
    <w:uiPriority w:val="99"/>
    <w:rsid w:val="00832B43"/>
    <w:rPr>
      <w:color w:val="0000FF"/>
      <w:u w:val="single"/>
    </w:rPr>
  </w:style>
  <w:style w:type="character" w:styleId="Pogrubienie">
    <w:name w:val="Strong"/>
    <w:basedOn w:val="Domylnaczcionkaakapitu"/>
    <w:uiPriority w:val="22"/>
    <w:qFormat/>
    <w:rsid w:val="004917DF"/>
    <w:rPr>
      <w:b/>
      <w:bCs/>
    </w:rPr>
  </w:style>
  <w:style w:type="table" w:styleId="Tabela-Siatka">
    <w:name w:val="Table Grid"/>
    <w:basedOn w:val="Standardowy"/>
    <w:uiPriority w:val="39"/>
    <w:rsid w:val="002D7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A4088"/>
    <w:rPr>
      <w:sz w:val="16"/>
      <w:szCs w:val="16"/>
    </w:rPr>
  </w:style>
  <w:style w:type="paragraph" w:styleId="Tekstkomentarza">
    <w:name w:val="annotation text"/>
    <w:basedOn w:val="Normalny"/>
    <w:link w:val="TekstkomentarzaZnak"/>
    <w:uiPriority w:val="99"/>
    <w:unhideWhenUsed/>
    <w:rsid w:val="00BA4088"/>
    <w:pPr>
      <w:spacing w:line="240" w:lineRule="auto"/>
    </w:pPr>
    <w:rPr>
      <w:sz w:val="20"/>
      <w:szCs w:val="20"/>
    </w:rPr>
  </w:style>
  <w:style w:type="character" w:customStyle="1" w:styleId="TekstkomentarzaZnak">
    <w:name w:val="Tekst komentarza Znak"/>
    <w:basedOn w:val="Domylnaczcionkaakapitu"/>
    <w:link w:val="Tekstkomentarza"/>
    <w:uiPriority w:val="99"/>
    <w:rsid w:val="00BA4088"/>
    <w:rPr>
      <w:sz w:val="20"/>
      <w:szCs w:val="20"/>
    </w:rPr>
  </w:style>
  <w:style w:type="paragraph" w:styleId="Tematkomentarza">
    <w:name w:val="annotation subject"/>
    <w:basedOn w:val="Tekstkomentarza"/>
    <w:next w:val="Tekstkomentarza"/>
    <w:link w:val="TematkomentarzaZnak"/>
    <w:uiPriority w:val="99"/>
    <w:semiHidden/>
    <w:unhideWhenUsed/>
    <w:rsid w:val="00BA4088"/>
    <w:rPr>
      <w:b/>
      <w:bCs/>
    </w:rPr>
  </w:style>
  <w:style w:type="character" w:customStyle="1" w:styleId="TematkomentarzaZnak">
    <w:name w:val="Temat komentarza Znak"/>
    <w:basedOn w:val="TekstkomentarzaZnak"/>
    <w:link w:val="Tematkomentarza"/>
    <w:uiPriority w:val="99"/>
    <w:semiHidden/>
    <w:rsid w:val="00BA4088"/>
    <w:rPr>
      <w:b/>
      <w:bCs/>
      <w:sz w:val="20"/>
      <w:szCs w:val="20"/>
    </w:rPr>
  </w:style>
  <w:style w:type="paragraph" w:styleId="Tekstdymka">
    <w:name w:val="Balloon Text"/>
    <w:basedOn w:val="Normalny"/>
    <w:link w:val="TekstdymkaZnak"/>
    <w:uiPriority w:val="99"/>
    <w:semiHidden/>
    <w:unhideWhenUsed/>
    <w:rsid w:val="00BA40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4088"/>
    <w:rPr>
      <w:rFonts w:ascii="Segoe UI" w:hAnsi="Segoe UI" w:cs="Segoe UI"/>
      <w:sz w:val="18"/>
      <w:szCs w:val="18"/>
    </w:rPr>
  </w:style>
  <w:style w:type="character" w:styleId="HTML-cytat">
    <w:name w:val="HTML Cite"/>
    <w:basedOn w:val="Domylnaczcionkaakapitu"/>
    <w:uiPriority w:val="99"/>
    <w:semiHidden/>
    <w:unhideWhenUsed/>
    <w:rsid w:val="00044063"/>
    <w:rPr>
      <w:i/>
      <w:iCs/>
    </w:rPr>
  </w:style>
  <w:style w:type="paragraph" w:styleId="Nagwek">
    <w:name w:val="header"/>
    <w:basedOn w:val="Normalny"/>
    <w:link w:val="NagwekZnak"/>
    <w:uiPriority w:val="99"/>
    <w:unhideWhenUsed/>
    <w:rsid w:val="002240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4087"/>
  </w:style>
  <w:style w:type="paragraph" w:styleId="Stopka">
    <w:name w:val="footer"/>
    <w:basedOn w:val="Normalny"/>
    <w:link w:val="StopkaZnak"/>
    <w:uiPriority w:val="99"/>
    <w:unhideWhenUsed/>
    <w:rsid w:val="002240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4087"/>
  </w:style>
  <w:style w:type="character" w:customStyle="1" w:styleId="Nagwek1Znak">
    <w:name w:val="Nagłówek 1 Znak"/>
    <w:basedOn w:val="Domylnaczcionkaakapitu"/>
    <w:link w:val="Nagwek1"/>
    <w:rsid w:val="005F3E4B"/>
    <w:rPr>
      <w:rFonts w:ascii="Arial" w:eastAsia="Times New Roman" w:hAnsi="Arial" w:cs="Arial"/>
      <w:b/>
      <w:bCs/>
      <w:kern w:val="32"/>
      <w:sz w:val="24"/>
      <w:szCs w:val="32"/>
      <w:lang w:val="pl-PL" w:eastAsia="pl-PL"/>
    </w:rPr>
  </w:style>
  <w:style w:type="character" w:customStyle="1" w:styleId="Nagwek2Znak">
    <w:name w:val="Nagłówek 2 Znak"/>
    <w:basedOn w:val="Domylnaczcionkaakapitu"/>
    <w:link w:val="Nagwek2"/>
    <w:rsid w:val="005F3E4B"/>
    <w:rPr>
      <w:rFonts w:ascii="Arial" w:eastAsia="Times New Roman" w:hAnsi="Arial" w:cs="Arial"/>
      <w:b/>
      <w:bCs/>
      <w:i/>
      <w:iCs/>
      <w:szCs w:val="28"/>
      <w:lang w:val="pl-PL" w:eastAsia="pl-PL"/>
    </w:rPr>
  </w:style>
  <w:style w:type="character" w:customStyle="1" w:styleId="Nagwek3Znak">
    <w:name w:val="Nagłówek 3 Znak"/>
    <w:basedOn w:val="Domylnaczcionkaakapitu"/>
    <w:link w:val="Nagwek3"/>
    <w:rsid w:val="005F3E4B"/>
    <w:rPr>
      <w:rFonts w:ascii="Arial" w:eastAsia="Times New Roman" w:hAnsi="Arial" w:cs="Arial"/>
      <w:b/>
      <w:bCs/>
      <w:sz w:val="26"/>
      <w:szCs w:val="26"/>
      <w:lang w:val="pl-PL" w:eastAsia="pl-PL"/>
    </w:rPr>
  </w:style>
  <w:style w:type="character" w:customStyle="1" w:styleId="Nagwek4Znak">
    <w:name w:val="Nagłówek 4 Znak"/>
    <w:basedOn w:val="Domylnaczcionkaakapitu"/>
    <w:link w:val="Nagwek4"/>
    <w:rsid w:val="005F3E4B"/>
    <w:rPr>
      <w:rFonts w:ascii="Times New Roman" w:eastAsia="Times New Roman" w:hAnsi="Times New Roman" w:cs="Times New Roman"/>
      <w:b/>
      <w:bCs/>
      <w:sz w:val="28"/>
      <w:szCs w:val="28"/>
      <w:lang w:val="pl-PL" w:eastAsia="pl-PL"/>
    </w:rPr>
  </w:style>
  <w:style w:type="character" w:customStyle="1" w:styleId="Nagwek5Znak">
    <w:name w:val="Nagłówek 5 Znak"/>
    <w:basedOn w:val="Domylnaczcionkaakapitu"/>
    <w:link w:val="Nagwek5"/>
    <w:rsid w:val="005F3E4B"/>
    <w:rPr>
      <w:rFonts w:ascii="Arial" w:eastAsia="Times New Roman" w:hAnsi="Arial" w:cs="Times New Roman"/>
      <w:b/>
      <w:bCs/>
      <w:i/>
      <w:iCs/>
      <w:sz w:val="26"/>
      <w:szCs w:val="26"/>
      <w:lang w:val="pl-PL" w:eastAsia="pl-PL"/>
    </w:rPr>
  </w:style>
  <w:style w:type="character" w:customStyle="1" w:styleId="Nagwek6Znak">
    <w:name w:val="Nagłówek 6 Znak"/>
    <w:basedOn w:val="Domylnaczcionkaakapitu"/>
    <w:link w:val="Nagwek6"/>
    <w:rsid w:val="005F3E4B"/>
    <w:rPr>
      <w:rFonts w:ascii="Times New Roman" w:eastAsia="Times New Roman" w:hAnsi="Times New Roman" w:cs="Times New Roman"/>
      <w:b/>
      <w:bCs/>
      <w:lang w:val="pl-PL" w:eastAsia="pl-PL"/>
    </w:rPr>
  </w:style>
  <w:style w:type="character" w:customStyle="1" w:styleId="Nagwek7Znak">
    <w:name w:val="Nagłówek 7 Znak"/>
    <w:basedOn w:val="Domylnaczcionkaakapitu"/>
    <w:link w:val="Nagwek7"/>
    <w:rsid w:val="005F3E4B"/>
    <w:rPr>
      <w:rFonts w:ascii="Times New Roman" w:eastAsia="Times New Roman" w:hAnsi="Times New Roman" w:cs="Times New Roman"/>
      <w:sz w:val="24"/>
      <w:szCs w:val="24"/>
      <w:lang w:val="pl-PL" w:eastAsia="pl-PL"/>
    </w:rPr>
  </w:style>
  <w:style w:type="character" w:customStyle="1" w:styleId="Nagwek8Znak">
    <w:name w:val="Nagłówek 8 Znak"/>
    <w:basedOn w:val="Domylnaczcionkaakapitu"/>
    <w:link w:val="Nagwek8"/>
    <w:rsid w:val="005F3E4B"/>
    <w:rPr>
      <w:rFonts w:ascii="Times New Roman" w:eastAsia="Times New Roman" w:hAnsi="Times New Roman" w:cs="Times New Roman"/>
      <w:i/>
      <w:iCs/>
      <w:sz w:val="24"/>
      <w:szCs w:val="24"/>
      <w:lang w:val="pl-PL" w:eastAsia="pl-PL"/>
    </w:rPr>
  </w:style>
  <w:style w:type="character" w:customStyle="1" w:styleId="Nagwek9Znak">
    <w:name w:val="Nagłówek 9 Znak"/>
    <w:basedOn w:val="Domylnaczcionkaakapitu"/>
    <w:link w:val="Nagwek9"/>
    <w:rsid w:val="005F3E4B"/>
    <w:rPr>
      <w:rFonts w:ascii="Arial" w:eastAsia="Times New Roman" w:hAnsi="Arial" w:cs="Arial"/>
      <w:lang w:val="pl-PL" w:eastAsia="pl-PL"/>
    </w:rPr>
  </w:style>
  <w:style w:type="paragraph" w:customStyle="1" w:styleId="PKTpunkt">
    <w:name w:val="PKT – punkt"/>
    <w:uiPriority w:val="13"/>
    <w:qFormat/>
    <w:rsid w:val="005F3E4B"/>
    <w:pPr>
      <w:spacing w:after="0" w:line="360" w:lineRule="auto"/>
      <w:ind w:left="510" w:hanging="510"/>
      <w:jc w:val="both"/>
    </w:pPr>
    <w:rPr>
      <w:rFonts w:ascii="Times" w:eastAsia="Times New Roman" w:hAnsi="Times" w:cs="Arial"/>
      <w:bCs/>
      <w:sz w:val="24"/>
      <w:szCs w:val="20"/>
      <w:lang w:val="pl-PL" w:eastAsia="pl-PL"/>
    </w:rPr>
  </w:style>
  <w:style w:type="paragraph" w:customStyle="1" w:styleId="LITlitera">
    <w:name w:val="LIT – litera"/>
    <w:basedOn w:val="PKTpunkt"/>
    <w:uiPriority w:val="14"/>
    <w:qFormat/>
    <w:rsid w:val="005F3E4B"/>
    <w:pPr>
      <w:ind w:left="986" w:hanging="476"/>
    </w:pPr>
  </w:style>
  <w:style w:type="paragraph" w:styleId="Poprawka">
    <w:name w:val="Revision"/>
    <w:hidden/>
    <w:uiPriority w:val="99"/>
    <w:semiHidden/>
    <w:rsid w:val="00886C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814779">
      <w:bodyDiv w:val="1"/>
      <w:marLeft w:val="0"/>
      <w:marRight w:val="0"/>
      <w:marTop w:val="0"/>
      <w:marBottom w:val="0"/>
      <w:divBdr>
        <w:top w:val="none" w:sz="0" w:space="0" w:color="auto"/>
        <w:left w:val="none" w:sz="0" w:space="0" w:color="auto"/>
        <w:bottom w:val="none" w:sz="0" w:space="0" w:color="auto"/>
        <w:right w:val="none" w:sz="0" w:space="0" w:color="auto"/>
      </w:divBdr>
    </w:div>
    <w:div w:id="1491408056">
      <w:bodyDiv w:val="1"/>
      <w:marLeft w:val="0"/>
      <w:marRight w:val="0"/>
      <w:marTop w:val="0"/>
      <w:marBottom w:val="0"/>
      <w:divBdr>
        <w:top w:val="none" w:sz="0" w:space="0" w:color="auto"/>
        <w:left w:val="none" w:sz="0" w:space="0" w:color="auto"/>
        <w:bottom w:val="none" w:sz="0" w:space="0" w:color="auto"/>
        <w:right w:val="none" w:sz="0" w:space="0" w:color="auto"/>
      </w:divBdr>
      <w:divsChild>
        <w:div w:id="1756246229">
          <w:marLeft w:val="1166"/>
          <w:marRight w:val="0"/>
          <w:marTop w:val="120"/>
          <w:marBottom w:val="120"/>
          <w:divBdr>
            <w:top w:val="none" w:sz="0" w:space="0" w:color="auto"/>
            <w:left w:val="none" w:sz="0" w:space="0" w:color="auto"/>
            <w:bottom w:val="none" w:sz="0" w:space="0" w:color="auto"/>
            <w:right w:val="none" w:sz="0" w:space="0" w:color="auto"/>
          </w:divBdr>
        </w:div>
        <w:div w:id="758217910">
          <w:marLeft w:val="1166"/>
          <w:marRight w:val="0"/>
          <w:marTop w:val="120"/>
          <w:marBottom w:val="120"/>
          <w:divBdr>
            <w:top w:val="none" w:sz="0" w:space="0" w:color="auto"/>
            <w:left w:val="none" w:sz="0" w:space="0" w:color="auto"/>
            <w:bottom w:val="none" w:sz="0" w:space="0" w:color="auto"/>
            <w:right w:val="none" w:sz="0" w:space="0" w:color="auto"/>
          </w:divBdr>
        </w:div>
        <w:div w:id="832332883">
          <w:marLeft w:val="1166"/>
          <w:marRight w:val="0"/>
          <w:marTop w:val="120"/>
          <w:marBottom w:val="120"/>
          <w:divBdr>
            <w:top w:val="none" w:sz="0" w:space="0" w:color="auto"/>
            <w:left w:val="none" w:sz="0" w:space="0" w:color="auto"/>
            <w:bottom w:val="none" w:sz="0" w:space="0" w:color="auto"/>
            <w:right w:val="none" w:sz="0" w:space="0" w:color="auto"/>
          </w:divBdr>
        </w:div>
      </w:divsChild>
    </w:div>
    <w:div w:id="1509976490">
      <w:bodyDiv w:val="1"/>
      <w:marLeft w:val="0"/>
      <w:marRight w:val="0"/>
      <w:marTop w:val="0"/>
      <w:marBottom w:val="0"/>
      <w:divBdr>
        <w:top w:val="none" w:sz="0" w:space="0" w:color="auto"/>
        <w:left w:val="none" w:sz="0" w:space="0" w:color="auto"/>
        <w:bottom w:val="none" w:sz="0" w:space="0" w:color="auto"/>
        <w:right w:val="none" w:sz="0" w:space="0" w:color="auto"/>
      </w:divBdr>
    </w:div>
    <w:div w:id="1720591516">
      <w:bodyDiv w:val="1"/>
      <w:marLeft w:val="0"/>
      <w:marRight w:val="0"/>
      <w:marTop w:val="0"/>
      <w:marBottom w:val="0"/>
      <w:divBdr>
        <w:top w:val="none" w:sz="0" w:space="0" w:color="auto"/>
        <w:left w:val="none" w:sz="0" w:space="0" w:color="auto"/>
        <w:bottom w:val="none" w:sz="0" w:space="0" w:color="auto"/>
        <w:right w:val="none" w:sz="0" w:space="0" w:color="auto"/>
      </w:divBdr>
    </w:div>
    <w:div w:id="1782725736">
      <w:bodyDiv w:val="1"/>
      <w:marLeft w:val="0"/>
      <w:marRight w:val="0"/>
      <w:marTop w:val="0"/>
      <w:marBottom w:val="0"/>
      <w:divBdr>
        <w:top w:val="none" w:sz="0" w:space="0" w:color="auto"/>
        <w:left w:val="none" w:sz="0" w:space="0" w:color="auto"/>
        <w:bottom w:val="none" w:sz="0" w:space="0" w:color="auto"/>
        <w:right w:val="none" w:sz="0" w:space="0" w:color="auto"/>
      </w:divBdr>
    </w:div>
    <w:div w:id="1929386173">
      <w:bodyDiv w:val="1"/>
      <w:marLeft w:val="0"/>
      <w:marRight w:val="0"/>
      <w:marTop w:val="0"/>
      <w:marBottom w:val="0"/>
      <w:divBdr>
        <w:top w:val="none" w:sz="0" w:space="0" w:color="auto"/>
        <w:left w:val="none" w:sz="0" w:space="0" w:color="auto"/>
        <w:bottom w:val="none" w:sz="0" w:space="0" w:color="auto"/>
        <w:right w:val="none" w:sz="0" w:space="0" w:color="auto"/>
      </w:divBdr>
      <w:divsChild>
        <w:div w:id="1239632474">
          <w:marLeft w:val="90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zwojlokalny@miir.gov.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pemswia.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D5862-7ACD-435A-93C4-6F12C26C0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3961</Words>
  <Characters>23766</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27672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Karska Małgorzata</dc:creator>
  <cp:lastModifiedBy>Świątkowski Piotr</cp:lastModifiedBy>
  <cp:revision>2</cp:revision>
  <dcterms:created xsi:type="dcterms:W3CDTF">2022-04-04T10:28:00Z</dcterms:created>
  <dcterms:modified xsi:type="dcterms:W3CDTF">2022-04-04T10:28:00Z</dcterms:modified>
</cp:coreProperties>
</file>