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6915" w14:textId="77777777" w:rsidR="00ED5B93" w:rsidRDefault="00ED5B93" w:rsidP="00ED5B93">
      <w:pPr>
        <w:pStyle w:val="Default"/>
      </w:pPr>
    </w:p>
    <w:p w14:paraId="5B3B0A18" w14:textId="77777777" w:rsidR="00ED5B93" w:rsidRPr="00ED5B93" w:rsidRDefault="00ED5B93" w:rsidP="00ED5B93">
      <w:pPr>
        <w:pStyle w:val="Default"/>
        <w:jc w:val="center"/>
        <w:rPr>
          <w:rFonts w:ascii="Lato" w:hAnsi="Lato"/>
          <w:sz w:val="23"/>
          <w:szCs w:val="23"/>
          <w:u w:val="single"/>
        </w:rPr>
      </w:pPr>
      <w:r w:rsidRPr="00ED5B93">
        <w:rPr>
          <w:rFonts w:ascii="Lato" w:hAnsi="Lato"/>
          <w:b/>
          <w:bCs/>
          <w:sz w:val="23"/>
          <w:szCs w:val="23"/>
          <w:u w:val="single"/>
        </w:rPr>
        <w:t>Załącznik do zawiadomi</w:t>
      </w:r>
      <w:r>
        <w:rPr>
          <w:rFonts w:ascii="Lato" w:hAnsi="Lato"/>
          <w:b/>
          <w:bCs/>
          <w:sz w:val="23"/>
          <w:szCs w:val="23"/>
          <w:u w:val="single"/>
        </w:rPr>
        <w:t>enia o przetargu nr DAG10.6838.</w:t>
      </w:r>
      <w:r w:rsidR="002F32DD">
        <w:rPr>
          <w:rFonts w:ascii="Lato" w:hAnsi="Lato"/>
          <w:b/>
          <w:bCs/>
          <w:sz w:val="23"/>
          <w:szCs w:val="23"/>
          <w:u w:val="single"/>
        </w:rPr>
        <w:t>5</w:t>
      </w:r>
      <w:r w:rsidRPr="00ED5B93">
        <w:rPr>
          <w:rFonts w:ascii="Lato" w:hAnsi="Lato"/>
          <w:b/>
          <w:bCs/>
          <w:sz w:val="23"/>
          <w:szCs w:val="23"/>
          <w:u w:val="single"/>
        </w:rPr>
        <w:t>.2023</w:t>
      </w:r>
    </w:p>
    <w:p w14:paraId="02FF0ECB" w14:textId="77777777" w:rsidR="00ED5B93" w:rsidRPr="00ED5B93" w:rsidRDefault="00ED5B93" w:rsidP="00ED5B93">
      <w:pPr>
        <w:pStyle w:val="Default"/>
        <w:jc w:val="center"/>
        <w:rPr>
          <w:rFonts w:ascii="Lato" w:hAnsi="Lato"/>
          <w:b/>
          <w:bCs/>
          <w:sz w:val="23"/>
          <w:szCs w:val="23"/>
          <w:u w:val="single"/>
        </w:rPr>
      </w:pPr>
      <w:r>
        <w:rPr>
          <w:rFonts w:ascii="Lato" w:hAnsi="Lato"/>
          <w:b/>
          <w:bCs/>
          <w:sz w:val="23"/>
          <w:szCs w:val="23"/>
          <w:u w:val="single"/>
        </w:rPr>
        <w:t xml:space="preserve">z dnia </w:t>
      </w:r>
      <w:r w:rsidR="002F32DD">
        <w:rPr>
          <w:rFonts w:ascii="Lato" w:hAnsi="Lato"/>
          <w:b/>
          <w:bCs/>
          <w:sz w:val="23"/>
          <w:szCs w:val="23"/>
          <w:u w:val="single"/>
        </w:rPr>
        <w:t xml:space="preserve">15 listopada </w:t>
      </w:r>
      <w:r w:rsidR="00E34F95">
        <w:rPr>
          <w:rFonts w:ascii="Lato" w:hAnsi="Lato"/>
          <w:b/>
          <w:bCs/>
          <w:sz w:val="23"/>
          <w:szCs w:val="23"/>
          <w:u w:val="single"/>
        </w:rPr>
        <w:t>2023</w:t>
      </w:r>
      <w:r w:rsidRPr="00ED5B93">
        <w:rPr>
          <w:rFonts w:ascii="Lato" w:hAnsi="Lato"/>
          <w:b/>
          <w:bCs/>
          <w:sz w:val="23"/>
          <w:szCs w:val="23"/>
          <w:u w:val="single"/>
        </w:rPr>
        <w:t xml:space="preserve"> r.</w:t>
      </w:r>
    </w:p>
    <w:p w14:paraId="0DE72D95" w14:textId="77777777" w:rsidR="00ED5B93" w:rsidRPr="00ED5B93" w:rsidRDefault="00ED5B93" w:rsidP="00ED5B93">
      <w:pPr>
        <w:pStyle w:val="Default"/>
        <w:jc w:val="center"/>
        <w:rPr>
          <w:rFonts w:ascii="Lato" w:hAnsi="Lato"/>
          <w:sz w:val="23"/>
          <w:szCs w:val="23"/>
        </w:rPr>
      </w:pPr>
    </w:p>
    <w:p w14:paraId="78CC6A92" w14:textId="77777777" w:rsidR="00ED5B93" w:rsidRPr="00ED5B93" w:rsidRDefault="00ED5B93" w:rsidP="00ED5B93">
      <w:pPr>
        <w:pStyle w:val="Default"/>
        <w:jc w:val="center"/>
        <w:rPr>
          <w:rFonts w:ascii="Lato" w:hAnsi="Lato"/>
          <w:b/>
          <w:bCs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>Kryteria i sposób oceny ofert przetargowych</w:t>
      </w:r>
    </w:p>
    <w:p w14:paraId="552151C8" w14:textId="77777777" w:rsidR="00ED5B93" w:rsidRPr="00ED5B93" w:rsidRDefault="00ED5B93" w:rsidP="00ED5B93">
      <w:pPr>
        <w:pStyle w:val="Default"/>
        <w:jc w:val="center"/>
        <w:rPr>
          <w:rFonts w:ascii="Lato" w:hAnsi="Lato"/>
          <w:sz w:val="23"/>
          <w:szCs w:val="23"/>
        </w:rPr>
      </w:pPr>
    </w:p>
    <w:p w14:paraId="7A4B517A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 xml:space="preserve">1. Atrakcyjność proponowanej lokalizacji kasyna gry: </w:t>
      </w:r>
    </w:p>
    <w:p w14:paraId="36819DC5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1) lokalizacja budynku: </w:t>
      </w:r>
    </w:p>
    <w:p w14:paraId="258E7080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a) 1 pkt – w centrum miasta, </w:t>
      </w:r>
    </w:p>
    <w:p w14:paraId="647EA17C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b) 1 pkt – przy ruchliwym ciągu komunikacyjnym, </w:t>
      </w:r>
    </w:p>
    <w:p w14:paraId="6905FAB8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c) 1 pkt – w obrębie lub bezpośrednim sąsiedztwie centrum rozrywki; </w:t>
      </w:r>
    </w:p>
    <w:p w14:paraId="25705B88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2) standard budynku: </w:t>
      </w:r>
    </w:p>
    <w:p w14:paraId="62743F74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a) 5 pkt – hotel kategorii cztery albo pięć gwiazdek, </w:t>
      </w:r>
    </w:p>
    <w:p w14:paraId="20B3372F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b) 4 pkt – budynek zabytkowy, </w:t>
      </w:r>
    </w:p>
    <w:p w14:paraId="1658CB16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c) 3 pkt – budynek nowy, </w:t>
      </w:r>
    </w:p>
    <w:p w14:paraId="6773C9A1" w14:textId="77777777" w:rsid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d) 3 pkt – hotel kategorii trzy gwiazdki. </w:t>
      </w:r>
    </w:p>
    <w:p w14:paraId="600B1FFF" w14:textId="77777777" w:rsidR="00DD7BFE" w:rsidRPr="00ED5B93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25D752CE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 xml:space="preserve">2. Planowany termin rozpoczęcia działalności kasyna gry: </w:t>
      </w:r>
    </w:p>
    <w:p w14:paraId="50906228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1) 3 pkt – w przypadku zadeklarowania przez podmiot bądź podmioty ubiegające się o udzielenie koncesji terminu rozpoczęcia działalności nieprzekraczającego 3 miesięcy od dnia udzielenia koncesji; </w:t>
      </w:r>
    </w:p>
    <w:p w14:paraId="4E1270A5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2) 2 pkt – w przypadku zadeklarowania przez podmiot bądź podmioty ubiegające się o udzielenie koncesji terminu rozpoczęcia działalności wynoszącego ponad 3 miesiące i nieprzekraczającego 6 miesięcy od dnia udzielenia koncesji; </w:t>
      </w:r>
    </w:p>
    <w:p w14:paraId="34785B29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3) 1 pkt – w przypadku zadeklarowania przez podmiot bądź podmioty ubiegające się o udzielenie koncesji terminu rozpoczęcia działalności wynoszącego ponad 6 miesięcy i nieprzekraczającego 12 miesięcy od dnia udzielenia koncesji; </w:t>
      </w:r>
    </w:p>
    <w:p w14:paraId="084DF8FB" w14:textId="77777777" w:rsid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4) 0 pkt – w przypadku zadeklarowania przez podmiot bądź podmioty ubiegające się o udzielenie koncesji terminu rozpoczęcia działalności wynoszącego ponad 12 miesięcy od dnia udzielenia koncesji. </w:t>
      </w:r>
    </w:p>
    <w:p w14:paraId="32557ACB" w14:textId="77777777" w:rsidR="00DD7BFE" w:rsidRPr="00ED5B93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14548DC6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 xml:space="preserve">3. Planowane godziny otwarcia kasyna gry: </w:t>
      </w:r>
    </w:p>
    <w:p w14:paraId="0ACF981C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1) 1 pkt – w przypadku gdy obiekt będzie otwarty dłużej niż 12 godzin na dobę; </w:t>
      </w:r>
    </w:p>
    <w:p w14:paraId="590B1FF8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2) 0,5 pkt – w przypadku gdy obiekt będzie otwarty od 8 do 12 godzin na dobę; </w:t>
      </w:r>
    </w:p>
    <w:p w14:paraId="1AD656F8" w14:textId="77777777" w:rsid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3) 0 pkt – w przypadku gdy obiekt będzie otwarty krócej niż 8 godzin na dobę. </w:t>
      </w:r>
    </w:p>
    <w:p w14:paraId="2BD334D2" w14:textId="77777777" w:rsidR="00DD7BFE" w:rsidRPr="00ED5B93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609E3620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b/>
          <w:bCs/>
          <w:sz w:val="23"/>
          <w:szCs w:val="23"/>
        </w:rPr>
        <w:t xml:space="preserve">3a. Deklarowana podstawa opodatkowania podatkiem od gier, jaką podmiot ubiegający się o udzielenie koncesji planuje osiągnąć w działalności prowadzonej na podstawie koncesji w kasynie gry, którego dotyczy złożona oferta: </w:t>
      </w:r>
    </w:p>
    <w:p w14:paraId="308F61A9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1) 3 pkt – w przypadku zadeklarowania najwyższej podstawy opodatkowania podatkiem od gier przez podmiot bądź podmioty ubiegające się o udzielenie koncesji; </w:t>
      </w:r>
    </w:p>
    <w:p w14:paraId="07A269CA" w14:textId="77777777" w:rsidR="00ED5B93" w:rsidRP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2) 2 pkt – w przypadku zadeklarowania drugiej pod względem wysokości podstawy opodatkowania podatkiem od gier przez podmiot bądź podmioty ubiegające się o udzielenie koncesji; </w:t>
      </w:r>
    </w:p>
    <w:p w14:paraId="7CC1123E" w14:textId="77777777" w:rsidR="00ED5B93" w:rsidRDefault="00ED5B93" w:rsidP="00ED5B93">
      <w:pPr>
        <w:pStyle w:val="Default"/>
        <w:rPr>
          <w:rFonts w:ascii="Lato" w:hAnsi="Lato"/>
          <w:sz w:val="23"/>
          <w:szCs w:val="23"/>
        </w:rPr>
      </w:pPr>
      <w:r w:rsidRPr="00ED5B93">
        <w:rPr>
          <w:rFonts w:ascii="Lato" w:hAnsi="Lato"/>
          <w:sz w:val="23"/>
          <w:szCs w:val="23"/>
        </w:rPr>
        <w:t xml:space="preserve">3) 1 pkt – w przypadku zadeklarowania trzeciej i kolejnej pod względem wysokości podstawy opodatkowania podatkiem od gier przez podmiot bądź podmioty ubiegające się o udzielenie koncesji. </w:t>
      </w:r>
    </w:p>
    <w:p w14:paraId="15E5C6A4" w14:textId="77777777" w:rsidR="00DD7BFE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2B024DA2" w14:textId="77777777" w:rsidR="00DD7BFE" w:rsidRPr="00ED5B93" w:rsidRDefault="00DD7BFE" w:rsidP="00ED5B93">
      <w:pPr>
        <w:pStyle w:val="Default"/>
        <w:rPr>
          <w:rFonts w:ascii="Lato" w:hAnsi="Lato"/>
          <w:sz w:val="23"/>
          <w:szCs w:val="23"/>
        </w:rPr>
      </w:pPr>
    </w:p>
    <w:p w14:paraId="12690158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lastRenderedPageBreak/>
        <w:t xml:space="preserve">3b. Wielkość powierzchni kasyna gry przeznaczonej bezpośrednio na prowadzenie gier hazardowych: </w:t>
      </w:r>
    </w:p>
    <w:p w14:paraId="61653700" w14:textId="77777777" w:rsidR="00ED5B93" w:rsidRPr="00DD7BFE" w:rsidRDefault="00ED5B93" w:rsidP="00DD7BFE">
      <w:pPr>
        <w:pStyle w:val="Bezodstpw"/>
        <w:rPr>
          <w:rFonts w:ascii="Lato" w:hAnsi="Lato" w:cs="Times New Roman"/>
        </w:rPr>
      </w:pPr>
      <w:r w:rsidRPr="00DD7BFE">
        <w:rPr>
          <w:rFonts w:ascii="Lato" w:hAnsi="Lato"/>
        </w:rPr>
        <w:t xml:space="preserve">1) 3 pkt – w przypadku zadeklarowania największej powierzchni przeznaczonej bezpośrednio na prowadzenie gier hazardowych przez podmiot bądź podmioty ubiegające się o udzielenie koncesji; </w:t>
      </w:r>
      <w:r w:rsidRPr="00DD7BFE">
        <w:rPr>
          <w:rFonts w:ascii="Lato" w:hAnsi="Lato" w:cs="Times New Roman"/>
        </w:rPr>
        <w:t xml:space="preserve"> </w:t>
      </w:r>
    </w:p>
    <w:p w14:paraId="02FBF763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2 pkt – w przypadku zadeklarowania drugiej pod względem wielkości powierzchni przeznaczonej bezpośrednio na prowadzenie gier hazardowych przez podmiot bądź podmioty ubiegające się o udzielenie koncesji; </w:t>
      </w:r>
    </w:p>
    <w:p w14:paraId="174E3229" w14:textId="77777777" w:rsidR="00ED5B93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3) 1 pkt – w przypadku zadeklarowania trzeciej i kolejnej pod względem wielkości powierzchni przeznaczonej bezpośrednio na prowadzenie gier hazardowych przez podmiot bądź podmioty ubiegające się o udzielenie koncesji. </w:t>
      </w:r>
    </w:p>
    <w:p w14:paraId="2DE71448" w14:textId="77777777" w:rsidR="00DD7BFE" w:rsidRPr="00DD7BFE" w:rsidRDefault="00DD7BFE" w:rsidP="00DD7BFE">
      <w:pPr>
        <w:pStyle w:val="Bezodstpw"/>
        <w:rPr>
          <w:rFonts w:ascii="Lato" w:hAnsi="Lato"/>
        </w:rPr>
      </w:pPr>
    </w:p>
    <w:p w14:paraId="1501E048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4. Terminowość rozpoczynania dotychczasowej działalności po uzyskaniu koncesji lub zezwolenia w wyniku przetargu w okresie ostatnich trzech lat kalendarzowych poprzedzających rok, w którym zostało ogłoszone zawiadomienie o przetargu: </w:t>
      </w:r>
    </w:p>
    <w:p w14:paraId="0405E0A2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3 pkt – w przypadku gdy podmiot ubiegający się o udzielenie koncesji lub zezwolenia uzyskał 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 </w:t>
      </w:r>
    </w:p>
    <w:p w14:paraId="70875C59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a) 3 pkt – w przypadku otwarcia w zadeklarowanym terminie od 100 % do 75 % ośrodków, </w:t>
      </w:r>
    </w:p>
    <w:p w14:paraId="13EEB6B3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b) 2 pkt – w przypadku otwarcia w zadeklarowanym terminie poniżej 75 % do 50 % ośrodków, </w:t>
      </w:r>
    </w:p>
    <w:p w14:paraId="47E3A7F3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c) 1 pkt – w przypadku otwarcia w zadeklarowanym terminie poniżej 50 % do 25 % ośrodków, </w:t>
      </w:r>
    </w:p>
    <w:p w14:paraId="03AEF497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d) 0 pkt – w przypadku otwarcia w zadeklarowanym terminie poniżej 25 % ośrodków; </w:t>
      </w:r>
    </w:p>
    <w:p w14:paraId="69E9FA21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2 pkt – w przypadku podmiotu ubiegającego się o udzielenie koncesji lub zezwolenia, który: </w:t>
      </w:r>
    </w:p>
    <w:p w14:paraId="502DA372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a) dotychczas nie uzyskał koncesji lub zezwolenia w wyniku przetargu, w tym dotychczas nie przystępował do przetargu, </w:t>
      </w:r>
    </w:p>
    <w:p w14:paraId="01E435FE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b) uzyskał koncesję lub zezwolenie w wyniku przetargu w innym okresie, </w:t>
      </w:r>
    </w:p>
    <w:p w14:paraId="2AF80221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c) nie może być poddany ocenie ze względu na fakt, że deklarowany termin rozpoczęcia działalności jeszcze nie upłynął; </w:t>
      </w:r>
    </w:p>
    <w:p w14:paraId="07766FF4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3) 0 pkt – w przypadku gdy podmiot ubiegający się o udzielenie koncesji lub zezwolenia uzyskał w tym okresie koncesję lub zezwolenie w wyniku przetargu, lecz nie rozpoczął działalności w zadeklarowanym w ofercie terminie. </w:t>
      </w:r>
    </w:p>
    <w:p w14:paraId="65B1A474" w14:textId="77777777" w:rsidR="00DD7BFE" w:rsidRDefault="00DD7BFE" w:rsidP="00DD7BFE">
      <w:pPr>
        <w:pStyle w:val="Bezodstpw"/>
        <w:rPr>
          <w:rFonts w:ascii="Lato" w:hAnsi="Lato"/>
        </w:rPr>
      </w:pPr>
    </w:p>
    <w:p w14:paraId="6AFED48C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5. Zgodność wysokości podstawy opodatkowania podatkiem od gier uprzednio deklarowanej przez podmiot, który uzyskał koncesję lub zezwolenie w wyniku przetargu, z realnie uzyskaną w działalności prowadzonej na podstawie takiej koncesji lub zezwolenia, biorąc pod uwagę koncesje i zezwolenia uzyskane w okresie ostatnich trzech lat kalendarzowych poprzedzających rok, w którym zostało ogłoszone zawiadomienie o przetargu: </w:t>
      </w:r>
    </w:p>
    <w:p w14:paraId="4D2CF9F7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4 pkt – w przypadku gdy zgodność pomiędzy deklarowaną a realnie uzyskaną podstawą opodatkowania występuje w przedziale powyżej 75 % do 100%, </w:t>
      </w:r>
    </w:p>
    <w:p w14:paraId="517E635A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2 pkt – w przypadku gdy zgodność pomiędzy deklarowaną a realnie uzyskaną podstawą opodatkowania występuje w przedziale od 50 % do 75 %, </w:t>
      </w:r>
    </w:p>
    <w:p w14:paraId="78B65FBD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3) 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 </w:t>
      </w:r>
    </w:p>
    <w:p w14:paraId="0783D305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4) 0 pkt – w przypadku gdy zgodność pomiędzy deklarowaną a realnie uzyskaną podstawą opodatkowania podatkiem od gier wynosi poniżej 50 % </w:t>
      </w:r>
    </w:p>
    <w:p w14:paraId="674315F2" w14:textId="77777777" w:rsidR="00ED5B93" w:rsidRPr="00DD7BFE" w:rsidRDefault="00ED5B93" w:rsidP="00DD7BFE">
      <w:pPr>
        <w:pStyle w:val="Bezodstpw"/>
        <w:rPr>
          <w:rFonts w:ascii="Lato" w:hAnsi="Lato" w:cs="Times New Roman"/>
        </w:rPr>
      </w:pPr>
      <w:r w:rsidRPr="00DD7BFE">
        <w:rPr>
          <w:rFonts w:ascii="Lato" w:hAnsi="Lato"/>
        </w:rPr>
        <w:t xml:space="preserve">- przy czym w przypadku podmiotu, który w okresie ostatnich trzech lat kalendarzowych poprzedzających rok, w którym zostało ogłoszone zawiadomienie o przetargu, uzyskał więcej niż jedną koncesję lub zezwolenie w wyniku przetargu, bierze się pod uwagę średnią kwot podstawy opodatkowania deklarowanych i uzyskanych. </w:t>
      </w:r>
    </w:p>
    <w:p w14:paraId="13ADC86C" w14:textId="77777777" w:rsidR="00ED5B93" w:rsidRPr="00DD7BFE" w:rsidRDefault="00ED5B93" w:rsidP="00DD7BFE">
      <w:pPr>
        <w:pStyle w:val="Bezodstpw"/>
        <w:rPr>
          <w:rFonts w:ascii="Lato" w:hAnsi="Lato"/>
        </w:rPr>
      </w:pPr>
    </w:p>
    <w:p w14:paraId="0CEE931B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 </w:t>
      </w:r>
    </w:p>
    <w:p w14:paraId="378E2B4E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2 pkt – w przypadku podmiotu: </w:t>
      </w:r>
    </w:p>
    <w:p w14:paraId="64202786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a) któremu w tym okresie nie cofnięto koncesji, zezwolenia lub innego zezwolenia w zakresie gier hazardowych ani do którego nie skierowano w tym okresie wezwania do usunięcia stwierdzonych uchybień, </w:t>
      </w:r>
    </w:p>
    <w:p w14:paraId="409937DD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b) który nie prowadził w tym okresie działalności w zakresie gier hazardowych; </w:t>
      </w:r>
    </w:p>
    <w:p w14:paraId="5101009C" w14:textId="77777777" w:rsidR="00ED5B93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0 pkt – w przypadku podmiotu, do którego w tym okresie skierowano wezwanie do usunięcia stwierdzonych uchybień bądź któremu cofnięto koncesję, zezwolenie lub inne zezwolenie w zakresie gier hazardowych. </w:t>
      </w:r>
    </w:p>
    <w:p w14:paraId="2E814D05" w14:textId="77777777" w:rsidR="00DD7BFE" w:rsidRPr="00DD7BFE" w:rsidRDefault="00DD7BFE" w:rsidP="00DD7BFE">
      <w:pPr>
        <w:pStyle w:val="Bezodstpw"/>
        <w:rPr>
          <w:rFonts w:ascii="Lato" w:hAnsi="Lato"/>
        </w:rPr>
      </w:pPr>
    </w:p>
    <w:p w14:paraId="31748552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 </w:t>
      </w:r>
    </w:p>
    <w:p w14:paraId="5E2B5FB9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1 pkt – w przypadku gdy nie stwierdzono uchybień, które w tym okresie zostały potwierdzone, oraz w przypadku podmiotów, które w tym okresie nie prowadziły działalności w zakresie gier hazardowych; </w:t>
      </w:r>
    </w:p>
    <w:p w14:paraId="41041A3E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0 pkt – w przypadku gdy stwierdzono uchybienia, które w tym okresie zostały potwierdzone. </w:t>
      </w:r>
    </w:p>
    <w:p w14:paraId="556F94CA" w14:textId="77777777" w:rsidR="00DD7BFE" w:rsidRDefault="00DD7BFE" w:rsidP="00DD7BFE">
      <w:pPr>
        <w:pStyle w:val="Bezodstpw"/>
        <w:rPr>
          <w:rFonts w:ascii="Lato" w:hAnsi="Lato"/>
        </w:rPr>
      </w:pPr>
    </w:p>
    <w:p w14:paraId="34ABE22D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8. Rentowność (wynik netto w każdym z ostatnich trzech lat działalności): </w:t>
      </w:r>
    </w:p>
    <w:p w14:paraId="41109531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2 pkt – w przypadku wyniku dodatniego; </w:t>
      </w:r>
    </w:p>
    <w:p w14:paraId="34383F29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1 pkt – w przypadku podmiotów, co do których nie można ustalić wyniku netto w trzech ostatnich latach działalności; </w:t>
      </w:r>
    </w:p>
    <w:p w14:paraId="6CDBD0DF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3) 0 pkt – w przypadku wyniku ujemnego. </w:t>
      </w:r>
    </w:p>
    <w:p w14:paraId="47E8F811" w14:textId="77777777" w:rsidR="00DD7BFE" w:rsidRDefault="00DD7BFE" w:rsidP="00DD7BFE">
      <w:pPr>
        <w:pStyle w:val="Bezodstpw"/>
        <w:rPr>
          <w:rFonts w:ascii="Lato" w:hAnsi="Lato"/>
        </w:rPr>
      </w:pPr>
    </w:p>
    <w:p w14:paraId="4F818429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9. Doświadczenie na rynku gier hazardowych: </w:t>
      </w:r>
    </w:p>
    <w:p w14:paraId="36B7E685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1 pkt – w przypadku gdy podmiot posiada doświadczenie na rynku gier hazardowych; </w:t>
      </w:r>
    </w:p>
    <w:p w14:paraId="48135D0C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0 pkt – w przypadku gdy podmiot nie posiada doświadczenia na rynku gier hazardowych. </w:t>
      </w:r>
    </w:p>
    <w:p w14:paraId="29E5824F" w14:textId="77777777" w:rsidR="00DD7BFE" w:rsidRDefault="00DD7BFE" w:rsidP="00DD7BFE">
      <w:pPr>
        <w:pStyle w:val="Bezodstpw"/>
        <w:rPr>
          <w:rFonts w:ascii="Lato" w:hAnsi="Lato"/>
        </w:rPr>
      </w:pPr>
    </w:p>
    <w:p w14:paraId="64C4C838" w14:textId="77777777" w:rsidR="00ED5B93" w:rsidRPr="00DD7BFE" w:rsidRDefault="00ED5B93" w:rsidP="00DD7BFE">
      <w:pPr>
        <w:pStyle w:val="Bezodstpw"/>
        <w:rPr>
          <w:rFonts w:ascii="Lato" w:hAnsi="Lato"/>
          <w:b/>
        </w:rPr>
      </w:pPr>
      <w:r w:rsidRPr="00DD7BFE">
        <w:rPr>
          <w:rFonts w:ascii="Lato" w:hAnsi="Lato"/>
          <w:b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w wyniku przetargu, w okresie trzech lat od uzyskania koncesji lub zezwolenia, przy czym stwierdzone niedotrzymanie warunków deklarowanych w ofercie bierze się pod uwagę w przetargach ogłoszonych w okresie sześciu lat od uzyskania koncesji lub zezwolenia: </w:t>
      </w:r>
    </w:p>
    <w:p w14:paraId="6C41FD09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1) 2 pkt – w przypadku gdy nie stwierdzono niedotrzymania warunków deklarowanych w ofercie przez podmiot bądź podmioty ubiegające się o udzielenie koncesji lub zezwolenia; </w:t>
      </w:r>
    </w:p>
    <w:p w14:paraId="3A95234D" w14:textId="77777777" w:rsidR="00ED5B93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 xml:space="preserve">2) 1 pkt – w przypadku podmiotów, które dotychczas nie uzyskały koncesji lub zezwolenia w wyniku przetargu, w tym dotychczas nie przystępowały do przetargu, lub uzyskały koncesję lub zezwolenie w wyniku przetargu w innym okresie; </w:t>
      </w:r>
    </w:p>
    <w:p w14:paraId="06782382" w14:textId="77777777" w:rsidR="00812E71" w:rsidRPr="00DD7BFE" w:rsidRDefault="00ED5B93" w:rsidP="00DD7BFE">
      <w:pPr>
        <w:pStyle w:val="Bezodstpw"/>
        <w:rPr>
          <w:rFonts w:ascii="Lato" w:hAnsi="Lato"/>
        </w:rPr>
      </w:pPr>
      <w:r w:rsidRPr="00DD7BFE">
        <w:rPr>
          <w:rFonts w:ascii="Lato" w:hAnsi="Lato"/>
        </w:rPr>
        <w:t>3) 0 pkt – w przypadku gdy stwierdzono co najmniej jeden przypadek niedotrzymania warunków deklarowanych w ofercie przez podmiot bądź podmioty ubiegające się o udzielenie koncesji lub zezwolenia.</w:t>
      </w:r>
    </w:p>
    <w:sectPr w:rsidR="00812E71" w:rsidRPr="00DD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7D6C" w14:textId="77777777" w:rsidR="00ED0021" w:rsidRDefault="00ED0021" w:rsidP="00ED5B93">
      <w:pPr>
        <w:spacing w:after="0" w:line="240" w:lineRule="auto"/>
      </w:pPr>
      <w:r>
        <w:separator/>
      </w:r>
    </w:p>
  </w:endnote>
  <w:endnote w:type="continuationSeparator" w:id="0">
    <w:p w14:paraId="69DF6AAC" w14:textId="77777777" w:rsidR="00ED0021" w:rsidRDefault="00ED0021" w:rsidP="00E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05EE" w14:textId="77777777" w:rsidR="00ED0021" w:rsidRDefault="00ED0021" w:rsidP="00ED5B93">
      <w:pPr>
        <w:spacing w:after="0" w:line="240" w:lineRule="auto"/>
      </w:pPr>
      <w:r>
        <w:separator/>
      </w:r>
    </w:p>
  </w:footnote>
  <w:footnote w:type="continuationSeparator" w:id="0">
    <w:p w14:paraId="24727268" w14:textId="77777777" w:rsidR="00ED0021" w:rsidRDefault="00ED0021" w:rsidP="00ED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F2"/>
    <w:rsid w:val="00041F3C"/>
    <w:rsid w:val="000F0A1D"/>
    <w:rsid w:val="002A6D13"/>
    <w:rsid w:val="002C76D3"/>
    <w:rsid w:val="002F32DD"/>
    <w:rsid w:val="00453E88"/>
    <w:rsid w:val="0056149C"/>
    <w:rsid w:val="005804CB"/>
    <w:rsid w:val="006711AA"/>
    <w:rsid w:val="00812E71"/>
    <w:rsid w:val="00904DDC"/>
    <w:rsid w:val="009910F2"/>
    <w:rsid w:val="009C3B6A"/>
    <w:rsid w:val="00DD7BFE"/>
    <w:rsid w:val="00E34F95"/>
    <w:rsid w:val="00ED0021"/>
    <w:rsid w:val="00ED5B93"/>
    <w:rsid w:val="00F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9821C"/>
  <w15:chartTrackingRefBased/>
  <w15:docId w15:val="{D2A193FB-177C-49B7-9214-557972D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D7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Marek</dc:creator>
  <cp:keywords/>
  <dc:description/>
  <cp:lastModifiedBy>Polski Marek</cp:lastModifiedBy>
  <cp:revision>2</cp:revision>
  <dcterms:created xsi:type="dcterms:W3CDTF">2023-11-15T08:35:00Z</dcterms:created>
  <dcterms:modified xsi:type="dcterms:W3CDTF">2023-11-15T08:35:00Z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UxC4dwLulzfINJ8nQH+xvX5LNGipWa4BRSZhPgxsCvlOAESxNwQEBu1iSzJco+I1eCBVBuGKHrS5pW+LNNe1KA==</vt:lpwstr>
  </property>
  <property fmtid="{D5CDD505-2E9C-101B-9397-08002B2CF9AE}" pid="4" name="MFClassificationDate">
    <vt:lpwstr>2023-09-12T14:05:02.2018170+02:00</vt:lpwstr>
  </property>
  <property fmtid="{D5CDD505-2E9C-101B-9397-08002B2CF9AE}" pid="5" name="MFClassifiedBySID">
    <vt:lpwstr>UxC4dwLulzfINJ8nQH+xvX5LNGipWa4BRSZhPgxsCvm42mrIC/DSDv0ggS+FjUN/2v1BBotkLlY5aAiEhoi6uZniRlsIualJhfMJbmfTXk/DBbz9q4zvDXqOatQsWjaf</vt:lpwstr>
  </property>
  <property fmtid="{D5CDD505-2E9C-101B-9397-08002B2CF9AE}" pid="6" name="MFGRNItemId">
    <vt:lpwstr>GRN-89ed7b9f-f5b4-4201-8d04-78246f6769c1</vt:lpwstr>
  </property>
  <property fmtid="{D5CDD505-2E9C-101B-9397-08002B2CF9AE}" pid="7" name="MFHash">
    <vt:lpwstr>dz9kaIvOOuYYccVLyS7de13DKkREP0ETFMt1YK3+gYI=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