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48" w:rsidRDefault="000440DC">
      <w:pPr>
        <w:pStyle w:val="Tablecaption10"/>
      </w:pPr>
      <w:bookmarkStart w:id="0" w:name="_GoBack"/>
      <w:bookmarkEnd w:id="0"/>
      <w:r>
        <w:rPr>
          <w:rStyle w:val="Tablecaption1"/>
          <w:b/>
          <w:bCs/>
        </w:rPr>
        <w:t>Od: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6948"/>
      </w:tblGrid>
      <w:tr w:rsidR="00426F48">
        <w:trPr>
          <w:trHeight w:hRule="exact" w:val="554"/>
        </w:trPr>
        <w:tc>
          <w:tcPr>
            <w:tcW w:w="1966" w:type="dxa"/>
            <w:shd w:val="clear" w:color="auto" w:fill="auto"/>
            <w:vAlign w:val="bottom"/>
          </w:tcPr>
          <w:p w:rsidR="00426F48" w:rsidRDefault="000440DC">
            <w:pPr>
              <w:pStyle w:val="Other10"/>
              <w:spacing w:after="0" w:line="276" w:lineRule="auto"/>
              <w:ind w:firstLine="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sz w:val="18"/>
                <w:szCs w:val="18"/>
              </w:rPr>
              <w:t>Wysłano: Do:</w:t>
            </w:r>
          </w:p>
        </w:tc>
        <w:tc>
          <w:tcPr>
            <w:tcW w:w="6948" w:type="dxa"/>
            <w:shd w:val="clear" w:color="auto" w:fill="auto"/>
            <w:vAlign w:val="bottom"/>
          </w:tcPr>
          <w:p w:rsidR="00426F48" w:rsidRDefault="000440DC">
            <w:pPr>
              <w:pStyle w:val="Other10"/>
              <w:spacing w:after="0" w:line="240" w:lineRule="auto"/>
              <w:ind w:firstLine="98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17 grudnia 2023 12:04</w:t>
            </w:r>
          </w:p>
          <w:p w:rsidR="00426F48" w:rsidRDefault="000440DC">
            <w:pPr>
              <w:pStyle w:val="Other10"/>
              <w:spacing w:after="0" w:line="240" w:lineRule="auto"/>
              <w:ind w:firstLine="98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Wydział Spraw Obywatelskich (BM)</w:t>
            </w:r>
          </w:p>
        </w:tc>
      </w:tr>
      <w:tr w:rsidR="00426F48">
        <w:trPr>
          <w:trHeight w:hRule="exact" w:val="504"/>
        </w:trPr>
        <w:tc>
          <w:tcPr>
            <w:tcW w:w="1966" w:type="dxa"/>
            <w:shd w:val="clear" w:color="auto" w:fill="auto"/>
          </w:tcPr>
          <w:p w:rsidR="00426F48" w:rsidRDefault="000440DC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sz w:val="18"/>
                <w:szCs w:val="18"/>
              </w:rPr>
              <w:t>Temat:</w:t>
            </w:r>
          </w:p>
        </w:tc>
        <w:tc>
          <w:tcPr>
            <w:tcW w:w="6948" w:type="dxa"/>
            <w:shd w:val="clear" w:color="auto" w:fill="auto"/>
          </w:tcPr>
          <w:p w:rsidR="00426F48" w:rsidRDefault="000440DC">
            <w:pPr>
              <w:pStyle w:val="Other10"/>
              <w:spacing w:after="0" w:line="300" w:lineRule="auto"/>
              <w:ind w:left="980" w:firstLine="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Petycja w Sprawie Zakazu Używania Symboli Religijnych w Instytucjach Państwowych</w:t>
            </w:r>
          </w:p>
        </w:tc>
      </w:tr>
      <w:tr w:rsidR="00426F48">
        <w:trPr>
          <w:trHeight w:hRule="exact" w:val="252"/>
        </w:trPr>
        <w:tc>
          <w:tcPr>
            <w:tcW w:w="1966" w:type="dxa"/>
            <w:shd w:val="clear" w:color="auto" w:fill="auto"/>
          </w:tcPr>
          <w:p w:rsidR="00426F48" w:rsidRDefault="000440DC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sz w:val="18"/>
                <w:szCs w:val="18"/>
              </w:rPr>
              <w:t>Załączniki:</w:t>
            </w:r>
          </w:p>
        </w:tc>
        <w:tc>
          <w:tcPr>
            <w:tcW w:w="6948" w:type="dxa"/>
            <w:shd w:val="clear" w:color="auto" w:fill="auto"/>
          </w:tcPr>
          <w:p w:rsidR="00426F48" w:rsidRDefault="000440DC">
            <w:pPr>
              <w:pStyle w:val="Other10"/>
              <w:spacing w:after="0" w:line="240" w:lineRule="auto"/>
              <w:ind w:firstLine="98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  <w:lang w:val="en-US" w:eastAsia="en-US" w:bidi="en-US"/>
              </w:rPr>
              <w:t>petycja.pdf</w:t>
            </w:r>
          </w:p>
        </w:tc>
      </w:tr>
    </w:tbl>
    <w:p w:rsidR="00426F48" w:rsidRDefault="00426F48">
      <w:pPr>
        <w:spacing w:after="579" w:line="1" w:lineRule="exact"/>
      </w:pPr>
    </w:p>
    <w:p w:rsidR="00426F48" w:rsidRDefault="000440DC">
      <w:pPr>
        <w:pStyle w:val="Bodytext10"/>
        <w:spacing w:after="360" w:line="233" w:lineRule="auto"/>
        <w:ind w:left="420" w:firstLine="0"/>
      </w:pPr>
      <w:r>
        <w:rPr>
          <w:rStyle w:val="Bodytext1"/>
        </w:rPr>
        <w:t>UWAGA !!! Ta wiadomość została wysłana przez nadawcę spoza sądów i Ministerstwa Sprawiedliwości. Zachowaj ostrożność przy otwieraniu linków i załączników!</w:t>
      </w:r>
    </w:p>
    <w:p w:rsidR="00426F48" w:rsidRDefault="000440DC">
      <w:pPr>
        <w:pStyle w:val="Bodytext10"/>
        <w:spacing w:line="271" w:lineRule="auto"/>
        <w:ind w:firstLine="0"/>
      </w:pPr>
      <w:r>
        <w:rPr>
          <w:rStyle w:val="Bodytext1"/>
        </w:rPr>
        <w:t>Szanowny Panie Ministrze Sprawiedliwości,</w:t>
      </w:r>
    </w:p>
    <w:p w:rsidR="00426F48" w:rsidRDefault="000440DC">
      <w:pPr>
        <w:pStyle w:val="Bodytext10"/>
        <w:spacing w:line="271" w:lineRule="auto"/>
        <w:ind w:firstLine="0"/>
      </w:pPr>
      <w:r>
        <w:rPr>
          <w:rStyle w:val="Bodytext1"/>
        </w:rPr>
        <w:t>Niniejszym przesyłam formalną petycję dotyczącą wprowadzenia prawnych ram zakazujących używania symboli religijnych w instytucjach i urzędach państwowych. Celem tej inicjatywy jest osiągnięcie pełnej neutralności i równości wobec wszystkich obywateli, niezależnie od ich przekonań religijnych, podczas korzystania z usług i funkcji publicznych.</w:t>
      </w:r>
    </w:p>
    <w:p w:rsidR="00426F48" w:rsidRDefault="000440DC">
      <w:pPr>
        <w:pStyle w:val="Bodytext10"/>
        <w:spacing w:line="271" w:lineRule="auto"/>
        <w:ind w:firstLine="0"/>
      </w:pPr>
      <w:r>
        <w:rPr>
          <w:rStyle w:val="Bodytext1"/>
        </w:rPr>
        <w:t>Uzasadnienie:</w:t>
      </w:r>
    </w:p>
    <w:p w:rsidR="00426F48" w:rsidRDefault="000440DC">
      <w:pPr>
        <w:pStyle w:val="Bodytext10"/>
        <w:numPr>
          <w:ilvl w:val="0"/>
          <w:numId w:val="1"/>
        </w:numPr>
        <w:tabs>
          <w:tab w:val="left" w:pos="314"/>
        </w:tabs>
        <w:spacing w:line="266" w:lineRule="auto"/>
        <w:ind w:firstLine="0"/>
      </w:pPr>
      <w:r>
        <w:rPr>
          <w:rStyle w:val="Bodytext1"/>
        </w:rPr>
        <w:t>Zasada Neutralności Państwa: Powszechna neutralność państwa wobec wszelkich wyznań religijnych jest kluczowym elementem demokratycznego społeczeństwa. Wprowadzenie zakazu używania symboli religijnych w instytucjach państwowych jest krokiem ku pełnej neutralności, eliminując wszelkie przejawy faworyzowania jednej religii nad innymi.</w:t>
      </w:r>
    </w:p>
    <w:p w:rsidR="00426F48" w:rsidRDefault="000440DC">
      <w:pPr>
        <w:pStyle w:val="Bodytext10"/>
        <w:numPr>
          <w:ilvl w:val="0"/>
          <w:numId w:val="1"/>
        </w:numPr>
        <w:tabs>
          <w:tab w:val="left" w:pos="314"/>
        </w:tabs>
        <w:spacing w:line="276" w:lineRule="auto"/>
        <w:ind w:firstLine="0"/>
      </w:pPr>
      <w:r>
        <w:rPr>
          <w:rStyle w:val="Bodytext1"/>
        </w:rPr>
        <w:t>Równość Obywateli: Obywatele różnych wyznań oraz ci, którzy identyfikują się jako niewierzący, powinni być traktowani równo wobec prawa. Zakaz używania symboli religijnych w urzędach państwowych eliminuje potencjalne nierówności i zabezpiecza prawa wszystkich obywateli do równego traktowania.</w:t>
      </w:r>
    </w:p>
    <w:p w:rsidR="00426F48" w:rsidRDefault="000440DC">
      <w:pPr>
        <w:pStyle w:val="Bodytext10"/>
        <w:numPr>
          <w:ilvl w:val="0"/>
          <w:numId w:val="1"/>
        </w:numPr>
        <w:tabs>
          <w:tab w:val="left" w:pos="321"/>
        </w:tabs>
        <w:spacing w:line="276" w:lineRule="auto"/>
        <w:ind w:firstLine="0"/>
      </w:pPr>
      <w:r>
        <w:rPr>
          <w:rStyle w:val="Bodytext1"/>
        </w:rPr>
        <w:t>Bezpieczeństwo Religijne: Zakaz ten chroni także prawa wyznawców różnych religii, eliminując ryzyko przypadkowego czy umyślnego naruszania ich uczuć religijnych. Równocześnie, zapewnia to ochronę dla tych, którzy nie wyznają żadnej religii.</w:t>
      </w:r>
    </w:p>
    <w:p w:rsidR="00426F48" w:rsidRDefault="000440DC">
      <w:pPr>
        <w:pStyle w:val="Bodytext10"/>
        <w:numPr>
          <w:ilvl w:val="0"/>
          <w:numId w:val="1"/>
        </w:numPr>
        <w:tabs>
          <w:tab w:val="left" w:pos="321"/>
        </w:tabs>
        <w:spacing w:line="266" w:lineRule="auto"/>
        <w:ind w:firstLine="0"/>
      </w:pPr>
      <w:r>
        <w:rPr>
          <w:rStyle w:val="Bodytext1"/>
        </w:rPr>
        <w:t>Ochrona Sekularyzmu: Sekularyzacja instytucji państwowych jest niezbędna w społeczeństwach wielowyznaniowych. Zakaz używania symboli religijnych w urzędach państwowych stanowi krok w kierunku utrzymania świeckiego charakteru tych instytucji, co jest zgodne z zasadą rozdziału kościoła od państwa.</w:t>
      </w:r>
    </w:p>
    <w:p w:rsidR="00426F48" w:rsidRDefault="000440DC">
      <w:pPr>
        <w:pStyle w:val="Bodytext10"/>
        <w:spacing w:after="1100" w:line="271" w:lineRule="auto"/>
        <w:ind w:firstLine="0"/>
      </w:pPr>
      <w:r>
        <w:rPr>
          <w:rStyle w:val="Bodytext1"/>
        </w:rPr>
        <w:t>Podmiot Wnoszący Petycję:</w:t>
      </w:r>
    </w:p>
    <w:p w:rsidR="00426F48" w:rsidRDefault="000440DC">
      <w:pPr>
        <w:pStyle w:val="Bodytext10"/>
        <w:spacing w:line="240" w:lineRule="auto"/>
        <w:ind w:firstLine="0"/>
      </w:pPr>
      <w:r>
        <w:rPr>
          <w:rStyle w:val="Bodytext1"/>
        </w:rPr>
        <w:t>Zgoda na Ujawnienie Danych Osobowych na Stronie Internetowej:</w:t>
      </w:r>
    </w:p>
    <w:p w:rsidR="00426F48" w:rsidRDefault="000440DC">
      <w:pPr>
        <w:pStyle w:val="Bodytext10"/>
        <w:spacing w:line="240" w:lineRule="auto"/>
        <w:ind w:firstLine="0"/>
      </w:pPr>
      <w:r>
        <w:rPr>
          <w:rStyle w:val="Bodytext1"/>
        </w:rPr>
        <w:t>Nie</w:t>
      </w:r>
      <w:r>
        <w:br w:type="page"/>
      </w:r>
    </w:p>
    <w:p w:rsidR="00426F48" w:rsidRDefault="000440DC">
      <w:pPr>
        <w:pStyle w:val="Bodytext10"/>
        <w:spacing w:after="0" w:line="240" w:lineRule="auto"/>
        <w:ind w:firstLine="0"/>
        <w:rPr>
          <w:sz w:val="20"/>
          <w:szCs w:val="20"/>
        </w:rPr>
        <w:sectPr w:rsidR="00426F48">
          <w:footerReference w:type="default" r:id="rId7"/>
          <w:footerReference w:type="first" r:id="rId8"/>
          <w:pgSz w:w="11900" w:h="16840"/>
          <w:pgMar w:top="1507" w:right="931" w:bottom="2008" w:left="92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Bodytext1"/>
          <w:b/>
          <w:bCs/>
          <w:i/>
          <w:iCs/>
          <w:sz w:val="20"/>
          <w:szCs w:val="20"/>
        </w:rPr>
        <w:lastRenderedPageBreak/>
        <w:t>W</w:t>
      </w:r>
      <w:r>
        <w:rPr>
          <w:rStyle w:val="Bodytext1"/>
          <w:b/>
          <w:bCs/>
          <w:sz w:val="20"/>
          <w:szCs w:val="20"/>
        </w:rPr>
        <w:t xml:space="preserve"> załączniku wydrukowany i podpisany dokument z powyższą treścią</w:t>
      </w:r>
    </w:p>
    <w:p w:rsidR="00426F48" w:rsidRDefault="000440DC">
      <w:pPr>
        <w:pStyle w:val="Heading110"/>
        <w:keepNext/>
        <w:keepLines/>
      </w:pPr>
      <w:bookmarkStart w:id="1" w:name="bookmark0"/>
      <w:r>
        <w:rPr>
          <w:rStyle w:val="Heading11"/>
          <w:b/>
          <w:bCs/>
        </w:rPr>
        <w:lastRenderedPageBreak/>
        <w:t>Petycja w Sprawie Zakazu Używania Symboli Religijnych w Instytucjach Państwowych</w:t>
      </w:r>
      <w:bookmarkEnd w:id="1"/>
    </w:p>
    <w:p w:rsidR="00426F48" w:rsidRDefault="000440DC">
      <w:pPr>
        <w:pStyle w:val="Bodytext10"/>
        <w:spacing w:line="259" w:lineRule="auto"/>
        <w:ind w:left="940" w:firstLine="40"/>
      </w:pPr>
      <w:r>
        <w:rPr>
          <w:rStyle w:val="Bodytext1"/>
        </w:rPr>
        <w:t>Szanowny Panie Ministrze Sprawiedliwości,</w:t>
      </w:r>
    </w:p>
    <w:p w:rsidR="00426F48" w:rsidRDefault="000440DC">
      <w:pPr>
        <w:pStyle w:val="Bodytext10"/>
        <w:spacing w:line="254" w:lineRule="auto"/>
        <w:ind w:left="940" w:firstLine="40"/>
      </w:pPr>
      <w:r>
        <w:rPr>
          <w:rStyle w:val="Bodytext1"/>
        </w:rPr>
        <w:t>Niniejszym przesyłam formalną petycję dotyczącą wprowadzenia prawnych ram zakazujących używania symboli religijnych w instytucjach i urzędach państwowych. Celem tej inicjatywy jest osiągnięcie pełnej neutralności i równości wobec wszystkich obywateli, niezależnie od ich przekonań religijnych, podczas korzystania z usług i funkcji publicznych.</w:t>
      </w:r>
    </w:p>
    <w:p w:rsidR="00426F48" w:rsidRDefault="000440DC">
      <w:pPr>
        <w:pStyle w:val="Bodytext10"/>
        <w:spacing w:line="259" w:lineRule="auto"/>
        <w:ind w:firstLine="940"/>
      </w:pPr>
      <w:r>
        <w:rPr>
          <w:rStyle w:val="Bodytext1"/>
        </w:rPr>
        <w:t>Uzasadnienie:</w:t>
      </w:r>
    </w:p>
    <w:p w:rsidR="00426F48" w:rsidRDefault="000440DC">
      <w:pPr>
        <w:pStyle w:val="Bodytext10"/>
        <w:numPr>
          <w:ilvl w:val="0"/>
          <w:numId w:val="2"/>
        </w:numPr>
        <w:tabs>
          <w:tab w:val="left" w:pos="1189"/>
        </w:tabs>
        <w:spacing w:after="0" w:line="259" w:lineRule="auto"/>
        <w:ind w:left="860" w:firstLine="120"/>
      </w:pPr>
      <w:r>
        <w:rPr>
          <w:rStyle w:val="Bodytext1"/>
        </w:rPr>
        <w:t>Zasada Neutralności Państwa: Powszechna neutralność państwa wobec wszelkich wyznań religijnych jest kluczowym elementem demokratycznego społeczeństwa.</w:t>
      </w:r>
    </w:p>
    <w:p w:rsidR="00426F48" w:rsidRDefault="000440DC">
      <w:pPr>
        <w:pStyle w:val="Bodytext10"/>
        <w:spacing w:line="259" w:lineRule="auto"/>
        <w:ind w:left="860" w:firstLine="120"/>
      </w:pPr>
      <w:r>
        <w:rPr>
          <w:rStyle w:val="Bodytext1"/>
        </w:rPr>
        <w:t>Wprowadzenie zakazu używania symboli religijnych w instytucjach państwowych jest krokiem ku pełnej neutralności, eliminując wszelkie przejawy faworyzowania jednej religii nad innymi.</w:t>
      </w:r>
    </w:p>
    <w:p w:rsidR="00426F48" w:rsidRDefault="000440DC">
      <w:pPr>
        <w:pStyle w:val="Bodytext10"/>
        <w:numPr>
          <w:ilvl w:val="0"/>
          <w:numId w:val="2"/>
        </w:numPr>
        <w:tabs>
          <w:tab w:val="left" w:pos="1203"/>
        </w:tabs>
        <w:spacing w:line="259" w:lineRule="auto"/>
        <w:ind w:left="860" w:firstLine="120"/>
      </w:pPr>
      <w:r>
        <w:rPr>
          <w:rStyle w:val="Bodytext1"/>
        </w:rPr>
        <w:t>Równość Obywateli: Obywatele różnych wyznań oraz ci, którzy identyfikują się jako niewierzący, powinni być traktowani równo wobec prawa. Zakaz używania symboli religijnych w urzędach państwowych eliminuje potencjalne nierówności i zabezpiecza prawa wszystkich obywateli do równego traktowania.</w:t>
      </w:r>
    </w:p>
    <w:p w:rsidR="00426F48" w:rsidRDefault="000440DC">
      <w:pPr>
        <w:pStyle w:val="Bodytext10"/>
        <w:numPr>
          <w:ilvl w:val="0"/>
          <w:numId w:val="2"/>
        </w:numPr>
        <w:tabs>
          <w:tab w:val="left" w:pos="1196"/>
        </w:tabs>
        <w:spacing w:after="200" w:line="276" w:lineRule="auto"/>
        <w:ind w:left="860" w:firstLine="20"/>
      </w:pPr>
      <w:r>
        <w:rPr>
          <w:rStyle w:val="Bodytext1"/>
        </w:rPr>
        <w:t>Bezpieczeństwo Religijne: Zakaz ten chroni także prawa wyznawców różnych religii, eliminując ryzyko przypadkowego czy umyślnego naruszania ich uczuć religijnych. Równocześnie, zapewnia to ochronę dla tych, którzy nie wyznają żadnej religii.</w:t>
      </w:r>
    </w:p>
    <w:p w:rsidR="00426F48" w:rsidRDefault="000440DC">
      <w:pPr>
        <w:pStyle w:val="Bodytext10"/>
        <w:numPr>
          <w:ilvl w:val="0"/>
          <w:numId w:val="2"/>
        </w:numPr>
        <w:tabs>
          <w:tab w:val="left" w:pos="1196"/>
        </w:tabs>
        <w:ind w:left="860" w:firstLine="20"/>
      </w:pPr>
      <w:r>
        <w:rPr>
          <w:rStyle w:val="Bodytext1"/>
        </w:rPr>
        <w:t>Ochrona Sekularyzmu: Sekularyzacja instytucji państwowych jest niezbędna w społeczeństwach wielowyznaniowych. Zakaz używania symboli religijnych w urzędach państwowych stanowi krok w kierunku utrzymania świeckiego charakteru tych instytucji, co jest zgodne z zasadą rozdziału kościoła od państwa.</w:t>
      </w:r>
    </w:p>
    <w:p w:rsidR="00426F48" w:rsidRDefault="000440DC">
      <w:pPr>
        <w:pStyle w:val="Bodytext10"/>
        <w:spacing w:after="1080" w:line="259" w:lineRule="auto"/>
        <w:ind w:firstLine="860"/>
      </w:pPr>
      <w:r>
        <w:rPr>
          <w:rStyle w:val="Bodytext1"/>
        </w:rPr>
        <w:t>Podmiot Wnoszący Petycję:</w:t>
      </w:r>
    </w:p>
    <w:p w:rsidR="00426F48" w:rsidRDefault="000440DC">
      <w:pPr>
        <w:pStyle w:val="Bodytext10"/>
        <w:spacing w:line="240" w:lineRule="auto"/>
        <w:ind w:firstLine="820"/>
      </w:pPr>
      <w:r>
        <w:rPr>
          <w:rStyle w:val="Bodytext1"/>
        </w:rPr>
        <w:t>Zgoda na Ujawnienie Danych Osobowych na Stronie Internetowej:</w:t>
      </w:r>
    </w:p>
    <w:p w:rsidR="00426F48" w:rsidRDefault="000440DC">
      <w:pPr>
        <w:pStyle w:val="Bodytext10"/>
        <w:spacing w:after="500" w:line="240" w:lineRule="auto"/>
        <w:ind w:firstLine="860"/>
      </w:pPr>
      <w:r>
        <w:rPr>
          <w:rStyle w:val="Bodytext1"/>
        </w:rPr>
        <w:t>Nie</w:t>
      </w:r>
    </w:p>
    <w:p w:rsidR="00426F48" w:rsidRDefault="000440DC">
      <w:pPr>
        <w:pStyle w:val="Bodytext20"/>
      </w:pPr>
      <w:r>
        <w:rPr>
          <w:rStyle w:val="Bodytext2"/>
        </w:rPr>
        <w:t>Podpis .</w:t>
      </w:r>
    </w:p>
    <w:sectPr w:rsidR="00426F48">
      <w:footerReference w:type="default" r:id="rId9"/>
      <w:pgSz w:w="11900" w:h="16840"/>
      <w:pgMar w:top="2057" w:right="1077" w:bottom="2057" w:left="780" w:header="1629" w:footer="16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CD" w:rsidRDefault="00AB5ECD">
      <w:r>
        <w:separator/>
      </w:r>
    </w:p>
  </w:endnote>
  <w:endnote w:type="continuationSeparator" w:id="0">
    <w:p w:rsidR="00AB5ECD" w:rsidRDefault="00AB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48" w:rsidRDefault="000440D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3870325</wp:posOffset>
              </wp:positionH>
              <wp:positionV relativeFrom="page">
                <wp:posOffset>10050780</wp:posOffset>
              </wp:positionV>
              <wp:extent cx="5016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6F48" w:rsidRDefault="000440DC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b/>
                              <w:bCs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4.75pt;margin-top:791.39999999999998pt;width:3.9500000000000002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9"/>
                        <w:b/>
                        <w:bCs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48" w:rsidRDefault="000440D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9666605</wp:posOffset>
              </wp:positionV>
              <wp:extent cx="22860" cy="685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6F48" w:rsidRDefault="000B74DB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8.25pt;margin-top:761.15pt;width:1.8pt;height:5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" filled="f" stroked="f">
              <v:textbox style="mso-fit-shape-to-text:t" inset="0,0,0,0">
                <w:txbxContent>
                  <w:p w:rsidR="00426F48" w:rsidRDefault="000B74DB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48" w:rsidRDefault="00426F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CD" w:rsidRDefault="00AB5ECD"/>
  </w:footnote>
  <w:footnote w:type="continuationSeparator" w:id="0">
    <w:p w:rsidR="00AB5ECD" w:rsidRDefault="00AB5E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F2858"/>
    <w:multiLevelType w:val="multilevel"/>
    <w:tmpl w:val="EB3CED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A0208B"/>
    <w:multiLevelType w:val="multilevel"/>
    <w:tmpl w:val="523631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48"/>
    <w:rsid w:val="000440DC"/>
    <w:rsid w:val="000B74DB"/>
    <w:rsid w:val="002A4320"/>
    <w:rsid w:val="00426F48"/>
    <w:rsid w:val="00432229"/>
    <w:rsid w:val="00A5706B"/>
    <w:rsid w:val="00A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6BEE5-258E-4A88-854A-EC37860E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lecaption1">
    <w:name w:val="Table caption|1_"/>
    <w:basedOn w:val="Domylnaczcionkaakapitu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Domylnaczcionkaakapitu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10">
    <w:name w:val="Table caption|1"/>
    <w:basedOn w:val="Normalny"/>
    <w:link w:val="Tablecaption1"/>
    <w:rPr>
      <w:rFonts w:ascii="Arial" w:eastAsia="Arial" w:hAnsi="Arial" w:cs="Arial"/>
      <w:b/>
      <w:bCs/>
      <w:sz w:val="18"/>
      <w:szCs w:val="18"/>
    </w:rPr>
  </w:style>
  <w:style w:type="paragraph" w:customStyle="1" w:styleId="Other10">
    <w:name w:val="Other|1"/>
    <w:basedOn w:val="Normalny"/>
    <w:link w:val="Other1"/>
    <w:pPr>
      <w:spacing w:after="260" w:line="262" w:lineRule="auto"/>
      <w:ind w:firstLine="10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  <w:style w:type="paragraph" w:customStyle="1" w:styleId="Bodytext10">
    <w:name w:val="Body text|1"/>
    <w:basedOn w:val="Normalny"/>
    <w:link w:val="Bodytext1"/>
    <w:pPr>
      <w:spacing w:after="260" w:line="262" w:lineRule="auto"/>
      <w:ind w:firstLine="10"/>
    </w:pPr>
    <w:rPr>
      <w:rFonts w:ascii="Arial" w:eastAsia="Arial" w:hAnsi="Arial" w:cs="Arial"/>
      <w:sz w:val="22"/>
      <w:szCs w:val="22"/>
    </w:rPr>
  </w:style>
  <w:style w:type="paragraph" w:customStyle="1" w:styleId="Heading110">
    <w:name w:val="Heading #1|1"/>
    <w:basedOn w:val="Normalny"/>
    <w:link w:val="Heading11"/>
    <w:pPr>
      <w:spacing w:after="260" w:line="254" w:lineRule="auto"/>
      <w:ind w:left="940" w:firstLine="4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|2"/>
    <w:basedOn w:val="Normalny"/>
    <w:link w:val="Bodytext2"/>
    <w:pPr>
      <w:spacing w:after="260"/>
      <w:ind w:right="900"/>
      <w:jc w:val="righ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7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4D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7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4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Tymczyszyn Paweł</dc:creator>
  <cp:lastModifiedBy>Kolasinski Jakub</cp:lastModifiedBy>
  <cp:revision>2</cp:revision>
  <dcterms:created xsi:type="dcterms:W3CDTF">2024-05-28T16:31:00Z</dcterms:created>
  <dcterms:modified xsi:type="dcterms:W3CDTF">2024-05-28T16:31:00Z</dcterms:modified>
</cp:coreProperties>
</file>